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C013B" w14:textId="77777777" w:rsidR="00C76C35" w:rsidRDefault="00027F31" w:rsidP="00C76C35">
      <w:pPr>
        <w:pStyle w:val="1MainTitle"/>
        <w:ind w:left="993" w:hanging="993"/>
      </w:pPr>
      <w:r>
        <w:t>5.16</w:t>
      </w:r>
      <w:r w:rsidR="00872E8F" w:rsidRPr="00A6439B">
        <w:tab/>
      </w:r>
      <w:r w:rsidR="002A0013">
        <w:t>LANREOTIDE</w:t>
      </w:r>
      <w:r w:rsidR="70971A32" w:rsidRPr="00A6439B">
        <w:t>,</w:t>
      </w:r>
      <w:r w:rsidR="00872E8F" w:rsidRPr="00A6439B">
        <w:br/>
      </w:r>
      <w:r w:rsidR="002A0013" w:rsidRPr="00CD321D">
        <w:t>Injection 60 mg (as acetate) in single dose pre-filled syringe</w:t>
      </w:r>
    </w:p>
    <w:p w14:paraId="07204173" w14:textId="27325036" w:rsidR="002A0013" w:rsidRPr="00CD321D" w:rsidRDefault="002A0013" w:rsidP="00C76C35">
      <w:pPr>
        <w:pStyle w:val="1MainTitle"/>
        <w:ind w:left="993" w:firstLine="0"/>
      </w:pPr>
      <w:r w:rsidRPr="00CD321D">
        <w:t>Injection 90 mg (as acetate) in single dose pre-filled syringe</w:t>
      </w:r>
    </w:p>
    <w:p w14:paraId="5FAC7CB4" w14:textId="79386376" w:rsidR="00837B7F" w:rsidRPr="008857D1" w:rsidRDefault="002A0013" w:rsidP="00C76C35">
      <w:pPr>
        <w:pStyle w:val="1MainTitle"/>
        <w:ind w:left="993" w:firstLine="0"/>
      </w:pPr>
      <w:r w:rsidRPr="00CD321D">
        <w:t>Injection 120 mg (as acetate) in single dose pre-filled syringe</w:t>
      </w:r>
      <w:r w:rsidR="00872E8F" w:rsidRPr="00A6439B">
        <w:br/>
      </w:r>
      <w:r w:rsidR="00790C42">
        <w:t>LACREO</w:t>
      </w:r>
      <w:r w:rsidR="70971A32" w:rsidRPr="00A6439B">
        <w:t>®</w:t>
      </w:r>
      <w:r w:rsidR="00790C42">
        <w:t>,</w:t>
      </w:r>
      <w:r w:rsidR="00872E8F" w:rsidRPr="00A6439B">
        <w:br/>
      </w:r>
      <w:r w:rsidR="00C3730E">
        <w:t>Sun Pharma ANZ Pty Ltd</w:t>
      </w:r>
    </w:p>
    <w:p w14:paraId="5F4D54C1" w14:textId="1E899C95" w:rsidR="00E11F44" w:rsidRPr="00A6439B" w:rsidRDefault="007E490F" w:rsidP="00CD6257">
      <w:pPr>
        <w:pStyle w:val="2-SectionHeading"/>
        <w:rPr>
          <w:rFonts w:cstheme="minorHAnsi"/>
          <w:color w:val="FF0000"/>
        </w:rPr>
      </w:pPr>
      <w:r w:rsidRPr="007E1673">
        <w:t xml:space="preserve">Purpose of </w:t>
      </w:r>
      <w:r w:rsidR="00FA0B04" w:rsidRPr="007E1673">
        <w:t>Submission</w:t>
      </w:r>
    </w:p>
    <w:p w14:paraId="7C61C24D" w14:textId="6847567C" w:rsidR="00A86869" w:rsidRDefault="006C6C10" w:rsidP="00A86869">
      <w:pPr>
        <w:pStyle w:val="3-BodyText"/>
        <w:rPr>
          <w:szCs w:val="24"/>
        </w:rPr>
      </w:pPr>
      <w:r w:rsidRPr="00A86869">
        <w:rPr>
          <w:szCs w:val="24"/>
        </w:rPr>
        <w:t xml:space="preserve">The Category </w:t>
      </w:r>
      <w:r w:rsidR="00B330E0" w:rsidRPr="00A86869">
        <w:rPr>
          <w:szCs w:val="24"/>
        </w:rPr>
        <w:t>4</w:t>
      </w:r>
      <w:r w:rsidRPr="00A86869">
        <w:rPr>
          <w:szCs w:val="24"/>
        </w:rPr>
        <w:t xml:space="preserve"> submission </w:t>
      </w:r>
      <w:r w:rsidR="00244BEC" w:rsidRPr="00A86869">
        <w:rPr>
          <w:szCs w:val="24"/>
        </w:rPr>
        <w:t>requested</w:t>
      </w:r>
      <w:r w:rsidRPr="00A86869">
        <w:rPr>
          <w:szCs w:val="24"/>
        </w:rPr>
        <w:t xml:space="preserve"> to</w:t>
      </w:r>
      <w:r w:rsidR="007E490F" w:rsidRPr="00A86869">
        <w:rPr>
          <w:szCs w:val="24"/>
        </w:rPr>
        <w:t xml:space="preserve"> </w:t>
      </w:r>
      <w:r w:rsidR="0073736F" w:rsidRPr="00A86869">
        <w:rPr>
          <w:szCs w:val="24"/>
        </w:rPr>
        <w:t>list</w:t>
      </w:r>
      <w:r w:rsidR="00832510" w:rsidRPr="00A86869">
        <w:rPr>
          <w:szCs w:val="24"/>
        </w:rPr>
        <w:t xml:space="preserve"> three </w:t>
      </w:r>
      <w:r w:rsidR="0039266C" w:rsidRPr="00A86869">
        <w:rPr>
          <w:szCs w:val="24"/>
        </w:rPr>
        <w:t>lan</w:t>
      </w:r>
      <w:r w:rsidR="00E134FA" w:rsidRPr="00A86869">
        <w:rPr>
          <w:szCs w:val="24"/>
        </w:rPr>
        <w:t>reotide</w:t>
      </w:r>
      <w:r w:rsidR="0073736F" w:rsidRPr="00A86869">
        <w:rPr>
          <w:szCs w:val="24"/>
        </w:rPr>
        <w:t xml:space="preserve"> </w:t>
      </w:r>
      <w:r w:rsidR="00832510" w:rsidRPr="00A86869">
        <w:rPr>
          <w:szCs w:val="24"/>
        </w:rPr>
        <w:t>pre-filled syringes</w:t>
      </w:r>
      <w:r w:rsidR="00A86869" w:rsidRPr="00A86869">
        <w:rPr>
          <w:szCs w:val="24"/>
        </w:rPr>
        <w:t xml:space="preserve"> (PFS)</w:t>
      </w:r>
      <w:r w:rsidR="0073736F" w:rsidRPr="00A86869">
        <w:rPr>
          <w:szCs w:val="24"/>
        </w:rPr>
        <w:t xml:space="preserve"> (</w:t>
      </w:r>
      <w:r w:rsidR="00E134FA" w:rsidRPr="00A86869">
        <w:rPr>
          <w:szCs w:val="24"/>
        </w:rPr>
        <w:t>LACREO</w:t>
      </w:r>
      <w:r w:rsidR="0073736F" w:rsidRPr="00A86869">
        <w:rPr>
          <w:szCs w:val="24"/>
        </w:rPr>
        <w:t xml:space="preserve">®) under the same circumstances as the </w:t>
      </w:r>
      <w:r w:rsidR="00B330E0" w:rsidRPr="00A86869">
        <w:rPr>
          <w:szCs w:val="24"/>
        </w:rPr>
        <w:t xml:space="preserve">other </w:t>
      </w:r>
      <w:r w:rsidR="0073736F" w:rsidRPr="00A86869">
        <w:rPr>
          <w:szCs w:val="24"/>
        </w:rPr>
        <w:t xml:space="preserve">PBS-listed </w:t>
      </w:r>
      <w:r w:rsidR="00B330E0" w:rsidRPr="00A86869">
        <w:rPr>
          <w:szCs w:val="24"/>
        </w:rPr>
        <w:t>b</w:t>
      </w:r>
      <w:r w:rsidR="00E34B5A">
        <w:rPr>
          <w:szCs w:val="24"/>
        </w:rPr>
        <w:t>r</w:t>
      </w:r>
      <w:r w:rsidR="00B330E0" w:rsidRPr="00A86869">
        <w:rPr>
          <w:szCs w:val="24"/>
        </w:rPr>
        <w:t>ands of l</w:t>
      </w:r>
      <w:r w:rsidR="00115F49" w:rsidRPr="00A86869">
        <w:rPr>
          <w:szCs w:val="24"/>
        </w:rPr>
        <w:t>anreotide</w:t>
      </w:r>
      <w:r w:rsidR="0073736F" w:rsidRPr="00A86869">
        <w:rPr>
          <w:szCs w:val="24"/>
        </w:rPr>
        <w:t xml:space="preserve">. </w:t>
      </w:r>
      <w:r w:rsidR="00307AAF">
        <w:rPr>
          <w:szCs w:val="24"/>
        </w:rPr>
        <w:t xml:space="preserve">The syringes are a similar device to the </w:t>
      </w:r>
      <w:r w:rsidR="007216D1">
        <w:rPr>
          <w:szCs w:val="24"/>
        </w:rPr>
        <w:t>currently</w:t>
      </w:r>
      <w:r w:rsidR="0095025B">
        <w:rPr>
          <w:szCs w:val="24"/>
        </w:rPr>
        <w:t xml:space="preserve"> PBS listed Somatuline Autogel</w:t>
      </w:r>
      <w:r w:rsidR="00421E27">
        <w:rPr>
          <w:szCs w:val="24"/>
        </w:rPr>
        <w:t xml:space="preserve"> and deliver the same doses</w:t>
      </w:r>
      <w:r w:rsidR="007216D1">
        <w:rPr>
          <w:szCs w:val="24"/>
        </w:rPr>
        <w:t xml:space="preserve"> of lanreotide</w:t>
      </w:r>
      <w:r w:rsidR="0095025B">
        <w:rPr>
          <w:szCs w:val="24"/>
        </w:rPr>
        <w:t xml:space="preserve">. </w:t>
      </w:r>
      <w:r w:rsidR="00A86869" w:rsidRPr="00A86869">
        <w:rPr>
          <w:szCs w:val="24"/>
        </w:rPr>
        <w:t>The strengths are:</w:t>
      </w:r>
    </w:p>
    <w:p w14:paraId="1676FA61" w14:textId="2EF3FE27" w:rsidR="00A86869" w:rsidRPr="00A86869" w:rsidRDefault="00A86869" w:rsidP="00E665F1">
      <w:pPr>
        <w:pStyle w:val="3-BodyText"/>
        <w:numPr>
          <w:ilvl w:val="0"/>
          <w:numId w:val="7"/>
        </w:numPr>
        <w:spacing w:before="0" w:after="0"/>
        <w:rPr>
          <w:szCs w:val="24"/>
        </w:rPr>
      </w:pPr>
      <w:r>
        <w:rPr>
          <w:szCs w:val="24"/>
        </w:rPr>
        <w:t>i</w:t>
      </w:r>
      <w:r w:rsidRPr="00A86869">
        <w:rPr>
          <w:szCs w:val="24"/>
        </w:rPr>
        <w:t xml:space="preserve">njection 60 mg (as acetate) in single dose </w:t>
      </w:r>
      <w:r>
        <w:rPr>
          <w:szCs w:val="24"/>
        </w:rPr>
        <w:t>PFS</w:t>
      </w:r>
      <w:r w:rsidR="00B755C3">
        <w:rPr>
          <w:szCs w:val="24"/>
        </w:rPr>
        <w:t xml:space="preserve"> (60 PFS)</w:t>
      </w:r>
    </w:p>
    <w:p w14:paraId="6D701A2D" w14:textId="35FE3342" w:rsidR="00A86869" w:rsidRPr="006F154D" w:rsidRDefault="00A86869" w:rsidP="00E665F1">
      <w:pPr>
        <w:pStyle w:val="3-BodyText"/>
        <w:numPr>
          <w:ilvl w:val="0"/>
          <w:numId w:val="7"/>
        </w:numPr>
        <w:spacing w:before="0" w:after="0"/>
        <w:rPr>
          <w:szCs w:val="24"/>
        </w:rPr>
      </w:pPr>
      <w:r w:rsidRPr="006F154D">
        <w:rPr>
          <w:szCs w:val="24"/>
        </w:rPr>
        <w:t>injection 90 mg (as acetate) in single dose PFS</w:t>
      </w:r>
      <w:r w:rsidR="00B755C3">
        <w:rPr>
          <w:szCs w:val="24"/>
        </w:rPr>
        <w:t xml:space="preserve"> (90 PFS)</w:t>
      </w:r>
    </w:p>
    <w:p w14:paraId="5778C6CD" w14:textId="1D59A7E9" w:rsidR="0073736F" w:rsidRDefault="00A86869" w:rsidP="00E665F1">
      <w:pPr>
        <w:pStyle w:val="3-BodyText"/>
        <w:numPr>
          <w:ilvl w:val="0"/>
          <w:numId w:val="7"/>
        </w:numPr>
        <w:spacing w:before="0" w:after="0"/>
        <w:rPr>
          <w:szCs w:val="24"/>
        </w:rPr>
      </w:pPr>
      <w:r w:rsidRPr="006F154D">
        <w:rPr>
          <w:szCs w:val="24"/>
        </w:rPr>
        <w:t>injection 120 mg (as acetate) in single dose PFS</w:t>
      </w:r>
      <w:r w:rsidR="00B755C3">
        <w:rPr>
          <w:szCs w:val="24"/>
        </w:rPr>
        <w:t xml:space="preserve"> (120 PFS)</w:t>
      </w:r>
    </w:p>
    <w:p w14:paraId="6D96FEB6" w14:textId="08D949FA" w:rsidR="00DC732A" w:rsidRPr="006F154D" w:rsidRDefault="00640D16" w:rsidP="0079250E">
      <w:pPr>
        <w:pStyle w:val="3-BodyText"/>
        <w:rPr>
          <w:rFonts w:cstheme="minorHAnsi"/>
          <w:szCs w:val="24"/>
        </w:rPr>
      </w:pPr>
      <w:r w:rsidRPr="006F154D">
        <w:t>Listing</w:t>
      </w:r>
      <w:r w:rsidRPr="006F154D">
        <w:rPr>
          <w:rFonts w:cstheme="minorHAnsi"/>
          <w:szCs w:val="24"/>
        </w:rPr>
        <w:t xml:space="preserve"> </w:t>
      </w:r>
      <w:r w:rsidR="00DC732A" w:rsidRPr="006F154D">
        <w:rPr>
          <w:rFonts w:cstheme="minorHAnsi"/>
          <w:szCs w:val="24"/>
        </w:rPr>
        <w:t xml:space="preserve">was requested </w:t>
      </w:r>
      <w:proofErr w:type="gramStart"/>
      <w:r w:rsidR="00DC732A" w:rsidRPr="006F154D">
        <w:rPr>
          <w:rFonts w:cstheme="minorHAnsi"/>
          <w:szCs w:val="24"/>
        </w:rPr>
        <w:t>on the basis of</w:t>
      </w:r>
      <w:proofErr w:type="gramEnd"/>
      <w:r w:rsidR="00DC732A" w:rsidRPr="006F154D">
        <w:rPr>
          <w:rFonts w:cstheme="minorHAnsi"/>
          <w:szCs w:val="24"/>
        </w:rPr>
        <w:t xml:space="preserve"> a cost-minimisation </w:t>
      </w:r>
      <w:r w:rsidR="000414C9" w:rsidRPr="006F154D">
        <w:rPr>
          <w:rFonts w:cstheme="minorHAnsi"/>
          <w:szCs w:val="24"/>
        </w:rPr>
        <w:t>basis</w:t>
      </w:r>
      <w:r w:rsidR="00DC732A" w:rsidRPr="006F154D">
        <w:rPr>
          <w:rFonts w:cstheme="minorHAnsi"/>
          <w:szCs w:val="24"/>
        </w:rPr>
        <w:t xml:space="preserve"> versus </w:t>
      </w:r>
      <w:r w:rsidR="00C86429" w:rsidRPr="006F154D">
        <w:rPr>
          <w:rFonts w:cstheme="minorHAnsi"/>
          <w:szCs w:val="24"/>
        </w:rPr>
        <w:t>Somatuline Autogel</w:t>
      </w:r>
      <w:r w:rsidR="00DC732A" w:rsidRPr="006F154D">
        <w:rPr>
          <w:rFonts w:cstheme="minorHAnsi"/>
          <w:szCs w:val="24"/>
        </w:rPr>
        <w:t>.</w:t>
      </w:r>
    </w:p>
    <w:p w14:paraId="3D1D4320" w14:textId="77777777" w:rsidR="007E490F" w:rsidRPr="006F154D" w:rsidRDefault="007E490F" w:rsidP="00E665F1">
      <w:pPr>
        <w:pStyle w:val="2-SectionHeading"/>
        <w:numPr>
          <w:ilvl w:val="0"/>
          <w:numId w:val="1"/>
        </w:numPr>
      </w:pPr>
      <w:r w:rsidRPr="006F154D">
        <w:t xml:space="preserve">Background </w:t>
      </w:r>
    </w:p>
    <w:p w14:paraId="66A51362" w14:textId="19C88BEF" w:rsidR="00B63251" w:rsidRPr="006F154D" w:rsidRDefault="007518F6" w:rsidP="007A5895">
      <w:pPr>
        <w:pStyle w:val="3-BodyText"/>
      </w:pPr>
      <w:r w:rsidRPr="006F154D">
        <w:t>Lanreotide</w:t>
      </w:r>
      <w:r w:rsidR="001F2311" w:rsidRPr="006F154D">
        <w:t xml:space="preserve"> is currently listed on the PBS as an Authority Required </w:t>
      </w:r>
      <w:r w:rsidR="00C64462" w:rsidRPr="006F154D">
        <w:t>section 100 Highly Specialised Drug (</w:t>
      </w:r>
      <w:r w:rsidR="000A678A">
        <w:t xml:space="preserve">s100 </w:t>
      </w:r>
      <w:r w:rsidR="00C64462" w:rsidRPr="006F154D">
        <w:t>HSD)</w:t>
      </w:r>
      <w:r w:rsidR="001F2311" w:rsidRPr="006F154D">
        <w:t xml:space="preserve"> listing for</w:t>
      </w:r>
      <w:r w:rsidR="00B50548" w:rsidRPr="006F154D">
        <w:t xml:space="preserve"> acromegaly, </w:t>
      </w:r>
      <w:r w:rsidR="00BF5A09" w:rsidRPr="006F154D">
        <w:t xml:space="preserve">functional carcinoid tumour and </w:t>
      </w:r>
      <w:r w:rsidR="00B45970" w:rsidRPr="006F154D">
        <w:t>non-functional gastroenteropancreatic neuroendocrine tumour (GEP-NET)</w:t>
      </w:r>
      <w:r w:rsidR="00BF5A09" w:rsidRPr="006F154D">
        <w:t>.</w:t>
      </w:r>
    </w:p>
    <w:p w14:paraId="33C2C319" w14:textId="66DF215F" w:rsidR="007E490F" w:rsidRPr="006F154D" w:rsidRDefault="007E490F" w:rsidP="00691A2C">
      <w:pPr>
        <w:pStyle w:val="4-SubsectionHeading"/>
      </w:pPr>
      <w:r w:rsidRPr="006F154D">
        <w:t>Registration status</w:t>
      </w:r>
    </w:p>
    <w:p w14:paraId="7DE28F33" w14:textId="3BD22694" w:rsidR="00623975" w:rsidRPr="006F154D" w:rsidRDefault="004D0FEC" w:rsidP="00B203D6">
      <w:pPr>
        <w:pStyle w:val="3-BodyText"/>
      </w:pPr>
      <w:r w:rsidRPr="006F154D">
        <w:t>Lanreotide LACREO</w:t>
      </w:r>
      <w:r w:rsidR="007E490F" w:rsidRPr="006F154D">
        <w:t xml:space="preserve"> </w:t>
      </w:r>
      <w:r w:rsidR="00575CC2" w:rsidRPr="006F154D">
        <w:t>60 PFS</w:t>
      </w:r>
      <w:r w:rsidR="00B203D6" w:rsidRPr="006F154D">
        <w:t xml:space="preserve"> </w:t>
      </w:r>
      <w:r w:rsidR="007E490F" w:rsidRPr="006F154D">
        <w:t xml:space="preserve">was TGA registered on </w:t>
      </w:r>
      <w:r w:rsidR="00B203D6" w:rsidRPr="006F154D">
        <w:t>24 October 2025</w:t>
      </w:r>
      <w:r w:rsidR="00D10F37" w:rsidRPr="006F154D">
        <w:t xml:space="preserve">. Lanreotide </w:t>
      </w:r>
      <w:r w:rsidR="00562128" w:rsidRPr="006F154D">
        <w:t xml:space="preserve">LACREO </w:t>
      </w:r>
      <w:r w:rsidR="00D10F37" w:rsidRPr="006F154D">
        <w:t xml:space="preserve">90 PFS and 120 PFS were TGA registered on </w:t>
      </w:r>
      <w:r w:rsidR="004B65ED" w:rsidRPr="006F154D">
        <w:t xml:space="preserve">22 October 2025. All 3 strengths of LACREO were </w:t>
      </w:r>
      <w:r w:rsidR="00562128" w:rsidRPr="006F154D">
        <w:t xml:space="preserve">approved for </w:t>
      </w:r>
      <w:r w:rsidR="00B60C82">
        <w:t>the same</w:t>
      </w:r>
      <w:r w:rsidR="00562128" w:rsidRPr="006F154D">
        <w:t xml:space="preserve"> indications</w:t>
      </w:r>
      <w:r w:rsidR="00B60C82">
        <w:t xml:space="preserve"> as are approved for Somatuline Autogel. They are</w:t>
      </w:r>
      <w:r w:rsidR="00562128" w:rsidRPr="006F154D">
        <w:t>:</w:t>
      </w:r>
    </w:p>
    <w:p w14:paraId="1BFA813A" w14:textId="0D50AC18" w:rsidR="00562128" w:rsidRPr="006F154D" w:rsidRDefault="00C95C5B" w:rsidP="00E665F1">
      <w:pPr>
        <w:pStyle w:val="3-BodyText"/>
        <w:numPr>
          <w:ilvl w:val="0"/>
          <w:numId w:val="8"/>
        </w:numPr>
        <w:spacing w:before="0" w:after="0"/>
      </w:pPr>
      <w:r w:rsidRPr="006F154D">
        <w:t>the treatment of acromegaly when the circulating levels of growth hormone and IGF-1 remain abnormal after surgery and/or radiotherapy or in patients who are dopamine agonist treatment refractory</w:t>
      </w:r>
      <w:r w:rsidR="0035182E">
        <w:t>;</w:t>
      </w:r>
    </w:p>
    <w:p w14:paraId="1AB14185" w14:textId="6AE6C738" w:rsidR="00562128" w:rsidRPr="006F154D" w:rsidRDefault="00C95C5B" w:rsidP="00E665F1">
      <w:pPr>
        <w:pStyle w:val="3-BodyText"/>
        <w:numPr>
          <w:ilvl w:val="0"/>
          <w:numId w:val="8"/>
        </w:numPr>
        <w:spacing w:before="0" w:after="0"/>
      </w:pPr>
      <w:r w:rsidRPr="006F154D">
        <w:t>the treatment of symptoms of carcinoid syndrome associated with carcinoid (neuroendocrine) tumours</w:t>
      </w:r>
      <w:r w:rsidR="0035182E">
        <w:t>;</w:t>
      </w:r>
    </w:p>
    <w:p w14:paraId="056E0FC8" w14:textId="756C9DF0" w:rsidR="00FA6ED7" w:rsidRPr="004F3589" w:rsidRDefault="00C95C5B" w:rsidP="00E665F1">
      <w:pPr>
        <w:pStyle w:val="3-BodyText"/>
        <w:numPr>
          <w:ilvl w:val="0"/>
          <w:numId w:val="8"/>
        </w:numPr>
        <w:spacing w:before="0" w:after="0"/>
      </w:pPr>
      <w:r w:rsidRPr="004F3589">
        <w:lastRenderedPageBreak/>
        <w:t>the treatment of gastroenteropancreatic neuroendocrine tumours (GEP-NETs) in adult patients with unresectable locally advanced or metastatic disease.</w:t>
      </w:r>
    </w:p>
    <w:p w14:paraId="0094486E" w14:textId="77777777" w:rsidR="007E490F" w:rsidRPr="00A6439B" w:rsidRDefault="007E490F" w:rsidP="00691A2C">
      <w:pPr>
        <w:pStyle w:val="4-SubsectionHeading"/>
      </w:pPr>
      <w:r w:rsidRPr="00A6439B">
        <w:t xml:space="preserve">Previous PBAC </w:t>
      </w:r>
      <w:r w:rsidRPr="00691A2C">
        <w:t>consideration</w:t>
      </w:r>
      <w:r w:rsidRPr="00A6439B">
        <w:t xml:space="preserve"> </w:t>
      </w:r>
    </w:p>
    <w:p w14:paraId="5C6809F1" w14:textId="4DF54F8C" w:rsidR="004B1224" w:rsidRDefault="001E6BF8" w:rsidP="007A5895">
      <w:pPr>
        <w:pStyle w:val="3-BodyText"/>
      </w:pPr>
      <w:r w:rsidRPr="00696C6C">
        <w:t>Lanreotide</w:t>
      </w:r>
      <w:r w:rsidR="007E490F" w:rsidRPr="00696C6C">
        <w:t xml:space="preserve"> was previously considered </w:t>
      </w:r>
      <w:r w:rsidRPr="00696C6C">
        <w:t>multiple times</w:t>
      </w:r>
      <w:r w:rsidR="007E490F" w:rsidRPr="00696C6C">
        <w:t xml:space="preserve"> by the </w:t>
      </w:r>
      <w:r w:rsidR="007E490F" w:rsidRPr="00A6439B">
        <w:t xml:space="preserve">PBAC </w:t>
      </w:r>
      <w:r>
        <w:t>between 2001 - 2024</w:t>
      </w:r>
      <w:r w:rsidR="007E490F" w:rsidRPr="00A6439B">
        <w:t>.</w:t>
      </w:r>
      <w:r>
        <w:t xml:space="preserve"> A </w:t>
      </w:r>
      <w:r w:rsidR="00584AD3">
        <w:t>paraphrased summary</w:t>
      </w:r>
      <w:r>
        <w:t xml:space="preserve"> has been provided in</w:t>
      </w:r>
      <w:r w:rsidR="00562422">
        <w:t xml:space="preserve"> </w:t>
      </w:r>
      <w:r w:rsidR="00562422">
        <w:fldChar w:fldCharType="begin"/>
      </w:r>
      <w:r w:rsidR="00562422">
        <w:instrText xml:space="preserve"> REF _Ref225943778 \h </w:instrText>
      </w:r>
      <w:r w:rsidR="00562422">
        <w:fldChar w:fldCharType="separate"/>
      </w:r>
      <w:r w:rsidR="00562422">
        <w:t xml:space="preserve">Table </w:t>
      </w:r>
      <w:r w:rsidR="00562422">
        <w:rPr>
          <w:noProof/>
        </w:rPr>
        <w:t>1</w:t>
      </w:r>
      <w:r w:rsidR="00562422">
        <w:fldChar w:fldCharType="end"/>
      </w:r>
      <w:r>
        <w:t>. Further detail of previous considerations can be found in published Public Summary Documents (PSD)</w:t>
      </w:r>
      <w:r w:rsidR="001E1A35">
        <w:t>.</w:t>
      </w:r>
    </w:p>
    <w:p w14:paraId="7922EA5C" w14:textId="77777777" w:rsidR="004B1224" w:rsidRDefault="004B1224">
      <w:pPr>
        <w:jc w:val="left"/>
        <w:rPr>
          <w:rFonts w:asciiTheme="minorHAnsi" w:eastAsiaTheme="minorHAnsi" w:hAnsiTheme="minorHAnsi" w:cstheme="minorBidi"/>
          <w:szCs w:val="22"/>
        </w:rPr>
      </w:pPr>
      <w:r>
        <w:br w:type="page"/>
      </w:r>
    </w:p>
    <w:p w14:paraId="06FC4EB2" w14:textId="438F9F24" w:rsidR="00073C50" w:rsidRPr="00C73817" w:rsidRDefault="00562422" w:rsidP="00562422">
      <w:pPr>
        <w:pStyle w:val="Caption"/>
        <w:keepNext/>
        <w:jc w:val="left"/>
      </w:pPr>
      <w:bookmarkStart w:id="0" w:name="_Ref225943778"/>
      <w:r>
        <w:lastRenderedPageBreak/>
        <w:t xml:space="preserve">Table </w:t>
      </w:r>
      <w:fldSimple w:instr=" SEQ Table \* ARABIC ">
        <w:r>
          <w:rPr>
            <w:noProof/>
          </w:rPr>
          <w:t>1</w:t>
        </w:r>
      </w:fldSimple>
      <w:bookmarkEnd w:id="0"/>
      <w:r w:rsidR="00073C50" w:rsidRPr="00C73817">
        <w:t>: Previous PBAC considerations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Previous PBAC considerations"/>
      </w:tblPr>
      <w:tblGrid>
        <w:gridCol w:w="1064"/>
        <w:gridCol w:w="1116"/>
        <w:gridCol w:w="1926"/>
        <w:gridCol w:w="3556"/>
        <w:gridCol w:w="1354"/>
      </w:tblGrid>
      <w:tr w:rsidR="00F17746" w:rsidRPr="00426203" w14:paraId="5E31F20B" w14:textId="77777777" w:rsidTr="00586A96">
        <w:trPr>
          <w:trHeight w:val="20"/>
          <w:tblHeader/>
        </w:trPr>
        <w:tc>
          <w:tcPr>
            <w:tcW w:w="590" w:type="pct"/>
          </w:tcPr>
          <w:p w14:paraId="1863C5CD" w14:textId="77777777" w:rsidR="00F17746" w:rsidRPr="00426203" w:rsidRDefault="00F17746" w:rsidP="007A5895">
            <w:pPr>
              <w:pStyle w:val="In-tableHeading"/>
              <w:rPr>
                <w:szCs w:val="20"/>
                <w:lang w:val="en-AU"/>
              </w:rPr>
            </w:pPr>
            <w:r w:rsidRPr="00426203">
              <w:rPr>
                <w:szCs w:val="20"/>
                <w:lang w:val="en-AU"/>
              </w:rPr>
              <w:t>Meeting date</w:t>
            </w:r>
          </w:p>
        </w:tc>
        <w:tc>
          <w:tcPr>
            <w:tcW w:w="619" w:type="pct"/>
          </w:tcPr>
          <w:p w14:paraId="46A819B9" w14:textId="77777777" w:rsidR="00F17746" w:rsidRPr="00426203" w:rsidRDefault="00F17746" w:rsidP="007A5895">
            <w:pPr>
              <w:pStyle w:val="In-tableHeading"/>
              <w:rPr>
                <w:szCs w:val="20"/>
                <w:lang w:val="en-AU"/>
              </w:rPr>
            </w:pPr>
            <w:r w:rsidRPr="00426203">
              <w:rPr>
                <w:szCs w:val="20"/>
                <w:lang w:val="en-AU"/>
              </w:rPr>
              <w:t>Brand</w:t>
            </w:r>
          </w:p>
        </w:tc>
        <w:tc>
          <w:tcPr>
            <w:tcW w:w="1068" w:type="pct"/>
          </w:tcPr>
          <w:p w14:paraId="39EF964A" w14:textId="24CB1ECC" w:rsidR="00F17746" w:rsidRPr="00426203" w:rsidRDefault="00F17746" w:rsidP="007A5895">
            <w:pPr>
              <w:pStyle w:val="In-tableHeading"/>
              <w:rPr>
                <w:szCs w:val="20"/>
                <w:lang w:val="en-AU"/>
              </w:rPr>
            </w:pPr>
            <w:r>
              <w:rPr>
                <w:szCs w:val="20"/>
                <w:lang w:val="en-AU"/>
              </w:rPr>
              <w:t xml:space="preserve">Lanreotide </w:t>
            </w:r>
            <w:r w:rsidRPr="00426203">
              <w:rPr>
                <w:szCs w:val="20"/>
                <w:lang w:val="en-AU"/>
              </w:rPr>
              <w:t>Form</w:t>
            </w:r>
          </w:p>
        </w:tc>
        <w:tc>
          <w:tcPr>
            <w:tcW w:w="1972" w:type="pct"/>
          </w:tcPr>
          <w:p w14:paraId="376564AF" w14:textId="15FBEF64" w:rsidR="00F17746" w:rsidRPr="00426203" w:rsidRDefault="00B54A37" w:rsidP="007A5895">
            <w:pPr>
              <w:pStyle w:val="In-tableHeading"/>
              <w:rPr>
                <w:szCs w:val="20"/>
                <w:lang w:val="en-AU"/>
              </w:rPr>
            </w:pPr>
            <w:r>
              <w:rPr>
                <w:szCs w:val="20"/>
                <w:lang w:val="en-AU"/>
              </w:rPr>
              <w:t>Listing Type &amp; Indication</w:t>
            </w:r>
          </w:p>
        </w:tc>
        <w:tc>
          <w:tcPr>
            <w:tcW w:w="751" w:type="pct"/>
          </w:tcPr>
          <w:p w14:paraId="47D45235" w14:textId="77777777" w:rsidR="00F17746" w:rsidRPr="00426203" w:rsidRDefault="00F17746" w:rsidP="007A5895">
            <w:pPr>
              <w:pStyle w:val="In-tableHeading"/>
              <w:rPr>
                <w:szCs w:val="20"/>
                <w:lang w:val="en-AU"/>
              </w:rPr>
            </w:pPr>
            <w:r w:rsidRPr="00426203">
              <w:rPr>
                <w:szCs w:val="20"/>
                <w:lang w:val="en-AU"/>
              </w:rPr>
              <w:t>Outcome</w:t>
            </w:r>
          </w:p>
        </w:tc>
      </w:tr>
      <w:tr w:rsidR="00F17746" w:rsidRPr="00426203" w14:paraId="589B092B" w14:textId="77777777" w:rsidTr="00586A96">
        <w:trPr>
          <w:trHeight w:val="20"/>
        </w:trPr>
        <w:tc>
          <w:tcPr>
            <w:tcW w:w="590" w:type="pct"/>
          </w:tcPr>
          <w:p w14:paraId="3D1F674A" w14:textId="77777777" w:rsidR="00F17746" w:rsidRPr="00426203" w:rsidRDefault="00F17746" w:rsidP="007A5895">
            <w:pPr>
              <w:pStyle w:val="TableText0"/>
              <w:keepNext w:val="0"/>
              <w:rPr>
                <w:rFonts w:cs="Arial"/>
                <w:szCs w:val="20"/>
              </w:rPr>
            </w:pPr>
            <w:r w:rsidRPr="00426203">
              <w:rPr>
                <w:rFonts w:cs="Arial"/>
                <w:szCs w:val="20"/>
              </w:rPr>
              <w:t>September 2001</w:t>
            </w:r>
          </w:p>
        </w:tc>
        <w:tc>
          <w:tcPr>
            <w:tcW w:w="619" w:type="pct"/>
          </w:tcPr>
          <w:p w14:paraId="78CA4CCF" w14:textId="7142BAF3" w:rsidR="00F17746" w:rsidRPr="008F08D5" w:rsidRDefault="00F17746" w:rsidP="007A5895">
            <w:pPr>
              <w:pStyle w:val="TableText0"/>
              <w:keepNext w:val="0"/>
              <w:rPr>
                <w:rFonts w:cs="Arial"/>
                <w:szCs w:val="20"/>
              </w:rPr>
            </w:pPr>
            <w:r w:rsidRPr="008F08D5">
              <w:rPr>
                <w:rFonts w:cs="Arial"/>
                <w:szCs w:val="20"/>
              </w:rPr>
              <w:t>Somatuline LA</w:t>
            </w:r>
          </w:p>
        </w:tc>
        <w:tc>
          <w:tcPr>
            <w:tcW w:w="1068" w:type="pct"/>
          </w:tcPr>
          <w:p w14:paraId="03F1939E" w14:textId="542BCE5D" w:rsidR="00F17746" w:rsidRPr="008F08D5" w:rsidRDefault="00D74D1B" w:rsidP="007A5895">
            <w:pPr>
              <w:pStyle w:val="TableText0"/>
              <w:keepNext w:val="0"/>
              <w:rPr>
                <w:rFonts w:cs="Arial"/>
                <w:szCs w:val="20"/>
              </w:rPr>
            </w:pPr>
            <w:r>
              <w:rPr>
                <w:rFonts w:cs="Arial"/>
                <w:szCs w:val="20"/>
              </w:rPr>
              <w:t>IM injection</w:t>
            </w:r>
            <w:r w:rsidR="00F17746" w:rsidRPr="008F08D5">
              <w:rPr>
                <w:rFonts w:cs="Arial"/>
                <w:szCs w:val="20"/>
              </w:rPr>
              <w:t xml:space="preserve"> 30 mg</w:t>
            </w:r>
          </w:p>
        </w:tc>
        <w:tc>
          <w:tcPr>
            <w:tcW w:w="1972" w:type="pct"/>
          </w:tcPr>
          <w:p w14:paraId="65B8D5F5" w14:textId="37C5B46D" w:rsidR="00F17746" w:rsidRPr="00577E20" w:rsidRDefault="00646DEE" w:rsidP="00577E20">
            <w:pPr>
              <w:pStyle w:val="3-BodyText"/>
              <w:numPr>
                <w:ilvl w:val="0"/>
                <w:numId w:val="0"/>
              </w:numPr>
              <w:spacing w:before="0" w:after="0"/>
              <w:rPr>
                <w:rFonts w:ascii="Arial Narrow" w:hAnsi="Arial Narrow"/>
                <w:sz w:val="20"/>
                <w:szCs w:val="20"/>
              </w:rPr>
            </w:pPr>
            <w:r>
              <w:rPr>
                <w:rFonts w:ascii="Arial Narrow" w:hAnsi="Arial Narrow" w:cs="Arial"/>
                <w:sz w:val="20"/>
                <w:szCs w:val="20"/>
              </w:rPr>
              <w:t>s</w:t>
            </w:r>
            <w:r w:rsidR="00B54A37">
              <w:rPr>
                <w:rFonts w:ascii="Arial Narrow" w:hAnsi="Arial Narrow" w:cs="Arial"/>
                <w:sz w:val="20"/>
                <w:szCs w:val="20"/>
              </w:rPr>
              <w:t>100</w:t>
            </w:r>
            <w:r>
              <w:rPr>
                <w:rFonts w:ascii="Arial Narrow" w:hAnsi="Arial Narrow" w:cs="Arial"/>
                <w:sz w:val="20"/>
                <w:szCs w:val="20"/>
              </w:rPr>
              <w:t>HSD</w:t>
            </w:r>
            <w:r w:rsidR="00B54A37">
              <w:rPr>
                <w:rFonts w:ascii="Arial Narrow" w:hAnsi="Arial Narrow" w:cs="Arial"/>
                <w:sz w:val="20"/>
                <w:szCs w:val="20"/>
              </w:rPr>
              <w:t xml:space="preserve"> – acromegaly</w:t>
            </w:r>
          </w:p>
        </w:tc>
        <w:tc>
          <w:tcPr>
            <w:tcW w:w="751" w:type="pct"/>
          </w:tcPr>
          <w:p w14:paraId="7EF515BB" w14:textId="77777777" w:rsidR="00F17746" w:rsidRPr="00426203" w:rsidRDefault="00F17746" w:rsidP="007A5895">
            <w:pPr>
              <w:pStyle w:val="TableText0"/>
              <w:keepNext w:val="0"/>
              <w:rPr>
                <w:rFonts w:cs="Arial"/>
                <w:szCs w:val="20"/>
              </w:rPr>
            </w:pPr>
            <w:r w:rsidRPr="00426203">
              <w:rPr>
                <w:rFonts w:cs="Arial"/>
                <w:szCs w:val="20"/>
              </w:rPr>
              <w:t>Recommended</w:t>
            </w:r>
          </w:p>
        </w:tc>
      </w:tr>
      <w:tr w:rsidR="00F17746" w:rsidRPr="00426203" w14:paraId="65A7445F" w14:textId="77777777" w:rsidTr="00586A96">
        <w:trPr>
          <w:trHeight w:val="20"/>
        </w:trPr>
        <w:tc>
          <w:tcPr>
            <w:tcW w:w="590" w:type="pct"/>
          </w:tcPr>
          <w:p w14:paraId="4EBBA5D0" w14:textId="77777777" w:rsidR="00F17746" w:rsidRPr="00426203" w:rsidRDefault="00F17746" w:rsidP="007A5895">
            <w:pPr>
              <w:pStyle w:val="TableText0"/>
              <w:keepNext w:val="0"/>
              <w:rPr>
                <w:rFonts w:cs="Arial"/>
                <w:szCs w:val="20"/>
              </w:rPr>
            </w:pPr>
            <w:r w:rsidRPr="00426203">
              <w:rPr>
                <w:rFonts w:cs="Arial"/>
                <w:szCs w:val="20"/>
              </w:rPr>
              <w:t>September 2003</w:t>
            </w:r>
          </w:p>
        </w:tc>
        <w:tc>
          <w:tcPr>
            <w:tcW w:w="619" w:type="pct"/>
          </w:tcPr>
          <w:p w14:paraId="0FD50BAF" w14:textId="2BA197A1" w:rsidR="00F17746" w:rsidRPr="00426203" w:rsidRDefault="00F17746" w:rsidP="007A5895">
            <w:pPr>
              <w:pStyle w:val="TableText0"/>
              <w:keepNext w:val="0"/>
              <w:rPr>
                <w:rFonts w:cs="Arial"/>
                <w:szCs w:val="20"/>
              </w:rPr>
            </w:pPr>
            <w:r w:rsidRPr="00426203">
              <w:rPr>
                <w:rFonts w:cs="Arial"/>
                <w:szCs w:val="20"/>
              </w:rPr>
              <w:t>Somatuline Autogel</w:t>
            </w:r>
          </w:p>
        </w:tc>
        <w:tc>
          <w:tcPr>
            <w:tcW w:w="1068" w:type="pct"/>
          </w:tcPr>
          <w:p w14:paraId="7B2DFA5C" w14:textId="50423531" w:rsidR="00F17746" w:rsidRPr="00426203" w:rsidRDefault="0032288E" w:rsidP="007A5895">
            <w:pPr>
              <w:pStyle w:val="TableText0"/>
              <w:rPr>
                <w:rFonts w:cs="Arial"/>
                <w:szCs w:val="20"/>
              </w:rPr>
            </w:pPr>
            <w:r>
              <w:rPr>
                <w:rFonts w:cs="Arial"/>
                <w:szCs w:val="20"/>
              </w:rPr>
              <w:t xml:space="preserve">PFS </w:t>
            </w:r>
            <w:r w:rsidR="00F17746" w:rsidRPr="00426203">
              <w:rPr>
                <w:rFonts w:cs="Arial"/>
                <w:szCs w:val="20"/>
              </w:rPr>
              <w:t xml:space="preserve">60 mg, 90 mg, </w:t>
            </w:r>
          </w:p>
          <w:p w14:paraId="2DEA87B2" w14:textId="304FBAF7" w:rsidR="00F17746" w:rsidRPr="00426203" w:rsidRDefault="00F17746" w:rsidP="007A5895">
            <w:pPr>
              <w:pStyle w:val="TableText0"/>
              <w:keepNext w:val="0"/>
              <w:rPr>
                <w:rFonts w:cs="Arial"/>
                <w:szCs w:val="20"/>
              </w:rPr>
            </w:pPr>
            <w:r w:rsidRPr="00426203">
              <w:rPr>
                <w:rFonts w:cs="Arial"/>
                <w:szCs w:val="20"/>
              </w:rPr>
              <w:t>120 mg</w:t>
            </w:r>
          </w:p>
        </w:tc>
        <w:tc>
          <w:tcPr>
            <w:tcW w:w="1972" w:type="pct"/>
          </w:tcPr>
          <w:p w14:paraId="19647D46" w14:textId="56F8E7DF" w:rsidR="00F17746" w:rsidRPr="00426203" w:rsidRDefault="00646DEE" w:rsidP="007A5895">
            <w:pPr>
              <w:pStyle w:val="TableText0"/>
              <w:rPr>
                <w:rFonts w:cs="Arial"/>
                <w:szCs w:val="20"/>
              </w:rPr>
            </w:pPr>
            <w:r>
              <w:rPr>
                <w:rFonts w:cs="Arial"/>
                <w:szCs w:val="20"/>
              </w:rPr>
              <w:t xml:space="preserve">s100HSD </w:t>
            </w:r>
            <w:r w:rsidR="00B54A37">
              <w:rPr>
                <w:rFonts w:cs="Arial"/>
                <w:szCs w:val="20"/>
              </w:rPr>
              <w:t>– acromegaly</w:t>
            </w:r>
          </w:p>
        </w:tc>
        <w:tc>
          <w:tcPr>
            <w:tcW w:w="751" w:type="pct"/>
          </w:tcPr>
          <w:p w14:paraId="3F26B674" w14:textId="77777777" w:rsidR="00F17746" w:rsidRPr="00426203" w:rsidRDefault="00F17746" w:rsidP="007A5895">
            <w:pPr>
              <w:pStyle w:val="TableText0"/>
              <w:keepNext w:val="0"/>
              <w:rPr>
                <w:rFonts w:cs="Arial"/>
                <w:szCs w:val="20"/>
              </w:rPr>
            </w:pPr>
            <w:r w:rsidRPr="00426203">
              <w:rPr>
                <w:rFonts w:cs="Arial"/>
                <w:szCs w:val="20"/>
              </w:rPr>
              <w:t>Recommended</w:t>
            </w:r>
          </w:p>
        </w:tc>
      </w:tr>
      <w:tr w:rsidR="00F17746" w:rsidRPr="00426203" w14:paraId="5CFD5FDE" w14:textId="77777777" w:rsidTr="00586A96">
        <w:trPr>
          <w:trHeight w:val="20"/>
        </w:trPr>
        <w:tc>
          <w:tcPr>
            <w:tcW w:w="590" w:type="pct"/>
          </w:tcPr>
          <w:p w14:paraId="5CF6DA62" w14:textId="77777777" w:rsidR="00F17746" w:rsidRPr="00426203" w:rsidRDefault="00F17746" w:rsidP="007A5895">
            <w:pPr>
              <w:pStyle w:val="TableText0"/>
              <w:keepNext w:val="0"/>
              <w:rPr>
                <w:rFonts w:cs="Arial"/>
                <w:szCs w:val="20"/>
              </w:rPr>
            </w:pPr>
            <w:r w:rsidRPr="00426203">
              <w:rPr>
                <w:rFonts w:cs="Arial"/>
                <w:szCs w:val="20"/>
              </w:rPr>
              <w:t>July 2005</w:t>
            </w:r>
          </w:p>
        </w:tc>
        <w:tc>
          <w:tcPr>
            <w:tcW w:w="619" w:type="pct"/>
          </w:tcPr>
          <w:p w14:paraId="0524D4B2" w14:textId="77777777" w:rsidR="00F17746" w:rsidRPr="00426203" w:rsidRDefault="00F17746" w:rsidP="007A5895">
            <w:pPr>
              <w:pStyle w:val="TableText0"/>
              <w:keepNext w:val="0"/>
              <w:rPr>
                <w:rFonts w:cs="Arial"/>
                <w:szCs w:val="20"/>
              </w:rPr>
            </w:pPr>
            <w:r w:rsidRPr="00426203">
              <w:rPr>
                <w:rFonts w:cs="Arial"/>
                <w:szCs w:val="20"/>
              </w:rPr>
              <w:t>Somatuline Autogel</w:t>
            </w:r>
          </w:p>
        </w:tc>
        <w:tc>
          <w:tcPr>
            <w:tcW w:w="1068" w:type="pct"/>
          </w:tcPr>
          <w:p w14:paraId="71006423" w14:textId="7C8688FC" w:rsidR="00F17746" w:rsidRPr="00426203" w:rsidRDefault="00F17746" w:rsidP="007A5895">
            <w:pPr>
              <w:pStyle w:val="TableText0"/>
              <w:rPr>
                <w:rFonts w:cs="Arial"/>
                <w:szCs w:val="20"/>
              </w:rPr>
            </w:pPr>
            <w:r w:rsidRPr="00426203">
              <w:rPr>
                <w:rFonts w:cs="Arial"/>
                <w:szCs w:val="20"/>
              </w:rPr>
              <w:t xml:space="preserve">PFS 60 </w:t>
            </w:r>
            <w:r w:rsidR="0032288E">
              <w:rPr>
                <w:rFonts w:cs="Arial"/>
                <w:szCs w:val="20"/>
              </w:rPr>
              <w:t>mg</w:t>
            </w:r>
            <w:r w:rsidRPr="00426203">
              <w:rPr>
                <w:rFonts w:cs="Arial"/>
                <w:szCs w:val="20"/>
              </w:rPr>
              <w:t>, 90 mg</w:t>
            </w:r>
            <w:r w:rsidR="0032288E">
              <w:rPr>
                <w:rFonts w:cs="Arial"/>
                <w:szCs w:val="20"/>
              </w:rPr>
              <w:t xml:space="preserve"> </w:t>
            </w:r>
            <w:r w:rsidRPr="00426203">
              <w:rPr>
                <w:rFonts w:cs="Arial"/>
                <w:szCs w:val="20"/>
              </w:rPr>
              <w:t>and 120 mg</w:t>
            </w:r>
          </w:p>
        </w:tc>
        <w:tc>
          <w:tcPr>
            <w:tcW w:w="1972" w:type="pct"/>
          </w:tcPr>
          <w:p w14:paraId="370E8AC0" w14:textId="3E6E4B78" w:rsidR="00F17746" w:rsidRPr="00426203" w:rsidRDefault="00646DEE" w:rsidP="007A5895">
            <w:pPr>
              <w:pStyle w:val="TableText0"/>
              <w:rPr>
                <w:rFonts w:cs="Arial"/>
                <w:szCs w:val="20"/>
              </w:rPr>
            </w:pPr>
            <w:r>
              <w:rPr>
                <w:rFonts w:cs="Arial"/>
                <w:szCs w:val="20"/>
              </w:rPr>
              <w:t xml:space="preserve">s100HSD </w:t>
            </w:r>
            <w:r w:rsidR="00584AD3">
              <w:rPr>
                <w:rFonts w:cs="Arial"/>
                <w:szCs w:val="20"/>
              </w:rPr>
              <w:t>– carcinoid syndrome</w:t>
            </w:r>
          </w:p>
        </w:tc>
        <w:tc>
          <w:tcPr>
            <w:tcW w:w="751" w:type="pct"/>
          </w:tcPr>
          <w:p w14:paraId="43EDC14A" w14:textId="77777777" w:rsidR="00F17746" w:rsidRPr="00426203" w:rsidRDefault="00F17746" w:rsidP="007A5895">
            <w:pPr>
              <w:pStyle w:val="TableText0"/>
              <w:keepNext w:val="0"/>
              <w:rPr>
                <w:rFonts w:cs="Arial"/>
                <w:szCs w:val="20"/>
              </w:rPr>
            </w:pPr>
            <w:r w:rsidRPr="00426203">
              <w:rPr>
                <w:rFonts w:cs="Arial"/>
                <w:szCs w:val="20"/>
              </w:rPr>
              <w:t>Recommended</w:t>
            </w:r>
          </w:p>
        </w:tc>
      </w:tr>
      <w:tr w:rsidR="00F17746" w:rsidRPr="00426203" w14:paraId="1D1908BF" w14:textId="77777777" w:rsidTr="00586A96">
        <w:trPr>
          <w:trHeight w:val="20"/>
        </w:trPr>
        <w:tc>
          <w:tcPr>
            <w:tcW w:w="590" w:type="pct"/>
          </w:tcPr>
          <w:p w14:paraId="7F53BABC" w14:textId="77777777" w:rsidR="00F17746" w:rsidRPr="00426203" w:rsidRDefault="00F17746" w:rsidP="007A5895">
            <w:pPr>
              <w:pStyle w:val="TableText0"/>
              <w:keepNext w:val="0"/>
              <w:rPr>
                <w:rFonts w:cs="Arial"/>
                <w:szCs w:val="20"/>
              </w:rPr>
            </w:pPr>
            <w:r w:rsidRPr="00426203">
              <w:rPr>
                <w:rFonts w:cs="Arial"/>
                <w:szCs w:val="20"/>
              </w:rPr>
              <w:t>March 2007</w:t>
            </w:r>
          </w:p>
        </w:tc>
        <w:tc>
          <w:tcPr>
            <w:tcW w:w="619" w:type="pct"/>
          </w:tcPr>
          <w:p w14:paraId="4A2FBE80" w14:textId="77777777" w:rsidR="00F17746" w:rsidRPr="00426203" w:rsidRDefault="00F17746" w:rsidP="007A5895">
            <w:pPr>
              <w:pStyle w:val="TableText0"/>
              <w:keepNext w:val="0"/>
              <w:rPr>
                <w:rFonts w:cs="Arial"/>
                <w:szCs w:val="20"/>
              </w:rPr>
            </w:pPr>
            <w:r w:rsidRPr="00426203">
              <w:rPr>
                <w:rFonts w:cs="Arial"/>
                <w:szCs w:val="20"/>
              </w:rPr>
              <w:t>Somatuline Autogel</w:t>
            </w:r>
          </w:p>
        </w:tc>
        <w:tc>
          <w:tcPr>
            <w:tcW w:w="1068" w:type="pct"/>
          </w:tcPr>
          <w:p w14:paraId="24AC0640" w14:textId="5F8E98BE" w:rsidR="00F17746" w:rsidRPr="00426203" w:rsidRDefault="0032288E" w:rsidP="007A5895">
            <w:pPr>
              <w:pStyle w:val="TableText0"/>
              <w:keepNext w:val="0"/>
              <w:rPr>
                <w:rFonts w:cs="Arial"/>
                <w:szCs w:val="20"/>
              </w:rPr>
            </w:pPr>
            <w:r w:rsidRPr="00426203">
              <w:rPr>
                <w:rFonts w:cs="Arial"/>
                <w:szCs w:val="20"/>
              </w:rPr>
              <w:t xml:space="preserve">PFS 60 </w:t>
            </w:r>
            <w:r>
              <w:rPr>
                <w:rFonts w:cs="Arial"/>
                <w:szCs w:val="20"/>
              </w:rPr>
              <w:t>mg</w:t>
            </w:r>
            <w:r w:rsidRPr="00426203">
              <w:rPr>
                <w:rFonts w:cs="Arial"/>
                <w:szCs w:val="20"/>
              </w:rPr>
              <w:t>, 90 mg</w:t>
            </w:r>
            <w:r>
              <w:rPr>
                <w:rFonts w:cs="Arial"/>
                <w:szCs w:val="20"/>
              </w:rPr>
              <w:t xml:space="preserve"> </w:t>
            </w:r>
            <w:r w:rsidRPr="00426203">
              <w:rPr>
                <w:rFonts w:cs="Arial"/>
                <w:szCs w:val="20"/>
              </w:rPr>
              <w:t>and 120 mg</w:t>
            </w:r>
          </w:p>
        </w:tc>
        <w:tc>
          <w:tcPr>
            <w:tcW w:w="1972" w:type="pct"/>
          </w:tcPr>
          <w:p w14:paraId="76787F3E" w14:textId="2C505AB3" w:rsidR="00F17746" w:rsidRPr="00426203" w:rsidRDefault="00F9346C" w:rsidP="007A5895">
            <w:pPr>
              <w:pStyle w:val="TableText0"/>
              <w:keepNext w:val="0"/>
              <w:rPr>
                <w:rFonts w:cs="Arial"/>
                <w:szCs w:val="20"/>
              </w:rPr>
            </w:pPr>
            <w:r>
              <w:rPr>
                <w:rFonts w:cs="Arial"/>
                <w:szCs w:val="20"/>
              </w:rPr>
              <w:t>Amendment to existing carcinoid syndrome</w:t>
            </w:r>
          </w:p>
        </w:tc>
        <w:tc>
          <w:tcPr>
            <w:tcW w:w="751" w:type="pct"/>
          </w:tcPr>
          <w:p w14:paraId="07B65DFF" w14:textId="77777777" w:rsidR="00F17746" w:rsidRPr="00426203" w:rsidRDefault="00F17746" w:rsidP="007A5895">
            <w:pPr>
              <w:pStyle w:val="TableText0"/>
              <w:keepNext w:val="0"/>
              <w:rPr>
                <w:rFonts w:cs="Arial"/>
                <w:szCs w:val="20"/>
              </w:rPr>
            </w:pPr>
            <w:r w:rsidRPr="00426203">
              <w:rPr>
                <w:rFonts w:cs="Arial"/>
                <w:szCs w:val="20"/>
              </w:rPr>
              <w:t>Recommended</w:t>
            </w:r>
          </w:p>
        </w:tc>
      </w:tr>
      <w:tr w:rsidR="00F17746" w:rsidRPr="00426203" w14:paraId="48CAA350" w14:textId="77777777" w:rsidTr="00586A96">
        <w:trPr>
          <w:trHeight w:val="20"/>
        </w:trPr>
        <w:tc>
          <w:tcPr>
            <w:tcW w:w="590" w:type="pct"/>
          </w:tcPr>
          <w:p w14:paraId="64714F8A" w14:textId="77777777" w:rsidR="00F17746" w:rsidRPr="00426203" w:rsidRDefault="00F17746" w:rsidP="007A5895">
            <w:pPr>
              <w:pStyle w:val="TableText0"/>
              <w:keepNext w:val="0"/>
              <w:rPr>
                <w:rFonts w:cs="Arial"/>
                <w:szCs w:val="20"/>
              </w:rPr>
            </w:pPr>
            <w:r w:rsidRPr="00426203">
              <w:rPr>
                <w:rFonts w:cs="Arial"/>
                <w:szCs w:val="20"/>
              </w:rPr>
              <w:t>November 2015</w:t>
            </w:r>
          </w:p>
        </w:tc>
        <w:tc>
          <w:tcPr>
            <w:tcW w:w="619" w:type="pct"/>
          </w:tcPr>
          <w:p w14:paraId="6A055E43" w14:textId="77777777" w:rsidR="00F17746" w:rsidRPr="00426203" w:rsidRDefault="00F17746" w:rsidP="007A5895">
            <w:pPr>
              <w:pStyle w:val="TableText0"/>
              <w:keepNext w:val="0"/>
              <w:rPr>
                <w:rFonts w:cs="Arial"/>
                <w:szCs w:val="20"/>
              </w:rPr>
            </w:pPr>
            <w:r w:rsidRPr="00426203">
              <w:rPr>
                <w:rFonts w:cs="Arial"/>
                <w:szCs w:val="20"/>
              </w:rPr>
              <w:t>Somatuline Autogel</w:t>
            </w:r>
          </w:p>
        </w:tc>
        <w:tc>
          <w:tcPr>
            <w:tcW w:w="1068" w:type="pct"/>
          </w:tcPr>
          <w:p w14:paraId="6AFE1737" w14:textId="2392EC71" w:rsidR="00F17746" w:rsidRPr="00426203" w:rsidRDefault="009715D1" w:rsidP="007A5895">
            <w:pPr>
              <w:pStyle w:val="TableText0"/>
              <w:keepNext w:val="0"/>
              <w:rPr>
                <w:rFonts w:cs="Arial"/>
                <w:szCs w:val="20"/>
              </w:rPr>
            </w:pPr>
            <w:r>
              <w:rPr>
                <w:rFonts w:cs="Arial"/>
                <w:szCs w:val="20"/>
              </w:rPr>
              <w:t>PFS 1</w:t>
            </w:r>
            <w:r w:rsidR="00F17746" w:rsidRPr="00426203">
              <w:rPr>
                <w:rFonts w:cs="Arial"/>
                <w:szCs w:val="20"/>
              </w:rPr>
              <w:t xml:space="preserve">20 mg </w:t>
            </w:r>
          </w:p>
        </w:tc>
        <w:tc>
          <w:tcPr>
            <w:tcW w:w="1972" w:type="pct"/>
          </w:tcPr>
          <w:p w14:paraId="56FC79F7" w14:textId="50EAAAFD" w:rsidR="00F17746" w:rsidRPr="00426203" w:rsidRDefault="00AA0D61" w:rsidP="007A5895">
            <w:pPr>
              <w:pStyle w:val="TableText0"/>
              <w:rPr>
                <w:szCs w:val="20"/>
              </w:rPr>
            </w:pPr>
            <w:r>
              <w:rPr>
                <w:szCs w:val="20"/>
              </w:rPr>
              <w:t>s</w:t>
            </w:r>
            <w:r w:rsidR="00F9346C">
              <w:rPr>
                <w:szCs w:val="20"/>
              </w:rPr>
              <w:t>85 -</w:t>
            </w:r>
            <w:r w:rsidR="00F17746" w:rsidRPr="00426203">
              <w:rPr>
                <w:szCs w:val="20"/>
              </w:rPr>
              <w:t xml:space="preserve"> GEP-NETs</w:t>
            </w:r>
          </w:p>
        </w:tc>
        <w:tc>
          <w:tcPr>
            <w:tcW w:w="751" w:type="pct"/>
          </w:tcPr>
          <w:p w14:paraId="2EDFE1C8" w14:textId="77777777" w:rsidR="00F17746" w:rsidRPr="00426203" w:rsidRDefault="00F17746" w:rsidP="007A5895">
            <w:pPr>
              <w:pStyle w:val="TableText0"/>
              <w:keepNext w:val="0"/>
              <w:rPr>
                <w:rFonts w:cs="Arial"/>
                <w:szCs w:val="20"/>
              </w:rPr>
            </w:pPr>
            <w:r w:rsidRPr="00426203">
              <w:rPr>
                <w:rFonts w:cs="Arial"/>
                <w:szCs w:val="20"/>
              </w:rPr>
              <w:t>Not recommended</w:t>
            </w:r>
          </w:p>
        </w:tc>
      </w:tr>
      <w:tr w:rsidR="00F17746" w:rsidRPr="00426203" w14:paraId="026D58DD" w14:textId="77777777" w:rsidTr="00586A96">
        <w:trPr>
          <w:trHeight w:val="20"/>
        </w:trPr>
        <w:tc>
          <w:tcPr>
            <w:tcW w:w="590" w:type="pct"/>
          </w:tcPr>
          <w:p w14:paraId="20E8019E" w14:textId="77777777" w:rsidR="00F17746" w:rsidRPr="00426203" w:rsidRDefault="00F17746" w:rsidP="007A5895">
            <w:pPr>
              <w:pStyle w:val="TableText0"/>
              <w:keepNext w:val="0"/>
              <w:rPr>
                <w:rFonts w:cs="Arial"/>
                <w:szCs w:val="20"/>
              </w:rPr>
            </w:pPr>
            <w:r w:rsidRPr="00426203">
              <w:rPr>
                <w:rFonts w:cs="Arial"/>
                <w:szCs w:val="20"/>
              </w:rPr>
              <w:t>November 2016</w:t>
            </w:r>
          </w:p>
        </w:tc>
        <w:tc>
          <w:tcPr>
            <w:tcW w:w="619" w:type="pct"/>
          </w:tcPr>
          <w:p w14:paraId="7F92BDCC" w14:textId="77777777" w:rsidR="00F17746" w:rsidRPr="00426203" w:rsidRDefault="00F17746" w:rsidP="007A5895">
            <w:pPr>
              <w:pStyle w:val="TableText0"/>
              <w:keepNext w:val="0"/>
              <w:rPr>
                <w:rFonts w:cs="Arial"/>
                <w:szCs w:val="20"/>
              </w:rPr>
            </w:pPr>
            <w:r w:rsidRPr="00426203">
              <w:rPr>
                <w:rFonts w:cs="Arial"/>
                <w:szCs w:val="20"/>
              </w:rPr>
              <w:t xml:space="preserve">Somatuline Autogel </w:t>
            </w:r>
          </w:p>
        </w:tc>
        <w:tc>
          <w:tcPr>
            <w:tcW w:w="1068" w:type="pct"/>
          </w:tcPr>
          <w:p w14:paraId="3B882C2D" w14:textId="69248BB8" w:rsidR="00F17746" w:rsidRPr="00426203" w:rsidRDefault="009715D1" w:rsidP="007A5895">
            <w:pPr>
              <w:pStyle w:val="TableText0"/>
              <w:keepNext w:val="0"/>
              <w:rPr>
                <w:rFonts w:cs="Arial"/>
                <w:szCs w:val="20"/>
              </w:rPr>
            </w:pPr>
            <w:r>
              <w:rPr>
                <w:rFonts w:cs="Arial"/>
                <w:szCs w:val="20"/>
              </w:rPr>
              <w:t>PFS 120 mg</w:t>
            </w:r>
          </w:p>
        </w:tc>
        <w:tc>
          <w:tcPr>
            <w:tcW w:w="1972" w:type="pct"/>
          </w:tcPr>
          <w:p w14:paraId="721397EE" w14:textId="71D521C0" w:rsidR="00F17746" w:rsidRPr="00426203" w:rsidRDefault="00646DEE" w:rsidP="007A5895">
            <w:pPr>
              <w:pStyle w:val="TableText0"/>
              <w:rPr>
                <w:szCs w:val="20"/>
              </w:rPr>
            </w:pPr>
            <w:r>
              <w:rPr>
                <w:rFonts w:cs="Arial"/>
                <w:szCs w:val="20"/>
              </w:rPr>
              <w:t xml:space="preserve">s100HSD </w:t>
            </w:r>
            <w:r w:rsidR="00553B3A">
              <w:rPr>
                <w:szCs w:val="20"/>
              </w:rPr>
              <w:t>-</w:t>
            </w:r>
            <w:r w:rsidR="00F17746" w:rsidRPr="00426203">
              <w:rPr>
                <w:szCs w:val="20"/>
              </w:rPr>
              <w:t xml:space="preserve"> GEP-NETs</w:t>
            </w:r>
          </w:p>
        </w:tc>
        <w:tc>
          <w:tcPr>
            <w:tcW w:w="751" w:type="pct"/>
          </w:tcPr>
          <w:p w14:paraId="74B880A4" w14:textId="77777777" w:rsidR="00F17746" w:rsidRPr="00426203" w:rsidRDefault="00F17746" w:rsidP="007A5895">
            <w:pPr>
              <w:pStyle w:val="TableText0"/>
              <w:keepNext w:val="0"/>
              <w:rPr>
                <w:rFonts w:cs="Arial"/>
                <w:szCs w:val="20"/>
              </w:rPr>
            </w:pPr>
            <w:r w:rsidRPr="00426203">
              <w:rPr>
                <w:rFonts w:cs="Arial"/>
                <w:szCs w:val="20"/>
              </w:rPr>
              <w:t>Not recommended</w:t>
            </w:r>
          </w:p>
        </w:tc>
      </w:tr>
      <w:tr w:rsidR="00F17746" w:rsidRPr="00426203" w14:paraId="149D241B" w14:textId="77777777" w:rsidTr="00586A96">
        <w:trPr>
          <w:trHeight w:val="20"/>
        </w:trPr>
        <w:tc>
          <w:tcPr>
            <w:tcW w:w="590" w:type="pct"/>
          </w:tcPr>
          <w:p w14:paraId="37F6C2DE" w14:textId="77777777" w:rsidR="00F17746" w:rsidRPr="00426203" w:rsidRDefault="00F17746" w:rsidP="007A5895">
            <w:pPr>
              <w:pStyle w:val="TableText0"/>
              <w:keepNext w:val="0"/>
              <w:rPr>
                <w:rFonts w:cs="Arial"/>
                <w:szCs w:val="20"/>
              </w:rPr>
            </w:pPr>
            <w:r w:rsidRPr="00426203">
              <w:rPr>
                <w:rFonts w:cs="Arial"/>
                <w:szCs w:val="20"/>
              </w:rPr>
              <w:t>July 2017</w:t>
            </w:r>
          </w:p>
        </w:tc>
        <w:tc>
          <w:tcPr>
            <w:tcW w:w="619" w:type="pct"/>
          </w:tcPr>
          <w:p w14:paraId="109E9B6A" w14:textId="77777777" w:rsidR="00F17746" w:rsidRPr="00426203" w:rsidRDefault="00F17746" w:rsidP="007A5895">
            <w:pPr>
              <w:pStyle w:val="TableText0"/>
              <w:keepNext w:val="0"/>
              <w:rPr>
                <w:rFonts w:cs="Arial"/>
                <w:szCs w:val="20"/>
              </w:rPr>
            </w:pPr>
            <w:r w:rsidRPr="00426203">
              <w:rPr>
                <w:rFonts w:cs="Arial"/>
                <w:szCs w:val="20"/>
              </w:rPr>
              <w:t xml:space="preserve">Somatuline Autogel </w:t>
            </w:r>
          </w:p>
        </w:tc>
        <w:tc>
          <w:tcPr>
            <w:tcW w:w="1068" w:type="pct"/>
          </w:tcPr>
          <w:p w14:paraId="2FBCF70B" w14:textId="55074468" w:rsidR="00F17746" w:rsidRPr="00426203" w:rsidRDefault="00655659" w:rsidP="007A5895">
            <w:pPr>
              <w:pStyle w:val="TableText0"/>
              <w:rPr>
                <w:rFonts w:cs="Arial"/>
                <w:szCs w:val="20"/>
              </w:rPr>
            </w:pPr>
            <w:r>
              <w:rPr>
                <w:rFonts w:cs="Arial"/>
                <w:szCs w:val="20"/>
              </w:rPr>
              <w:t>PFS 120 mg</w:t>
            </w:r>
          </w:p>
        </w:tc>
        <w:tc>
          <w:tcPr>
            <w:tcW w:w="1972" w:type="pct"/>
          </w:tcPr>
          <w:p w14:paraId="7F5E2A0C" w14:textId="02813CB9" w:rsidR="00F17746" w:rsidRPr="00426203" w:rsidRDefault="00646DEE" w:rsidP="007A5895">
            <w:pPr>
              <w:pStyle w:val="TableText0"/>
              <w:rPr>
                <w:szCs w:val="20"/>
              </w:rPr>
            </w:pPr>
            <w:r>
              <w:rPr>
                <w:rFonts w:cs="Arial"/>
                <w:szCs w:val="20"/>
              </w:rPr>
              <w:t xml:space="preserve">s100HSD </w:t>
            </w:r>
            <w:r w:rsidR="00553B3A">
              <w:rPr>
                <w:szCs w:val="20"/>
              </w:rPr>
              <w:t>– GEP-NETs</w:t>
            </w:r>
          </w:p>
        </w:tc>
        <w:tc>
          <w:tcPr>
            <w:tcW w:w="751" w:type="pct"/>
          </w:tcPr>
          <w:p w14:paraId="5A801262" w14:textId="77777777" w:rsidR="00F17746" w:rsidRPr="00426203" w:rsidRDefault="00F17746" w:rsidP="007A5895">
            <w:pPr>
              <w:pStyle w:val="TableText0"/>
              <w:keepNext w:val="0"/>
              <w:rPr>
                <w:rFonts w:cs="Arial"/>
                <w:szCs w:val="20"/>
              </w:rPr>
            </w:pPr>
            <w:r w:rsidRPr="00426203">
              <w:rPr>
                <w:rFonts w:cs="Arial"/>
                <w:szCs w:val="20"/>
              </w:rPr>
              <w:t>Not recommended</w:t>
            </w:r>
          </w:p>
        </w:tc>
      </w:tr>
      <w:tr w:rsidR="00F17746" w:rsidRPr="00426203" w14:paraId="04D8C9AE" w14:textId="77777777" w:rsidTr="00586A96">
        <w:trPr>
          <w:trHeight w:val="20"/>
        </w:trPr>
        <w:tc>
          <w:tcPr>
            <w:tcW w:w="590" w:type="pct"/>
          </w:tcPr>
          <w:p w14:paraId="6B7ED2AF" w14:textId="77777777" w:rsidR="00F17746" w:rsidRPr="00426203" w:rsidRDefault="00F17746" w:rsidP="007A5895">
            <w:pPr>
              <w:pStyle w:val="TableText0"/>
              <w:keepNext w:val="0"/>
              <w:rPr>
                <w:rFonts w:cs="Arial"/>
                <w:szCs w:val="20"/>
              </w:rPr>
            </w:pPr>
            <w:r w:rsidRPr="00426203">
              <w:rPr>
                <w:rFonts w:cs="Arial"/>
                <w:szCs w:val="20"/>
              </w:rPr>
              <w:t>November 2017</w:t>
            </w:r>
          </w:p>
        </w:tc>
        <w:tc>
          <w:tcPr>
            <w:tcW w:w="619" w:type="pct"/>
          </w:tcPr>
          <w:p w14:paraId="7B656A39" w14:textId="77777777" w:rsidR="00F17746" w:rsidRPr="00426203" w:rsidRDefault="00F17746" w:rsidP="007A5895">
            <w:pPr>
              <w:pStyle w:val="TableText0"/>
              <w:keepNext w:val="0"/>
              <w:rPr>
                <w:rFonts w:cs="Arial"/>
                <w:szCs w:val="20"/>
              </w:rPr>
            </w:pPr>
            <w:r w:rsidRPr="00426203">
              <w:rPr>
                <w:rFonts w:cs="Arial"/>
                <w:szCs w:val="20"/>
              </w:rPr>
              <w:t>Somatuline Autogel</w:t>
            </w:r>
          </w:p>
        </w:tc>
        <w:tc>
          <w:tcPr>
            <w:tcW w:w="1068" w:type="pct"/>
          </w:tcPr>
          <w:p w14:paraId="7B86A237" w14:textId="1AD25335" w:rsidR="00F17746" w:rsidRPr="00426203" w:rsidRDefault="00553B3A" w:rsidP="007A5895">
            <w:pPr>
              <w:pStyle w:val="TableText0"/>
              <w:rPr>
                <w:rFonts w:cs="Arial"/>
                <w:szCs w:val="20"/>
              </w:rPr>
            </w:pPr>
            <w:r>
              <w:rPr>
                <w:rFonts w:cs="Arial"/>
                <w:szCs w:val="20"/>
              </w:rPr>
              <w:t>PFS 120mg</w:t>
            </w:r>
          </w:p>
        </w:tc>
        <w:tc>
          <w:tcPr>
            <w:tcW w:w="1972" w:type="pct"/>
          </w:tcPr>
          <w:p w14:paraId="5B3CFE93" w14:textId="1DC7C192" w:rsidR="00F17746" w:rsidRPr="00426203" w:rsidRDefault="00646DEE" w:rsidP="007A5895">
            <w:pPr>
              <w:pStyle w:val="TableText0"/>
              <w:rPr>
                <w:szCs w:val="20"/>
              </w:rPr>
            </w:pPr>
            <w:r>
              <w:rPr>
                <w:rFonts w:cs="Arial"/>
                <w:szCs w:val="20"/>
              </w:rPr>
              <w:t xml:space="preserve">s100HSD </w:t>
            </w:r>
            <w:r w:rsidR="00553B3A">
              <w:rPr>
                <w:szCs w:val="20"/>
              </w:rPr>
              <w:t>– GEP-NETs</w:t>
            </w:r>
          </w:p>
        </w:tc>
        <w:tc>
          <w:tcPr>
            <w:tcW w:w="751" w:type="pct"/>
          </w:tcPr>
          <w:p w14:paraId="4DFF41EA" w14:textId="77777777" w:rsidR="00F17746" w:rsidRPr="00426203" w:rsidRDefault="00F17746" w:rsidP="007A5895">
            <w:pPr>
              <w:pStyle w:val="TableText0"/>
              <w:keepNext w:val="0"/>
              <w:rPr>
                <w:rFonts w:cs="Arial"/>
                <w:szCs w:val="20"/>
              </w:rPr>
            </w:pPr>
            <w:r w:rsidRPr="00426203">
              <w:rPr>
                <w:rFonts w:cs="Arial"/>
                <w:szCs w:val="20"/>
              </w:rPr>
              <w:t>Deferred</w:t>
            </w:r>
          </w:p>
        </w:tc>
      </w:tr>
      <w:tr w:rsidR="00F17746" w:rsidRPr="00426203" w14:paraId="24127135" w14:textId="77777777" w:rsidTr="00586A96">
        <w:trPr>
          <w:trHeight w:val="20"/>
        </w:trPr>
        <w:tc>
          <w:tcPr>
            <w:tcW w:w="590" w:type="pct"/>
          </w:tcPr>
          <w:p w14:paraId="0BBDDC19" w14:textId="77777777" w:rsidR="00F17746" w:rsidRPr="00426203" w:rsidRDefault="00F17746" w:rsidP="007A5895">
            <w:pPr>
              <w:pStyle w:val="TableText0"/>
              <w:keepNext w:val="0"/>
              <w:rPr>
                <w:rFonts w:cs="Arial"/>
                <w:szCs w:val="20"/>
              </w:rPr>
            </w:pPr>
            <w:r w:rsidRPr="00426203">
              <w:rPr>
                <w:rFonts w:cs="Arial"/>
                <w:szCs w:val="20"/>
              </w:rPr>
              <w:t>November 2017</w:t>
            </w:r>
          </w:p>
        </w:tc>
        <w:tc>
          <w:tcPr>
            <w:tcW w:w="619" w:type="pct"/>
          </w:tcPr>
          <w:p w14:paraId="0DB1744A" w14:textId="77777777" w:rsidR="00F17746" w:rsidRPr="00426203" w:rsidRDefault="00F17746" w:rsidP="007A5895">
            <w:pPr>
              <w:pStyle w:val="TableText0"/>
              <w:keepNext w:val="0"/>
              <w:rPr>
                <w:rFonts w:cs="Arial"/>
                <w:szCs w:val="20"/>
              </w:rPr>
            </w:pPr>
            <w:r w:rsidRPr="00426203">
              <w:rPr>
                <w:rFonts w:cs="Arial"/>
                <w:szCs w:val="20"/>
              </w:rPr>
              <w:t>Somatuline Autogel</w:t>
            </w:r>
          </w:p>
        </w:tc>
        <w:tc>
          <w:tcPr>
            <w:tcW w:w="1068" w:type="pct"/>
          </w:tcPr>
          <w:p w14:paraId="4C5C5271" w14:textId="2376C432" w:rsidR="00F17746" w:rsidRPr="00426203" w:rsidRDefault="00553B3A" w:rsidP="007A5895">
            <w:pPr>
              <w:pStyle w:val="TableText0"/>
              <w:rPr>
                <w:rFonts w:cs="Arial"/>
                <w:szCs w:val="20"/>
              </w:rPr>
            </w:pPr>
            <w:r w:rsidRPr="00426203">
              <w:rPr>
                <w:rFonts w:cs="Arial"/>
                <w:szCs w:val="20"/>
              </w:rPr>
              <w:t xml:space="preserve">PFS 60 </w:t>
            </w:r>
            <w:r>
              <w:rPr>
                <w:rFonts w:cs="Arial"/>
                <w:szCs w:val="20"/>
              </w:rPr>
              <w:t>mg</w:t>
            </w:r>
            <w:r w:rsidRPr="00426203">
              <w:rPr>
                <w:rFonts w:cs="Arial"/>
                <w:szCs w:val="20"/>
              </w:rPr>
              <w:t>, 90 mg</w:t>
            </w:r>
            <w:r>
              <w:rPr>
                <w:rFonts w:cs="Arial"/>
                <w:szCs w:val="20"/>
              </w:rPr>
              <w:t xml:space="preserve"> </w:t>
            </w:r>
            <w:r w:rsidRPr="00426203">
              <w:rPr>
                <w:rFonts w:cs="Arial"/>
                <w:szCs w:val="20"/>
              </w:rPr>
              <w:t>and 120 mg</w:t>
            </w:r>
          </w:p>
        </w:tc>
        <w:tc>
          <w:tcPr>
            <w:tcW w:w="1972" w:type="pct"/>
          </w:tcPr>
          <w:p w14:paraId="0CD3A746" w14:textId="741599F3" w:rsidR="00F17746" w:rsidRPr="00426203" w:rsidRDefault="00646DEE" w:rsidP="007A5895">
            <w:pPr>
              <w:pStyle w:val="TableText0"/>
              <w:rPr>
                <w:szCs w:val="20"/>
              </w:rPr>
            </w:pPr>
            <w:r>
              <w:rPr>
                <w:rFonts w:cs="Arial"/>
                <w:szCs w:val="20"/>
              </w:rPr>
              <w:t xml:space="preserve">s100HSD </w:t>
            </w:r>
            <w:r w:rsidR="00720DBC">
              <w:rPr>
                <w:szCs w:val="20"/>
              </w:rPr>
              <w:t xml:space="preserve">CA - </w:t>
            </w:r>
            <w:r w:rsidR="00F17746" w:rsidRPr="00426203">
              <w:rPr>
                <w:szCs w:val="20"/>
              </w:rPr>
              <w:t xml:space="preserve">acromegaly </w:t>
            </w:r>
            <w:r w:rsidR="00720DBC">
              <w:rPr>
                <w:szCs w:val="20"/>
              </w:rPr>
              <w:t>&amp;</w:t>
            </w:r>
            <w:r w:rsidR="00F17746" w:rsidRPr="00426203">
              <w:rPr>
                <w:szCs w:val="20"/>
              </w:rPr>
              <w:t xml:space="preserve"> </w:t>
            </w:r>
            <w:r w:rsidR="00CA1D9B">
              <w:rPr>
                <w:szCs w:val="20"/>
              </w:rPr>
              <w:t>carcinoid syndrome</w:t>
            </w:r>
          </w:p>
        </w:tc>
        <w:tc>
          <w:tcPr>
            <w:tcW w:w="751" w:type="pct"/>
          </w:tcPr>
          <w:p w14:paraId="2EC4E353" w14:textId="77777777" w:rsidR="00F17746" w:rsidRPr="00426203" w:rsidRDefault="00F17746" w:rsidP="007A5895">
            <w:pPr>
              <w:pStyle w:val="TableText0"/>
              <w:keepNext w:val="0"/>
              <w:rPr>
                <w:rFonts w:cs="Arial"/>
                <w:szCs w:val="20"/>
              </w:rPr>
            </w:pPr>
            <w:r w:rsidRPr="00426203">
              <w:rPr>
                <w:rFonts w:cs="Arial"/>
                <w:szCs w:val="20"/>
              </w:rPr>
              <w:t>Recommended</w:t>
            </w:r>
          </w:p>
        </w:tc>
      </w:tr>
      <w:tr w:rsidR="00F17746" w:rsidRPr="00426203" w14:paraId="0B86A67E" w14:textId="77777777" w:rsidTr="00586A96">
        <w:trPr>
          <w:trHeight w:val="20"/>
        </w:trPr>
        <w:tc>
          <w:tcPr>
            <w:tcW w:w="590" w:type="pct"/>
          </w:tcPr>
          <w:p w14:paraId="728DCB34" w14:textId="77777777" w:rsidR="00F17746" w:rsidRPr="00426203" w:rsidRDefault="00F17746" w:rsidP="007A5895">
            <w:pPr>
              <w:pStyle w:val="TableText0"/>
              <w:keepNext w:val="0"/>
              <w:rPr>
                <w:rFonts w:cs="Arial"/>
                <w:szCs w:val="20"/>
              </w:rPr>
            </w:pPr>
            <w:r w:rsidRPr="00426203">
              <w:rPr>
                <w:rFonts w:cs="Arial"/>
                <w:szCs w:val="20"/>
              </w:rPr>
              <w:t>March 2019</w:t>
            </w:r>
          </w:p>
        </w:tc>
        <w:tc>
          <w:tcPr>
            <w:tcW w:w="619" w:type="pct"/>
          </w:tcPr>
          <w:p w14:paraId="44B978A2" w14:textId="77777777" w:rsidR="00F17746" w:rsidRPr="00426203" w:rsidRDefault="00F17746" w:rsidP="007A5895">
            <w:pPr>
              <w:pStyle w:val="TableText0"/>
              <w:keepNext w:val="0"/>
              <w:rPr>
                <w:rFonts w:cs="Arial"/>
                <w:szCs w:val="20"/>
              </w:rPr>
            </w:pPr>
            <w:r w:rsidRPr="00426203">
              <w:rPr>
                <w:rFonts w:cs="Arial"/>
                <w:szCs w:val="20"/>
              </w:rPr>
              <w:t>Somatuline Autogel</w:t>
            </w:r>
          </w:p>
        </w:tc>
        <w:tc>
          <w:tcPr>
            <w:tcW w:w="1068" w:type="pct"/>
          </w:tcPr>
          <w:p w14:paraId="684D10EF" w14:textId="7221CF65" w:rsidR="00F17746" w:rsidRPr="00426203" w:rsidRDefault="00CA1D9B" w:rsidP="007A5895">
            <w:pPr>
              <w:pStyle w:val="TableText0"/>
              <w:rPr>
                <w:rFonts w:cs="Arial"/>
                <w:szCs w:val="20"/>
              </w:rPr>
            </w:pPr>
            <w:r>
              <w:rPr>
                <w:rFonts w:cs="Arial"/>
                <w:szCs w:val="20"/>
              </w:rPr>
              <w:t>PFS 120mg</w:t>
            </w:r>
          </w:p>
        </w:tc>
        <w:tc>
          <w:tcPr>
            <w:tcW w:w="1972" w:type="pct"/>
          </w:tcPr>
          <w:p w14:paraId="6F8F829A" w14:textId="0C9F8721" w:rsidR="00F17746" w:rsidRPr="00426203" w:rsidRDefault="00646DEE" w:rsidP="007A5895">
            <w:pPr>
              <w:pStyle w:val="TableText0"/>
              <w:rPr>
                <w:szCs w:val="20"/>
              </w:rPr>
            </w:pPr>
            <w:r>
              <w:rPr>
                <w:rFonts w:cs="Arial"/>
                <w:szCs w:val="20"/>
              </w:rPr>
              <w:t xml:space="preserve">s100HSD </w:t>
            </w:r>
            <w:r w:rsidR="00A11646">
              <w:rPr>
                <w:szCs w:val="20"/>
              </w:rPr>
              <w:t>CA – GEP-NETs</w:t>
            </w:r>
          </w:p>
        </w:tc>
        <w:tc>
          <w:tcPr>
            <w:tcW w:w="751" w:type="pct"/>
          </w:tcPr>
          <w:p w14:paraId="6F924FB8" w14:textId="77777777" w:rsidR="00F17746" w:rsidRPr="00426203" w:rsidRDefault="00F17746" w:rsidP="007A5895">
            <w:pPr>
              <w:pStyle w:val="TableText0"/>
              <w:keepNext w:val="0"/>
              <w:rPr>
                <w:rFonts w:cs="Arial"/>
                <w:szCs w:val="20"/>
              </w:rPr>
            </w:pPr>
            <w:r w:rsidRPr="00426203">
              <w:rPr>
                <w:rFonts w:cs="Arial"/>
                <w:szCs w:val="20"/>
              </w:rPr>
              <w:t>Recommended</w:t>
            </w:r>
          </w:p>
        </w:tc>
      </w:tr>
      <w:tr w:rsidR="00F17746" w:rsidRPr="00426203" w14:paraId="1997E964" w14:textId="77777777" w:rsidTr="00586A96">
        <w:trPr>
          <w:trHeight w:val="20"/>
        </w:trPr>
        <w:tc>
          <w:tcPr>
            <w:tcW w:w="590" w:type="pct"/>
          </w:tcPr>
          <w:p w14:paraId="47ADE679" w14:textId="77777777" w:rsidR="00F17746" w:rsidRPr="00426203" w:rsidRDefault="00F17746" w:rsidP="007A5895">
            <w:pPr>
              <w:pStyle w:val="TableText0"/>
              <w:keepNext w:val="0"/>
              <w:rPr>
                <w:rFonts w:cs="Arial"/>
                <w:szCs w:val="20"/>
              </w:rPr>
            </w:pPr>
            <w:r w:rsidRPr="00426203">
              <w:rPr>
                <w:rFonts w:cs="Arial"/>
                <w:szCs w:val="20"/>
              </w:rPr>
              <w:t>November 2022</w:t>
            </w:r>
          </w:p>
        </w:tc>
        <w:tc>
          <w:tcPr>
            <w:tcW w:w="619" w:type="pct"/>
          </w:tcPr>
          <w:p w14:paraId="756F7A5C" w14:textId="77777777" w:rsidR="00F17746" w:rsidRPr="00426203" w:rsidRDefault="00F17746" w:rsidP="007A5895">
            <w:pPr>
              <w:pStyle w:val="TableText0"/>
              <w:keepNext w:val="0"/>
              <w:rPr>
                <w:rFonts w:cs="Arial"/>
                <w:szCs w:val="20"/>
              </w:rPr>
            </w:pPr>
            <w:r w:rsidRPr="00426203">
              <w:rPr>
                <w:rFonts w:cs="Arial"/>
                <w:szCs w:val="20"/>
              </w:rPr>
              <w:t>Mytolac®</w:t>
            </w:r>
          </w:p>
        </w:tc>
        <w:tc>
          <w:tcPr>
            <w:tcW w:w="1068" w:type="pct"/>
          </w:tcPr>
          <w:p w14:paraId="71AE2491" w14:textId="529E3024" w:rsidR="00F17746" w:rsidRPr="00426203" w:rsidRDefault="00A11646" w:rsidP="007A5895">
            <w:pPr>
              <w:pStyle w:val="TableText0"/>
              <w:rPr>
                <w:rFonts w:cs="Arial"/>
                <w:szCs w:val="20"/>
              </w:rPr>
            </w:pPr>
            <w:r w:rsidRPr="00426203">
              <w:rPr>
                <w:rFonts w:cs="Arial"/>
                <w:szCs w:val="20"/>
              </w:rPr>
              <w:t xml:space="preserve">PFS 60 </w:t>
            </w:r>
            <w:r>
              <w:rPr>
                <w:rFonts w:cs="Arial"/>
                <w:szCs w:val="20"/>
              </w:rPr>
              <w:t>mg</w:t>
            </w:r>
            <w:r w:rsidRPr="00426203">
              <w:rPr>
                <w:rFonts w:cs="Arial"/>
                <w:szCs w:val="20"/>
              </w:rPr>
              <w:t>, 90 mg</w:t>
            </w:r>
            <w:r>
              <w:rPr>
                <w:rFonts w:cs="Arial"/>
                <w:szCs w:val="20"/>
              </w:rPr>
              <w:t xml:space="preserve"> </w:t>
            </w:r>
            <w:r w:rsidRPr="00426203">
              <w:rPr>
                <w:rFonts w:cs="Arial"/>
                <w:szCs w:val="20"/>
              </w:rPr>
              <w:t>and 120 mg</w:t>
            </w:r>
          </w:p>
        </w:tc>
        <w:tc>
          <w:tcPr>
            <w:tcW w:w="1972" w:type="pct"/>
          </w:tcPr>
          <w:p w14:paraId="4AE79462" w14:textId="76E922CC" w:rsidR="00F17746" w:rsidRPr="00426203" w:rsidRDefault="00646DEE" w:rsidP="007A5895">
            <w:pPr>
              <w:pStyle w:val="TableText0"/>
              <w:rPr>
                <w:szCs w:val="20"/>
              </w:rPr>
            </w:pPr>
            <w:r>
              <w:rPr>
                <w:rFonts w:cs="Arial"/>
                <w:szCs w:val="20"/>
              </w:rPr>
              <w:t xml:space="preserve">s100HSD </w:t>
            </w:r>
            <w:r w:rsidR="00A11646">
              <w:rPr>
                <w:szCs w:val="20"/>
              </w:rPr>
              <w:t>– acromegaly, carcinoid syndrome &amp; GEP-NETs</w:t>
            </w:r>
          </w:p>
        </w:tc>
        <w:tc>
          <w:tcPr>
            <w:tcW w:w="751" w:type="pct"/>
          </w:tcPr>
          <w:p w14:paraId="31343FE1" w14:textId="77777777" w:rsidR="00F17746" w:rsidRPr="00426203" w:rsidRDefault="00F17746" w:rsidP="007A5895">
            <w:pPr>
              <w:pStyle w:val="TableText0"/>
              <w:keepNext w:val="0"/>
              <w:rPr>
                <w:rFonts w:cs="Arial"/>
                <w:szCs w:val="20"/>
              </w:rPr>
            </w:pPr>
            <w:r w:rsidRPr="00426203">
              <w:rPr>
                <w:rFonts w:cs="Arial"/>
                <w:szCs w:val="20"/>
              </w:rPr>
              <w:t>Recommended</w:t>
            </w:r>
          </w:p>
        </w:tc>
      </w:tr>
    </w:tbl>
    <w:p w14:paraId="4E3B6606" w14:textId="2062BCC2" w:rsidR="00881887" w:rsidRDefault="00881887" w:rsidP="00073C50">
      <w:pPr>
        <w:pStyle w:val="TableFigureFooter"/>
      </w:pPr>
      <w:r>
        <w:t>Source: prepared by the PBAC Secretariat</w:t>
      </w:r>
    </w:p>
    <w:p w14:paraId="62E7227C" w14:textId="17EA48FE" w:rsidR="00B55923" w:rsidRPr="00661B66" w:rsidRDefault="00073C50" w:rsidP="00661B66">
      <w:pPr>
        <w:pStyle w:val="TableFigureFooter"/>
      </w:pPr>
      <w:r w:rsidRPr="00C73817">
        <w:t xml:space="preserve">Abbreviations: </w:t>
      </w:r>
      <w:r w:rsidR="00244C0B">
        <w:t>IM = intramuscular</w:t>
      </w:r>
      <w:r w:rsidR="004379AD">
        <w:t xml:space="preserve">; </w:t>
      </w:r>
      <w:r w:rsidR="00646DEE">
        <w:t>s</w:t>
      </w:r>
      <w:r w:rsidR="004379AD">
        <w:t>100</w:t>
      </w:r>
      <w:r w:rsidR="00646DEE">
        <w:t>HSD</w:t>
      </w:r>
      <w:r w:rsidR="004379AD">
        <w:t xml:space="preserve"> = section 100 Highly Specialised Drug; PFS = pre-filled syringe;</w:t>
      </w:r>
      <w:r w:rsidR="00244C0B">
        <w:t xml:space="preserve"> </w:t>
      </w:r>
      <w:r w:rsidR="00AA0D61">
        <w:t xml:space="preserve">s85 = section 85 General Schedule; </w:t>
      </w:r>
      <w:r w:rsidRPr="00C73817">
        <w:t xml:space="preserve">GEP-NET </w:t>
      </w:r>
      <w:r w:rsidR="002C66FB">
        <w:t xml:space="preserve">= </w:t>
      </w:r>
      <w:r w:rsidRPr="00C73817">
        <w:t>Gastroenteropancreatic neuroendocrine tumours</w:t>
      </w:r>
      <w:r w:rsidR="00881887">
        <w:t>; CA = Community Access.</w:t>
      </w:r>
    </w:p>
    <w:p w14:paraId="40842AE6" w14:textId="77777777" w:rsidR="004B1224" w:rsidRDefault="004B1224">
      <w:pPr>
        <w:jc w:val="left"/>
        <w:rPr>
          <w:rFonts w:asciiTheme="minorHAnsi" w:hAnsiTheme="minorHAnsi" w:cs="Arial"/>
          <w:b/>
          <w:snapToGrid w:val="0"/>
          <w:sz w:val="32"/>
          <w:szCs w:val="32"/>
        </w:rPr>
      </w:pPr>
      <w:r>
        <w:br w:type="page"/>
      </w:r>
    </w:p>
    <w:p w14:paraId="1B8790B6" w14:textId="7615E1CB" w:rsidR="00964A9F" w:rsidRPr="00A6439B" w:rsidRDefault="00964A9F" w:rsidP="00964A9F">
      <w:pPr>
        <w:pStyle w:val="2-SectionHeading"/>
      </w:pPr>
      <w:r w:rsidRPr="00A6439B">
        <w:lastRenderedPageBreak/>
        <w:t>Requested listing</w:t>
      </w:r>
    </w:p>
    <w:p w14:paraId="1BEDB444" w14:textId="117ADF77" w:rsidR="005E0050" w:rsidRPr="002C4678" w:rsidRDefault="00964A9F" w:rsidP="002C4678">
      <w:pPr>
        <w:pStyle w:val="3-BodyText"/>
        <w:rPr>
          <w:szCs w:val="24"/>
        </w:rPr>
      </w:pPr>
      <w:r w:rsidRPr="00A6439B">
        <w:t>The submission requested</w:t>
      </w:r>
      <w:r w:rsidR="000D0F21">
        <w:t xml:space="preserve"> to add a generic brand under</w:t>
      </w:r>
      <w:r w:rsidR="008D1CC6">
        <w:t xml:space="preserve"> identical</w:t>
      </w:r>
      <w:r w:rsidR="000D0F21">
        <w:t xml:space="preserve"> circumstances as the existing listings,</w:t>
      </w:r>
      <w:r w:rsidR="00380F4F">
        <w:t xml:space="preserve"> for brevity</w:t>
      </w:r>
      <w:r w:rsidR="000D0F21">
        <w:t xml:space="preserve"> the full restrictions have not been reproduced below.</w:t>
      </w:r>
    </w:p>
    <w:p w14:paraId="5EB74AA4" w14:textId="37D4B650" w:rsidR="00166243" w:rsidRPr="00F800B5" w:rsidRDefault="00F800B5" w:rsidP="00F800B5">
      <w:pPr>
        <w:rPr>
          <w:i/>
          <w:iCs/>
        </w:rPr>
      </w:pPr>
      <w:r w:rsidRPr="00F800B5">
        <w:rPr>
          <w:i/>
          <w:iCs/>
        </w:rPr>
        <w:t>Add medicinal product pack: acromegaly</w:t>
      </w:r>
      <w:r w:rsidR="0013563D">
        <w:rPr>
          <w:i/>
          <w:iCs/>
        </w:rPr>
        <w:t>, functional carcinoid tumour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dd medicinal product pack: acromegaly, functional carcinoid tumour"/>
      </w:tblPr>
      <w:tblGrid>
        <w:gridCol w:w="1271"/>
        <w:gridCol w:w="2668"/>
        <w:gridCol w:w="1159"/>
        <w:gridCol w:w="709"/>
        <w:gridCol w:w="709"/>
        <w:gridCol w:w="669"/>
        <w:gridCol w:w="1831"/>
      </w:tblGrid>
      <w:tr w:rsidR="00AA24E9" w:rsidRPr="00F239D1" w14:paraId="090EC971" w14:textId="77777777" w:rsidTr="00CF08BB">
        <w:trPr>
          <w:cantSplit/>
          <w:trHeight w:val="20"/>
        </w:trPr>
        <w:tc>
          <w:tcPr>
            <w:tcW w:w="3939" w:type="dxa"/>
            <w:gridSpan w:val="2"/>
            <w:vAlign w:val="center"/>
          </w:tcPr>
          <w:p w14:paraId="6811159C" w14:textId="77777777" w:rsidR="00AA24E9" w:rsidRPr="00F239D1" w:rsidRDefault="00AA24E9" w:rsidP="007A5895">
            <w:pPr>
              <w:keepLines/>
              <w:rPr>
                <w:rFonts w:ascii="Arial Narrow" w:hAnsi="Arial Narrow" w:cs="Arial"/>
                <w:b/>
                <w:bCs/>
                <w:sz w:val="20"/>
                <w:szCs w:val="20"/>
              </w:rPr>
            </w:pPr>
            <w:bookmarkStart w:id="1" w:name="_Hlk219966478"/>
            <w:r w:rsidRPr="00F239D1">
              <w:rPr>
                <w:rFonts w:ascii="Arial Narrow" w:hAnsi="Arial Narrow" w:cs="Arial"/>
                <w:b/>
                <w:bCs/>
                <w:sz w:val="20"/>
                <w:szCs w:val="20"/>
              </w:rPr>
              <w:t>MEDICINAL PRODUCT</w:t>
            </w:r>
          </w:p>
          <w:p w14:paraId="72770312" w14:textId="77777777" w:rsidR="00AA24E9" w:rsidRPr="00F239D1" w:rsidRDefault="00AA24E9" w:rsidP="007A5895">
            <w:pPr>
              <w:keepLines/>
              <w:rPr>
                <w:rFonts w:ascii="Arial Narrow" w:hAnsi="Arial Narrow" w:cs="Arial"/>
                <w:b/>
                <w:sz w:val="20"/>
                <w:szCs w:val="20"/>
              </w:rPr>
            </w:pPr>
            <w:r w:rsidRPr="00F239D1">
              <w:rPr>
                <w:rFonts w:ascii="Arial Narrow" w:hAnsi="Arial Narrow" w:cs="Arial"/>
                <w:b/>
                <w:bCs/>
                <w:sz w:val="20"/>
                <w:szCs w:val="20"/>
              </w:rPr>
              <w:t>medicinal product pack</w:t>
            </w:r>
          </w:p>
        </w:tc>
        <w:tc>
          <w:tcPr>
            <w:tcW w:w="1159" w:type="dxa"/>
            <w:vAlign w:val="center"/>
          </w:tcPr>
          <w:p w14:paraId="5ABDBDFA" w14:textId="77777777" w:rsidR="00AA24E9" w:rsidRPr="00F239D1" w:rsidRDefault="00AA24E9" w:rsidP="007A5895">
            <w:pPr>
              <w:keepLines/>
              <w:jc w:val="center"/>
              <w:rPr>
                <w:rFonts w:ascii="Arial Narrow" w:hAnsi="Arial Narrow" w:cs="Arial"/>
                <w:b/>
                <w:sz w:val="20"/>
                <w:szCs w:val="20"/>
              </w:rPr>
            </w:pPr>
            <w:r w:rsidRPr="00F239D1">
              <w:rPr>
                <w:rFonts w:ascii="Arial Narrow" w:hAnsi="Arial Narrow" w:cs="Arial"/>
                <w:b/>
                <w:sz w:val="20"/>
                <w:szCs w:val="20"/>
              </w:rPr>
              <w:t>PBS item code</w:t>
            </w:r>
          </w:p>
        </w:tc>
        <w:tc>
          <w:tcPr>
            <w:tcW w:w="709" w:type="dxa"/>
            <w:vAlign w:val="center"/>
          </w:tcPr>
          <w:p w14:paraId="3C2E0426" w14:textId="77777777" w:rsidR="00AA24E9" w:rsidRPr="00F239D1" w:rsidRDefault="00AA24E9" w:rsidP="007A5895">
            <w:pPr>
              <w:keepLines/>
              <w:jc w:val="center"/>
              <w:rPr>
                <w:rFonts w:ascii="Arial Narrow" w:hAnsi="Arial Narrow" w:cs="Arial"/>
                <w:b/>
                <w:sz w:val="20"/>
                <w:szCs w:val="20"/>
              </w:rPr>
            </w:pPr>
            <w:r w:rsidRPr="00F239D1">
              <w:rPr>
                <w:rFonts w:ascii="Arial Narrow" w:hAnsi="Arial Narrow" w:cs="Arial"/>
                <w:b/>
                <w:sz w:val="20"/>
                <w:szCs w:val="20"/>
              </w:rPr>
              <w:t>Max. qty packs</w:t>
            </w:r>
          </w:p>
        </w:tc>
        <w:tc>
          <w:tcPr>
            <w:tcW w:w="709" w:type="dxa"/>
            <w:vAlign w:val="center"/>
          </w:tcPr>
          <w:p w14:paraId="4C6207F6" w14:textId="77777777" w:rsidR="00AA24E9" w:rsidRPr="00F239D1" w:rsidRDefault="00AA24E9" w:rsidP="007A5895">
            <w:pPr>
              <w:keepLines/>
              <w:jc w:val="center"/>
              <w:rPr>
                <w:rFonts w:ascii="Arial Narrow" w:hAnsi="Arial Narrow" w:cs="Arial"/>
                <w:b/>
                <w:sz w:val="20"/>
                <w:szCs w:val="20"/>
              </w:rPr>
            </w:pPr>
            <w:r w:rsidRPr="00F239D1">
              <w:rPr>
                <w:rFonts w:ascii="Arial Narrow" w:hAnsi="Arial Narrow" w:cs="Arial"/>
                <w:b/>
                <w:sz w:val="20"/>
                <w:szCs w:val="20"/>
              </w:rPr>
              <w:t>Max. qty units</w:t>
            </w:r>
          </w:p>
        </w:tc>
        <w:tc>
          <w:tcPr>
            <w:tcW w:w="669" w:type="dxa"/>
            <w:vAlign w:val="center"/>
          </w:tcPr>
          <w:p w14:paraId="67D84042" w14:textId="77777777" w:rsidR="00AA24E9" w:rsidRPr="00F239D1" w:rsidRDefault="00AA24E9" w:rsidP="007A5895">
            <w:pPr>
              <w:keepLines/>
              <w:jc w:val="center"/>
              <w:rPr>
                <w:rFonts w:ascii="Arial Narrow" w:hAnsi="Arial Narrow" w:cs="Arial"/>
                <w:b/>
                <w:sz w:val="20"/>
                <w:szCs w:val="20"/>
              </w:rPr>
            </w:pPr>
            <w:r w:rsidRPr="00F239D1">
              <w:rPr>
                <w:rFonts w:ascii="Arial Narrow" w:hAnsi="Arial Narrow" w:cs="Arial"/>
                <w:b/>
                <w:sz w:val="20"/>
                <w:szCs w:val="20"/>
              </w:rPr>
              <w:t>№.of</w:t>
            </w:r>
          </w:p>
          <w:p w14:paraId="6E260049" w14:textId="77777777" w:rsidR="00AA24E9" w:rsidRPr="00F239D1" w:rsidRDefault="00AA24E9" w:rsidP="007A5895">
            <w:pPr>
              <w:keepLines/>
              <w:jc w:val="center"/>
              <w:rPr>
                <w:rFonts w:ascii="Arial Narrow" w:hAnsi="Arial Narrow" w:cs="Arial"/>
                <w:b/>
                <w:sz w:val="20"/>
                <w:szCs w:val="20"/>
              </w:rPr>
            </w:pPr>
            <w:r w:rsidRPr="00F239D1">
              <w:rPr>
                <w:rFonts w:ascii="Arial Narrow" w:hAnsi="Arial Narrow" w:cs="Arial"/>
                <w:b/>
                <w:sz w:val="20"/>
                <w:szCs w:val="20"/>
              </w:rPr>
              <w:t>Rpts</w:t>
            </w:r>
          </w:p>
        </w:tc>
        <w:tc>
          <w:tcPr>
            <w:tcW w:w="1831" w:type="dxa"/>
            <w:vAlign w:val="center"/>
          </w:tcPr>
          <w:p w14:paraId="42E5E854" w14:textId="77777777" w:rsidR="00AA24E9" w:rsidRPr="00F239D1" w:rsidRDefault="00AA24E9" w:rsidP="007A5895">
            <w:pPr>
              <w:keepLines/>
              <w:rPr>
                <w:rFonts w:ascii="Arial Narrow" w:hAnsi="Arial Narrow" w:cs="Arial"/>
                <w:b/>
                <w:sz w:val="20"/>
                <w:szCs w:val="20"/>
                <w:lang w:val="fr-FR"/>
              </w:rPr>
            </w:pPr>
            <w:r w:rsidRPr="00F239D1">
              <w:rPr>
                <w:rFonts w:ascii="Arial Narrow" w:hAnsi="Arial Narrow" w:cs="Arial"/>
                <w:b/>
                <w:sz w:val="20"/>
                <w:szCs w:val="20"/>
              </w:rPr>
              <w:t>Available brands</w:t>
            </w:r>
          </w:p>
        </w:tc>
      </w:tr>
      <w:tr w:rsidR="00AA24E9" w:rsidRPr="00F239D1" w14:paraId="5A19CA65" w14:textId="77777777" w:rsidTr="007A5895">
        <w:trPr>
          <w:cantSplit/>
          <w:trHeight w:val="20"/>
        </w:trPr>
        <w:tc>
          <w:tcPr>
            <w:tcW w:w="9016" w:type="dxa"/>
            <w:gridSpan w:val="7"/>
            <w:vAlign w:val="center"/>
          </w:tcPr>
          <w:p w14:paraId="1752AF3F" w14:textId="60C585BA" w:rsidR="00AA24E9" w:rsidRPr="00F239D1" w:rsidRDefault="00CD703A" w:rsidP="007A5895">
            <w:pPr>
              <w:keepLines/>
              <w:rPr>
                <w:rFonts w:ascii="Arial Narrow" w:hAnsi="Arial Narrow" w:cs="Arial"/>
                <w:sz w:val="20"/>
                <w:szCs w:val="20"/>
              </w:rPr>
            </w:pPr>
            <w:r w:rsidRPr="00F239D1">
              <w:rPr>
                <w:rFonts w:ascii="Arial Narrow" w:hAnsi="Arial Narrow" w:cs="Arial"/>
                <w:sz w:val="20"/>
                <w:szCs w:val="20"/>
              </w:rPr>
              <w:t>LANREOTIDE</w:t>
            </w:r>
          </w:p>
        </w:tc>
      </w:tr>
      <w:tr w:rsidR="00B52408" w:rsidRPr="00F239D1" w14:paraId="28F8C744" w14:textId="77777777" w:rsidTr="00CF08BB">
        <w:trPr>
          <w:cantSplit/>
          <w:trHeight w:val="20"/>
        </w:trPr>
        <w:tc>
          <w:tcPr>
            <w:tcW w:w="3939" w:type="dxa"/>
            <w:gridSpan w:val="2"/>
          </w:tcPr>
          <w:p w14:paraId="2A765B9C" w14:textId="710B17AA" w:rsidR="00B52408" w:rsidRPr="00F239D1" w:rsidRDefault="00B52408" w:rsidP="00B52408">
            <w:pPr>
              <w:keepLines/>
              <w:rPr>
                <w:rFonts w:ascii="Arial Narrow" w:hAnsi="Arial Narrow" w:cs="Arial"/>
                <w:sz w:val="20"/>
                <w:szCs w:val="20"/>
              </w:rPr>
            </w:pPr>
            <w:r w:rsidRPr="00F239D1">
              <w:rPr>
                <w:rFonts w:ascii="Arial Narrow" w:eastAsia="Calibri" w:hAnsi="Arial Narrow" w:cs="Arial"/>
                <w:sz w:val="20"/>
                <w:szCs w:val="20"/>
              </w:rPr>
              <w:t>lanreotide 60 mg/0.2 mL injection 0.2 mL syringe</w:t>
            </w:r>
          </w:p>
        </w:tc>
        <w:tc>
          <w:tcPr>
            <w:tcW w:w="1159" w:type="dxa"/>
          </w:tcPr>
          <w:p w14:paraId="1567C74D" w14:textId="77777777" w:rsidR="00AF1BEB" w:rsidRPr="009E5A04" w:rsidRDefault="00AF1BEB" w:rsidP="00B52408">
            <w:pPr>
              <w:keepNext/>
              <w:spacing w:line="276" w:lineRule="auto"/>
              <w:ind w:left="-57"/>
              <w:jc w:val="center"/>
              <w:rPr>
                <w:rFonts w:ascii="Arial Narrow" w:eastAsia="Calibri" w:hAnsi="Arial Narrow" w:cs="Arial"/>
                <w:i/>
                <w:iCs/>
                <w:sz w:val="20"/>
                <w:szCs w:val="20"/>
              </w:rPr>
            </w:pPr>
            <w:r w:rsidRPr="009E5A04">
              <w:rPr>
                <w:rFonts w:ascii="Arial Narrow" w:eastAsia="Calibri" w:hAnsi="Arial Narrow" w:cs="Arial"/>
                <w:i/>
                <w:iCs/>
                <w:sz w:val="20"/>
                <w:szCs w:val="20"/>
              </w:rPr>
              <w:t xml:space="preserve">New (HB) </w:t>
            </w:r>
          </w:p>
          <w:p w14:paraId="14A59162" w14:textId="77777777" w:rsidR="00E85C07" w:rsidRPr="009E5A04" w:rsidRDefault="00AF1BEB" w:rsidP="00B52408">
            <w:pPr>
              <w:keepNext/>
              <w:spacing w:line="276" w:lineRule="auto"/>
              <w:ind w:left="-57"/>
              <w:jc w:val="center"/>
              <w:rPr>
                <w:rFonts w:ascii="Arial Narrow" w:eastAsia="Calibri" w:hAnsi="Arial Narrow" w:cs="Arial"/>
                <w:i/>
                <w:iCs/>
                <w:sz w:val="20"/>
                <w:szCs w:val="20"/>
              </w:rPr>
            </w:pPr>
            <w:r w:rsidRPr="009E5A04">
              <w:rPr>
                <w:rFonts w:ascii="Arial Narrow" w:eastAsia="Calibri" w:hAnsi="Arial Narrow" w:cs="Arial"/>
                <w:i/>
                <w:iCs/>
                <w:sz w:val="20"/>
                <w:szCs w:val="20"/>
              </w:rPr>
              <w:t xml:space="preserve">New (HS) </w:t>
            </w:r>
          </w:p>
          <w:p w14:paraId="19A53E20" w14:textId="13ABCC22" w:rsidR="00B52408" w:rsidRPr="009E5A04" w:rsidRDefault="00E85C07" w:rsidP="00B52408">
            <w:pPr>
              <w:keepLines/>
              <w:jc w:val="center"/>
              <w:rPr>
                <w:rFonts w:ascii="Arial Narrow" w:hAnsi="Arial Narrow" w:cs="Arial"/>
                <w:i/>
                <w:iCs/>
                <w:sz w:val="20"/>
                <w:szCs w:val="20"/>
              </w:rPr>
            </w:pPr>
            <w:r w:rsidRPr="009E5A04">
              <w:rPr>
                <w:rFonts w:ascii="Arial Narrow" w:eastAsia="Calibri" w:hAnsi="Arial Narrow" w:cs="Arial"/>
                <w:i/>
                <w:iCs/>
                <w:sz w:val="20"/>
                <w:szCs w:val="20"/>
              </w:rPr>
              <w:t xml:space="preserve">New (CA) </w:t>
            </w:r>
            <w:r w:rsidR="00B52408" w:rsidRPr="009E5A04">
              <w:rPr>
                <w:rFonts w:ascii="Arial Narrow" w:eastAsia="Calibri" w:hAnsi="Arial Narrow" w:cs="Arial"/>
                <w:i/>
                <w:iCs/>
                <w:sz w:val="20"/>
                <w:szCs w:val="20"/>
              </w:rPr>
              <w:t xml:space="preserve"> </w:t>
            </w:r>
          </w:p>
        </w:tc>
        <w:tc>
          <w:tcPr>
            <w:tcW w:w="709" w:type="dxa"/>
            <w:vAlign w:val="center"/>
          </w:tcPr>
          <w:p w14:paraId="734D0BEB" w14:textId="05BD1764" w:rsidR="00B52408" w:rsidRPr="00F239D1" w:rsidRDefault="00B52408" w:rsidP="00B52408">
            <w:pPr>
              <w:keepLines/>
              <w:jc w:val="center"/>
              <w:rPr>
                <w:rFonts w:ascii="Arial Narrow" w:hAnsi="Arial Narrow" w:cs="Arial"/>
                <w:sz w:val="20"/>
                <w:szCs w:val="20"/>
              </w:rPr>
            </w:pPr>
            <w:r w:rsidRPr="00F239D1">
              <w:rPr>
                <w:rFonts w:ascii="Arial Narrow" w:eastAsia="Calibri" w:hAnsi="Arial Narrow" w:cs="Arial"/>
                <w:iCs/>
                <w:sz w:val="20"/>
                <w:szCs w:val="20"/>
              </w:rPr>
              <w:t>2</w:t>
            </w:r>
          </w:p>
        </w:tc>
        <w:tc>
          <w:tcPr>
            <w:tcW w:w="709" w:type="dxa"/>
            <w:vAlign w:val="center"/>
          </w:tcPr>
          <w:p w14:paraId="6DCF1C59" w14:textId="531104BE" w:rsidR="00B52408" w:rsidRPr="00F239D1" w:rsidRDefault="00B52408" w:rsidP="00B52408">
            <w:pPr>
              <w:keepLines/>
              <w:jc w:val="center"/>
              <w:rPr>
                <w:rFonts w:ascii="Arial Narrow" w:hAnsi="Arial Narrow" w:cs="Arial"/>
                <w:sz w:val="20"/>
                <w:szCs w:val="20"/>
              </w:rPr>
            </w:pPr>
            <w:r w:rsidRPr="00F239D1">
              <w:rPr>
                <w:rFonts w:ascii="Arial Narrow" w:eastAsia="Calibri" w:hAnsi="Arial Narrow" w:cs="Arial"/>
                <w:iCs/>
                <w:sz w:val="20"/>
                <w:szCs w:val="20"/>
              </w:rPr>
              <w:t>2</w:t>
            </w:r>
          </w:p>
        </w:tc>
        <w:tc>
          <w:tcPr>
            <w:tcW w:w="669" w:type="dxa"/>
            <w:vAlign w:val="center"/>
          </w:tcPr>
          <w:p w14:paraId="3D7F646A" w14:textId="60733508" w:rsidR="00B52408" w:rsidRPr="00F239D1" w:rsidRDefault="00B52408" w:rsidP="00B52408">
            <w:pPr>
              <w:keepLines/>
              <w:jc w:val="center"/>
              <w:rPr>
                <w:rFonts w:ascii="Arial Narrow" w:hAnsi="Arial Narrow" w:cs="Arial"/>
                <w:sz w:val="20"/>
                <w:szCs w:val="20"/>
              </w:rPr>
            </w:pPr>
            <w:r w:rsidRPr="00F239D1">
              <w:rPr>
                <w:rFonts w:ascii="Arial Narrow" w:eastAsia="Calibri" w:hAnsi="Arial Narrow" w:cs="Arial"/>
                <w:iCs/>
                <w:sz w:val="20"/>
                <w:szCs w:val="20"/>
              </w:rPr>
              <w:t>5</w:t>
            </w:r>
          </w:p>
        </w:tc>
        <w:tc>
          <w:tcPr>
            <w:tcW w:w="1831" w:type="dxa"/>
          </w:tcPr>
          <w:p w14:paraId="5B3C0781" w14:textId="2284FA43" w:rsidR="00B52408" w:rsidRPr="00F239D1" w:rsidRDefault="00B52408" w:rsidP="00B52408">
            <w:pPr>
              <w:keepLines/>
              <w:rPr>
                <w:rFonts w:ascii="Arial Narrow" w:hAnsi="Arial Narrow" w:cs="Arial"/>
                <w:sz w:val="20"/>
                <w:szCs w:val="20"/>
              </w:rPr>
            </w:pPr>
            <w:r w:rsidRPr="00F239D1">
              <w:rPr>
                <w:rFonts w:ascii="Arial Narrow" w:eastAsia="Calibri" w:hAnsi="Arial Narrow"/>
                <w:sz w:val="20"/>
                <w:szCs w:val="20"/>
              </w:rPr>
              <w:t>LACREO</w:t>
            </w:r>
          </w:p>
        </w:tc>
      </w:tr>
      <w:tr w:rsidR="00B52408" w:rsidRPr="00F239D1" w14:paraId="44FCE6FE" w14:textId="77777777" w:rsidTr="00CF08BB">
        <w:trPr>
          <w:cantSplit/>
          <w:trHeight w:val="20"/>
        </w:trPr>
        <w:tc>
          <w:tcPr>
            <w:tcW w:w="3939" w:type="dxa"/>
            <w:gridSpan w:val="2"/>
          </w:tcPr>
          <w:p w14:paraId="6B0148A7" w14:textId="5BF163E8" w:rsidR="00B52408" w:rsidRPr="00F239D1" w:rsidRDefault="00B52408" w:rsidP="00B52408">
            <w:pPr>
              <w:keepLines/>
              <w:rPr>
                <w:rFonts w:ascii="Arial Narrow" w:hAnsi="Arial Narrow" w:cs="Arial"/>
                <w:sz w:val="20"/>
                <w:szCs w:val="20"/>
              </w:rPr>
            </w:pPr>
            <w:r w:rsidRPr="00F239D1">
              <w:rPr>
                <w:rFonts w:ascii="Arial Narrow" w:eastAsia="Calibri" w:hAnsi="Arial Narrow" w:cs="Arial"/>
                <w:sz w:val="20"/>
                <w:szCs w:val="20"/>
              </w:rPr>
              <w:t>lanreotide 90 mg/0.3 mL injection 0.3 mL syringe</w:t>
            </w:r>
          </w:p>
        </w:tc>
        <w:tc>
          <w:tcPr>
            <w:tcW w:w="1159" w:type="dxa"/>
          </w:tcPr>
          <w:p w14:paraId="17D7C747" w14:textId="77777777" w:rsidR="00E85C07" w:rsidRPr="009E5A04" w:rsidRDefault="00AF1BEB" w:rsidP="00B52408">
            <w:pPr>
              <w:keepNext/>
              <w:spacing w:line="276" w:lineRule="auto"/>
              <w:ind w:left="-57"/>
              <w:jc w:val="center"/>
              <w:rPr>
                <w:rFonts w:ascii="Arial Narrow" w:eastAsia="Calibri" w:hAnsi="Arial Narrow" w:cs="Arial"/>
                <w:i/>
                <w:iCs/>
                <w:sz w:val="20"/>
                <w:szCs w:val="20"/>
              </w:rPr>
            </w:pPr>
            <w:r w:rsidRPr="009E5A04">
              <w:rPr>
                <w:rFonts w:ascii="Arial Narrow" w:eastAsia="Calibri" w:hAnsi="Arial Narrow" w:cs="Arial"/>
                <w:i/>
                <w:iCs/>
                <w:sz w:val="20"/>
                <w:szCs w:val="20"/>
              </w:rPr>
              <w:t xml:space="preserve">New (HB) New (HS) </w:t>
            </w:r>
          </w:p>
          <w:p w14:paraId="2B4D1D6A" w14:textId="164C119E" w:rsidR="00B52408" w:rsidRPr="009E5A04" w:rsidRDefault="00E85C07" w:rsidP="00B52408">
            <w:pPr>
              <w:keepLines/>
              <w:jc w:val="center"/>
              <w:rPr>
                <w:rFonts w:ascii="Arial Narrow" w:hAnsi="Arial Narrow" w:cs="Arial"/>
                <w:i/>
                <w:iCs/>
                <w:sz w:val="20"/>
                <w:szCs w:val="20"/>
              </w:rPr>
            </w:pPr>
            <w:r w:rsidRPr="009E5A04">
              <w:rPr>
                <w:rFonts w:ascii="Arial Narrow" w:eastAsia="Calibri" w:hAnsi="Arial Narrow" w:cs="Arial"/>
                <w:i/>
                <w:iCs/>
                <w:sz w:val="20"/>
                <w:szCs w:val="20"/>
              </w:rPr>
              <w:t xml:space="preserve">NEW (CA) </w:t>
            </w:r>
            <w:r w:rsidR="00B52408" w:rsidRPr="009E5A04">
              <w:rPr>
                <w:rFonts w:ascii="Arial Narrow" w:eastAsia="Calibri" w:hAnsi="Arial Narrow" w:cs="Arial"/>
                <w:i/>
                <w:iCs/>
                <w:sz w:val="20"/>
                <w:szCs w:val="20"/>
              </w:rPr>
              <w:t xml:space="preserve"> </w:t>
            </w:r>
          </w:p>
        </w:tc>
        <w:tc>
          <w:tcPr>
            <w:tcW w:w="709" w:type="dxa"/>
            <w:vAlign w:val="center"/>
          </w:tcPr>
          <w:p w14:paraId="486E30F7" w14:textId="27C2C364" w:rsidR="00B52408" w:rsidRPr="00F239D1" w:rsidRDefault="00B52408" w:rsidP="00B52408">
            <w:pPr>
              <w:keepLines/>
              <w:jc w:val="center"/>
              <w:rPr>
                <w:rFonts w:ascii="Arial Narrow" w:hAnsi="Arial Narrow" w:cs="Arial"/>
                <w:sz w:val="20"/>
                <w:szCs w:val="20"/>
              </w:rPr>
            </w:pPr>
            <w:r w:rsidRPr="00F239D1">
              <w:rPr>
                <w:rFonts w:ascii="Arial Narrow" w:eastAsia="Calibri" w:hAnsi="Arial Narrow" w:cs="Arial"/>
                <w:iCs/>
                <w:sz w:val="20"/>
                <w:szCs w:val="20"/>
              </w:rPr>
              <w:t>2</w:t>
            </w:r>
          </w:p>
        </w:tc>
        <w:tc>
          <w:tcPr>
            <w:tcW w:w="709" w:type="dxa"/>
            <w:vAlign w:val="center"/>
          </w:tcPr>
          <w:p w14:paraId="46595C2E" w14:textId="12D95330" w:rsidR="00B52408" w:rsidRPr="00F239D1" w:rsidRDefault="00B52408" w:rsidP="00B52408">
            <w:pPr>
              <w:keepLines/>
              <w:jc w:val="center"/>
              <w:rPr>
                <w:rFonts w:ascii="Arial Narrow" w:hAnsi="Arial Narrow" w:cs="Arial"/>
                <w:sz w:val="20"/>
                <w:szCs w:val="20"/>
              </w:rPr>
            </w:pPr>
            <w:r w:rsidRPr="00F239D1">
              <w:rPr>
                <w:rFonts w:ascii="Arial Narrow" w:eastAsia="Calibri" w:hAnsi="Arial Narrow" w:cs="Arial"/>
                <w:iCs/>
                <w:sz w:val="20"/>
                <w:szCs w:val="20"/>
              </w:rPr>
              <w:t>2</w:t>
            </w:r>
          </w:p>
        </w:tc>
        <w:tc>
          <w:tcPr>
            <w:tcW w:w="669" w:type="dxa"/>
            <w:vAlign w:val="center"/>
          </w:tcPr>
          <w:p w14:paraId="6D32327D" w14:textId="1130A16D" w:rsidR="00B52408" w:rsidRPr="00F239D1" w:rsidRDefault="00B52408" w:rsidP="00B52408">
            <w:pPr>
              <w:keepLines/>
              <w:jc w:val="center"/>
              <w:rPr>
                <w:rFonts w:ascii="Arial Narrow" w:hAnsi="Arial Narrow" w:cs="Arial"/>
                <w:sz w:val="20"/>
                <w:szCs w:val="20"/>
              </w:rPr>
            </w:pPr>
            <w:r w:rsidRPr="00F239D1">
              <w:rPr>
                <w:rFonts w:ascii="Arial Narrow" w:eastAsia="Calibri" w:hAnsi="Arial Narrow" w:cs="Arial"/>
                <w:iCs/>
                <w:sz w:val="20"/>
                <w:szCs w:val="20"/>
              </w:rPr>
              <w:t>5</w:t>
            </w:r>
          </w:p>
        </w:tc>
        <w:tc>
          <w:tcPr>
            <w:tcW w:w="1831" w:type="dxa"/>
          </w:tcPr>
          <w:p w14:paraId="39C7E730" w14:textId="2DBB3A6E" w:rsidR="00B52408" w:rsidRPr="00F239D1" w:rsidRDefault="00B52408" w:rsidP="00B52408">
            <w:pPr>
              <w:keepLines/>
              <w:rPr>
                <w:rFonts w:ascii="Arial Narrow" w:hAnsi="Arial Narrow" w:cs="Arial"/>
                <w:sz w:val="20"/>
                <w:szCs w:val="20"/>
              </w:rPr>
            </w:pPr>
            <w:r w:rsidRPr="00F239D1">
              <w:rPr>
                <w:rFonts w:ascii="Arial Narrow" w:eastAsia="Calibri" w:hAnsi="Arial Narrow"/>
                <w:sz w:val="20"/>
                <w:szCs w:val="20"/>
              </w:rPr>
              <w:t>LACREO</w:t>
            </w:r>
          </w:p>
        </w:tc>
      </w:tr>
      <w:tr w:rsidR="00B52408" w:rsidRPr="00F239D1" w14:paraId="556DA310" w14:textId="77777777" w:rsidTr="00CF08BB">
        <w:trPr>
          <w:cantSplit/>
          <w:trHeight w:val="20"/>
        </w:trPr>
        <w:tc>
          <w:tcPr>
            <w:tcW w:w="3939" w:type="dxa"/>
            <w:gridSpan w:val="2"/>
          </w:tcPr>
          <w:p w14:paraId="1C1536ED" w14:textId="11AD7D63" w:rsidR="00B52408" w:rsidRPr="00733370" w:rsidRDefault="00B52408" w:rsidP="00B52408">
            <w:pPr>
              <w:keepLines/>
              <w:rPr>
                <w:rFonts w:ascii="Arial Narrow" w:hAnsi="Arial Narrow" w:cs="Arial"/>
                <w:sz w:val="20"/>
                <w:szCs w:val="20"/>
              </w:rPr>
            </w:pPr>
            <w:r w:rsidRPr="00733370">
              <w:rPr>
                <w:rFonts w:ascii="Arial Narrow" w:eastAsia="Calibri" w:hAnsi="Arial Narrow" w:cs="Arial"/>
                <w:sz w:val="20"/>
                <w:szCs w:val="20"/>
              </w:rPr>
              <w:t>lanreotide 120 mg/0.5 mL injection 0.5 mL syringe</w:t>
            </w:r>
          </w:p>
        </w:tc>
        <w:tc>
          <w:tcPr>
            <w:tcW w:w="1159" w:type="dxa"/>
          </w:tcPr>
          <w:p w14:paraId="6E01B087" w14:textId="483A0F74" w:rsidR="00CF08BB" w:rsidRPr="00733370" w:rsidRDefault="00B52408" w:rsidP="00B52408">
            <w:pPr>
              <w:keepNext/>
              <w:spacing w:line="276" w:lineRule="auto"/>
              <w:ind w:left="-57"/>
              <w:jc w:val="center"/>
              <w:rPr>
                <w:rFonts w:ascii="Arial Narrow" w:eastAsia="Calibri" w:hAnsi="Arial Narrow" w:cs="Arial"/>
                <w:sz w:val="20"/>
                <w:szCs w:val="20"/>
              </w:rPr>
            </w:pPr>
            <w:r w:rsidRPr="00733370">
              <w:rPr>
                <w:rFonts w:ascii="Arial Narrow" w:eastAsia="Calibri" w:hAnsi="Arial Narrow" w:cs="Arial"/>
                <w:sz w:val="20"/>
                <w:szCs w:val="20"/>
              </w:rPr>
              <w:t>11289E</w:t>
            </w:r>
            <w:r w:rsidR="002851D8" w:rsidRPr="00733370">
              <w:rPr>
                <w:rFonts w:ascii="Arial Narrow" w:eastAsia="Calibri" w:hAnsi="Arial Narrow" w:cs="Arial"/>
                <w:sz w:val="20"/>
                <w:szCs w:val="20"/>
              </w:rPr>
              <w:t xml:space="preserve"> (CA)</w:t>
            </w:r>
          </w:p>
          <w:p w14:paraId="4253DD7A" w14:textId="0CE80386" w:rsidR="00B52408" w:rsidRPr="00733370" w:rsidRDefault="00B52408" w:rsidP="00B52408">
            <w:pPr>
              <w:keepNext/>
              <w:spacing w:line="276" w:lineRule="auto"/>
              <w:ind w:left="-57"/>
              <w:jc w:val="center"/>
              <w:rPr>
                <w:rFonts w:ascii="Arial Narrow" w:eastAsia="Calibri" w:hAnsi="Arial Narrow" w:cs="Arial"/>
                <w:sz w:val="20"/>
                <w:szCs w:val="20"/>
              </w:rPr>
            </w:pPr>
            <w:r w:rsidRPr="00733370">
              <w:rPr>
                <w:rFonts w:ascii="Arial Narrow" w:eastAsia="Calibri" w:hAnsi="Arial Narrow" w:cs="Arial"/>
                <w:sz w:val="20"/>
                <w:szCs w:val="20"/>
              </w:rPr>
              <w:t xml:space="preserve">5779E </w:t>
            </w:r>
            <w:r w:rsidR="00936DF9" w:rsidRPr="00733370">
              <w:rPr>
                <w:rFonts w:ascii="Arial Narrow" w:eastAsia="Calibri" w:hAnsi="Arial Narrow" w:cs="Arial"/>
                <w:sz w:val="20"/>
                <w:szCs w:val="20"/>
              </w:rPr>
              <w:t>(HB)</w:t>
            </w:r>
          </w:p>
          <w:p w14:paraId="74E8E8FA" w14:textId="0F03FE64" w:rsidR="00B52408" w:rsidRPr="00733370" w:rsidRDefault="00B52408" w:rsidP="00B52408">
            <w:pPr>
              <w:keepLines/>
              <w:jc w:val="center"/>
              <w:rPr>
                <w:rFonts w:ascii="Arial Narrow" w:hAnsi="Arial Narrow" w:cs="Arial"/>
                <w:sz w:val="20"/>
                <w:szCs w:val="20"/>
              </w:rPr>
            </w:pPr>
            <w:r w:rsidRPr="00733370">
              <w:rPr>
                <w:rFonts w:ascii="Arial Narrow" w:eastAsia="Calibri" w:hAnsi="Arial Narrow" w:cs="Arial"/>
                <w:sz w:val="20"/>
                <w:szCs w:val="20"/>
              </w:rPr>
              <w:t xml:space="preserve">6425E </w:t>
            </w:r>
            <w:r w:rsidR="00936DF9" w:rsidRPr="00733370">
              <w:rPr>
                <w:rFonts w:ascii="Arial Narrow" w:eastAsia="Calibri" w:hAnsi="Arial Narrow" w:cs="Arial"/>
                <w:sz w:val="20"/>
                <w:szCs w:val="20"/>
              </w:rPr>
              <w:t>(HS)</w:t>
            </w:r>
          </w:p>
        </w:tc>
        <w:tc>
          <w:tcPr>
            <w:tcW w:w="709" w:type="dxa"/>
            <w:vAlign w:val="center"/>
          </w:tcPr>
          <w:p w14:paraId="263EB895" w14:textId="72EED267" w:rsidR="00B52408" w:rsidRPr="00733370" w:rsidRDefault="00B52408" w:rsidP="00B52408">
            <w:pPr>
              <w:keepLines/>
              <w:jc w:val="center"/>
              <w:rPr>
                <w:rFonts w:ascii="Arial Narrow" w:hAnsi="Arial Narrow" w:cs="Arial"/>
                <w:sz w:val="20"/>
                <w:szCs w:val="20"/>
              </w:rPr>
            </w:pPr>
            <w:r w:rsidRPr="00733370">
              <w:rPr>
                <w:rFonts w:ascii="Arial Narrow" w:eastAsia="Calibri" w:hAnsi="Arial Narrow" w:cs="Arial"/>
                <w:iCs/>
                <w:sz w:val="20"/>
                <w:szCs w:val="20"/>
              </w:rPr>
              <w:t>2</w:t>
            </w:r>
          </w:p>
        </w:tc>
        <w:tc>
          <w:tcPr>
            <w:tcW w:w="709" w:type="dxa"/>
            <w:vAlign w:val="center"/>
          </w:tcPr>
          <w:p w14:paraId="4F3BE60C" w14:textId="4F0AB772" w:rsidR="00B52408" w:rsidRPr="00733370" w:rsidRDefault="00B52408" w:rsidP="00B52408">
            <w:pPr>
              <w:keepLines/>
              <w:jc w:val="center"/>
              <w:rPr>
                <w:rFonts w:ascii="Arial Narrow" w:hAnsi="Arial Narrow" w:cs="Arial"/>
                <w:sz w:val="20"/>
                <w:szCs w:val="20"/>
              </w:rPr>
            </w:pPr>
            <w:r w:rsidRPr="00733370">
              <w:rPr>
                <w:rFonts w:ascii="Arial Narrow" w:eastAsia="Calibri" w:hAnsi="Arial Narrow" w:cs="Arial"/>
                <w:iCs/>
                <w:sz w:val="20"/>
                <w:szCs w:val="20"/>
              </w:rPr>
              <w:t>2</w:t>
            </w:r>
          </w:p>
        </w:tc>
        <w:tc>
          <w:tcPr>
            <w:tcW w:w="669" w:type="dxa"/>
            <w:vAlign w:val="center"/>
          </w:tcPr>
          <w:p w14:paraId="47F543DC" w14:textId="692C7E55" w:rsidR="00B52408" w:rsidRPr="00733370" w:rsidRDefault="00B52408" w:rsidP="00B52408">
            <w:pPr>
              <w:keepLines/>
              <w:jc w:val="center"/>
              <w:rPr>
                <w:rFonts w:ascii="Arial Narrow" w:hAnsi="Arial Narrow" w:cs="Arial"/>
                <w:sz w:val="20"/>
                <w:szCs w:val="20"/>
              </w:rPr>
            </w:pPr>
            <w:r w:rsidRPr="00733370">
              <w:rPr>
                <w:rFonts w:ascii="Arial Narrow" w:eastAsia="Calibri" w:hAnsi="Arial Narrow" w:cs="Arial"/>
                <w:iCs/>
                <w:sz w:val="20"/>
                <w:szCs w:val="20"/>
              </w:rPr>
              <w:t>5</w:t>
            </w:r>
          </w:p>
        </w:tc>
        <w:tc>
          <w:tcPr>
            <w:tcW w:w="1831" w:type="dxa"/>
          </w:tcPr>
          <w:p w14:paraId="7739CE42" w14:textId="1EC804B4" w:rsidR="009B2C75" w:rsidRPr="00733370" w:rsidRDefault="002125C4" w:rsidP="009B2C75">
            <w:pPr>
              <w:keepNext/>
              <w:rPr>
                <w:rFonts w:ascii="Arial Narrow" w:hAnsi="Arial Narrow" w:cs="Arial"/>
                <w:sz w:val="20"/>
                <w:szCs w:val="20"/>
              </w:rPr>
            </w:pPr>
            <w:r w:rsidRPr="00733370">
              <w:rPr>
                <w:rFonts w:ascii="Arial Narrow" w:eastAsia="Calibri" w:hAnsi="Arial Narrow"/>
                <w:sz w:val="20"/>
                <w:szCs w:val="20"/>
              </w:rPr>
              <w:t>S</w:t>
            </w:r>
            <w:r w:rsidR="009B2C75" w:rsidRPr="00733370">
              <w:rPr>
                <w:rFonts w:ascii="Arial Narrow" w:hAnsi="Arial Narrow" w:cs="Arial"/>
                <w:sz w:val="20"/>
                <w:szCs w:val="20"/>
              </w:rPr>
              <w:t xml:space="preserve">omatuline </w:t>
            </w:r>
            <w:r w:rsidRPr="00733370">
              <w:rPr>
                <w:rFonts w:ascii="Arial Narrow" w:hAnsi="Arial Narrow" w:cs="Arial"/>
                <w:sz w:val="20"/>
                <w:szCs w:val="20"/>
              </w:rPr>
              <w:t>A</w:t>
            </w:r>
            <w:r w:rsidR="009B2C75" w:rsidRPr="00733370">
              <w:rPr>
                <w:rFonts w:ascii="Arial Narrow" w:hAnsi="Arial Narrow" w:cs="Arial"/>
                <w:sz w:val="20"/>
                <w:szCs w:val="20"/>
              </w:rPr>
              <w:t>utogel</w:t>
            </w:r>
          </w:p>
          <w:p w14:paraId="7FAAA139" w14:textId="6750D916" w:rsidR="009B2C75" w:rsidRPr="00733370" w:rsidRDefault="002125C4" w:rsidP="009B2C75">
            <w:pPr>
              <w:keepNext/>
              <w:rPr>
                <w:rFonts w:ascii="Arial Narrow" w:hAnsi="Arial Narrow" w:cs="Arial"/>
                <w:sz w:val="20"/>
                <w:szCs w:val="20"/>
              </w:rPr>
            </w:pPr>
            <w:r w:rsidRPr="00733370">
              <w:rPr>
                <w:rFonts w:ascii="Arial Narrow" w:hAnsi="Arial Narrow" w:cs="Arial"/>
                <w:sz w:val="20"/>
                <w:szCs w:val="20"/>
              </w:rPr>
              <w:t>M</w:t>
            </w:r>
            <w:r w:rsidR="009B2C75" w:rsidRPr="00733370">
              <w:rPr>
                <w:rFonts w:ascii="Arial Narrow" w:hAnsi="Arial Narrow" w:cs="Arial"/>
                <w:sz w:val="20"/>
                <w:szCs w:val="20"/>
              </w:rPr>
              <w:t xml:space="preserve">ytolac </w:t>
            </w:r>
          </w:p>
          <w:p w14:paraId="27391F2C" w14:textId="12347ECA" w:rsidR="00B52408" w:rsidRPr="00733370" w:rsidRDefault="002125C4" w:rsidP="00B52408">
            <w:pPr>
              <w:keepLines/>
              <w:rPr>
                <w:rFonts w:ascii="Arial Narrow" w:hAnsi="Arial Narrow" w:cs="Arial"/>
                <w:sz w:val="20"/>
                <w:szCs w:val="20"/>
              </w:rPr>
            </w:pPr>
            <w:r w:rsidRPr="00733370">
              <w:rPr>
                <w:rFonts w:ascii="Arial Narrow" w:eastAsia="Calibri" w:hAnsi="Arial Narrow"/>
                <w:sz w:val="20"/>
                <w:szCs w:val="20"/>
              </w:rPr>
              <w:t>LACREO</w:t>
            </w:r>
          </w:p>
        </w:tc>
      </w:tr>
      <w:bookmarkEnd w:id="1"/>
      <w:tr w:rsidR="00AA24E9" w:rsidRPr="00F239D1" w14:paraId="5838240A" w14:textId="77777777" w:rsidTr="00481B83">
        <w:tblPrEx>
          <w:tblCellMar>
            <w:top w:w="15" w:type="dxa"/>
            <w:bottom w:w="15" w:type="dxa"/>
          </w:tblCellMar>
          <w:tblLook w:val="04A0" w:firstRow="1" w:lastRow="0" w:firstColumn="1" w:lastColumn="0" w:noHBand="0" w:noVBand="1"/>
        </w:tblPrEx>
        <w:trPr>
          <w:cantSplit/>
          <w:trHeight w:val="57"/>
        </w:trPr>
        <w:tc>
          <w:tcPr>
            <w:tcW w:w="1271" w:type="dxa"/>
            <w:vAlign w:val="center"/>
            <w:hideMark/>
          </w:tcPr>
          <w:p w14:paraId="4D5B5EE7" w14:textId="5EF21052" w:rsidR="00AA24E9" w:rsidRPr="00F239D1" w:rsidRDefault="00AA24E9" w:rsidP="007A5895">
            <w:pPr>
              <w:keepLines/>
              <w:jc w:val="center"/>
              <w:rPr>
                <w:rFonts w:ascii="Arial Narrow" w:hAnsi="Arial Narrow"/>
                <w:sz w:val="20"/>
                <w:szCs w:val="20"/>
              </w:rPr>
            </w:pPr>
          </w:p>
        </w:tc>
        <w:tc>
          <w:tcPr>
            <w:tcW w:w="7745" w:type="dxa"/>
            <w:gridSpan w:val="6"/>
            <w:vAlign w:val="center"/>
            <w:hideMark/>
          </w:tcPr>
          <w:p w14:paraId="4554907F" w14:textId="44023FFD" w:rsidR="00AA24E9" w:rsidRPr="00F239D1" w:rsidRDefault="00AA24E9" w:rsidP="001E1FC9">
            <w:pPr>
              <w:pStyle w:val="3-BodyText"/>
              <w:numPr>
                <w:ilvl w:val="0"/>
                <w:numId w:val="0"/>
              </w:numPr>
              <w:spacing w:before="0" w:after="0"/>
              <w:rPr>
                <w:rFonts w:ascii="Arial Narrow" w:hAnsi="Arial Narrow"/>
                <w:sz w:val="20"/>
                <w:szCs w:val="20"/>
              </w:rPr>
            </w:pPr>
            <w:r w:rsidRPr="00F239D1">
              <w:rPr>
                <w:rFonts w:ascii="Arial Narrow" w:hAnsi="Arial Narrow"/>
                <w:b/>
                <w:bCs/>
                <w:sz w:val="20"/>
                <w:szCs w:val="20"/>
              </w:rPr>
              <w:t>Indication</w:t>
            </w:r>
            <w:r w:rsidR="001E1FC9" w:rsidRPr="00F239D1">
              <w:rPr>
                <w:rFonts w:ascii="Arial Narrow" w:hAnsi="Arial Narrow"/>
                <w:b/>
                <w:bCs/>
                <w:sz w:val="20"/>
                <w:szCs w:val="20"/>
              </w:rPr>
              <w:t xml:space="preserve">: </w:t>
            </w:r>
            <w:r w:rsidR="005179A3">
              <w:rPr>
                <w:rFonts w:ascii="Arial Narrow" w:hAnsi="Arial Narrow"/>
                <w:sz w:val="20"/>
                <w:szCs w:val="20"/>
              </w:rPr>
              <w:t>A</w:t>
            </w:r>
            <w:r w:rsidR="00D94BEA">
              <w:rPr>
                <w:rFonts w:ascii="Arial Narrow" w:hAnsi="Arial Narrow"/>
                <w:sz w:val="20"/>
                <w:szCs w:val="20"/>
              </w:rPr>
              <w:t>cromegaly</w:t>
            </w:r>
          </w:p>
        </w:tc>
      </w:tr>
      <w:tr w:rsidR="009E5A04" w:rsidRPr="00F239D1" w14:paraId="2A8632B2" w14:textId="77777777" w:rsidTr="009E5A04">
        <w:tblPrEx>
          <w:tblCellMar>
            <w:top w:w="15" w:type="dxa"/>
            <w:bottom w:w="15" w:type="dxa"/>
          </w:tblCellMar>
          <w:tblLook w:val="04A0" w:firstRow="1" w:lastRow="0" w:firstColumn="1" w:lastColumn="0" w:noHBand="0" w:noVBand="1"/>
        </w:tblPrEx>
        <w:trPr>
          <w:cantSplit/>
          <w:trHeight w:val="57"/>
        </w:trPr>
        <w:tc>
          <w:tcPr>
            <w:tcW w:w="1271" w:type="dxa"/>
            <w:vAlign w:val="center"/>
          </w:tcPr>
          <w:p w14:paraId="114EBCEC" w14:textId="71D1F826" w:rsidR="009E5A04" w:rsidRPr="00C87DB4" w:rsidRDefault="009E5A04" w:rsidP="009E5A04">
            <w:pPr>
              <w:keepNext/>
              <w:keepLines/>
              <w:rPr>
                <w:rFonts w:ascii="Arial Narrow" w:hAnsi="Arial Narrow"/>
                <w:b/>
                <w:bCs/>
                <w:color w:val="333333"/>
                <w:sz w:val="20"/>
                <w:szCs w:val="20"/>
              </w:rPr>
            </w:pPr>
          </w:p>
        </w:tc>
        <w:tc>
          <w:tcPr>
            <w:tcW w:w="7745" w:type="dxa"/>
            <w:gridSpan w:val="6"/>
            <w:vAlign w:val="center"/>
          </w:tcPr>
          <w:p w14:paraId="6B22A0F8" w14:textId="1545E040" w:rsidR="009E5A04" w:rsidRPr="00C87DB4" w:rsidRDefault="009E5A04" w:rsidP="009E5A04">
            <w:pPr>
              <w:keepNext/>
              <w:keepLines/>
              <w:rPr>
                <w:rFonts w:ascii="Arial Narrow" w:hAnsi="Arial Narrow"/>
                <w:b/>
                <w:bCs/>
                <w:color w:val="333333"/>
                <w:sz w:val="20"/>
                <w:szCs w:val="20"/>
              </w:rPr>
            </w:pPr>
            <w:r w:rsidRPr="00F239D1">
              <w:rPr>
                <w:rFonts w:ascii="Arial Narrow" w:hAnsi="Arial Narrow"/>
                <w:b/>
                <w:bCs/>
                <w:sz w:val="20"/>
                <w:szCs w:val="20"/>
              </w:rPr>
              <w:t xml:space="preserve">Indication: </w:t>
            </w:r>
            <w:r w:rsidR="005179A3">
              <w:rPr>
                <w:rFonts w:ascii="Arial Narrow" w:hAnsi="Arial Narrow"/>
                <w:sz w:val="20"/>
                <w:szCs w:val="20"/>
              </w:rPr>
              <w:t>F</w:t>
            </w:r>
            <w:r>
              <w:rPr>
                <w:rFonts w:ascii="Arial Narrow" w:hAnsi="Arial Narrow"/>
                <w:sz w:val="20"/>
                <w:szCs w:val="20"/>
              </w:rPr>
              <w:t>unctional carcinoid tumour</w:t>
            </w:r>
          </w:p>
        </w:tc>
      </w:tr>
      <w:tr w:rsidR="00BD1C3D" w:rsidRPr="00F239D1" w14:paraId="07991EBE" w14:textId="77777777" w:rsidTr="00481B83">
        <w:tblPrEx>
          <w:tblCellMar>
            <w:top w:w="15" w:type="dxa"/>
            <w:bottom w:w="15" w:type="dxa"/>
          </w:tblCellMar>
          <w:tblLook w:val="04A0" w:firstRow="1" w:lastRow="0" w:firstColumn="1" w:lastColumn="0" w:noHBand="0" w:noVBand="1"/>
        </w:tblPrEx>
        <w:trPr>
          <w:cantSplit/>
          <w:trHeight w:val="57"/>
        </w:trPr>
        <w:tc>
          <w:tcPr>
            <w:tcW w:w="1271" w:type="dxa"/>
          </w:tcPr>
          <w:p w14:paraId="1151B042" w14:textId="7E34FC0A" w:rsidR="00BD1C3D" w:rsidRPr="00B37DA8" w:rsidRDefault="00BD1C3D" w:rsidP="00BD1C3D">
            <w:pPr>
              <w:keepLines/>
              <w:jc w:val="center"/>
              <w:rPr>
                <w:rFonts w:ascii="Arial Narrow" w:hAnsi="Arial Narrow"/>
                <w:i/>
                <w:iCs/>
                <w:sz w:val="20"/>
                <w:szCs w:val="20"/>
                <w:highlight w:val="yellow"/>
              </w:rPr>
            </w:pPr>
          </w:p>
        </w:tc>
        <w:tc>
          <w:tcPr>
            <w:tcW w:w="7745" w:type="dxa"/>
            <w:gridSpan w:val="6"/>
            <w:vAlign w:val="center"/>
          </w:tcPr>
          <w:p w14:paraId="069CDDD8" w14:textId="77777777" w:rsidR="00BD1C3D" w:rsidRPr="00C87DB4" w:rsidRDefault="00BD1C3D" w:rsidP="00BD1C3D">
            <w:pPr>
              <w:rPr>
                <w:rFonts w:ascii="Arial Narrow" w:hAnsi="Arial Narrow"/>
                <w:sz w:val="20"/>
                <w:szCs w:val="20"/>
              </w:rPr>
            </w:pPr>
            <w:r w:rsidRPr="00C87DB4">
              <w:rPr>
                <w:rFonts w:ascii="Arial Narrow" w:hAnsi="Arial Narrow"/>
                <w:b/>
                <w:bCs/>
                <w:color w:val="333333"/>
                <w:sz w:val="20"/>
                <w:szCs w:val="20"/>
              </w:rPr>
              <w:t xml:space="preserve">Administrative Advice: </w:t>
            </w:r>
          </w:p>
          <w:p w14:paraId="05E39A0A" w14:textId="3C178F7B" w:rsidR="00BD1C3D" w:rsidRPr="00F239D1" w:rsidRDefault="00BD1C3D" w:rsidP="00BD1C3D">
            <w:pPr>
              <w:pStyle w:val="3-BodyText"/>
              <w:numPr>
                <w:ilvl w:val="0"/>
                <w:numId w:val="0"/>
              </w:numPr>
              <w:spacing w:before="0" w:after="0"/>
              <w:rPr>
                <w:rFonts w:ascii="Arial Narrow" w:hAnsi="Arial Narrow"/>
                <w:b/>
                <w:bCs/>
                <w:sz w:val="20"/>
                <w:szCs w:val="20"/>
              </w:rPr>
            </w:pPr>
            <w:r>
              <w:rPr>
                <w:rFonts w:ascii="Arial Narrow" w:hAnsi="Arial Narrow"/>
                <w:sz w:val="20"/>
                <w:szCs w:val="20"/>
              </w:rPr>
              <w:t>Somatuline Autogel</w:t>
            </w:r>
            <w:r w:rsidR="0020103E">
              <w:rPr>
                <w:rFonts w:ascii="Arial Narrow" w:hAnsi="Arial Narrow"/>
                <w:sz w:val="20"/>
                <w:szCs w:val="20"/>
              </w:rPr>
              <w:t>,</w:t>
            </w:r>
            <w:r>
              <w:rPr>
                <w:rFonts w:ascii="Arial Narrow" w:hAnsi="Arial Narrow"/>
                <w:sz w:val="20"/>
                <w:szCs w:val="20"/>
              </w:rPr>
              <w:t xml:space="preserve"> Mytolac</w:t>
            </w:r>
            <w:r w:rsidR="0020103E">
              <w:rPr>
                <w:rFonts w:ascii="Arial Narrow" w:hAnsi="Arial Narrow"/>
                <w:sz w:val="20"/>
                <w:szCs w:val="20"/>
              </w:rPr>
              <w:t xml:space="preserve"> and </w:t>
            </w:r>
            <w:r w:rsidR="0020103E" w:rsidRPr="0020103E">
              <w:rPr>
                <w:rFonts w:ascii="Arial Narrow" w:hAnsi="Arial Narrow"/>
                <w:i/>
                <w:iCs/>
                <w:sz w:val="20"/>
                <w:szCs w:val="20"/>
              </w:rPr>
              <w:t>LACREO</w:t>
            </w:r>
            <w:r>
              <w:rPr>
                <w:rFonts w:ascii="Arial Narrow" w:hAnsi="Arial Narrow"/>
                <w:sz w:val="20"/>
                <w:szCs w:val="20"/>
              </w:rPr>
              <w:t xml:space="preserve"> products are equivalent for the purpose of substitution. Pharmacists should ensure that patients are educated regarding the product differences upon dispensing. </w:t>
            </w:r>
          </w:p>
        </w:tc>
      </w:tr>
    </w:tbl>
    <w:p w14:paraId="746D55BC" w14:textId="6B0A1C58" w:rsidR="00E711B3" w:rsidRPr="00767E2A" w:rsidRDefault="00F800B5" w:rsidP="005179A3">
      <w:pPr>
        <w:pStyle w:val="3-BodyText"/>
        <w:keepNext/>
        <w:numPr>
          <w:ilvl w:val="0"/>
          <w:numId w:val="0"/>
        </w:numPr>
        <w:spacing w:after="0"/>
        <w:rPr>
          <w:rFonts w:cstheme="minorHAnsi"/>
          <w:i/>
          <w:iCs/>
          <w:szCs w:val="24"/>
        </w:rPr>
      </w:pPr>
      <w:r w:rsidRPr="00767E2A">
        <w:rPr>
          <w:rFonts w:cstheme="minorHAnsi"/>
          <w:i/>
          <w:iCs/>
          <w:szCs w:val="24"/>
        </w:rPr>
        <w:t xml:space="preserve">Add medicinal product pack: non-functional </w:t>
      </w:r>
      <w:r w:rsidR="00767E2A" w:rsidRPr="00767E2A">
        <w:rPr>
          <w:rFonts w:eastAsia="Times New Roman" w:cstheme="minorHAnsi"/>
          <w:i/>
          <w:iCs/>
          <w:color w:val="333333"/>
          <w:szCs w:val="24"/>
        </w:rPr>
        <w:t xml:space="preserve">gastroenteropancreatic </w:t>
      </w:r>
      <w:r w:rsidR="00767E2A" w:rsidRPr="00767E2A">
        <w:rPr>
          <w:rFonts w:cstheme="minorHAnsi"/>
          <w:i/>
          <w:iCs/>
          <w:szCs w:val="24"/>
        </w:rPr>
        <w:t>neuroendocrine tumour (GEP-NET)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Add medicinal product pack: non-functional gastroenteropancreatic neuroendocrine tumour (GEP-NET)"/>
      </w:tblPr>
      <w:tblGrid>
        <w:gridCol w:w="1271"/>
        <w:gridCol w:w="2668"/>
        <w:gridCol w:w="25"/>
        <w:gridCol w:w="1134"/>
        <w:gridCol w:w="709"/>
        <w:gridCol w:w="709"/>
        <w:gridCol w:w="669"/>
        <w:gridCol w:w="40"/>
        <w:gridCol w:w="1791"/>
      </w:tblGrid>
      <w:tr w:rsidR="000D1582" w:rsidRPr="00F239D1" w14:paraId="388F8034" w14:textId="77777777" w:rsidTr="000D1582">
        <w:trPr>
          <w:cantSplit/>
          <w:trHeight w:val="20"/>
        </w:trPr>
        <w:tc>
          <w:tcPr>
            <w:tcW w:w="3964" w:type="dxa"/>
            <w:gridSpan w:val="3"/>
            <w:vAlign w:val="center"/>
          </w:tcPr>
          <w:p w14:paraId="750A899D" w14:textId="77777777" w:rsidR="000D1582" w:rsidRPr="00F239D1" w:rsidRDefault="000D1582" w:rsidP="005179A3">
            <w:pPr>
              <w:keepNext/>
              <w:keepLines/>
              <w:rPr>
                <w:rFonts w:ascii="Arial Narrow" w:hAnsi="Arial Narrow" w:cs="Arial"/>
                <w:b/>
                <w:bCs/>
                <w:sz w:val="20"/>
                <w:szCs w:val="20"/>
              </w:rPr>
            </w:pPr>
            <w:r w:rsidRPr="00F239D1">
              <w:rPr>
                <w:rFonts w:ascii="Arial Narrow" w:hAnsi="Arial Narrow" w:cs="Arial"/>
                <w:b/>
                <w:bCs/>
                <w:sz w:val="20"/>
                <w:szCs w:val="20"/>
              </w:rPr>
              <w:t>MEDICINAL PRODUCT</w:t>
            </w:r>
          </w:p>
          <w:p w14:paraId="46D0861E" w14:textId="304E52D5" w:rsidR="000D1582" w:rsidRPr="00F239D1" w:rsidRDefault="000D1582" w:rsidP="005179A3">
            <w:pPr>
              <w:keepNext/>
              <w:keepLines/>
              <w:rPr>
                <w:rFonts w:ascii="Arial Narrow" w:hAnsi="Arial Narrow" w:cs="Arial"/>
                <w:b/>
                <w:bCs/>
                <w:sz w:val="20"/>
                <w:szCs w:val="20"/>
              </w:rPr>
            </w:pPr>
            <w:r w:rsidRPr="00F239D1">
              <w:rPr>
                <w:rFonts w:ascii="Arial Narrow" w:hAnsi="Arial Narrow" w:cs="Arial"/>
                <w:b/>
                <w:bCs/>
                <w:sz w:val="20"/>
                <w:szCs w:val="20"/>
              </w:rPr>
              <w:t>medicinal product pack</w:t>
            </w:r>
          </w:p>
        </w:tc>
        <w:tc>
          <w:tcPr>
            <w:tcW w:w="1134" w:type="dxa"/>
            <w:vAlign w:val="center"/>
          </w:tcPr>
          <w:p w14:paraId="355A0CA8" w14:textId="0C51B805" w:rsidR="000D1582" w:rsidRPr="00F239D1" w:rsidRDefault="000D1582" w:rsidP="005179A3">
            <w:pPr>
              <w:pStyle w:val="3-BodyText"/>
              <w:keepNext/>
              <w:numPr>
                <w:ilvl w:val="0"/>
                <w:numId w:val="0"/>
              </w:numPr>
              <w:spacing w:before="0" w:after="0"/>
              <w:jc w:val="center"/>
              <w:rPr>
                <w:rFonts w:ascii="Arial Narrow" w:hAnsi="Arial Narrow"/>
                <w:b/>
                <w:bCs/>
                <w:sz w:val="20"/>
                <w:szCs w:val="20"/>
              </w:rPr>
            </w:pPr>
            <w:r w:rsidRPr="00F239D1">
              <w:rPr>
                <w:rFonts w:ascii="Arial Narrow" w:hAnsi="Arial Narrow" w:cs="Arial"/>
                <w:b/>
                <w:sz w:val="20"/>
                <w:szCs w:val="20"/>
              </w:rPr>
              <w:t>PBS item code</w:t>
            </w:r>
          </w:p>
        </w:tc>
        <w:tc>
          <w:tcPr>
            <w:tcW w:w="709" w:type="dxa"/>
            <w:vAlign w:val="center"/>
          </w:tcPr>
          <w:p w14:paraId="5AA45037" w14:textId="39A3702C" w:rsidR="000D1582" w:rsidRPr="00F239D1" w:rsidRDefault="000D1582" w:rsidP="005179A3">
            <w:pPr>
              <w:pStyle w:val="3-BodyText"/>
              <w:keepNext/>
              <w:numPr>
                <w:ilvl w:val="0"/>
                <w:numId w:val="0"/>
              </w:numPr>
              <w:spacing w:before="0" w:after="0"/>
              <w:jc w:val="center"/>
              <w:rPr>
                <w:rFonts w:ascii="Arial Narrow" w:hAnsi="Arial Narrow"/>
                <w:b/>
                <w:bCs/>
                <w:sz w:val="20"/>
                <w:szCs w:val="20"/>
              </w:rPr>
            </w:pPr>
            <w:r w:rsidRPr="00F239D1">
              <w:rPr>
                <w:rFonts w:ascii="Arial Narrow" w:hAnsi="Arial Narrow" w:cs="Arial"/>
                <w:b/>
                <w:sz w:val="20"/>
                <w:szCs w:val="20"/>
              </w:rPr>
              <w:t>Max. qty packs</w:t>
            </w:r>
          </w:p>
        </w:tc>
        <w:tc>
          <w:tcPr>
            <w:tcW w:w="709" w:type="dxa"/>
            <w:vAlign w:val="center"/>
          </w:tcPr>
          <w:p w14:paraId="6CA62DE3" w14:textId="50A35AB3" w:rsidR="000D1582" w:rsidRPr="00F239D1" w:rsidRDefault="000D1582" w:rsidP="005179A3">
            <w:pPr>
              <w:pStyle w:val="3-BodyText"/>
              <w:keepNext/>
              <w:numPr>
                <w:ilvl w:val="0"/>
                <w:numId w:val="0"/>
              </w:numPr>
              <w:spacing w:before="0" w:after="0"/>
              <w:jc w:val="center"/>
              <w:rPr>
                <w:rFonts w:ascii="Arial Narrow" w:hAnsi="Arial Narrow"/>
                <w:b/>
                <w:bCs/>
                <w:sz w:val="20"/>
                <w:szCs w:val="20"/>
              </w:rPr>
            </w:pPr>
            <w:r w:rsidRPr="00F239D1">
              <w:rPr>
                <w:rFonts w:ascii="Arial Narrow" w:hAnsi="Arial Narrow" w:cs="Arial"/>
                <w:b/>
                <w:sz w:val="20"/>
                <w:szCs w:val="20"/>
              </w:rPr>
              <w:t>Max. qty units</w:t>
            </w:r>
          </w:p>
        </w:tc>
        <w:tc>
          <w:tcPr>
            <w:tcW w:w="709" w:type="dxa"/>
            <w:gridSpan w:val="2"/>
            <w:vAlign w:val="center"/>
          </w:tcPr>
          <w:p w14:paraId="6ECFD9EB" w14:textId="77777777" w:rsidR="000D1582" w:rsidRPr="00F239D1" w:rsidRDefault="000D1582" w:rsidP="005179A3">
            <w:pPr>
              <w:keepNext/>
              <w:keepLines/>
              <w:jc w:val="center"/>
              <w:rPr>
                <w:rFonts w:ascii="Arial Narrow" w:hAnsi="Arial Narrow" w:cs="Arial"/>
                <w:b/>
                <w:sz w:val="20"/>
                <w:szCs w:val="20"/>
              </w:rPr>
            </w:pPr>
            <w:r w:rsidRPr="00F239D1">
              <w:rPr>
                <w:rFonts w:ascii="Arial Narrow" w:hAnsi="Arial Narrow" w:cs="Arial"/>
                <w:b/>
                <w:sz w:val="20"/>
                <w:szCs w:val="20"/>
              </w:rPr>
              <w:t>№.of</w:t>
            </w:r>
          </w:p>
          <w:p w14:paraId="3E3B4A7C" w14:textId="36E7F619" w:rsidR="000D1582" w:rsidRPr="00F239D1" w:rsidRDefault="000D1582" w:rsidP="005179A3">
            <w:pPr>
              <w:pStyle w:val="3-BodyText"/>
              <w:keepNext/>
              <w:numPr>
                <w:ilvl w:val="0"/>
                <w:numId w:val="0"/>
              </w:numPr>
              <w:spacing w:before="0" w:after="0"/>
              <w:jc w:val="center"/>
              <w:rPr>
                <w:rFonts w:ascii="Arial Narrow" w:hAnsi="Arial Narrow"/>
                <w:b/>
                <w:bCs/>
                <w:sz w:val="20"/>
                <w:szCs w:val="20"/>
              </w:rPr>
            </w:pPr>
            <w:r w:rsidRPr="00F239D1">
              <w:rPr>
                <w:rFonts w:ascii="Arial Narrow" w:hAnsi="Arial Narrow" w:cs="Arial"/>
                <w:b/>
                <w:sz w:val="20"/>
                <w:szCs w:val="20"/>
              </w:rPr>
              <w:t>Rpts</w:t>
            </w:r>
          </w:p>
        </w:tc>
        <w:tc>
          <w:tcPr>
            <w:tcW w:w="1791" w:type="dxa"/>
            <w:vAlign w:val="center"/>
          </w:tcPr>
          <w:p w14:paraId="664D24F4" w14:textId="497ABBF7" w:rsidR="000D1582" w:rsidRPr="00F239D1" w:rsidRDefault="000D1582" w:rsidP="005179A3">
            <w:pPr>
              <w:pStyle w:val="3-BodyText"/>
              <w:keepNext/>
              <w:numPr>
                <w:ilvl w:val="0"/>
                <w:numId w:val="0"/>
              </w:numPr>
              <w:spacing w:before="0" w:after="0"/>
              <w:rPr>
                <w:rFonts w:ascii="Arial Narrow" w:hAnsi="Arial Narrow"/>
                <w:b/>
                <w:bCs/>
                <w:sz w:val="20"/>
                <w:szCs w:val="20"/>
              </w:rPr>
            </w:pPr>
            <w:r w:rsidRPr="00F239D1">
              <w:rPr>
                <w:rFonts w:ascii="Arial Narrow" w:hAnsi="Arial Narrow" w:cs="Arial"/>
                <w:b/>
                <w:sz w:val="20"/>
                <w:szCs w:val="20"/>
              </w:rPr>
              <w:t>Available brands</w:t>
            </w:r>
          </w:p>
        </w:tc>
      </w:tr>
      <w:tr w:rsidR="000D1582" w:rsidRPr="00F239D1" w14:paraId="4C2CA095" w14:textId="77777777">
        <w:trPr>
          <w:cantSplit/>
          <w:trHeight w:val="20"/>
        </w:trPr>
        <w:tc>
          <w:tcPr>
            <w:tcW w:w="9016" w:type="dxa"/>
            <w:gridSpan w:val="9"/>
            <w:vAlign w:val="center"/>
          </w:tcPr>
          <w:p w14:paraId="35E5CE6B" w14:textId="29D37A35" w:rsidR="000D1582" w:rsidRPr="00F239D1" w:rsidRDefault="000D1582" w:rsidP="005179A3">
            <w:pPr>
              <w:pStyle w:val="3-BodyText"/>
              <w:keepNext/>
              <w:numPr>
                <w:ilvl w:val="0"/>
                <w:numId w:val="0"/>
              </w:numPr>
              <w:spacing w:before="0" w:after="0"/>
              <w:rPr>
                <w:rFonts w:ascii="Arial Narrow" w:hAnsi="Arial Narrow"/>
                <w:b/>
                <w:bCs/>
                <w:sz w:val="20"/>
                <w:szCs w:val="20"/>
              </w:rPr>
            </w:pPr>
            <w:r w:rsidRPr="00F239D1">
              <w:rPr>
                <w:rFonts w:ascii="Arial Narrow" w:hAnsi="Arial Narrow" w:cs="Arial"/>
                <w:sz w:val="20"/>
                <w:szCs w:val="20"/>
              </w:rPr>
              <w:t>LANREOTIDE</w:t>
            </w:r>
          </w:p>
        </w:tc>
      </w:tr>
      <w:tr w:rsidR="000D1582" w:rsidRPr="00F239D1" w14:paraId="0C97EC6E" w14:textId="77777777">
        <w:tblPrEx>
          <w:tblCellMar>
            <w:top w:w="0" w:type="dxa"/>
            <w:bottom w:w="0" w:type="dxa"/>
          </w:tblCellMar>
          <w:tblLook w:val="0000" w:firstRow="0" w:lastRow="0" w:firstColumn="0" w:lastColumn="0" w:noHBand="0" w:noVBand="0"/>
        </w:tblPrEx>
        <w:trPr>
          <w:cantSplit/>
          <w:trHeight w:val="20"/>
        </w:trPr>
        <w:tc>
          <w:tcPr>
            <w:tcW w:w="3939" w:type="dxa"/>
            <w:gridSpan w:val="2"/>
          </w:tcPr>
          <w:p w14:paraId="4139A553" w14:textId="31041334" w:rsidR="000D1582" w:rsidRPr="00F239D1" w:rsidRDefault="000D1582" w:rsidP="005179A3">
            <w:pPr>
              <w:keepNext/>
              <w:keepLines/>
              <w:rPr>
                <w:rFonts w:ascii="Arial Narrow" w:eastAsia="Calibri" w:hAnsi="Arial Narrow" w:cs="Arial"/>
                <w:sz w:val="20"/>
                <w:szCs w:val="20"/>
              </w:rPr>
            </w:pPr>
            <w:r w:rsidRPr="00F239D1">
              <w:rPr>
                <w:rFonts w:ascii="Arial Narrow" w:eastAsia="Calibri" w:hAnsi="Arial Narrow" w:cs="Arial"/>
                <w:sz w:val="20"/>
                <w:szCs w:val="20"/>
              </w:rPr>
              <w:t>lanreotide 60 mg/0.2 mL injection 0.2 mL syringe</w:t>
            </w:r>
          </w:p>
        </w:tc>
        <w:tc>
          <w:tcPr>
            <w:tcW w:w="1159" w:type="dxa"/>
            <w:gridSpan w:val="2"/>
            <w:vAlign w:val="center"/>
          </w:tcPr>
          <w:p w14:paraId="04618477" w14:textId="77777777" w:rsidR="000D1582" w:rsidRPr="009E5A04" w:rsidRDefault="000D1582" w:rsidP="005356C7">
            <w:pPr>
              <w:keepNext/>
              <w:spacing w:line="276" w:lineRule="auto"/>
              <w:ind w:left="-57"/>
              <w:jc w:val="center"/>
              <w:rPr>
                <w:rFonts w:ascii="Arial Narrow" w:eastAsia="Calibri" w:hAnsi="Arial Narrow" w:cs="Arial"/>
                <w:i/>
                <w:iCs/>
                <w:sz w:val="20"/>
                <w:szCs w:val="20"/>
              </w:rPr>
            </w:pPr>
            <w:r w:rsidRPr="009E5A04">
              <w:rPr>
                <w:rFonts w:ascii="Arial Narrow" w:eastAsia="Calibri" w:hAnsi="Arial Narrow" w:cs="Arial"/>
                <w:i/>
                <w:iCs/>
                <w:sz w:val="20"/>
                <w:szCs w:val="20"/>
              </w:rPr>
              <w:t>New (HB)</w:t>
            </w:r>
          </w:p>
          <w:p w14:paraId="2C238327" w14:textId="77777777" w:rsidR="000D1582" w:rsidRPr="009E5A04" w:rsidRDefault="000D1582" w:rsidP="005356C7">
            <w:pPr>
              <w:keepNext/>
              <w:spacing w:line="276" w:lineRule="auto"/>
              <w:ind w:left="-57"/>
              <w:jc w:val="center"/>
              <w:rPr>
                <w:rFonts w:ascii="Arial Narrow" w:eastAsia="Calibri" w:hAnsi="Arial Narrow" w:cs="Arial"/>
                <w:i/>
                <w:iCs/>
                <w:sz w:val="20"/>
                <w:szCs w:val="20"/>
              </w:rPr>
            </w:pPr>
            <w:r w:rsidRPr="009E5A04">
              <w:rPr>
                <w:rFonts w:ascii="Arial Narrow" w:eastAsia="Calibri" w:hAnsi="Arial Narrow" w:cs="Arial"/>
                <w:i/>
                <w:iCs/>
                <w:sz w:val="20"/>
                <w:szCs w:val="20"/>
              </w:rPr>
              <w:t>New (HS)</w:t>
            </w:r>
          </w:p>
          <w:p w14:paraId="5B882603" w14:textId="696B324D" w:rsidR="000D1582" w:rsidRPr="009E5A04" w:rsidRDefault="000D1582" w:rsidP="005356C7">
            <w:pPr>
              <w:keepNext/>
              <w:spacing w:line="276" w:lineRule="auto"/>
              <w:ind w:left="-57"/>
              <w:jc w:val="center"/>
              <w:rPr>
                <w:rFonts w:ascii="Arial Narrow" w:eastAsia="Calibri" w:hAnsi="Arial Narrow" w:cs="Arial"/>
                <w:i/>
                <w:iCs/>
                <w:sz w:val="20"/>
                <w:szCs w:val="20"/>
              </w:rPr>
            </w:pPr>
            <w:r w:rsidRPr="009E5A04">
              <w:rPr>
                <w:rFonts w:ascii="Arial Narrow" w:eastAsia="Calibri" w:hAnsi="Arial Narrow" w:cs="Arial"/>
                <w:i/>
                <w:iCs/>
                <w:sz w:val="20"/>
                <w:szCs w:val="20"/>
              </w:rPr>
              <w:t>New (CA)</w:t>
            </w:r>
          </w:p>
        </w:tc>
        <w:tc>
          <w:tcPr>
            <w:tcW w:w="709" w:type="dxa"/>
            <w:vAlign w:val="center"/>
          </w:tcPr>
          <w:p w14:paraId="11271829" w14:textId="5075AA95" w:rsidR="000D1582" w:rsidRPr="00F239D1" w:rsidRDefault="000D1582" w:rsidP="005179A3">
            <w:pPr>
              <w:keepNext/>
              <w:keepLines/>
              <w:jc w:val="center"/>
              <w:rPr>
                <w:rFonts w:ascii="Arial Narrow" w:eastAsia="Calibri" w:hAnsi="Arial Narrow" w:cs="Arial"/>
                <w:iCs/>
                <w:sz w:val="20"/>
                <w:szCs w:val="20"/>
              </w:rPr>
            </w:pPr>
            <w:r w:rsidRPr="00F239D1">
              <w:rPr>
                <w:rFonts w:ascii="Arial Narrow" w:eastAsia="Calibri" w:hAnsi="Arial Narrow" w:cs="Arial"/>
                <w:iCs/>
                <w:sz w:val="20"/>
                <w:szCs w:val="20"/>
              </w:rPr>
              <w:t>2</w:t>
            </w:r>
          </w:p>
        </w:tc>
        <w:tc>
          <w:tcPr>
            <w:tcW w:w="709" w:type="dxa"/>
            <w:vAlign w:val="center"/>
          </w:tcPr>
          <w:p w14:paraId="23D692EB" w14:textId="4D1E0493" w:rsidR="000D1582" w:rsidRPr="00F239D1" w:rsidRDefault="000D1582" w:rsidP="005179A3">
            <w:pPr>
              <w:keepNext/>
              <w:keepLines/>
              <w:jc w:val="center"/>
              <w:rPr>
                <w:rFonts w:ascii="Arial Narrow" w:eastAsia="Calibri" w:hAnsi="Arial Narrow" w:cs="Arial"/>
                <w:iCs/>
                <w:sz w:val="20"/>
                <w:szCs w:val="20"/>
              </w:rPr>
            </w:pPr>
            <w:r w:rsidRPr="00F239D1">
              <w:rPr>
                <w:rFonts w:ascii="Arial Narrow" w:eastAsia="Calibri" w:hAnsi="Arial Narrow" w:cs="Arial"/>
                <w:iCs/>
                <w:sz w:val="20"/>
                <w:szCs w:val="20"/>
              </w:rPr>
              <w:t>2</w:t>
            </w:r>
          </w:p>
        </w:tc>
        <w:tc>
          <w:tcPr>
            <w:tcW w:w="669" w:type="dxa"/>
            <w:vAlign w:val="center"/>
          </w:tcPr>
          <w:p w14:paraId="79CF19C9" w14:textId="13A24B34" w:rsidR="000D1582" w:rsidRPr="00F239D1" w:rsidRDefault="000D1582" w:rsidP="005179A3">
            <w:pPr>
              <w:keepNext/>
              <w:keepLines/>
              <w:jc w:val="center"/>
              <w:rPr>
                <w:rFonts w:ascii="Arial Narrow" w:eastAsia="Calibri" w:hAnsi="Arial Narrow" w:cs="Arial"/>
                <w:iCs/>
                <w:sz w:val="20"/>
                <w:szCs w:val="20"/>
              </w:rPr>
            </w:pPr>
            <w:r w:rsidRPr="00F239D1">
              <w:rPr>
                <w:rFonts w:ascii="Arial Narrow" w:eastAsia="Calibri" w:hAnsi="Arial Narrow" w:cs="Arial"/>
                <w:iCs/>
                <w:sz w:val="20"/>
                <w:szCs w:val="20"/>
              </w:rPr>
              <w:t>5</w:t>
            </w:r>
          </w:p>
        </w:tc>
        <w:tc>
          <w:tcPr>
            <w:tcW w:w="1831" w:type="dxa"/>
            <w:gridSpan w:val="2"/>
          </w:tcPr>
          <w:p w14:paraId="191D1AC0" w14:textId="542BCE86" w:rsidR="000D1582" w:rsidRDefault="000D1582" w:rsidP="005356C7">
            <w:pPr>
              <w:keepNext/>
              <w:rPr>
                <w:rFonts w:ascii="Arial Narrow" w:eastAsia="Calibri" w:hAnsi="Arial Narrow"/>
                <w:sz w:val="20"/>
                <w:szCs w:val="20"/>
              </w:rPr>
            </w:pPr>
            <w:r w:rsidRPr="00F239D1">
              <w:rPr>
                <w:rFonts w:ascii="Arial Narrow" w:eastAsia="Calibri" w:hAnsi="Arial Narrow"/>
                <w:sz w:val="20"/>
                <w:szCs w:val="20"/>
              </w:rPr>
              <w:t>LACREO</w:t>
            </w:r>
          </w:p>
        </w:tc>
      </w:tr>
      <w:tr w:rsidR="000D1582" w:rsidRPr="00F239D1" w14:paraId="124C0CDD" w14:textId="77777777">
        <w:tblPrEx>
          <w:tblCellMar>
            <w:top w:w="0" w:type="dxa"/>
            <w:bottom w:w="0" w:type="dxa"/>
          </w:tblCellMar>
          <w:tblLook w:val="0000" w:firstRow="0" w:lastRow="0" w:firstColumn="0" w:lastColumn="0" w:noHBand="0" w:noVBand="0"/>
        </w:tblPrEx>
        <w:trPr>
          <w:cantSplit/>
          <w:trHeight w:val="20"/>
        </w:trPr>
        <w:tc>
          <w:tcPr>
            <w:tcW w:w="3939" w:type="dxa"/>
            <w:gridSpan w:val="2"/>
          </w:tcPr>
          <w:p w14:paraId="283B9925" w14:textId="2F9ED335" w:rsidR="000D1582" w:rsidRPr="00F239D1" w:rsidRDefault="000D1582" w:rsidP="005179A3">
            <w:pPr>
              <w:keepNext/>
              <w:keepLines/>
              <w:rPr>
                <w:rFonts w:ascii="Arial Narrow" w:eastAsia="Calibri" w:hAnsi="Arial Narrow" w:cs="Arial"/>
                <w:sz w:val="20"/>
                <w:szCs w:val="20"/>
              </w:rPr>
            </w:pPr>
            <w:r w:rsidRPr="00F239D1">
              <w:rPr>
                <w:rFonts w:ascii="Arial Narrow" w:eastAsia="Calibri" w:hAnsi="Arial Narrow" w:cs="Arial"/>
                <w:sz w:val="20"/>
                <w:szCs w:val="20"/>
              </w:rPr>
              <w:t>lanreotide 90 mg/0.3 mL injection 0.3 mL syringe</w:t>
            </w:r>
          </w:p>
        </w:tc>
        <w:tc>
          <w:tcPr>
            <w:tcW w:w="1159" w:type="dxa"/>
            <w:gridSpan w:val="2"/>
            <w:vAlign w:val="center"/>
          </w:tcPr>
          <w:p w14:paraId="7B195AA3" w14:textId="77777777" w:rsidR="000D1582" w:rsidRPr="009E5A04" w:rsidRDefault="000D1582" w:rsidP="005356C7">
            <w:pPr>
              <w:keepNext/>
              <w:spacing w:line="276" w:lineRule="auto"/>
              <w:ind w:left="-57"/>
              <w:jc w:val="center"/>
              <w:rPr>
                <w:rFonts w:ascii="Arial Narrow" w:eastAsia="Calibri" w:hAnsi="Arial Narrow" w:cs="Arial"/>
                <w:i/>
                <w:iCs/>
                <w:sz w:val="20"/>
                <w:szCs w:val="20"/>
              </w:rPr>
            </w:pPr>
            <w:r w:rsidRPr="009E5A04">
              <w:rPr>
                <w:rFonts w:ascii="Arial Narrow" w:eastAsia="Calibri" w:hAnsi="Arial Narrow" w:cs="Arial"/>
                <w:i/>
                <w:iCs/>
                <w:sz w:val="20"/>
                <w:szCs w:val="20"/>
              </w:rPr>
              <w:t>New (HB) New (HS)</w:t>
            </w:r>
          </w:p>
          <w:p w14:paraId="116EF21E" w14:textId="16B71CDF" w:rsidR="000D1582" w:rsidRPr="009E5A04" w:rsidRDefault="000D1582" w:rsidP="005356C7">
            <w:pPr>
              <w:keepNext/>
              <w:spacing w:line="276" w:lineRule="auto"/>
              <w:ind w:left="-57"/>
              <w:jc w:val="center"/>
              <w:rPr>
                <w:rFonts w:ascii="Arial Narrow" w:eastAsia="Calibri" w:hAnsi="Arial Narrow" w:cs="Arial"/>
                <w:i/>
                <w:iCs/>
                <w:sz w:val="20"/>
                <w:szCs w:val="20"/>
              </w:rPr>
            </w:pPr>
            <w:r w:rsidRPr="009E5A04">
              <w:rPr>
                <w:rFonts w:ascii="Arial Narrow" w:eastAsia="Calibri" w:hAnsi="Arial Narrow" w:cs="Arial"/>
                <w:i/>
                <w:iCs/>
                <w:sz w:val="20"/>
                <w:szCs w:val="20"/>
              </w:rPr>
              <w:t>NEW (CA)</w:t>
            </w:r>
          </w:p>
        </w:tc>
        <w:tc>
          <w:tcPr>
            <w:tcW w:w="709" w:type="dxa"/>
            <w:vAlign w:val="center"/>
          </w:tcPr>
          <w:p w14:paraId="684B1BEC" w14:textId="09DB6205" w:rsidR="000D1582" w:rsidRPr="00F239D1" w:rsidRDefault="000D1582" w:rsidP="005179A3">
            <w:pPr>
              <w:keepNext/>
              <w:keepLines/>
              <w:jc w:val="center"/>
              <w:rPr>
                <w:rFonts w:ascii="Arial Narrow" w:eastAsia="Calibri" w:hAnsi="Arial Narrow" w:cs="Arial"/>
                <w:iCs/>
                <w:sz w:val="20"/>
                <w:szCs w:val="20"/>
              </w:rPr>
            </w:pPr>
            <w:r w:rsidRPr="00F239D1">
              <w:rPr>
                <w:rFonts w:ascii="Arial Narrow" w:eastAsia="Calibri" w:hAnsi="Arial Narrow" w:cs="Arial"/>
                <w:iCs/>
                <w:sz w:val="20"/>
                <w:szCs w:val="20"/>
              </w:rPr>
              <w:t>2</w:t>
            </w:r>
          </w:p>
        </w:tc>
        <w:tc>
          <w:tcPr>
            <w:tcW w:w="709" w:type="dxa"/>
            <w:vAlign w:val="center"/>
          </w:tcPr>
          <w:p w14:paraId="247B2153" w14:textId="404C0679" w:rsidR="000D1582" w:rsidRPr="00F239D1" w:rsidRDefault="000D1582" w:rsidP="005179A3">
            <w:pPr>
              <w:keepNext/>
              <w:keepLines/>
              <w:jc w:val="center"/>
              <w:rPr>
                <w:rFonts w:ascii="Arial Narrow" w:eastAsia="Calibri" w:hAnsi="Arial Narrow" w:cs="Arial"/>
                <w:iCs/>
                <w:sz w:val="20"/>
                <w:szCs w:val="20"/>
              </w:rPr>
            </w:pPr>
            <w:r w:rsidRPr="00F239D1">
              <w:rPr>
                <w:rFonts w:ascii="Arial Narrow" w:eastAsia="Calibri" w:hAnsi="Arial Narrow" w:cs="Arial"/>
                <w:iCs/>
                <w:sz w:val="20"/>
                <w:szCs w:val="20"/>
              </w:rPr>
              <w:t>2</w:t>
            </w:r>
          </w:p>
        </w:tc>
        <w:tc>
          <w:tcPr>
            <w:tcW w:w="669" w:type="dxa"/>
            <w:vAlign w:val="center"/>
          </w:tcPr>
          <w:p w14:paraId="22BA38E8" w14:textId="3FA133B0" w:rsidR="000D1582" w:rsidRPr="00F239D1" w:rsidRDefault="000D1582" w:rsidP="005179A3">
            <w:pPr>
              <w:keepNext/>
              <w:keepLines/>
              <w:jc w:val="center"/>
              <w:rPr>
                <w:rFonts w:ascii="Arial Narrow" w:eastAsia="Calibri" w:hAnsi="Arial Narrow" w:cs="Arial"/>
                <w:iCs/>
                <w:sz w:val="20"/>
                <w:szCs w:val="20"/>
              </w:rPr>
            </w:pPr>
            <w:r w:rsidRPr="00F239D1">
              <w:rPr>
                <w:rFonts w:ascii="Arial Narrow" w:eastAsia="Calibri" w:hAnsi="Arial Narrow" w:cs="Arial"/>
                <w:iCs/>
                <w:sz w:val="20"/>
                <w:szCs w:val="20"/>
              </w:rPr>
              <w:t>5</w:t>
            </w:r>
          </w:p>
        </w:tc>
        <w:tc>
          <w:tcPr>
            <w:tcW w:w="1831" w:type="dxa"/>
            <w:gridSpan w:val="2"/>
          </w:tcPr>
          <w:p w14:paraId="5D25E842" w14:textId="2648B7B6" w:rsidR="000D1582" w:rsidRDefault="000D1582" w:rsidP="005356C7">
            <w:pPr>
              <w:keepNext/>
              <w:rPr>
                <w:rFonts w:ascii="Arial Narrow" w:eastAsia="Calibri" w:hAnsi="Arial Narrow"/>
                <w:sz w:val="20"/>
                <w:szCs w:val="20"/>
              </w:rPr>
            </w:pPr>
            <w:r w:rsidRPr="00F239D1">
              <w:rPr>
                <w:rFonts w:ascii="Arial Narrow" w:eastAsia="Calibri" w:hAnsi="Arial Narrow"/>
                <w:sz w:val="20"/>
                <w:szCs w:val="20"/>
              </w:rPr>
              <w:t>LACREO</w:t>
            </w:r>
          </w:p>
        </w:tc>
      </w:tr>
      <w:tr w:rsidR="00E711B3" w:rsidRPr="00F239D1" w14:paraId="0F248AA6" w14:textId="77777777">
        <w:tblPrEx>
          <w:tblCellMar>
            <w:top w:w="0" w:type="dxa"/>
            <w:bottom w:w="0" w:type="dxa"/>
          </w:tblCellMar>
          <w:tblLook w:val="0000" w:firstRow="0" w:lastRow="0" w:firstColumn="0" w:lastColumn="0" w:noHBand="0" w:noVBand="0"/>
        </w:tblPrEx>
        <w:trPr>
          <w:cantSplit/>
          <w:trHeight w:val="20"/>
        </w:trPr>
        <w:tc>
          <w:tcPr>
            <w:tcW w:w="3939" w:type="dxa"/>
            <w:gridSpan w:val="2"/>
          </w:tcPr>
          <w:p w14:paraId="6719596E" w14:textId="77777777" w:rsidR="00E711B3" w:rsidRPr="00F239D1" w:rsidRDefault="00E711B3" w:rsidP="005179A3">
            <w:pPr>
              <w:keepNext/>
              <w:keepLines/>
              <w:rPr>
                <w:rFonts w:ascii="Arial Narrow" w:hAnsi="Arial Narrow" w:cs="Arial"/>
                <w:sz w:val="20"/>
                <w:szCs w:val="20"/>
              </w:rPr>
            </w:pPr>
            <w:r w:rsidRPr="00F239D1">
              <w:rPr>
                <w:rFonts w:ascii="Arial Narrow" w:eastAsia="Calibri" w:hAnsi="Arial Narrow" w:cs="Arial"/>
                <w:sz w:val="20"/>
                <w:szCs w:val="20"/>
              </w:rPr>
              <w:t>lanreotide 120 mg/0.5 mL injection 0.5 mL syringe</w:t>
            </w:r>
          </w:p>
        </w:tc>
        <w:tc>
          <w:tcPr>
            <w:tcW w:w="1159" w:type="dxa"/>
            <w:gridSpan w:val="2"/>
          </w:tcPr>
          <w:p w14:paraId="5288C0FA" w14:textId="77777777" w:rsidR="00E711B3" w:rsidRPr="009E5A04" w:rsidRDefault="00E711B3" w:rsidP="005356C7">
            <w:pPr>
              <w:keepNext/>
              <w:spacing w:line="276" w:lineRule="auto"/>
              <w:ind w:left="-57"/>
              <w:jc w:val="center"/>
              <w:rPr>
                <w:rFonts w:ascii="Arial Narrow" w:eastAsia="Calibri" w:hAnsi="Arial Narrow" w:cs="Arial"/>
                <w:sz w:val="20"/>
                <w:szCs w:val="20"/>
              </w:rPr>
            </w:pPr>
            <w:r w:rsidRPr="009E5A04">
              <w:rPr>
                <w:rFonts w:ascii="Arial Narrow" w:eastAsia="Calibri" w:hAnsi="Arial Narrow" w:cs="Arial"/>
                <w:sz w:val="20"/>
                <w:szCs w:val="20"/>
              </w:rPr>
              <w:t>11513Y (HB)</w:t>
            </w:r>
          </w:p>
          <w:p w14:paraId="636025DD" w14:textId="77777777" w:rsidR="00E711B3" w:rsidRPr="009E5A04" w:rsidRDefault="00E711B3" w:rsidP="005356C7">
            <w:pPr>
              <w:keepNext/>
              <w:spacing w:line="276" w:lineRule="auto"/>
              <w:ind w:left="-57"/>
              <w:jc w:val="center"/>
              <w:rPr>
                <w:rFonts w:ascii="Arial Narrow" w:eastAsia="Calibri" w:hAnsi="Arial Narrow" w:cs="Arial"/>
                <w:sz w:val="20"/>
                <w:szCs w:val="20"/>
              </w:rPr>
            </w:pPr>
            <w:r w:rsidRPr="009E5A04">
              <w:rPr>
                <w:rFonts w:ascii="Arial Narrow" w:eastAsia="Calibri" w:hAnsi="Arial Narrow" w:cs="Arial"/>
                <w:sz w:val="20"/>
                <w:szCs w:val="20"/>
              </w:rPr>
              <w:t>11527Q (HS)</w:t>
            </w:r>
          </w:p>
          <w:p w14:paraId="7A997077" w14:textId="77777777" w:rsidR="00E711B3" w:rsidRPr="00F239D1" w:rsidRDefault="00E711B3" w:rsidP="005356C7">
            <w:pPr>
              <w:keepNext/>
              <w:spacing w:line="276" w:lineRule="auto"/>
              <w:ind w:left="-57"/>
              <w:jc w:val="center"/>
              <w:rPr>
                <w:rFonts w:ascii="Arial Narrow" w:hAnsi="Arial Narrow" w:cs="Arial"/>
                <w:sz w:val="20"/>
                <w:szCs w:val="20"/>
              </w:rPr>
            </w:pPr>
            <w:r w:rsidRPr="009E5A04">
              <w:rPr>
                <w:rFonts w:ascii="Arial Narrow" w:eastAsia="Calibri" w:hAnsi="Arial Narrow" w:cs="Arial"/>
                <w:sz w:val="20"/>
                <w:szCs w:val="20"/>
              </w:rPr>
              <w:t>11736Q (CA)</w:t>
            </w:r>
            <w:r w:rsidRPr="00F239D1">
              <w:rPr>
                <w:rFonts w:ascii="Arial Narrow" w:eastAsia="Calibri" w:hAnsi="Arial Narrow" w:cs="Arial"/>
                <w:sz w:val="20"/>
                <w:szCs w:val="20"/>
              </w:rPr>
              <w:t xml:space="preserve"> </w:t>
            </w:r>
          </w:p>
        </w:tc>
        <w:tc>
          <w:tcPr>
            <w:tcW w:w="709" w:type="dxa"/>
            <w:vAlign w:val="center"/>
          </w:tcPr>
          <w:p w14:paraId="6B7C759F" w14:textId="77777777" w:rsidR="00E711B3" w:rsidRPr="00F239D1" w:rsidRDefault="00E711B3" w:rsidP="005179A3">
            <w:pPr>
              <w:keepNext/>
              <w:keepLines/>
              <w:jc w:val="center"/>
              <w:rPr>
                <w:rFonts w:ascii="Arial Narrow" w:hAnsi="Arial Narrow" w:cs="Arial"/>
                <w:sz w:val="20"/>
                <w:szCs w:val="20"/>
              </w:rPr>
            </w:pPr>
            <w:r w:rsidRPr="00F239D1">
              <w:rPr>
                <w:rFonts w:ascii="Arial Narrow" w:eastAsia="Calibri" w:hAnsi="Arial Narrow" w:cs="Arial"/>
                <w:iCs/>
                <w:sz w:val="20"/>
                <w:szCs w:val="20"/>
              </w:rPr>
              <w:t>2</w:t>
            </w:r>
          </w:p>
        </w:tc>
        <w:tc>
          <w:tcPr>
            <w:tcW w:w="709" w:type="dxa"/>
            <w:vAlign w:val="center"/>
          </w:tcPr>
          <w:p w14:paraId="20B94049" w14:textId="77777777" w:rsidR="00E711B3" w:rsidRPr="00F239D1" w:rsidRDefault="00E711B3" w:rsidP="005179A3">
            <w:pPr>
              <w:keepNext/>
              <w:keepLines/>
              <w:jc w:val="center"/>
              <w:rPr>
                <w:rFonts w:ascii="Arial Narrow" w:hAnsi="Arial Narrow" w:cs="Arial"/>
                <w:sz w:val="20"/>
                <w:szCs w:val="20"/>
              </w:rPr>
            </w:pPr>
            <w:r w:rsidRPr="00F239D1">
              <w:rPr>
                <w:rFonts w:ascii="Arial Narrow" w:eastAsia="Calibri" w:hAnsi="Arial Narrow" w:cs="Arial"/>
                <w:iCs/>
                <w:sz w:val="20"/>
                <w:szCs w:val="20"/>
              </w:rPr>
              <w:t>2</w:t>
            </w:r>
          </w:p>
        </w:tc>
        <w:tc>
          <w:tcPr>
            <w:tcW w:w="669" w:type="dxa"/>
            <w:vAlign w:val="center"/>
          </w:tcPr>
          <w:p w14:paraId="7DE3FD2B" w14:textId="77777777" w:rsidR="00E711B3" w:rsidRPr="00F239D1" w:rsidRDefault="00E711B3" w:rsidP="005179A3">
            <w:pPr>
              <w:keepNext/>
              <w:keepLines/>
              <w:jc w:val="center"/>
              <w:rPr>
                <w:rFonts w:ascii="Arial Narrow" w:hAnsi="Arial Narrow" w:cs="Arial"/>
                <w:sz w:val="20"/>
                <w:szCs w:val="20"/>
              </w:rPr>
            </w:pPr>
            <w:r w:rsidRPr="00F239D1">
              <w:rPr>
                <w:rFonts w:ascii="Arial Narrow" w:eastAsia="Calibri" w:hAnsi="Arial Narrow" w:cs="Arial"/>
                <w:iCs/>
                <w:sz w:val="20"/>
                <w:szCs w:val="20"/>
              </w:rPr>
              <w:t>5</w:t>
            </w:r>
          </w:p>
        </w:tc>
        <w:tc>
          <w:tcPr>
            <w:tcW w:w="1831" w:type="dxa"/>
            <w:gridSpan w:val="2"/>
          </w:tcPr>
          <w:p w14:paraId="2E7453DB" w14:textId="77777777" w:rsidR="00E711B3" w:rsidRDefault="00E711B3" w:rsidP="005356C7">
            <w:pPr>
              <w:keepNext/>
              <w:rPr>
                <w:rFonts w:ascii="Arial Narrow" w:hAnsi="Arial Narrow" w:cs="Arial"/>
                <w:sz w:val="20"/>
                <w:szCs w:val="20"/>
              </w:rPr>
            </w:pPr>
            <w:r>
              <w:rPr>
                <w:rFonts w:ascii="Arial Narrow" w:eastAsia="Calibri" w:hAnsi="Arial Narrow"/>
                <w:sz w:val="20"/>
                <w:szCs w:val="20"/>
              </w:rPr>
              <w:t>S</w:t>
            </w:r>
            <w:r>
              <w:rPr>
                <w:rFonts w:ascii="Arial Narrow" w:hAnsi="Arial Narrow" w:cs="Arial"/>
                <w:sz w:val="20"/>
                <w:szCs w:val="20"/>
              </w:rPr>
              <w:t>omatuline Autogel</w:t>
            </w:r>
          </w:p>
          <w:p w14:paraId="3FC1CE80" w14:textId="77777777" w:rsidR="00E711B3" w:rsidRDefault="00E711B3" w:rsidP="005356C7">
            <w:pPr>
              <w:keepNext/>
              <w:rPr>
                <w:rFonts w:ascii="Arial Narrow" w:hAnsi="Arial Narrow" w:cs="Arial"/>
                <w:sz w:val="20"/>
                <w:szCs w:val="20"/>
              </w:rPr>
            </w:pPr>
            <w:r>
              <w:rPr>
                <w:rFonts w:ascii="Arial Narrow" w:hAnsi="Arial Narrow" w:cs="Arial"/>
                <w:sz w:val="20"/>
                <w:szCs w:val="20"/>
              </w:rPr>
              <w:t xml:space="preserve">Mytolac </w:t>
            </w:r>
          </w:p>
          <w:p w14:paraId="091BEB75" w14:textId="77777777" w:rsidR="00E711B3" w:rsidRPr="00F239D1" w:rsidRDefault="00E711B3" w:rsidP="005179A3">
            <w:pPr>
              <w:keepNext/>
              <w:keepLines/>
              <w:rPr>
                <w:rFonts w:ascii="Arial Narrow" w:hAnsi="Arial Narrow" w:cs="Arial"/>
                <w:sz w:val="20"/>
                <w:szCs w:val="20"/>
              </w:rPr>
            </w:pPr>
            <w:r>
              <w:rPr>
                <w:rFonts w:ascii="Arial Narrow" w:eastAsia="Calibri" w:hAnsi="Arial Narrow"/>
                <w:sz w:val="20"/>
                <w:szCs w:val="20"/>
              </w:rPr>
              <w:t>LACREO</w:t>
            </w:r>
          </w:p>
        </w:tc>
      </w:tr>
      <w:tr w:rsidR="00E711B3" w:rsidRPr="00D13621" w14:paraId="2E94C9D9" w14:textId="77777777">
        <w:trPr>
          <w:trHeight w:val="20"/>
        </w:trPr>
        <w:tc>
          <w:tcPr>
            <w:tcW w:w="9016" w:type="dxa"/>
            <w:gridSpan w:val="9"/>
            <w:tcBorders>
              <w:top w:val="single" w:sz="4" w:space="0" w:color="auto"/>
              <w:left w:val="single" w:sz="4" w:space="0" w:color="auto"/>
              <w:right w:val="single" w:sz="4" w:space="0" w:color="auto"/>
            </w:tcBorders>
            <w:vAlign w:val="center"/>
          </w:tcPr>
          <w:p w14:paraId="777A6C2C" w14:textId="6653F3EE" w:rsidR="00E711B3" w:rsidRPr="00D13621" w:rsidRDefault="00E711B3" w:rsidP="005179A3">
            <w:pPr>
              <w:keepNext/>
              <w:keepLines/>
              <w:rPr>
                <w:rFonts w:ascii="Arial Narrow" w:hAnsi="Arial Narrow"/>
                <w:b/>
                <w:sz w:val="20"/>
                <w:szCs w:val="20"/>
              </w:rPr>
            </w:pPr>
            <w:r>
              <w:rPr>
                <w:rFonts w:ascii="Arial Narrow" w:hAnsi="Arial Narrow"/>
                <w:b/>
                <w:sz w:val="20"/>
                <w:szCs w:val="20"/>
              </w:rPr>
              <w:t xml:space="preserve"> </w:t>
            </w:r>
          </w:p>
        </w:tc>
      </w:tr>
      <w:tr w:rsidR="00E711B3" w:rsidRPr="00661B66" w14:paraId="4F8E0E72" w14:textId="77777777">
        <w:trPr>
          <w:cantSplit/>
          <w:trHeight w:val="20"/>
        </w:trPr>
        <w:tc>
          <w:tcPr>
            <w:tcW w:w="1271" w:type="dxa"/>
            <w:vAlign w:val="center"/>
            <w:hideMark/>
          </w:tcPr>
          <w:p w14:paraId="1D105909" w14:textId="26DFDD13" w:rsidR="00E711B3" w:rsidRPr="00F239D1" w:rsidRDefault="00E711B3" w:rsidP="005179A3">
            <w:pPr>
              <w:keepNext/>
              <w:keepLines/>
              <w:jc w:val="center"/>
              <w:rPr>
                <w:rFonts w:ascii="Arial Narrow" w:hAnsi="Arial Narrow"/>
                <w:sz w:val="20"/>
                <w:szCs w:val="20"/>
              </w:rPr>
            </w:pPr>
          </w:p>
        </w:tc>
        <w:tc>
          <w:tcPr>
            <w:tcW w:w="7745" w:type="dxa"/>
            <w:gridSpan w:val="8"/>
            <w:vAlign w:val="center"/>
            <w:hideMark/>
          </w:tcPr>
          <w:p w14:paraId="17346186" w14:textId="77777777" w:rsidR="00E711B3" w:rsidRPr="00661B66" w:rsidRDefault="00E711B3" w:rsidP="005179A3">
            <w:pPr>
              <w:pStyle w:val="3-BodyText"/>
              <w:keepNext/>
              <w:numPr>
                <w:ilvl w:val="0"/>
                <w:numId w:val="0"/>
              </w:numPr>
              <w:spacing w:before="0" w:after="0"/>
              <w:rPr>
                <w:rFonts w:ascii="Arial Narrow" w:hAnsi="Arial Narrow"/>
                <w:sz w:val="20"/>
                <w:szCs w:val="20"/>
              </w:rPr>
            </w:pPr>
            <w:r w:rsidRPr="00661B66">
              <w:rPr>
                <w:rFonts w:ascii="Arial Narrow" w:hAnsi="Arial Narrow"/>
                <w:b/>
                <w:bCs/>
                <w:sz w:val="20"/>
                <w:szCs w:val="20"/>
              </w:rPr>
              <w:t xml:space="preserve">Indication: </w:t>
            </w:r>
            <w:r w:rsidRPr="00661B66">
              <w:rPr>
                <w:rFonts w:ascii="Arial Narrow" w:eastAsia="Times New Roman" w:hAnsi="Arial Narrow" w:cs="Times New Roman"/>
                <w:color w:val="333333"/>
                <w:sz w:val="20"/>
                <w:szCs w:val="20"/>
              </w:rPr>
              <w:t>Non-functional gastroenteropancreatic neuroendocrine tumour (GEP-NET)</w:t>
            </w:r>
          </w:p>
        </w:tc>
      </w:tr>
      <w:tr w:rsidR="00E711B3" w:rsidRPr="00661B66" w14:paraId="0A588370" w14:textId="77777777">
        <w:trPr>
          <w:cantSplit/>
          <w:trHeight w:val="20"/>
        </w:trPr>
        <w:tc>
          <w:tcPr>
            <w:tcW w:w="1271" w:type="dxa"/>
          </w:tcPr>
          <w:p w14:paraId="17CD112B" w14:textId="0CBB1023" w:rsidR="00E711B3" w:rsidRPr="00312640" w:rsidRDefault="00E711B3" w:rsidP="005179A3">
            <w:pPr>
              <w:keepNext/>
              <w:keepLines/>
              <w:jc w:val="center"/>
              <w:rPr>
                <w:rFonts w:ascii="Arial Narrow" w:hAnsi="Arial Narrow"/>
                <w:strike/>
                <w:color w:val="333333"/>
                <w:sz w:val="20"/>
                <w:szCs w:val="20"/>
              </w:rPr>
            </w:pPr>
          </w:p>
          <w:p w14:paraId="31186BB9" w14:textId="05B5D4AB" w:rsidR="00E711B3" w:rsidRPr="00312640" w:rsidRDefault="00E711B3" w:rsidP="005179A3">
            <w:pPr>
              <w:keepNext/>
              <w:keepLines/>
              <w:jc w:val="center"/>
              <w:rPr>
                <w:rFonts w:ascii="Arial Narrow" w:hAnsi="Arial Narrow"/>
                <w:i/>
                <w:iCs/>
                <w:sz w:val="20"/>
                <w:szCs w:val="20"/>
                <w:highlight w:val="yellow"/>
              </w:rPr>
            </w:pPr>
          </w:p>
        </w:tc>
        <w:tc>
          <w:tcPr>
            <w:tcW w:w="7745" w:type="dxa"/>
            <w:gridSpan w:val="8"/>
            <w:vAlign w:val="center"/>
          </w:tcPr>
          <w:p w14:paraId="10E96E87" w14:textId="77777777" w:rsidR="00E711B3" w:rsidRPr="00C87DB4" w:rsidRDefault="00E711B3" w:rsidP="005179A3">
            <w:pPr>
              <w:keepNext/>
              <w:rPr>
                <w:rFonts w:ascii="Arial Narrow" w:hAnsi="Arial Narrow"/>
                <w:sz w:val="20"/>
                <w:szCs w:val="20"/>
              </w:rPr>
            </w:pPr>
            <w:r w:rsidRPr="00C87DB4">
              <w:rPr>
                <w:rFonts w:ascii="Arial Narrow" w:hAnsi="Arial Narrow"/>
                <w:b/>
                <w:bCs/>
                <w:color w:val="333333"/>
                <w:sz w:val="20"/>
                <w:szCs w:val="20"/>
              </w:rPr>
              <w:t xml:space="preserve">Administrative Advice: </w:t>
            </w:r>
          </w:p>
          <w:p w14:paraId="6641EE1C" w14:textId="77777777" w:rsidR="00E711B3" w:rsidRPr="00661B66" w:rsidRDefault="00E711B3" w:rsidP="005179A3">
            <w:pPr>
              <w:pStyle w:val="3-BodyText"/>
              <w:keepNext/>
              <w:numPr>
                <w:ilvl w:val="0"/>
                <w:numId w:val="0"/>
              </w:numPr>
              <w:spacing w:before="0" w:after="0"/>
              <w:rPr>
                <w:rFonts w:ascii="Arial Narrow" w:hAnsi="Arial Narrow"/>
                <w:b/>
                <w:bCs/>
                <w:sz w:val="20"/>
                <w:szCs w:val="20"/>
              </w:rPr>
            </w:pPr>
            <w:r>
              <w:rPr>
                <w:rFonts w:ascii="Arial Narrow" w:hAnsi="Arial Narrow"/>
                <w:sz w:val="20"/>
                <w:szCs w:val="20"/>
              </w:rPr>
              <w:t xml:space="preserve">Somatuline Autogel, Mytolac and </w:t>
            </w:r>
            <w:r w:rsidRPr="0020103E">
              <w:rPr>
                <w:rFonts w:ascii="Arial Narrow" w:hAnsi="Arial Narrow"/>
                <w:i/>
                <w:iCs/>
                <w:sz w:val="20"/>
                <w:szCs w:val="20"/>
              </w:rPr>
              <w:t>LACREO</w:t>
            </w:r>
            <w:r>
              <w:rPr>
                <w:rFonts w:ascii="Arial Narrow" w:hAnsi="Arial Narrow"/>
                <w:sz w:val="20"/>
                <w:szCs w:val="20"/>
              </w:rPr>
              <w:t xml:space="preserve"> products are equivalent for the purpose of substitution. Pharmacists should ensure that patients are educated regarding the product differences upon dispensing. </w:t>
            </w:r>
          </w:p>
        </w:tc>
      </w:tr>
    </w:tbl>
    <w:p w14:paraId="3F2CCF6B" w14:textId="407447E0" w:rsidR="00AF1BEB" w:rsidRDefault="00AF1BEB" w:rsidP="008F7E2C">
      <w:pPr>
        <w:pStyle w:val="3-BodyText"/>
      </w:pPr>
      <w:r>
        <w:t>Due to diffe</w:t>
      </w:r>
      <w:r w:rsidR="00354215">
        <w:t>ren</w:t>
      </w:r>
      <w:r w:rsidR="009045E3">
        <w:t xml:space="preserve">ces in the </w:t>
      </w:r>
      <w:r w:rsidR="00D84838">
        <w:t>syringe volume</w:t>
      </w:r>
      <w:r w:rsidR="009045E3">
        <w:t xml:space="preserve"> between LACREO and the currently listed brands for the 60 mg and 90 mg </w:t>
      </w:r>
      <w:r w:rsidR="003D7AAB">
        <w:t>injections</w:t>
      </w:r>
      <w:r w:rsidR="00953BD3">
        <w:t xml:space="preserve">, new item codes will be created for these strengths. </w:t>
      </w:r>
    </w:p>
    <w:p w14:paraId="5547571A" w14:textId="12DC2A9F" w:rsidR="00F32CAD" w:rsidRDefault="00F32CAD" w:rsidP="008F7E2C">
      <w:pPr>
        <w:pStyle w:val="3-BodyText"/>
      </w:pPr>
      <w:r>
        <w:lastRenderedPageBreak/>
        <w:t>Flow on changes to the existing item codes for lanreotide 60 mg</w:t>
      </w:r>
      <w:r w:rsidR="006452D0">
        <w:t>/0.5mL syringe and 90 mg/0.5mL will be req</w:t>
      </w:r>
      <w:r w:rsidR="00627C0B">
        <w:t>uired to add LACREO to the overarching administrative note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Caption w:val="Administrative Advice"/>
      </w:tblPr>
      <w:tblGrid>
        <w:gridCol w:w="1129"/>
        <w:gridCol w:w="7887"/>
      </w:tblGrid>
      <w:tr w:rsidR="00627C0B" w:rsidRPr="00661B66" w14:paraId="03142DDA" w14:textId="77777777" w:rsidTr="004D07B6">
        <w:trPr>
          <w:cantSplit/>
          <w:trHeight w:val="20"/>
        </w:trPr>
        <w:tc>
          <w:tcPr>
            <w:tcW w:w="626" w:type="pct"/>
          </w:tcPr>
          <w:p w14:paraId="21E3D84A" w14:textId="668D976D" w:rsidR="00627C0B" w:rsidRPr="00312640" w:rsidRDefault="00627C0B">
            <w:pPr>
              <w:keepLines/>
              <w:jc w:val="center"/>
              <w:rPr>
                <w:rFonts w:ascii="Arial Narrow" w:hAnsi="Arial Narrow"/>
                <w:i/>
                <w:iCs/>
                <w:sz w:val="20"/>
                <w:szCs w:val="20"/>
                <w:highlight w:val="yellow"/>
              </w:rPr>
            </w:pPr>
          </w:p>
        </w:tc>
        <w:tc>
          <w:tcPr>
            <w:tcW w:w="4374" w:type="pct"/>
            <w:vAlign w:val="center"/>
          </w:tcPr>
          <w:p w14:paraId="3CED4A14" w14:textId="77777777" w:rsidR="00627C0B" w:rsidRPr="00C87DB4" w:rsidRDefault="00627C0B">
            <w:pPr>
              <w:rPr>
                <w:rFonts w:ascii="Arial Narrow" w:hAnsi="Arial Narrow"/>
                <w:sz w:val="20"/>
                <w:szCs w:val="20"/>
              </w:rPr>
            </w:pPr>
            <w:r w:rsidRPr="00C87DB4">
              <w:rPr>
                <w:rFonts w:ascii="Arial Narrow" w:hAnsi="Arial Narrow"/>
                <w:b/>
                <w:bCs/>
                <w:color w:val="333333"/>
                <w:sz w:val="20"/>
                <w:szCs w:val="20"/>
              </w:rPr>
              <w:t xml:space="preserve">Administrative Advice: </w:t>
            </w:r>
          </w:p>
          <w:p w14:paraId="763FA7C5" w14:textId="302CA247" w:rsidR="00627C0B" w:rsidRPr="00661B66" w:rsidRDefault="00627C0B">
            <w:pPr>
              <w:pStyle w:val="3-BodyText"/>
              <w:numPr>
                <w:ilvl w:val="0"/>
                <w:numId w:val="0"/>
              </w:numPr>
              <w:spacing w:before="0" w:after="0"/>
              <w:rPr>
                <w:rFonts w:ascii="Arial Narrow" w:hAnsi="Arial Narrow"/>
                <w:b/>
                <w:bCs/>
                <w:sz w:val="20"/>
                <w:szCs w:val="20"/>
              </w:rPr>
            </w:pPr>
            <w:r>
              <w:rPr>
                <w:rFonts w:ascii="Arial Narrow" w:hAnsi="Arial Narrow"/>
                <w:sz w:val="20"/>
                <w:szCs w:val="20"/>
              </w:rPr>
              <w:t>Somatuline Autogel</w:t>
            </w:r>
            <w:r w:rsidR="00312640">
              <w:rPr>
                <w:rFonts w:ascii="Arial Narrow" w:hAnsi="Arial Narrow"/>
                <w:sz w:val="20"/>
                <w:szCs w:val="20"/>
              </w:rPr>
              <w:t xml:space="preserve">, Mytolac and </w:t>
            </w:r>
            <w:r w:rsidR="00312640" w:rsidRPr="0020103E">
              <w:rPr>
                <w:rFonts w:ascii="Arial Narrow" w:hAnsi="Arial Narrow"/>
                <w:i/>
                <w:iCs/>
                <w:sz w:val="20"/>
                <w:szCs w:val="20"/>
              </w:rPr>
              <w:t>LACREO</w:t>
            </w:r>
            <w:r w:rsidR="00312640">
              <w:rPr>
                <w:rFonts w:ascii="Arial Narrow" w:hAnsi="Arial Narrow"/>
                <w:sz w:val="20"/>
                <w:szCs w:val="20"/>
              </w:rPr>
              <w:t xml:space="preserve"> </w:t>
            </w:r>
            <w:r>
              <w:rPr>
                <w:rFonts w:ascii="Arial Narrow" w:hAnsi="Arial Narrow"/>
                <w:sz w:val="20"/>
                <w:szCs w:val="20"/>
              </w:rPr>
              <w:t xml:space="preserve">products are equivalent for the purpose of substitution. Pharmacists should ensure that patients are educated regarding the product differences upon dispensing. </w:t>
            </w:r>
          </w:p>
        </w:tc>
      </w:tr>
    </w:tbl>
    <w:p w14:paraId="29A96004" w14:textId="77777777" w:rsidR="00C27C1C" w:rsidRPr="00A6439B" w:rsidRDefault="00C27C1C" w:rsidP="00303CFE">
      <w:pPr>
        <w:pStyle w:val="2-SectionHeading"/>
        <w:rPr>
          <w:color w:val="FF0000"/>
        </w:rPr>
      </w:pPr>
      <w:r w:rsidRPr="002E3FD4">
        <w:t>Comparator</w:t>
      </w:r>
      <w:r w:rsidRPr="00A6439B">
        <w:t xml:space="preserve"> </w:t>
      </w:r>
    </w:p>
    <w:p w14:paraId="1184BA9A" w14:textId="42477D35" w:rsidR="00C27C1C" w:rsidRPr="00A6439B" w:rsidRDefault="00C27C1C" w:rsidP="00FD46BD">
      <w:pPr>
        <w:pStyle w:val="3-BodyText"/>
        <w:rPr>
          <w:i/>
        </w:rPr>
      </w:pPr>
      <w:r w:rsidRPr="00A6439B">
        <w:t xml:space="preserve">The </w:t>
      </w:r>
      <w:r w:rsidRPr="00527C6E">
        <w:t xml:space="preserve">submission nominated </w:t>
      </w:r>
      <w:r w:rsidR="00527C6E" w:rsidRPr="00527C6E">
        <w:t>lanreotide (Somatuline Autogel)</w:t>
      </w:r>
      <w:r w:rsidR="00EB7210" w:rsidRPr="00527C6E">
        <w:rPr>
          <w:i/>
        </w:rPr>
        <w:t xml:space="preserve"> </w:t>
      </w:r>
      <w:r w:rsidRPr="00527C6E">
        <w:t>as the main comparator.</w:t>
      </w:r>
    </w:p>
    <w:p w14:paraId="0436B7D8" w14:textId="77777777" w:rsidR="00C27C1C" w:rsidRPr="00A6439B" w:rsidRDefault="00C27C1C" w:rsidP="00E665F1">
      <w:pPr>
        <w:pStyle w:val="Heading1"/>
        <w:keepLines/>
        <w:numPr>
          <w:ilvl w:val="0"/>
          <w:numId w:val="1"/>
        </w:numPr>
        <w:spacing w:before="240"/>
        <w:ind w:left="709" w:hanging="709"/>
        <w:rPr>
          <w:sz w:val="32"/>
          <w:szCs w:val="32"/>
        </w:rPr>
      </w:pPr>
      <w:r w:rsidRPr="00A6439B">
        <w:rPr>
          <w:sz w:val="32"/>
          <w:szCs w:val="32"/>
        </w:rPr>
        <w:t>Consideration of the evidence</w:t>
      </w:r>
    </w:p>
    <w:p w14:paraId="39A3909A" w14:textId="1C45966A" w:rsidR="00A74170" w:rsidRDefault="00A74170" w:rsidP="00A74170">
      <w:pPr>
        <w:pStyle w:val="4-SubsectionHeading"/>
      </w:pPr>
      <w:r>
        <w:t>Sponsor hearing</w:t>
      </w:r>
    </w:p>
    <w:p w14:paraId="33BC668D" w14:textId="698968AB" w:rsidR="00A74170" w:rsidRDefault="00A74170" w:rsidP="00A74170">
      <w:pPr>
        <w:pStyle w:val="3-BodyText"/>
      </w:pPr>
      <w:r>
        <w:t>There was no hearing for this item.</w:t>
      </w:r>
    </w:p>
    <w:p w14:paraId="18C01E85" w14:textId="10215B0C" w:rsidR="00A74170" w:rsidRDefault="00A74170" w:rsidP="00A74170">
      <w:pPr>
        <w:pStyle w:val="4-SubsectionHeading"/>
      </w:pPr>
      <w:r>
        <w:t>Consumer input</w:t>
      </w:r>
    </w:p>
    <w:p w14:paraId="533AB9C5" w14:textId="38059B03" w:rsidR="009F6F29" w:rsidRDefault="00E61AE9" w:rsidP="009F6F29">
      <w:pPr>
        <w:pStyle w:val="3-BodyText"/>
      </w:pPr>
      <w:r>
        <w:t xml:space="preserve">The PBAC noted and welcomed input from </w:t>
      </w:r>
      <w:r w:rsidR="00316C76">
        <w:t>Rare Cancers Australia</w:t>
      </w:r>
      <w:r w:rsidR="00141C77">
        <w:t xml:space="preserve"> which described </w:t>
      </w:r>
      <w:r w:rsidR="00D30C0D">
        <w:t xml:space="preserve">the </w:t>
      </w:r>
      <w:r w:rsidR="00DA3BC5">
        <w:t xml:space="preserve">physical, psychological and daily burden </w:t>
      </w:r>
      <w:r w:rsidR="00D41863">
        <w:t xml:space="preserve">for patients living with </w:t>
      </w:r>
      <w:r w:rsidR="00D41863" w:rsidRPr="006F154D">
        <w:t>acromegaly, functional carcinoid tumour and GEP-NET</w:t>
      </w:r>
      <w:r w:rsidR="00B04CFC">
        <w:t xml:space="preserve">. </w:t>
      </w:r>
      <w:r w:rsidR="00F920C3">
        <w:t xml:space="preserve">The input described </w:t>
      </w:r>
      <w:r w:rsidR="00DF3ED5">
        <w:t>a range of benefits of treatment with lanreotide</w:t>
      </w:r>
      <w:r w:rsidR="00831BF0">
        <w:t>,</w:t>
      </w:r>
      <w:r w:rsidR="00DF3ED5">
        <w:t xml:space="preserve"> including </w:t>
      </w:r>
      <w:r w:rsidR="008F306D">
        <w:t>reduced treatment and financial burden</w:t>
      </w:r>
      <w:r w:rsidR="00392170">
        <w:t xml:space="preserve"> and improvement in overall quality of life.</w:t>
      </w:r>
    </w:p>
    <w:p w14:paraId="3B4F2B06" w14:textId="73A61E32" w:rsidR="009F6F29" w:rsidRPr="00A74170" w:rsidRDefault="00BC205B" w:rsidP="009F6F29">
      <w:pPr>
        <w:pStyle w:val="4-SubsectionHeading"/>
      </w:pPr>
      <w:r>
        <w:t>Clinical claim</w:t>
      </w:r>
    </w:p>
    <w:p w14:paraId="7265A2FB" w14:textId="6B0BAAC7" w:rsidR="00C27C1C" w:rsidRPr="003F02E3" w:rsidRDefault="00535133" w:rsidP="00C4136F">
      <w:pPr>
        <w:pStyle w:val="3-BodyText"/>
      </w:pPr>
      <w:r w:rsidRPr="00A6439B">
        <w:t>T</w:t>
      </w:r>
      <w:r w:rsidR="00C27C1C" w:rsidRPr="00A6439B">
        <w:t>he submission</w:t>
      </w:r>
      <w:r w:rsidR="003E658D" w:rsidRPr="00A6439B">
        <w:t>’s</w:t>
      </w:r>
      <w:r w:rsidR="00C27C1C" w:rsidRPr="00A6439B">
        <w:t xml:space="preserve"> request </w:t>
      </w:r>
      <w:r w:rsidR="00C27C1C" w:rsidRPr="003F02E3">
        <w:t xml:space="preserve">was </w:t>
      </w:r>
      <w:r w:rsidRPr="003F02E3">
        <w:t>based on</w:t>
      </w:r>
      <w:r w:rsidR="0074408F" w:rsidRPr="003F02E3">
        <w:t xml:space="preserve"> bioequivalence to the originator brand, Somatuline Autogel</w:t>
      </w:r>
      <w:r w:rsidR="00C4136F" w:rsidRPr="003F02E3">
        <w:t>. The</w:t>
      </w:r>
      <w:r w:rsidR="0074408F" w:rsidRPr="003F02E3">
        <w:t xml:space="preserve"> Therapeutic Goods Administration</w:t>
      </w:r>
      <w:r w:rsidR="00C4136F" w:rsidRPr="003F02E3">
        <w:t xml:space="preserve"> (TGA) </w:t>
      </w:r>
      <w:r w:rsidR="00F46A28">
        <w:t xml:space="preserve">provided an approval letter </w:t>
      </w:r>
      <w:r w:rsidR="003D4197">
        <w:t>establishing</w:t>
      </w:r>
      <w:r w:rsidR="0067608D" w:rsidRPr="003F02E3">
        <w:t xml:space="preserve"> that LACREO is bioequivalent </w:t>
      </w:r>
      <w:r w:rsidR="003F02E3" w:rsidRPr="003F02E3">
        <w:t>on 19 September 2025.</w:t>
      </w:r>
    </w:p>
    <w:p w14:paraId="45D181E4" w14:textId="77777777" w:rsidR="00C27C1C" w:rsidRPr="00A6439B" w:rsidRDefault="00C27C1C" w:rsidP="00C27C1C">
      <w:pPr>
        <w:pStyle w:val="4-SubsectionHeading"/>
        <w:rPr>
          <w:lang w:eastAsia="en-US"/>
        </w:rPr>
      </w:pPr>
      <w:r w:rsidRPr="00A6439B">
        <w:rPr>
          <w:lang w:eastAsia="en-US"/>
        </w:rPr>
        <w:t xml:space="preserve">Economic analysis </w:t>
      </w:r>
    </w:p>
    <w:p w14:paraId="608EBEE1" w14:textId="410F6F82" w:rsidR="004B1224" w:rsidRDefault="00C27C1C" w:rsidP="00EB08D4">
      <w:pPr>
        <w:pStyle w:val="3-BodyText"/>
      </w:pPr>
      <w:r w:rsidRPr="00A6439B">
        <w:t>The submission presented a cost-minimisation a</w:t>
      </w:r>
      <w:r w:rsidR="00600A18">
        <w:t>pproach</w:t>
      </w:r>
      <w:r w:rsidRPr="00A6439B">
        <w:t xml:space="preserve"> of </w:t>
      </w:r>
      <w:r w:rsidR="007514D3">
        <w:t>LACREO</w:t>
      </w:r>
      <w:r w:rsidRPr="00A6439B">
        <w:t xml:space="preserve"> compared with </w:t>
      </w:r>
      <w:r w:rsidR="000659F9">
        <w:t>Somatuline Autogel</w:t>
      </w:r>
      <w:r w:rsidRPr="00A6439B">
        <w:t>. The equi-effective doses were estimated as</w:t>
      </w:r>
      <w:r w:rsidR="002C6D48">
        <w:t>:</w:t>
      </w:r>
    </w:p>
    <w:p w14:paraId="0835B1E3" w14:textId="77777777" w:rsidR="004B1224" w:rsidRDefault="004B1224">
      <w:pPr>
        <w:jc w:val="left"/>
        <w:rPr>
          <w:rFonts w:asciiTheme="minorHAnsi" w:eastAsiaTheme="minorHAnsi" w:hAnsiTheme="minorHAnsi" w:cstheme="minorBidi"/>
          <w:szCs w:val="22"/>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stimated equi-effective doses"/>
      </w:tblPr>
      <w:tblGrid>
        <w:gridCol w:w="4091"/>
        <w:gridCol w:w="312"/>
        <w:gridCol w:w="4613"/>
      </w:tblGrid>
      <w:tr w:rsidR="002C6D48" w:rsidRPr="009A47C7" w14:paraId="421CE85B" w14:textId="2E5825BB" w:rsidTr="00F33902">
        <w:tc>
          <w:tcPr>
            <w:tcW w:w="2269" w:type="pct"/>
            <w:vAlign w:val="center"/>
          </w:tcPr>
          <w:p w14:paraId="05239BCE" w14:textId="65481F30" w:rsidR="002C6D48" w:rsidRPr="00B00B9C" w:rsidRDefault="00C20C81" w:rsidP="00C20C81">
            <w:pPr>
              <w:jc w:val="left"/>
              <w:rPr>
                <w:rFonts w:ascii="Arial Narrow" w:hAnsi="Arial Narrow"/>
                <w:sz w:val="20"/>
                <w:szCs w:val="20"/>
              </w:rPr>
            </w:pPr>
            <w:r w:rsidRPr="00B00B9C">
              <w:rPr>
                <w:rFonts w:ascii="Arial Narrow" w:hAnsi="Arial Narrow"/>
                <w:sz w:val="20"/>
                <w:szCs w:val="20"/>
              </w:rPr>
              <w:lastRenderedPageBreak/>
              <w:t>L</w:t>
            </w:r>
            <w:r w:rsidR="002C6D48" w:rsidRPr="00B00B9C">
              <w:rPr>
                <w:rFonts w:ascii="Arial Narrow" w:hAnsi="Arial Narrow"/>
                <w:sz w:val="20"/>
                <w:szCs w:val="20"/>
              </w:rPr>
              <w:t>ACREO 60 mg/0.2 mL injection 0.2 mL syringe</w:t>
            </w:r>
          </w:p>
        </w:tc>
        <w:tc>
          <w:tcPr>
            <w:tcW w:w="173" w:type="pct"/>
            <w:vAlign w:val="center"/>
          </w:tcPr>
          <w:p w14:paraId="4005C050" w14:textId="7541765D" w:rsidR="002C6D48" w:rsidRPr="00B00B9C" w:rsidRDefault="002C6D48" w:rsidP="00D7113E">
            <w:pPr>
              <w:jc w:val="left"/>
              <w:rPr>
                <w:rFonts w:ascii="Arial Narrow" w:hAnsi="Arial Narrow"/>
                <w:sz w:val="20"/>
                <w:szCs w:val="20"/>
              </w:rPr>
            </w:pPr>
            <w:r w:rsidRPr="00B00B9C">
              <w:rPr>
                <w:rFonts w:ascii="Arial Narrow" w:hAnsi="Arial Narrow"/>
                <w:sz w:val="20"/>
                <w:szCs w:val="20"/>
              </w:rPr>
              <w:t>=</w:t>
            </w:r>
          </w:p>
        </w:tc>
        <w:tc>
          <w:tcPr>
            <w:tcW w:w="2558" w:type="pct"/>
            <w:vAlign w:val="center"/>
          </w:tcPr>
          <w:p w14:paraId="06AC38CD" w14:textId="013BA2BA" w:rsidR="002C6D48" w:rsidRPr="00B00B9C" w:rsidRDefault="002C6D48" w:rsidP="00C20C81">
            <w:pPr>
              <w:jc w:val="left"/>
              <w:rPr>
                <w:rFonts w:ascii="Arial Narrow" w:hAnsi="Arial Narrow"/>
                <w:sz w:val="20"/>
                <w:szCs w:val="20"/>
              </w:rPr>
            </w:pPr>
            <w:r w:rsidRPr="00B00B9C">
              <w:rPr>
                <w:rFonts w:ascii="Arial Narrow" w:hAnsi="Arial Narrow"/>
                <w:sz w:val="20"/>
                <w:szCs w:val="20"/>
              </w:rPr>
              <w:t>Somatuline Autogel 60 mg/0.5 mL injection 0.5 mL syringe</w:t>
            </w:r>
          </w:p>
        </w:tc>
      </w:tr>
      <w:tr w:rsidR="002C6D48" w:rsidRPr="009A47C7" w14:paraId="5BB99539" w14:textId="52733E95" w:rsidTr="00F33902">
        <w:tc>
          <w:tcPr>
            <w:tcW w:w="2269" w:type="pct"/>
            <w:vAlign w:val="center"/>
          </w:tcPr>
          <w:p w14:paraId="39646669" w14:textId="2705CBDC" w:rsidR="002C6D48" w:rsidRPr="00B00B9C" w:rsidRDefault="002C6D48" w:rsidP="00C20C81">
            <w:pPr>
              <w:jc w:val="left"/>
              <w:rPr>
                <w:rFonts w:ascii="Arial Narrow" w:hAnsi="Arial Narrow"/>
                <w:sz w:val="20"/>
                <w:szCs w:val="20"/>
              </w:rPr>
            </w:pPr>
            <w:r w:rsidRPr="00B00B9C">
              <w:rPr>
                <w:rFonts w:ascii="Arial Narrow" w:hAnsi="Arial Narrow"/>
                <w:sz w:val="20"/>
                <w:szCs w:val="20"/>
              </w:rPr>
              <w:t>LACREO 90 mg/0.3 mL injection 0.3 mL syringe</w:t>
            </w:r>
          </w:p>
        </w:tc>
        <w:tc>
          <w:tcPr>
            <w:tcW w:w="173" w:type="pct"/>
            <w:vAlign w:val="center"/>
          </w:tcPr>
          <w:p w14:paraId="20B84346" w14:textId="6B66CF2F" w:rsidR="002C6D48" w:rsidRPr="00B00B9C" w:rsidRDefault="002C6D48" w:rsidP="00D7113E">
            <w:pPr>
              <w:jc w:val="left"/>
              <w:rPr>
                <w:rFonts w:ascii="Arial Narrow" w:hAnsi="Arial Narrow"/>
                <w:sz w:val="20"/>
                <w:szCs w:val="20"/>
              </w:rPr>
            </w:pPr>
            <w:r w:rsidRPr="00B00B9C">
              <w:rPr>
                <w:rFonts w:ascii="Arial Narrow" w:hAnsi="Arial Narrow"/>
                <w:sz w:val="20"/>
                <w:szCs w:val="20"/>
              </w:rPr>
              <w:t>=</w:t>
            </w:r>
          </w:p>
        </w:tc>
        <w:tc>
          <w:tcPr>
            <w:tcW w:w="2558" w:type="pct"/>
            <w:vAlign w:val="center"/>
          </w:tcPr>
          <w:p w14:paraId="2A34B445" w14:textId="696C77C5" w:rsidR="002C6D48" w:rsidRPr="00B00B9C" w:rsidRDefault="002C6D48" w:rsidP="00C20C81">
            <w:pPr>
              <w:jc w:val="left"/>
              <w:rPr>
                <w:rFonts w:ascii="Arial Narrow" w:hAnsi="Arial Narrow"/>
                <w:sz w:val="20"/>
                <w:szCs w:val="20"/>
              </w:rPr>
            </w:pPr>
            <w:r w:rsidRPr="00B00B9C">
              <w:rPr>
                <w:rFonts w:ascii="Arial Narrow" w:hAnsi="Arial Narrow"/>
                <w:sz w:val="20"/>
                <w:szCs w:val="20"/>
              </w:rPr>
              <w:t>Somatuline Autogel 90 mg/0.5 mL injection 0.5 mL syringe</w:t>
            </w:r>
          </w:p>
        </w:tc>
      </w:tr>
      <w:tr w:rsidR="002C6D48" w:rsidRPr="009A47C7" w14:paraId="17E49794" w14:textId="5867C041" w:rsidTr="00F33902">
        <w:tc>
          <w:tcPr>
            <w:tcW w:w="2269" w:type="pct"/>
            <w:vAlign w:val="center"/>
          </w:tcPr>
          <w:p w14:paraId="517BDD46" w14:textId="050C1F19" w:rsidR="002C6D48" w:rsidRPr="00B00B9C" w:rsidRDefault="002C6D48" w:rsidP="00C20C81">
            <w:pPr>
              <w:jc w:val="left"/>
              <w:rPr>
                <w:rFonts w:ascii="Arial Narrow" w:hAnsi="Arial Narrow"/>
                <w:sz w:val="20"/>
                <w:szCs w:val="20"/>
              </w:rPr>
            </w:pPr>
            <w:r w:rsidRPr="00B00B9C">
              <w:rPr>
                <w:rFonts w:ascii="Arial Narrow" w:hAnsi="Arial Narrow"/>
                <w:sz w:val="20"/>
                <w:szCs w:val="20"/>
              </w:rPr>
              <w:t>LACREO 120 mg/0.5 mL injection 0.5 mL syringe</w:t>
            </w:r>
          </w:p>
        </w:tc>
        <w:tc>
          <w:tcPr>
            <w:tcW w:w="173" w:type="pct"/>
            <w:vAlign w:val="center"/>
          </w:tcPr>
          <w:p w14:paraId="728D626E" w14:textId="62273296" w:rsidR="002C6D48" w:rsidRPr="00B00B9C" w:rsidRDefault="002C6D48" w:rsidP="00D7113E">
            <w:pPr>
              <w:jc w:val="left"/>
              <w:rPr>
                <w:rFonts w:ascii="Arial Narrow" w:hAnsi="Arial Narrow"/>
                <w:sz w:val="20"/>
                <w:szCs w:val="20"/>
              </w:rPr>
            </w:pPr>
            <w:r w:rsidRPr="00B00B9C">
              <w:rPr>
                <w:rFonts w:ascii="Arial Narrow" w:hAnsi="Arial Narrow"/>
                <w:sz w:val="20"/>
                <w:szCs w:val="20"/>
              </w:rPr>
              <w:t>=</w:t>
            </w:r>
          </w:p>
        </w:tc>
        <w:tc>
          <w:tcPr>
            <w:tcW w:w="2558" w:type="pct"/>
            <w:vAlign w:val="center"/>
          </w:tcPr>
          <w:p w14:paraId="1F4761A5" w14:textId="3D11A825" w:rsidR="002C6D48" w:rsidRPr="00B00B9C" w:rsidRDefault="002C6D48" w:rsidP="00C20C81">
            <w:pPr>
              <w:jc w:val="left"/>
              <w:rPr>
                <w:rFonts w:ascii="Arial Narrow" w:hAnsi="Arial Narrow"/>
                <w:sz w:val="20"/>
                <w:szCs w:val="20"/>
              </w:rPr>
            </w:pPr>
            <w:r w:rsidRPr="00B00B9C">
              <w:rPr>
                <w:rFonts w:ascii="Arial Narrow" w:hAnsi="Arial Narrow"/>
                <w:sz w:val="20"/>
                <w:szCs w:val="20"/>
              </w:rPr>
              <w:t>Somatuline Autogel 120 mg/0.5 mL injection 0.5 mL syringe</w:t>
            </w:r>
          </w:p>
        </w:tc>
      </w:tr>
    </w:tbl>
    <w:p w14:paraId="77DE7F6A" w14:textId="60FB03D9" w:rsidR="00E45975" w:rsidRDefault="00E45975" w:rsidP="00E665F1">
      <w:pPr>
        <w:pStyle w:val="3-BodyText"/>
        <w:numPr>
          <w:ilvl w:val="1"/>
          <w:numId w:val="1"/>
        </w:numPr>
      </w:pPr>
      <w:r w:rsidRPr="00A6439B">
        <w:t xml:space="preserve">The requested price was based on the </w:t>
      </w:r>
      <w:r w:rsidRPr="00EE2ABD">
        <w:t>AEMP of Somatuline Autogel</w:t>
      </w:r>
      <w:r>
        <w:t xml:space="preserve">, </w:t>
      </w:r>
      <w:r w:rsidR="002D5A41">
        <w:t>in</w:t>
      </w:r>
      <w:r>
        <w:t xml:space="preserve"> February 2026</w:t>
      </w:r>
      <w:r w:rsidRPr="00EE2ABD">
        <w:t xml:space="preserve">. </w:t>
      </w:r>
    </w:p>
    <w:p w14:paraId="5EB16602" w14:textId="257796BC"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3C71CC3F" w14:textId="1B3A359C" w:rsidR="00F26D80" w:rsidRPr="00EE2ABD" w:rsidRDefault="003D4B45" w:rsidP="00E665F1">
      <w:pPr>
        <w:pStyle w:val="3-BodyText"/>
        <w:numPr>
          <w:ilvl w:val="1"/>
          <w:numId w:val="1"/>
        </w:numPr>
      </w:pPr>
      <w:r>
        <w:fldChar w:fldCharType="begin"/>
      </w:r>
      <w:r>
        <w:instrText xml:space="preserve"> REF _Ref225943817 \h </w:instrText>
      </w:r>
      <w:r>
        <w:fldChar w:fldCharType="separate"/>
      </w:r>
      <w:r>
        <w:t xml:space="preserve">Table </w:t>
      </w:r>
      <w:r>
        <w:rPr>
          <w:noProof/>
        </w:rPr>
        <w:t>2</w:t>
      </w:r>
      <w:r>
        <w:fldChar w:fldCharType="end"/>
      </w:r>
      <w:r>
        <w:t xml:space="preserve"> </w:t>
      </w:r>
      <w:r w:rsidR="00D70349" w:rsidRPr="00EE2ABD">
        <w:t xml:space="preserve">presents the estimated extent of use, cost of </w:t>
      </w:r>
      <w:r w:rsidR="007368C7" w:rsidRPr="00EE2ABD">
        <w:t>LACREO</w:t>
      </w:r>
      <w:r w:rsidR="00D70349" w:rsidRPr="00EE2ABD">
        <w:t xml:space="preserve"> to the PBS/RPBS and the net financial implications to the PBS/RPBS</w:t>
      </w:r>
      <w:r w:rsidR="007368C7" w:rsidRPr="00EE2ABD">
        <w:t xml:space="preserve"> and </w:t>
      </w:r>
      <w:r w:rsidR="00D70349" w:rsidRPr="00EE2ABD">
        <w:t>MBS</w:t>
      </w:r>
      <w:r w:rsidR="007368C7" w:rsidRPr="00EE2ABD">
        <w:t xml:space="preserve">. </w:t>
      </w:r>
      <w:r w:rsidR="00D70349" w:rsidRPr="00EE2ABD">
        <w:t>The financial impact to Services Australia will be determined by that agency as part of the post PBAC process.</w:t>
      </w:r>
    </w:p>
    <w:p w14:paraId="69F0C81D" w14:textId="371F0857" w:rsidR="00F26D80" w:rsidRPr="00EE2ABD" w:rsidRDefault="00D70349" w:rsidP="00E665F1">
      <w:pPr>
        <w:pStyle w:val="3-BodyText"/>
        <w:numPr>
          <w:ilvl w:val="1"/>
          <w:numId w:val="1"/>
        </w:numPr>
        <w:spacing w:after="0"/>
      </w:pPr>
      <w:r w:rsidRPr="00EE2ABD">
        <w:t xml:space="preserve">The submission estimated that </w:t>
      </w:r>
      <w:r w:rsidR="009C428C" w:rsidRPr="009C428C">
        <w:t>30,000 to &lt; 40,000</w:t>
      </w:r>
      <w:r w:rsidR="009C428C">
        <w:t xml:space="preserve"> </w:t>
      </w:r>
      <w:r w:rsidR="00EE2ABD" w:rsidRPr="00EE2ABD">
        <w:t xml:space="preserve">LACREO </w:t>
      </w:r>
      <w:r w:rsidR="00EB0EB5" w:rsidRPr="00EE2ABD">
        <w:t>scripts</w:t>
      </w:r>
      <w:r w:rsidRPr="00EE2ABD">
        <w:t xml:space="preserve"> would be supplied over the first six years of listing (</w:t>
      </w:r>
      <w:r w:rsidR="009D4315" w:rsidRPr="009D4315">
        <w:t>500 to &lt; 5,000</w:t>
      </w:r>
      <w:r w:rsidR="009D4315">
        <w:t xml:space="preserve"> </w:t>
      </w:r>
      <w:r w:rsidR="00EE6203" w:rsidRPr="00EE2ABD">
        <w:t>in Year 1</w:t>
      </w:r>
      <w:r w:rsidRPr="00EE2ABD">
        <w:t xml:space="preserve"> to </w:t>
      </w:r>
      <w:r w:rsidR="003A0AEA" w:rsidRPr="003A0AEA">
        <w:t>5,000 to &lt; 10,000</w:t>
      </w:r>
      <w:r w:rsidR="003A0AEA">
        <w:t xml:space="preserve"> </w:t>
      </w:r>
      <w:r w:rsidR="00EE6203" w:rsidRPr="00EE2ABD">
        <w:t>in Year 6</w:t>
      </w:r>
      <w:r w:rsidRPr="00EE2ABD">
        <w:t xml:space="preserve">). </w:t>
      </w:r>
    </w:p>
    <w:p w14:paraId="74F1EFA3" w14:textId="65C9D091" w:rsidR="00E21164" w:rsidRPr="00A6439B" w:rsidRDefault="000A02F8" w:rsidP="00EB08D4">
      <w:pPr>
        <w:pStyle w:val="ListParagraph"/>
      </w:pPr>
      <w:r w:rsidRPr="00A6439B">
        <w:t xml:space="preserve">The </w:t>
      </w:r>
      <w:r w:rsidRPr="0046737B">
        <w:t>submission</w:t>
      </w:r>
      <w:r w:rsidRPr="00A6439B">
        <w:t xml:space="preserve"> stated that t</w:t>
      </w:r>
      <w:r w:rsidR="00D70349" w:rsidRPr="00A6439B">
        <w:t xml:space="preserve">he estimated net financial impact to the PBS/RPBS for </w:t>
      </w:r>
      <w:r w:rsidR="00D70349" w:rsidRPr="0046737B">
        <w:t>the</w:t>
      </w:r>
      <w:r w:rsidR="00D70349" w:rsidRPr="00A6439B">
        <w:t xml:space="preserve"> listing of </w:t>
      </w:r>
      <w:r w:rsidR="00A41443">
        <w:t>LACREO</w:t>
      </w:r>
      <w:r w:rsidR="00D70349" w:rsidRPr="00A6439B">
        <w:t xml:space="preserve"> is $</w:t>
      </w:r>
      <w:r w:rsidR="00A41443">
        <w:t>0</w:t>
      </w:r>
      <w:r w:rsidR="00D70349" w:rsidRPr="00A6439B">
        <w:t xml:space="preserve"> over six years</w:t>
      </w:r>
      <w:r w:rsidR="00A41443">
        <w:t>.</w:t>
      </w:r>
    </w:p>
    <w:p w14:paraId="5776D7DB" w14:textId="351621E8" w:rsidR="00272DE5" w:rsidRPr="001661F3" w:rsidRDefault="00562422" w:rsidP="00562422">
      <w:pPr>
        <w:pStyle w:val="Caption"/>
        <w:keepNext/>
        <w:rPr>
          <w:rFonts w:asciiTheme="minorHAnsi" w:hAnsiTheme="minorHAnsi" w:cstheme="minorHAnsi"/>
          <w:sz w:val="24"/>
          <w:szCs w:val="24"/>
        </w:rPr>
      </w:pPr>
      <w:bookmarkStart w:id="2" w:name="_Ref225943817"/>
      <w:r>
        <w:t xml:space="preserve">Table </w:t>
      </w:r>
      <w:fldSimple w:instr=" SEQ Table \* ARABIC ">
        <w:r>
          <w:rPr>
            <w:noProof/>
          </w:rPr>
          <w:t>2</w:t>
        </w:r>
      </w:fldSimple>
      <w:bookmarkStart w:id="3" w:name="_Hlk121755068"/>
      <w:bookmarkEnd w:id="2"/>
      <w:r w:rsidR="00D70349" w:rsidRPr="00A6439B">
        <w:rPr>
          <w:rFonts w:eastAsiaTheme="majorEastAsia"/>
        </w:rPr>
        <w:t>:</w:t>
      </w:r>
      <w:bookmarkEnd w:id="3"/>
      <w:r w:rsidR="00D70349" w:rsidRPr="00A6439B">
        <w:rPr>
          <w:rFonts w:eastAsiaTheme="majorEastAsia"/>
        </w:rPr>
        <w:t xml:space="preserve"> </w:t>
      </w:r>
      <w:r w:rsidR="00D70349" w:rsidRPr="00A6439B">
        <w:rPr>
          <w:rStyle w:val="CommentReference"/>
          <w:sz w:val="20"/>
          <w:szCs w:val="22"/>
        </w:rPr>
        <w:t>Estimated use and financial implications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Estimated use and financial implications"/>
      </w:tblPr>
      <w:tblGrid>
        <w:gridCol w:w="2262"/>
        <w:gridCol w:w="987"/>
        <w:gridCol w:w="1137"/>
        <w:gridCol w:w="1139"/>
        <w:gridCol w:w="1139"/>
        <w:gridCol w:w="1139"/>
        <w:gridCol w:w="1135"/>
      </w:tblGrid>
      <w:tr w:rsidR="00AC76E0" w:rsidRPr="00AC76E0" w14:paraId="50517F09" w14:textId="77777777" w:rsidTr="001A4DF5">
        <w:trPr>
          <w:cantSplit/>
          <w:tblHeader/>
          <w:jc w:val="center"/>
        </w:trPr>
        <w:tc>
          <w:tcPr>
            <w:tcW w:w="1266" w:type="pct"/>
            <w:vAlign w:val="center"/>
          </w:tcPr>
          <w:p w14:paraId="146FDDC6" w14:textId="77777777" w:rsidR="00D70349" w:rsidRPr="00AC76E0" w:rsidRDefault="00D70349" w:rsidP="00EB08D4">
            <w:pPr>
              <w:pStyle w:val="TableText0"/>
              <w:keepNext w:val="0"/>
              <w:widowControl w:val="0"/>
            </w:pPr>
          </w:p>
        </w:tc>
        <w:tc>
          <w:tcPr>
            <w:tcW w:w="552" w:type="pct"/>
            <w:vAlign w:val="center"/>
          </w:tcPr>
          <w:p w14:paraId="229BAAA8" w14:textId="77777777" w:rsidR="00D70349" w:rsidRPr="00AC76E0" w:rsidRDefault="00D70349" w:rsidP="00EB08D4">
            <w:pPr>
              <w:pStyle w:val="TableText0"/>
              <w:keepNext w:val="0"/>
              <w:widowControl w:val="0"/>
              <w:rPr>
                <w:b/>
              </w:rPr>
            </w:pPr>
            <w:r w:rsidRPr="00AC76E0">
              <w:rPr>
                <w:b/>
              </w:rPr>
              <w:t>Year 1</w:t>
            </w:r>
          </w:p>
        </w:tc>
        <w:tc>
          <w:tcPr>
            <w:tcW w:w="636" w:type="pct"/>
            <w:vAlign w:val="center"/>
          </w:tcPr>
          <w:p w14:paraId="48EEAB93" w14:textId="77777777" w:rsidR="00D70349" w:rsidRPr="00AC76E0" w:rsidRDefault="00D70349" w:rsidP="00EB08D4">
            <w:pPr>
              <w:pStyle w:val="TableText0"/>
              <w:keepNext w:val="0"/>
              <w:widowControl w:val="0"/>
              <w:rPr>
                <w:b/>
              </w:rPr>
            </w:pPr>
            <w:r w:rsidRPr="00AC76E0">
              <w:rPr>
                <w:b/>
              </w:rPr>
              <w:t>Year 2</w:t>
            </w:r>
          </w:p>
        </w:tc>
        <w:tc>
          <w:tcPr>
            <w:tcW w:w="637" w:type="pct"/>
            <w:vAlign w:val="center"/>
          </w:tcPr>
          <w:p w14:paraId="0738F741" w14:textId="77777777" w:rsidR="00D70349" w:rsidRPr="00AC76E0" w:rsidRDefault="00D70349" w:rsidP="00EB08D4">
            <w:pPr>
              <w:pStyle w:val="TableText0"/>
              <w:keepNext w:val="0"/>
              <w:widowControl w:val="0"/>
              <w:rPr>
                <w:b/>
              </w:rPr>
            </w:pPr>
            <w:r w:rsidRPr="00AC76E0">
              <w:rPr>
                <w:b/>
              </w:rPr>
              <w:t>Year 3</w:t>
            </w:r>
          </w:p>
        </w:tc>
        <w:tc>
          <w:tcPr>
            <w:tcW w:w="637" w:type="pct"/>
            <w:vAlign w:val="center"/>
          </w:tcPr>
          <w:p w14:paraId="2F722BB7" w14:textId="77777777" w:rsidR="00D70349" w:rsidRPr="00AC76E0" w:rsidRDefault="00D70349" w:rsidP="00EB08D4">
            <w:pPr>
              <w:pStyle w:val="TableText0"/>
              <w:keepNext w:val="0"/>
              <w:widowControl w:val="0"/>
              <w:rPr>
                <w:b/>
              </w:rPr>
            </w:pPr>
            <w:r w:rsidRPr="00AC76E0">
              <w:rPr>
                <w:b/>
              </w:rPr>
              <w:t>Year 4</w:t>
            </w:r>
          </w:p>
        </w:tc>
        <w:tc>
          <w:tcPr>
            <w:tcW w:w="637" w:type="pct"/>
            <w:vAlign w:val="center"/>
          </w:tcPr>
          <w:p w14:paraId="4A03E0AC" w14:textId="77777777" w:rsidR="00D70349" w:rsidRPr="00AC76E0" w:rsidRDefault="00D70349" w:rsidP="00EB08D4">
            <w:pPr>
              <w:pStyle w:val="TableText0"/>
              <w:keepNext w:val="0"/>
              <w:widowControl w:val="0"/>
              <w:rPr>
                <w:b/>
              </w:rPr>
            </w:pPr>
            <w:r w:rsidRPr="00AC76E0">
              <w:rPr>
                <w:b/>
              </w:rPr>
              <w:t>Year 5</w:t>
            </w:r>
          </w:p>
        </w:tc>
        <w:tc>
          <w:tcPr>
            <w:tcW w:w="637" w:type="pct"/>
          </w:tcPr>
          <w:p w14:paraId="11CF147B" w14:textId="77777777" w:rsidR="00D70349" w:rsidRPr="00AC76E0" w:rsidRDefault="00D70349" w:rsidP="00EB08D4">
            <w:pPr>
              <w:pStyle w:val="TableText0"/>
              <w:keepNext w:val="0"/>
              <w:widowControl w:val="0"/>
              <w:rPr>
                <w:b/>
              </w:rPr>
            </w:pPr>
            <w:r w:rsidRPr="00AC76E0">
              <w:rPr>
                <w:b/>
              </w:rPr>
              <w:t>Year 6</w:t>
            </w:r>
          </w:p>
        </w:tc>
      </w:tr>
      <w:tr w:rsidR="00AC76E0" w:rsidRPr="00AC76E0" w14:paraId="07125BC5" w14:textId="77777777" w:rsidTr="00762862">
        <w:trPr>
          <w:cantSplit/>
          <w:jc w:val="center"/>
        </w:trPr>
        <w:tc>
          <w:tcPr>
            <w:tcW w:w="5000" w:type="pct"/>
            <w:gridSpan w:val="7"/>
            <w:vAlign w:val="center"/>
          </w:tcPr>
          <w:p w14:paraId="618359A1" w14:textId="77777777" w:rsidR="00D70349" w:rsidRPr="00AC76E0" w:rsidRDefault="00D70349" w:rsidP="00EB08D4">
            <w:pPr>
              <w:pStyle w:val="TableText0"/>
              <w:keepNext w:val="0"/>
              <w:widowControl w:val="0"/>
              <w:rPr>
                <w:b/>
              </w:rPr>
            </w:pPr>
            <w:r w:rsidRPr="00AC76E0">
              <w:rPr>
                <w:b/>
              </w:rPr>
              <w:t>Estimated extent of use</w:t>
            </w:r>
          </w:p>
        </w:tc>
      </w:tr>
      <w:tr w:rsidR="00AE6C65" w:rsidRPr="00AC76E0" w14:paraId="5D5D440C" w14:textId="77777777" w:rsidTr="001A4DF5">
        <w:trPr>
          <w:cantSplit/>
          <w:jc w:val="center"/>
        </w:trPr>
        <w:tc>
          <w:tcPr>
            <w:tcW w:w="1266" w:type="pct"/>
            <w:vAlign w:val="center"/>
          </w:tcPr>
          <w:p w14:paraId="359E474F" w14:textId="7983B8EB" w:rsidR="00AE6C65" w:rsidRPr="00AC76E0" w:rsidRDefault="00AE6C65" w:rsidP="00EB08D4">
            <w:pPr>
              <w:pStyle w:val="TableText0"/>
              <w:keepNext w:val="0"/>
              <w:widowControl w:val="0"/>
              <w:rPr>
                <w:vertAlign w:val="superscript"/>
              </w:rPr>
            </w:pPr>
            <w:r w:rsidRPr="00AC76E0">
              <w:t>Number of scripts dispensed</w:t>
            </w:r>
          </w:p>
        </w:tc>
        <w:tc>
          <w:tcPr>
            <w:tcW w:w="552" w:type="pct"/>
            <w:vAlign w:val="center"/>
          </w:tcPr>
          <w:p w14:paraId="14228129" w14:textId="708A8030" w:rsidR="00AE6C65" w:rsidRPr="005179A3" w:rsidRDefault="000138E9" w:rsidP="00EB08D4">
            <w:pPr>
              <w:pStyle w:val="TableText0"/>
              <w:keepNext w:val="0"/>
              <w:widowControl w:val="0"/>
              <w:jc w:val="right"/>
              <w:rPr>
                <w:highlight w:val="lightGray"/>
              </w:rPr>
            </w:pPr>
            <w:r w:rsidRPr="000138E9">
              <w:rPr>
                <w:rFonts w:cs="Arial"/>
                <w:color w:val="000000"/>
                <w:sz w:val="2"/>
                <w:szCs w:val="20"/>
                <w:highlight w:val="black"/>
              </w:rPr>
              <w:t>redacted content</w:t>
            </w:r>
            <w:r w:rsidR="00F07F3C" w:rsidRPr="007A5C0B">
              <w:rPr>
                <w:rFonts w:cs="Arial"/>
                <w:color w:val="000000"/>
                <w:szCs w:val="20"/>
                <w:vertAlign w:val="superscript"/>
              </w:rPr>
              <w:t>1</w:t>
            </w:r>
            <w:r w:rsidR="00AE6C65" w:rsidRPr="005179A3">
              <w:rPr>
                <w:rFonts w:cs="Arial"/>
                <w:color w:val="000000"/>
                <w:szCs w:val="20"/>
                <w:vertAlign w:val="superscript"/>
              </w:rPr>
              <w:t xml:space="preserve"> </w:t>
            </w:r>
          </w:p>
        </w:tc>
        <w:tc>
          <w:tcPr>
            <w:tcW w:w="636" w:type="pct"/>
            <w:vAlign w:val="center"/>
          </w:tcPr>
          <w:p w14:paraId="0AC1C51C" w14:textId="0D4D7A59" w:rsidR="00AE6C65" w:rsidRPr="005179A3" w:rsidRDefault="000138E9" w:rsidP="00EB08D4">
            <w:pPr>
              <w:pStyle w:val="TableText0"/>
              <w:keepNext w:val="0"/>
              <w:widowControl w:val="0"/>
              <w:jc w:val="right"/>
              <w:rPr>
                <w:highlight w:val="lightGray"/>
              </w:rPr>
            </w:pPr>
            <w:r w:rsidRPr="000138E9">
              <w:rPr>
                <w:rFonts w:cs="Arial"/>
                <w:color w:val="000000"/>
                <w:sz w:val="2"/>
                <w:szCs w:val="20"/>
                <w:highlight w:val="black"/>
              </w:rPr>
              <w:t>redacted content</w:t>
            </w:r>
            <w:r w:rsidR="000D39AC" w:rsidRPr="007A5C0B">
              <w:rPr>
                <w:rFonts w:cs="Arial"/>
                <w:color w:val="000000"/>
                <w:szCs w:val="20"/>
                <w:vertAlign w:val="superscript"/>
              </w:rPr>
              <w:t>1</w:t>
            </w:r>
            <w:r w:rsidR="00AE6C65" w:rsidRPr="005179A3">
              <w:rPr>
                <w:rFonts w:cs="Arial"/>
                <w:color w:val="000000"/>
                <w:szCs w:val="20"/>
                <w:vertAlign w:val="superscript"/>
              </w:rPr>
              <w:t xml:space="preserve"> </w:t>
            </w:r>
          </w:p>
        </w:tc>
        <w:tc>
          <w:tcPr>
            <w:tcW w:w="637" w:type="pct"/>
            <w:vAlign w:val="center"/>
          </w:tcPr>
          <w:p w14:paraId="46B37406" w14:textId="7AE3D11F" w:rsidR="00AE6C65" w:rsidRPr="005179A3" w:rsidRDefault="000138E9" w:rsidP="00EB08D4">
            <w:pPr>
              <w:pStyle w:val="TableText0"/>
              <w:keepNext w:val="0"/>
              <w:widowControl w:val="0"/>
              <w:jc w:val="right"/>
              <w:rPr>
                <w:highlight w:val="lightGray"/>
              </w:rPr>
            </w:pPr>
            <w:r w:rsidRPr="000138E9">
              <w:rPr>
                <w:rFonts w:cs="Arial"/>
                <w:color w:val="000000"/>
                <w:sz w:val="2"/>
                <w:szCs w:val="20"/>
                <w:highlight w:val="black"/>
              </w:rPr>
              <w:t>redacted content</w:t>
            </w:r>
            <w:r w:rsidR="000D39AC" w:rsidRPr="007A5C0B">
              <w:rPr>
                <w:rFonts w:cs="Arial"/>
                <w:color w:val="000000"/>
                <w:szCs w:val="20"/>
                <w:vertAlign w:val="superscript"/>
              </w:rPr>
              <w:t>2</w:t>
            </w:r>
            <w:r w:rsidR="00AE6C65" w:rsidRPr="005179A3">
              <w:rPr>
                <w:rFonts w:cs="Arial"/>
                <w:color w:val="000000"/>
                <w:szCs w:val="20"/>
                <w:vertAlign w:val="superscript"/>
              </w:rPr>
              <w:t xml:space="preserve"> </w:t>
            </w:r>
          </w:p>
        </w:tc>
        <w:tc>
          <w:tcPr>
            <w:tcW w:w="637" w:type="pct"/>
            <w:vAlign w:val="center"/>
          </w:tcPr>
          <w:p w14:paraId="6D76F480" w14:textId="28605CF3" w:rsidR="00AE6C65" w:rsidRPr="005179A3" w:rsidRDefault="000138E9" w:rsidP="00EB08D4">
            <w:pPr>
              <w:pStyle w:val="TableText0"/>
              <w:keepNext w:val="0"/>
              <w:widowControl w:val="0"/>
              <w:jc w:val="right"/>
              <w:rPr>
                <w:highlight w:val="lightGray"/>
              </w:rPr>
            </w:pPr>
            <w:r w:rsidRPr="000138E9">
              <w:rPr>
                <w:rFonts w:cs="Arial"/>
                <w:color w:val="000000"/>
                <w:sz w:val="2"/>
                <w:szCs w:val="20"/>
                <w:highlight w:val="black"/>
              </w:rPr>
              <w:t>redacted content</w:t>
            </w:r>
            <w:r w:rsidR="000D39AC" w:rsidRPr="007A5C0B">
              <w:rPr>
                <w:rFonts w:cs="Arial"/>
                <w:color w:val="000000"/>
                <w:szCs w:val="20"/>
                <w:vertAlign w:val="superscript"/>
              </w:rPr>
              <w:t>2</w:t>
            </w:r>
            <w:r w:rsidR="00AE6C65" w:rsidRPr="005179A3">
              <w:rPr>
                <w:rFonts w:cs="Arial"/>
                <w:color w:val="000000"/>
                <w:szCs w:val="20"/>
                <w:vertAlign w:val="superscript"/>
              </w:rPr>
              <w:t xml:space="preserve"> </w:t>
            </w:r>
          </w:p>
        </w:tc>
        <w:tc>
          <w:tcPr>
            <w:tcW w:w="637" w:type="pct"/>
            <w:vAlign w:val="center"/>
          </w:tcPr>
          <w:p w14:paraId="078EC90A" w14:textId="45DFF4E0" w:rsidR="00AE6C65" w:rsidRPr="005179A3" w:rsidRDefault="000138E9" w:rsidP="00EB08D4">
            <w:pPr>
              <w:pStyle w:val="TableText0"/>
              <w:keepNext w:val="0"/>
              <w:widowControl w:val="0"/>
              <w:jc w:val="right"/>
              <w:rPr>
                <w:highlight w:val="lightGray"/>
              </w:rPr>
            </w:pPr>
            <w:r w:rsidRPr="000138E9">
              <w:rPr>
                <w:rFonts w:cs="Arial"/>
                <w:color w:val="000000"/>
                <w:sz w:val="2"/>
                <w:szCs w:val="20"/>
                <w:highlight w:val="black"/>
              </w:rPr>
              <w:t>redacted content</w:t>
            </w:r>
            <w:r w:rsidR="000D39AC" w:rsidRPr="007A5C0B">
              <w:rPr>
                <w:rFonts w:cs="Arial"/>
                <w:color w:val="000000"/>
                <w:szCs w:val="20"/>
                <w:vertAlign w:val="superscript"/>
              </w:rPr>
              <w:t>2</w:t>
            </w:r>
            <w:r w:rsidR="00AE6C65" w:rsidRPr="005179A3">
              <w:rPr>
                <w:rFonts w:cs="Arial"/>
                <w:color w:val="000000"/>
                <w:szCs w:val="20"/>
                <w:vertAlign w:val="superscript"/>
              </w:rPr>
              <w:t xml:space="preserve"> </w:t>
            </w:r>
          </w:p>
        </w:tc>
        <w:tc>
          <w:tcPr>
            <w:tcW w:w="637" w:type="pct"/>
            <w:vAlign w:val="center"/>
          </w:tcPr>
          <w:p w14:paraId="0BC345E6" w14:textId="1DF6EC5B" w:rsidR="00AE6C65" w:rsidRPr="005179A3" w:rsidRDefault="000138E9" w:rsidP="00EB08D4">
            <w:pPr>
              <w:pStyle w:val="TableText0"/>
              <w:keepNext w:val="0"/>
              <w:widowControl w:val="0"/>
              <w:jc w:val="right"/>
              <w:rPr>
                <w:highlight w:val="lightGray"/>
              </w:rPr>
            </w:pPr>
            <w:r w:rsidRPr="000138E9">
              <w:rPr>
                <w:rFonts w:cs="Arial"/>
                <w:color w:val="000000"/>
                <w:sz w:val="2"/>
                <w:szCs w:val="20"/>
                <w:highlight w:val="black"/>
              </w:rPr>
              <w:t>redacted content</w:t>
            </w:r>
            <w:r w:rsidR="000D39AC" w:rsidRPr="007A5C0B">
              <w:rPr>
                <w:rFonts w:cs="Arial"/>
                <w:color w:val="000000"/>
                <w:szCs w:val="20"/>
                <w:vertAlign w:val="superscript"/>
              </w:rPr>
              <w:t>2</w:t>
            </w:r>
            <w:r w:rsidR="00AE6C65" w:rsidRPr="005179A3">
              <w:rPr>
                <w:rFonts w:cs="Arial"/>
                <w:color w:val="000000"/>
                <w:szCs w:val="20"/>
                <w:vertAlign w:val="superscript"/>
              </w:rPr>
              <w:t xml:space="preserve"> </w:t>
            </w:r>
          </w:p>
        </w:tc>
      </w:tr>
      <w:tr w:rsidR="00AC76E0" w:rsidRPr="00AC76E0" w14:paraId="046AEB1E" w14:textId="77777777" w:rsidTr="001C20E1">
        <w:trPr>
          <w:cantSplit/>
          <w:jc w:val="center"/>
        </w:trPr>
        <w:tc>
          <w:tcPr>
            <w:tcW w:w="5000" w:type="pct"/>
            <w:gridSpan w:val="7"/>
            <w:vAlign w:val="center"/>
          </w:tcPr>
          <w:p w14:paraId="750CBAE5" w14:textId="5887CB1C" w:rsidR="000C1AFF" w:rsidRPr="00AC76E0" w:rsidRDefault="000C1AFF" w:rsidP="00EB08D4">
            <w:pPr>
              <w:pStyle w:val="TableText0"/>
              <w:keepNext w:val="0"/>
              <w:widowControl w:val="0"/>
              <w:rPr>
                <w:b/>
              </w:rPr>
            </w:pPr>
            <w:r w:rsidRPr="00AC76E0">
              <w:rPr>
                <w:b/>
              </w:rPr>
              <w:t xml:space="preserve">Estimated financial implications of </w:t>
            </w:r>
            <w:r w:rsidR="006A4B02" w:rsidRPr="00AC76E0">
              <w:rPr>
                <w:b/>
              </w:rPr>
              <w:t>LACREO</w:t>
            </w:r>
          </w:p>
        </w:tc>
      </w:tr>
      <w:tr w:rsidR="00AC76E0" w:rsidRPr="00AC76E0" w14:paraId="3993658E" w14:textId="77777777" w:rsidTr="001A4DF5">
        <w:trPr>
          <w:cantSplit/>
          <w:jc w:val="center"/>
        </w:trPr>
        <w:tc>
          <w:tcPr>
            <w:tcW w:w="1266" w:type="pct"/>
            <w:vAlign w:val="center"/>
          </w:tcPr>
          <w:p w14:paraId="375802A8" w14:textId="6319626B" w:rsidR="00435879" w:rsidRPr="00AC76E0" w:rsidRDefault="00435879" w:rsidP="00EB08D4">
            <w:pPr>
              <w:pStyle w:val="TableText0"/>
              <w:keepNext w:val="0"/>
              <w:widowControl w:val="0"/>
            </w:pPr>
            <w:r w:rsidRPr="00AC76E0">
              <w:t>Cost to PBS/RPBS less co-payment</w:t>
            </w:r>
          </w:p>
        </w:tc>
        <w:tc>
          <w:tcPr>
            <w:tcW w:w="552" w:type="pct"/>
            <w:vAlign w:val="center"/>
          </w:tcPr>
          <w:p w14:paraId="466AAD3D" w14:textId="43D40078" w:rsidR="00435879" w:rsidRPr="005179A3" w:rsidRDefault="007A5C0B" w:rsidP="00EB08D4">
            <w:pPr>
              <w:pStyle w:val="TableText0"/>
              <w:keepNext w:val="0"/>
              <w:widowControl w:val="0"/>
              <w:jc w:val="right"/>
              <w:rPr>
                <w:vertAlign w:val="superscript"/>
              </w:rPr>
            </w:pPr>
            <w:r w:rsidRPr="007A5C0B">
              <w:rPr>
                <w:rFonts w:cs="Arial"/>
                <w:szCs w:val="20"/>
              </w:rPr>
              <w:t>$</w:t>
            </w:r>
            <w:r w:rsidR="000138E9" w:rsidRPr="000138E9">
              <w:rPr>
                <w:rFonts w:cs="Arial"/>
                <w:sz w:val="2"/>
                <w:szCs w:val="20"/>
                <w:highlight w:val="black"/>
              </w:rPr>
              <w:t>redacted content</w:t>
            </w:r>
            <w:r w:rsidRPr="007A5C0B">
              <w:rPr>
                <w:rFonts w:cs="Arial"/>
                <w:szCs w:val="20"/>
                <w:vertAlign w:val="superscript"/>
              </w:rPr>
              <w:t>3</w:t>
            </w:r>
          </w:p>
        </w:tc>
        <w:tc>
          <w:tcPr>
            <w:tcW w:w="636" w:type="pct"/>
            <w:vAlign w:val="center"/>
          </w:tcPr>
          <w:p w14:paraId="0584DE92" w14:textId="4B9CD4F0" w:rsidR="00435879" w:rsidRPr="005179A3" w:rsidRDefault="007A5C0B" w:rsidP="00EB08D4">
            <w:pPr>
              <w:pStyle w:val="TableText0"/>
              <w:keepNext w:val="0"/>
              <w:widowControl w:val="0"/>
              <w:jc w:val="right"/>
              <w:rPr>
                <w:vertAlign w:val="superscript"/>
              </w:rPr>
            </w:pPr>
            <w:r w:rsidRPr="005179A3">
              <w:rPr>
                <w:rFonts w:cs="Arial"/>
                <w:szCs w:val="20"/>
              </w:rPr>
              <w:t>$</w:t>
            </w:r>
            <w:r w:rsidR="000138E9" w:rsidRPr="000138E9">
              <w:rPr>
                <w:rFonts w:cs="Arial"/>
                <w:sz w:val="2"/>
                <w:szCs w:val="20"/>
                <w:highlight w:val="black"/>
              </w:rPr>
              <w:t>redacted content</w:t>
            </w:r>
            <w:r w:rsidRPr="007A5C0B">
              <w:rPr>
                <w:rFonts w:cs="Arial"/>
                <w:szCs w:val="20"/>
                <w:vertAlign w:val="superscript"/>
              </w:rPr>
              <w:t>4</w:t>
            </w:r>
          </w:p>
        </w:tc>
        <w:tc>
          <w:tcPr>
            <w:tcW w:w="637" w:type="pct"/>
            <w:vAlign w:val="center"/>
          </w:tcPr>
          <w:p w14:paraId="555B3F9C" w14:textId="1075BCB0" w:rsidR="00435879" w:rsidRPr="005179A3" w:rsidRDefault="007A5C0B" w:rsidP="00EB08D4">
            <w:pPr>
              <w:pStyle w:val="TableText0"/>
              <w:keepNext w:val="0"/>
              <w:widowControl w:val="0"/>
              <w:jc w:val="right"/>
              <w:rPr>
                <w:vertAlign w:val="superscript"/>
              </w:rPr>
            </w:pPr>
            <w:r w:rsidRPr="007A5C0B">
              <w:rPr>
                <w:rFonts w:cs="Arial"/>
                <w:szCs w:val="20"/>
                <w:vertAlign w:val="superscript"/>
              </w:rPr>
              <w:t>$</w:t>
            </w:r>
            <w:r w:rsidR="000138E9" w:rsidRPr="000138E9">
              <w:rPr>
                <w:rFonts w:cs="Arial"/>
                <w:sz w:val="2"/>
                <w:szCs w:val="20"/>
                <w:highlight w:val="black"/>
              </w:rPr>
              <w:t>redacted content</w:t>
            </w:r>
            <w:r w:rsidRPr="007A5C0B">
              <w:rPr>
                <w:rFonts w:cs="Arial"/>
                <w:szCs w:val="20"/>
                <w:vertAlign w:val="superscript"/>
              </w:rPr>
              <w:t>4</w:t>
            </w:r>
          </w:p>
        </w:tc>
        <w:tc>
          <w:tcPr>
            <w:tcW w:w="637" w:type="pct"/>
            <w:vAlign w:val="center"/>
          </w:tcPr>
          <w:p w14:paraId="28A422D5" w14:textId="632082E0" w:rsidR="00435879" w:rsidRPr="005179A3" w:rsidRDefault="007A5C0B" w:rsidP="00EB08D4">
            <w:pPr>
              <w:pStyle w:val="TableText0"/>
              <w:keepNext w:val="0"/>
              <w:widowControl w:val="0"/>
              <w:jc w:val="right"/>
              <w:rPr>
                <w:vertAlign w:val="superscript"/>
              </w:rPr>
            </w:pPr>
            <w:r w:rsidRPr="007A5C0B">
              <w:rPr>
                <w:rFonts w:cs="Arial"/>
                <w:szCs w:val="20"/>
              </w:rPr>
              <w:t>$</w:t>
            </w:r>
            <w:r w:rsidR="000138E9" w:rsidRPr="000138E9">
              <w:rPr>
                <w:rFonts w:cs="Arial"/>
                <w:sz w:val="2"/>
                <w:szCs w:val="20"/>
                <w:highlight w:val="black"/>
              </w:rPr>
              <w:t>redacted content</w:t>
            </w:r>
            <w:r w:rsidRPr="007A5C0B">
              <w:rPr>
                <w:rFonts w:cs="Arial"/>
                <w:szCs w:val="20"/>
                <w:vertAlign w:val="superscript"/>
              </w:rPr>
              <w:t>4</w:t>
            </w:r>
          </w:p>
        </w:tc>
        <w:tc>
          <w:tcPr>
            <w:tcW w:w="637" w:type="pct"/>
            <w:vAlign w:val="center"/>
          </w:tcPr>
          <w:p w14:paraId="3BD91315" w14:textId="32091882" w:rsidR="00435879" w:rsidRPr="005179A3" w:rsidRDefault="007A5C0B" w:rsidP="00EB08D4">
            <w:pPr>
              <w:pStyle w:val="TableText0"/>
              <w:keepNext w:val="0"/>
              <w:widowControl w:val="0"/>
              <w:jc w:val="right"/>
              <w:rPr>
                <w:vertAlign w:val="superscript"/>
              </w:rPr>
            </w:pPr>
            <w:r w:rsidRPr="007A5C0B">
              <w:rPr>
                <w:rFonts w:cs="Arial"/>
                <w:szCs w:val="20"/>
              </w:rPr>
              <w:t>$</w:t>
            </w:r>
            <w:r w:rsidR="000138E9" w:rsidRPr="000138E9">
              <w:rPr>
                <w:rFonts w:cs="Arial"/>
                <w:sz w:val="2"/>
                <w:szCs w:val="20"/>
                <w:highlight w:val="black"/>
              </w:rPr>
              <w:t>redacted content</w:t>
            </w:r>
            <w:r w:rsidRPr="007A5C0B">
              <w:rPr>
                <w:rFonts w:cs="Arial"/>
                <w:szCs w:val="20"/>
                <w:vertAlign w:val="superscript"/>
              </w:rPr>
              <w:t>4</w:t>
            </w:r>
          </w:p>
        </w:tc>
        <w:tc>
          <w:tcPr>
            <w:tcW w:w="637" w:type="pct"/>
            <w:vAlign w:val="center"/>
          </w:tcPr>
          <w:p w14:paraId="11BDCDF8" w14:textId="25D00A52" w:rsidR="00435879" w:rsidRPr="005179A3" w:rsidRDefault="007A5C0B" w:rsidP="00EB08D4">
            <w:pPr>
              <w:pStyle w:val="TableText0"/>
              <w:keepNext w:val="0"/>
              <w:widowControl w:val="0"/>
              <w:jc w:val="right"/>
              <w:rPr>
                <w:vertAlign w:val="superscript"/>
              </w:rPr>
            </w:pPr>
            <w:r w:rsidRPr="007A5C0B">
              <w:rPr>
                <w:rFonts w:cs="Arial"/>
                <w:szCs w:val="20"/>
              </w:rPr>
              <w:t>$</w:t>
            </w:r>
            <w:r w:rsidR="000138E9" w:rsidRPr="000138E9">
              <w:rPr>
                <w:rFonts w:cs="Arial"/>
                <w:sz w:val="2"/>
                <w:szCs w:val="20"/>
                <w:highlight w:val="black"/>
              </w:rPr>
              <w:t>redacted content</w:t>
            </w:r>
            <w:r w:rsidRPr="007A5C0B">
              <w:rPr>
                <w:rFonts w:cs="Arial"/>
                <w:szCs w:val="20"/>
                <w:vertAlign w:val="superscript"/>
              </w:rPr>
              <w:t>4</w:t>
            </w:r>
          </w:p>
        </w:tc>
      </w:tr>
      <w:tr w:rsidR="00AC76E0" w:rsidRPr="00AC76E0" w14:paraId="39B4F20E" w14:textId="77777777" w:rsidTr="00762862">
        <w:trPr>
          <w:cantSplit/>
          <w:jc w:val="center"/>
        </w:trPr>
        <w:tc>
          <w:tcPr>
            <w:tcW w:w="5000" w:type="pct"/>
            <w:gridSpan w:val="7"/>
            <w:vAlign w:val="center"/>
          </w:tcPr>
          <w:p w14:paraId="726221BB" w14:textId="1E2A9F1A" w:rsidR="00D70349" w:rsidRPr="00AC76E0" w:rsidRDefault="000C1AFF" w:rsidP="00EB08D4">
            <w:pPr>
              <w:pStyle w:val="TableText0"/>
              <w:keepNext w:val="0"/>
              <w:widowControl w:val="0"/>
              <w:rPr>
                <w:b/>
              </w:rPr>
            </w:pPr>
            <w:bookmarkStart w:id="4" w:name="_Hlk88815214"/>
            <w:r w:rsidRPr="00AC76E0">
              <w:rPr>
                <w:b/>
              </w:rPr>
              <w:t xml:space="preserve">Estimated financial implications of </w:t>
            </w:r>
            <w:r w:rsidR="006A4B02" w:rsidRPr="00AC76E0">
              <w:rPr>
                <w:b/>
              </w:rPr>
              <w:t>S</w:t>
            </w:r>
            <w:r w:rsidR="00B3231F" w:rsidRPr="00AC76E0">
              <w:rPr>
                <w:b/>
              </w:rPr>
              <w:t>omatuline Autogel</w:t>
            </w:r>
          </w:p>
        </w:tc>
      </w:tr>
      <w:tr w:rsidR="00AC76E0" w:rsidRPr="00AC76E0" w14:paraId="5F183828" w14:textId="77777777" w:rsidTr="001A4DF5">
        <w:trPr>
          <w:cantSplit/>
          <w:jc w:val="center"/>
        </w:trPr>
        <w:tc>
          <w:tcPr>
            <w:tcW w:w="1266" w:type="pct"/>
            <w:vAlign w:val="center"/>
          </w:tcPr>
          <w:p w14:paraId="6DB6C4F2" w14:textId="5FE18972" w:rsidR="00B3231F" w:rsidRPr="00AC76E0" w:rsidRDefault="00B3231F" w:rsidP="00EB08D4">
            <w:pPr>
              <w:pStyle w:val="TableText0"/>
              <w:keepNext w:val="0"/>
              <w:widowControl w:val="0"/>
            </w:pPr>
            <w:r w:rsidRPr="00AC76E0">
              <w:t>Cost to PBS/RPBS less co-payment</w:t>
            </w:r>
          </w:p>
        </w:tc>
        <w:tc>
          <w:tcPr>
            <w:tcW w:w="552" w:type="pct"/>
            <w:vAlign w:val="center"/>
          </w:tcPr>
          <w:p w14:paraId="17AE6B28" w14:textId="6AB7143B" w:rsidR="00B3231F" w:rsidRPr="005179A3" w:rsidRDefault="007A5C0B" w:rsidP="00EB08D4">
            <w:pPr>
              <w:pStyle w:val="TableText0"/>
              <w:keepNext w:val="0"/>
              <w:widowControl w:val="0"/>
              <w:jc w:val="right"/>
              <w:rPr>
                <w:sz w:val="19"/>
                <w:szCs w:val="19"/>
                <w:vertAlign w:val="superscript"/>
              </w:rPr>
            </w:pPr>
            <w:r w:rsidRPr="007A5C0B">
              <w:rPr>
                <w:rFonts w:cs="Arial"/>
                <w:sz w:val="19"/>
                <w:szCs w:val="19"/>
              </w:rPr>
              <w:t>-$</w:t>
            </w:r>
            <w:r w:rsidR="000138E9" w:rsidRPr="000138E9">
              <w:rPr>
                <w:rFonts w:cs="Arial"/>
                <w:sz w:val="2"/>
                <w:szCs w:val="19"/>
                <w:highlight w:val="black"/>
              </w:rPr>
              <w:t>redacted content</w:t>
            </w:r>
            <w:r w:rsidRPr="005179A3">
              <w:rPr>
                <w:rFonts w:cs="Arial"/>
                <w:sz w:val="19"/>
                <w:szCs w:val="19"/>
                <w:vertAlign w:val="superscript"/>
              </w:rPr>
              <w:t>3</w:t>
            </w:r>
          </w:p>
        </w:tc>
        <w:tc>
          <w:tcPr>
            <w:tcW w:w="636" w:type="pct"/>
            <w:vAlign w:val="center"/>
          </w:tcPr>
          <w:p w14:paraId="19519F19" w14:textId="0AB884FC" w:rsidR="00B3231F" w:rsidRPr="005179A3" w:rsidRDefault="007A5C0B" w:rsidP="00EB08D4">
            <w:pPr>
              <w:pStyle w:val="TableText0"/>
              <w:keepNext w:val="0"/>
              <w:widowControl w:val="0"/>
              <w:jc w:val="right"/>
              <w:rPr>
                <w:sz w:val="19"/>
                <w:szCs w:val="19"/>
                <w:vertAlign w:val="superscript"/>
              </w:rPr>
            </w:pPr>
            <w:r w:rsidRPr="007A5C0B">
              <w:rPr>
                <w:rFonts w:cs="Arial"/>
                <w:sz w:val="19"/>
                <w:szCs w:val="19"/>
                <w:vertAlign w:val="superscript"/>
              </w:rPr>
              <w:t>-</w:t>
            </w:r>
            <w:r w:rsidRPr="007A5C0B">
              <w:rPr>
                <w:rFonts w:cs="Arial"/>
                <w:sz w:val="19"/>
                <w:szCs w:val="19"/>
              </w:rPr>
              <w:t>$</w:t>
            </w:r>
            <w:r w:rsidR="000138E9" w:rsidRPr="000138E9">
              <w:rPr>
                <w:rFonts w:cs="Arial"/>
                <w:sz w:val="2"/>
                <w:szCs w:val="19"/>
                <w:highlight w:val="black"/>
              </w:rPr>
              <w:t>redacted content</w:t>
            </w:r>
            <w:r w:rsidRPr="005179A3">
              <w:rPr>
                <w:rFonts w:cs="Arial"/>
                <w:sz w:val="19"/>
                <w:szCs w:val="19"/>
                <w:vertAlign w:val="superscript"/>
              </w:rPr>
              <w:t>4</w:t>
            </w:r>
          </w:p>
        </w:tc>
        <w:tc>
          <w:tcPr>
            <w:tcW w:w="637" w:type="pct"/>
            <w:vAlign w:val="center"/>
          </w:tcPr>
          <w:p w14:paraId="6B513315" w14:textId="18F0A768" w:rsidR="00B3231F" w:rsidRPr="005179A3" w:rsidRDefault="007A5C0B" w:rsidP="00EB08D4">
            <w:pPr>
              <w:pStyle w:val="TableText0"/>
              <w:keepNext w:val="0"/>
              <w:widowControl w:val="0"/>
              <w:jc w:val="right"/>
              <w:rPr>
                <w:sz w:val="19"/>
                <w:szCs w:val="19"/>
                <w:vertAlign w:val="superscript"/>
              </w:rPr>
            </w:pPr>
            <w:r w:rsidRPr="007A5C0B">
              <w:rPr>
                <w:rFonts w:cs="Arial"/>
                <w:sz w:val="19"/>
                <w:szCs w:val="19"/>
              </w:rPr>
              <w:t>-$</w:t>
            </w:r>
            <w:r w:rsidR="000138E9" w:rsidRPr="000138E9">
              <w:rPr>
                <w:rFonts w:cs="Arial"/>
                <w:sz w:val="2"/>
                <w:szCs w:val="19"/>
                <w:highlight w:val="black"/>
              </w:rPr>
              <w:t>redacted content</w:t>
            </w:r>
            <w:r w:rsidRPr="005179A3">
              <w:rPr>
                <w:rFonts w:cs="Arial"/>
                <w:sz w:val="19"/>
                <w:szCs w:val="19"/>
                <w:vertAlign w:val="superscript"/>
              </w:rPr>
              <w:t>4</w:t>
            </w:r>
          </w:p>
        </w:tc>
        <w:tc>
          <w:tcPr>
            <w:tcW w:w="637" w:type="pct"/>
            <w:vAlign w:val="center"/>
          </w:tcPr>
          <w:p w14:paraId="2521A4E4" w14:textId="04AFE8C4" w:rsidR="00B3231F" w:rsidRPr="005179A3" w:rsidRDefault="007A5C0B" w:rsidP="00EB08D4">
            <w:pPr>
              <w:pStyle w:val="TableText0"/>
              <w:keepNext w:val="0"/>
              <w:widowControl w:val="0"/>
              <w:jc w:val="right"/>
              <w:rPr>
                <w:sz w:val="19"/>
                <w:szCs w:val="19"/>
                <w:vertAlign w:val="superscript"/>
              </w:rPr>
            </w:pPr>
            <w:r w:rsidRPr="007A5C0B">
              <w:rPr>
                <w:rFonts w:cs="Arial"/>
                <w:sz w:val="19"/>
                <w:szCs w:val="19"/>
              </w:rPr>
              <w:t>-$</w:t>
            </w:r>
            <w:r w:rsidR="000138E9" w:rsidRPr="000138E9">
              <w:rPr>
                <w:rFonts w:cs="Arial"/>
                <w:sz w:val="2"/>
                <w:szCs w:val="19"/>
                <w:highlight w:val="black"/>
              </w:rPr>
              <w:t>redacted content</w:t>
            </w:r>
            <w:r w:rsidRPr="005179A3">
              <w:rPr>
                <w:rFonts w:cs="Arial"/>
                <w:sz w:val="19"/>
                <w:szCs w:val="19"/>
                <w:vertAlign w:val="superscript"/>
              </w:rPr>
              <w:t>4</w:t>
            </w:r>
          </w:p>
        </w:tc>
        <w:tc>
          <w:tcPr>
            <w:tcW w:w="637" w:type="pct"/>
            <w:vAlign w:val="center"/>
          </w:tcPr>
          <w:p w14:paraId="16BF86D6" w14:textId="5EB3FD89" w:rsidR="00B3231F" w:rsidRPr="005179A3" w:rsidRDefault="007A5C0B" w:rsidP="00EB08D4">
            <w:pPr>
              <w:pStyle w:val="TableText0"/>
              <w:keepNext w:val="0"/>
              <w:widowControl w:val="0"/>
              <w:jc w:val="right"/>
              <w:rPr>
                <w:sz w:val="19"/>
                <w:szCs w:val="19"/>
                <w:vertAlign w:val="superscript"/>
              </w:rPr>
            </w:pPr>
            <w:r w:rsidRPr="007A5C0B">
              <w:rPr>
                <w:rFonts w:cs="Arial"/>
                <w:sz w:val="19"/>
                <w:szCs w:val="19"/>
              </w:rPr>
              <w:t>-$</w:t>
            </w:r>
            <w:r w:rsidR="000138E9" w:rsidRPr="000138E9">
              <w:rPr>
                <w:rFonts w:cs="Arial"/>
                <w:sz w:val="2"/>
                <w:szCs w:val="19"/>
                <w:highlight w:val="black"/>
              </w:rPr>
              <w:t>redacted content</w:t>
            </w:r>
            <w:r w:rsidRPr="005179A3">
              <w:rPr>
                <w:rFonts w:cs="Arial"/>
                <w:sz w:val="19"/>
                <w:szCs w:val="19"/>
                <w:vertAlign w:val="superscript"/>
              </w:rPr>
              <w:t>4</w:t>
            </w:r>
          </w:p>
        </w:tc>
        <w:tc>
          <w:tcPr>
            <w:tcW w:w="637" w:type="pct"/>
            <w:vAlign w:val="center"/>
          </w:tcPr>
          <w:p w14:paraId="4CA48892" w14:textId="6A69187B" w:rsidR="00B3231F" w:rsidRPr="005179A3" w:rsidRDefault="007A5C0B" w:rsidP="00EB08D4">
            <w:pPr>
              <w:pStyle w:val="TableText0"/>
              <w:keepNext w:val="0"/>
              <w:widowControl w:val="0"/>
              <w:jc w:val="right"/>
              <w:rPr>
                <w:sz w:val="19"/>
                <w:szCs w:val="19"/>
                <w:vertAlign w:val="superscript"/>
              </w:rPr>
            </w:pPr>
            <w:r w:rsidRPr="007A5C0B">
              <w:rPr>
                <w:rFonts w:cs="Arial"/>
                <w:sz w:val="19"/>
                <w:szCs w:val="19"/>
              </w:rPr>
              <w:t>-$</w:t>
            </w:r>
            <w:r w:rsidR="000138E9" w:rsidRPr="000138E9">
              <w:rPr>
                <w:rFonts w:cs="Arial"/>
                <w:sz w:val="2"/>
                <w:szCs w:val="19"/>
                <w:highlight w:val="black"/>
              </w:rPr>
              <w:t>redacted content</w:t>
            </w:r>
            <w:r w:rsidRPr="005179A3">
              <w:rPr>
                <w:rFonts w:cs="Arial"/>
                <w:sz w:val="19"/>
                <w:szCs w:val="19"/>
                <w:vertAlign w:val="superscript"/>
              </w:rPr>
              <w:t>4</w:t>
            </w:r>
          </w:p>
        </w:tc>
      </w:tr>
      <w:bookmarkEnd w:id="4"/>
      <w:tr w:rsidR="00AC76E0" w:rsidRPr="00AC76E0" w14:paraId="3CD835A0" w14:textId="77777777" w:rsidTr="000C1AFF">
        <w:trPr>
          <w:cantSplit/>
          <w:jc w:val="center"/>
        </w:trPr>
        <w:tc>
          <w:tcPr>
            <w:tcW w:w="5000" w:type="pct"/>
            <w:gridSpan w:val="7"/>
            <w:vAlign w:val="center"/>
          </w:tcPr>
          <w:p w14:paraId="0717F32A" w14:textId="599CB1D7" w:rsidR="000C1AFF" w:rsidRPr="00AC76E0" w:rsidRDefault="000C1AFF" w:rsidP="00EB08D4">
            <w:pPr>
              <w:pStyle w:val="TableText0"/>
              <w:keepNext w:val="0"/>
              <w:widowControl w:val="0"/>
              <w:rPr>
                <w:b/>
                <w:bCs w:val="0"/>
              </w:rPr>
            </w:pPr>
            <w:r w:rsidRPr="00AC76E0">
              <w:rPr>
                <w:b/>
                <w:bCs w:val="0"/>
              </w:rPr>
              <w:t>Net financial implications</w:t>
            </w:r>
          </w:p>
        </w:tc>
      </w:tr>
      <w:tr w:rsidR="00AC76E0" w:rsidRPr="00AC76E0" w14:paraId="6DC7AAF7" w14:textId="77777777" w:rsidTr="001A4DF5">
        <w:trPr>
          <w:cantSplit/>
          <w:jc w:val="center"/>
        </w:trPr>
        <w:tc>
          <w:tcPr>
            <w:tcW w:w="1266" w:type="pct"/>
            <w:vAlign w:val="center"/>
          </w:tcPr>
          <w:p w14:paraId="41FA959D" w14:textId="6A62CDCD" w:rsidR="00914BDA" w:rsidRPr="00AC76E0" w:rsidRDefault="00914BDA" w:rsidP="00EB08D4">
            <w:pPr>
              <w:pStyle w:val="TableText0"/>
              <w:keepNext w:val="0"/>
              <w:widowControl w:val="0"/>
            </w:pPr>
            <w:r w:rsidRPr="00AC76E0">
              <w:t>Net cost to PBS/RPBS</w:t>
            </w:r>
          </w:p>
        </w:tc>
        <w:tc>
          <w:tcPr>
            <w:tcW w:w="552" w:type="pct"/>
            <w:vAlign w:val="center"/>
          </w:tcPr>
          <w:p w14:paraId="454A7C1B" w14:textId="2B50437D" w:rsidR="00914BDA" w:rsidRPr="00AC76E0" w:rsidRDefault="00914BDA" w:rsidP="00EB08D4">
            <w:pPr>
              <w:pStyle w:val="TableText0"/>
              <w:keepNext w:val="0"/>
              <w:widowControl w:val="0"/>
              <w:jc w:val="right"/>
            </w:pPr>
            <w:r w:rsidRPr="00AC76E0">
              <w:rPr>
                <w:rFonts w:cs="Arial"/>
                <w:b/>
                <w:bCs w:val="0"/>
                <w:szCs w:val="20"/>
              </w:rPr>
              <w:t>$0</w:t>
            </w:r>
          </w:p>
        </w:tc>
        <w:tc>
          <w:tcPr>
            <w:tcW w:w="636" w:type="pct"/>
            <w:vAlign w:val="center"/>
          </w:tcPr>
          <w:p w14:paraId="5587EA01" w14:textId="4139E701" w:rsidR="00914BDA" w:rsidRPr="00AC76E0" w:rsidRDefault="00914BDA" w:rsidP="00EB08D4">
            <w:pPr>
              <w:pStyle w:val="TableText0"/>
              <w:keepNext w:val="0"/>
              <w:widowControl w:val="0"/>
              <w:jc w:val="right"/>
            </w:pPr>
            <w:r w:rsidRPr="00AC76E0">
              <w:rPr>
                <w:rFonts w:cs="Arial"/>
                <w:b/>
                <w:bCs w:val="0"/>
                <w:szCs w:val="20"/>
              </w:rPr>
              <w:t>$0</w:t>
            </w:r>
          </w:p>
        </w:tc>
        <w:tc>
          <w:tcPr>
            <w:tcW w:w="637" w:type="pct"/>
            <w:vAlign w:val="center"/>
          </w:tcPr>
          <w:p w14:paraId="5A290C2B" w14:textId="655FEDF9" w:rsidR="00914BDA" w:rsidRPr="00AC76E0" w:rsidRDefault="00914BDA" w:rsidP="00EB08D4">
            <w:pPr>
              <w:pStyle w:val="TableText0"/>
              <w:keepNext w:val="0"/>
              <w:widowControl w:val="0"/>
              <w:jc w:val="right"/>
            </w:pPr>
            <w:r w:rsidRPr="00AC76E0">
              <w:rPr>
                <w:rFonts w:cs="Arial"/>
                <w:b/>
                <w:bCs w:val="0"/>
                <w:szCs w:val="20"/>
              </w:rPr>
              <w:t>$0</w:t>
            </w:r>
          </w:p>
        </w:tc>
        <w:tc>
          <w:tcPr>
            <w:tcW w:w="637" w:type="pct"/>
            <w:vAlign w:val="center"/>
          </w:tcPr>
          <w:p w14:paraId="73C4A55C" w14:textId="2C3956C7" w:rsidR="00914BDA" w:rsidRPr="00AC76E0" w:rsidRDefault="00914BDA" w:rsidP="00EB08D4">
            <w:pPr>
              <w:pStyle w:val="TableText0"/>
              <w:keepNext w:val="0"/>
              <w:widowControl w:val="0"/>
              <w:jc w:val="right"/>
            </w:pPr>
            <w:r w:rsidRPr="00AC76E0">
              <w:rPr>
                <w:rFonts w:cs="Arial"/>
                <w:b/>
                <w:bCs w:val="0"/>
                <w:szCs w:val="20"/>
              </w:rPr>
              <w:t>$0</w:t>
            </w:r>
          </w:p>
        </w:tc>
        <w:tc>
          <w:tcPr>
            <w:tcW w:w="637" w:type="pct"/>
            <w:vAlign w:val="center"/>
          </w:tcPr>
          <w:p w14:paraId="5A08AF29" w14:textId="2EC2EAA8" w:rsidR="00914BDA" w:rsidRPr="00AC76E0" w:rsidRDefault="00914BDA" w:rsidP="00EB08D4">
            <w:pPr>
              <w:pStyle w:val="TableText0"/>
              <w:keepNext w:val="0"/>
              <w:widowControl w:val="0"/>
              <w:jc w:val="right"/>
            </w:pPr>
            <w:r w:rsidRPr="00AC76E0">
              <w:rPr>
                <w:rFonts w:cs="Arial"/>
                <w:b/>
                <w:bCs w:val="0"/>
                <w:szCs w:val="20"/>
              </w:rPr>
              <w:t>$0</w:t>
            </w:r>
          </w:p>
        </w:tc>
        <w:tc>
          <w:tcPr>
            <w:tcW w:w="637" w:type="pct"/>
            <w:vAlign w:val="center"/>
          </w:tcPr>
          <w:p w14:paraId="1A3491BC" w14:textId="06B10B1F" w:rsidR="00914BDA" w:rsidRPr="00AC76E0" w:rsidRDefault="00914BDA" w:rsidP="00EB08D4">
            <w:pPr>
              <w:pStyle w:val="TableText0"/>
              <w:keepNext w:val="0"/>
              <w:widowControl w:val="0"/>
              <w:jc w:val="right"/>
            </w:pPr>
            <w:r w:rsidRPr="00AC76E0">
              <w:rPr>
                <w:rFonts w:cs="Arial"/>
                <w:b/>
                <w:bCs w:val="0"/>
                <w:szCs w:val="20"/>
              </w:rPr>
              <w:t>$0</w:t>
            </w:r>
          </w:p>
        </w:tc>
      </w:tr>
    </w:tbl>
    <w:p w14:paraId="42320224" w14:textId="489B63F4" w:rsidR="00D70349" w:rsidRPr="002C3F82" w:rsidRDefault="00AB4684" w:rsidP="00EB08D4">
      <w:pPr>
        <w:pStyle w:val="TableFigureFooter"/>
        <w:widowControl w:val="0"/>
        <w:jc w:val="left"/>
        <w:rPr>
          <w:sz w:val="16"/>
          <w:szCs w:val="16"/>
        </w:rPr>
      </w:pPr>
      <w:r w:rsidRPr="002C3F82">
        <w:rPr>
          <w:sz w:val="16"/>
          <w:szCs w:val="16"/>
        </w:rPr>
        <w:t>Abbreviations: MBS = Medical Benefits Scheme; PBS = Pharmaceutical Benefits Scheme; RPBS = Repatriation Pharmaceutical Benefits Scheme.</w:t>
      </w:r>
    </w:p>
    <w:p w14:paraId="49D81B99" w14:textId="77777777" w:rsidR="00F45A6D" w:rsidRDefault="00D70349" w:rsidP="00F45A6D">
      <w:pPr>
        <w:pStyle w:val="TableFigureFooter"/>
        <w:widowControl w:val="0"/>
        <w:rPr>
          <w:sz w:val="16"/>
          <w:szCs w:val="16"/>
        </w:rPr>
      </w:pPr>
      <w:r w:rsidRPr="002C3F82">
        <w:rPr>
          <w:sz w:val="16"/>
          <w:szCs w:val="16"/>
        </w:rPr>
        <w:t>Source</w:t>
      </w:r>
      <w:r w:rsidR="00A41443" w:rsidRPr="002C3F82">
        <w:rPr>
          <w:sz w:val="16"/>
          <w:szCs w:val="16"/>
        </w:rPr>
        <w:t>: Table 3.2</w:t>
      </w:r>
      <w:r w:rsidRPr="002C3F82">
        <w:rPr>
          <w:sz w:val="16"/>
          <w:szCs w:val="16"/>
        </w:rPr>
        <w:t xml:space="preserve">, </w:t>
      </w:r>
      <w:r w:rsidR="00A41443" w:rsidRPr="002C3F82">
        <w:rPr>
          <w:sz w:val="16"/>
          <w:szCs w:val="16"/>
        </w:rPr>
        <w:t>page 8</w:t>
      </w:r>
      <w:r w:rsidRPr="002C3F82">
        <w:rPr>
          <w:sz w:val="16"/>
          <w:szCs w:val="16"/>
        </w:rPr>
        <w:t xml:space="preserve"> of the submission</w:t>
      </w:r>
      <w:r w:rsidR="00A41443" w:rsidRPr="002C3F82">
        <w:rPr>
          <w:sz w:val="16"/>
          <w:szCs w:val="16"/>
        </w:rPr>
        <w:t>.</w:t>
      </w:r>
      <w:r w:rsidR="00F45A6D">
        <w:rPr>
          <w:sz w:val="16"/>
          <w:szCs w:val="16"/>
        </w:rPr>
        <w:t xml:space="preserve"> </w:t>
      </w:r>
    </w:p>
    <w:p w14:paraId="0735FBC4" w14:textId="3256DFE5" w:rsidR="00F45A6D" w:rsidRPr="005179A3" w:rsidRDefault="00F45A6D" w:rsidP="00F45A6D">
      <w:pPr>
        <w:pStyle w:val="TableFigureFooter"/>
        <w:widowControl w:val="0"/>
        <w:rPr>
          <w:i/>
          <w:iCs/>
          <w:sz w:val="16"/>
          <w:szCs w:val="16"/>
        </w:rPr>
      </w:pPr>
      <w:r w:rsidRPr="005179A3">
        <w:rPr>
          <w:i/>
          <w:iCs/>
          <w:sz w:val="16"/>
          <w:szCs w:val="16"/>
        </w:rPr>
        <w:t xml:space="preserve">The redacted values correspond to the following ranges: </w:t>
      </w:r>
    </w:p>
    <w:p w14:paraId="5D4F4C16" w14:textId="77777777" w:rsidR="00F07F3C" w:rsidRPr="00F07F3C" w:rsidRDefault="00F45A6D" w:rsidP="00F07F3C">
      <w:pPr>
        <w:pStyle w:val="TableFigureFooter"/>
        <w:widowControl w:val="0"/>
        <w:rPr>
          <w:i/>
          <w:iCs/>
          <w:sz w:val="16"/>
          <w:szCs w:val="16"/>
        </w:rPr>
      </w:pPr>
      <w:r w:rsidRPr="005179A3">
        <w:rPr>
          <w:i/>
          <w:iCs/>
          <w:sz w:val="16"/>
          <w:szCs w:val="16"/>
          <w:vertAlign w:val="superscript"/>
        </w:rPr>
        <w:t>1</w:t>
      </w:r>
      <w:r>
        <w:rPr>
          <w:i/>
          <w:iCs/>
          <w:sz w:val="16"/>
          <w:szCs w:val="16"/>
        </w:rPr>
        <w:t xml:space="preserve"> </w:t>
      </w:r>
      <w:r w:rsidR="00F07F3C" w:rsidRPr="00F07F3C">
        <w:rPr>
          <w:i/>
          <w:iCs/>
          <w:sz w:val="16"/>
          <w:szCs w:val="16"/>
        </w:rPr>
        <w:t>500 to &lt; 5,000</w:t>
      </w:r>
    </w:p>
    <w:p w14:paraId="0CFCD9A0" w14:textId="77777777" w:rsidR="00286327" w:rsidRDefault="00F07F3C" w:rsidP="00286327">
      <w:pPr>
        <w:pStyle w:val="TableFigureFooter"/>
        <w:widowControl w:val="0"/>
        <w:rPr>
          <w:i/>
          <w:iCs/>
          <w:sz w:val="16"/>
          <w:szCs w:val="16"/>
        </w:rPr>
      </w:pPr>
      <w:r w:rsidRPr="005179A3">
        <w:rPr>
          <w:i/>
          <w:iCs/>
          <w:sz w:val="16"/>
          <w:szCs w:val="16"/>
          <w:vertAlign w:val="superscript"/>
        </w:rPr>
        <w:t>2</w:t>
      </w:r>
      <w:r>
        <w:rPr>
          <w:i/>
          <w:iCs/>
          <w:sz w:val="16"/>
          <w:szCs w:val="16"/>
        </w:rPr>
        <w:t xml:space="preserve"> </w:t>
      </w:r>
      <w:r w:rsidRPr="00F07F3C">
        <w:rPr>
          <w:i/>
          <w:iCs/>
          <w:sz w:val="16"/>
          <w:szCs w:val="16"/>
        </w:rPr>
        <w:t>5,000 to &lt; 10,000</w:t>
      </w:r>
      <w:r w:rsidR="00286327">
        <w:rPr>
          <w:i/>
          <w:iCs/>
          <w:sz w:val="16"/>
          <w:szCs w:val="16"/>
        </w:rPr>
        <w:t xml:space="preserve"> </w:t>
      </w:r>
    </w:p>
    <w:p w14:paraId="6C485BFB" w14:textId="5CF0626D" w:rsidR="00286327" w:rsidRPr="00286327" w:rsidRDefault="00286327" w:rsidP="00286327">
      <w:pPr>
        <w:pStyle w:val="TableFigureFooter"/>
        <w:widowControl w:val="0"/>
        <w:rPr>
          <w:i/>
          <w:iCs/>
          <w:sz w:val="16"/>
          <w:szCs w:val="16"/>
        </w:rPr>
      </w:pPr>
      <w:r w:rsidRPr="005179A3">
        <w:rPr>
          <w:i/>
          <w:iCs/>
          <w:sz w:val="16"/>
          <w:szCs w:val="16"/>
          <w:vertAlign w:val="superscript"/>
        </w:rPr>
        <w:t>3</w:t>
      </w:r>
      <w:r>
        <w:rPr>
          <w:i/>
          <w:iCs/>
          <w:sz w:val="16"/>
          <w:szCs w:val="16"/>
        </w:rPr>
        <w:t xml:space="preserve"> </w:t>
      </w:r>
      <w:r w:rsidRPr="00286327">
        <w:rPr>
          <w:i/>
          <w:iCs/>
          <w:sz w:val="16"/>
          <w:szCs w:val="16"/>
        </w:rPr>
        <w:t>$0 to &lt; $10 million</w:t>
      </w:r>
    </w:p>
    <w:p w14:paraId="3173AE78" w14:textId="275F0C8F" w:rsidR="009F778C" w:rsidRPr="005179A3" w:rsidRDefault="00286327" w:rsidP="00286327">
      <w:pPr>
        <w:pStyle w:val="TableFigureFooter"/>
        <w:widowControl w:val="0"/>
        <w:rPr>
          <w:i/>
          <w:iCs/>
          <w:sz w:val="16"/>
          <w:szCs w:val="16"/>
        </w:rPr>
      </w:pPr>
      <w:r w:rsidRPr="005179A3">
        <w:rPr>
          <w:i/>
          <w:iCs/>
          <w:sz w:val="16"/>
          <w:szCs w:val="16"/>
          <w:vertAlign w:val="superscript"/>
        </w:rPr>
        <w:t xml:space="preserve">4 </w:t>
      </w:r>
      <w:r w:rsidRPr="00286327">
        <w:rPr>
          <w:i/>
          <w:iCs/>
          <w:sz w:val="16"/>
          <w:szCs w:val="16"/>
        </w:rPr>
        <w:t>$10 million to &lt; $20 million</w:t>
      </w:r>
    </w:p>
    <w:p w14:paraId="712D603C" w14:textId="0BBEFA65" w:rsidR="002B74D4" w:rsidRDefault="002B74D4" w:rsidP="002B74D4">
      <w:pPr>
        <w:pStyle w:val="2-SectionHeading"/>
      </w:pPr>
      <w:r>
        <w:t>PBAC Outcome</w:t>
      </w:r>
    </w:p>
    <w:p w14:paraId="52EE5180" w14:textId="73F98D1F" w:rsidR="002B74D4" w:rsidRPr="00AD5AD3" w:rsidRDefault="00B61C8B" w:rsidP="002B74D4">
      <w:pPr>
        <w:pStyle w:val="3-BodyText"/>
      </w:pPr>
      <w:r w:rsidRPr="00CE42B4">
        <w:rPr>
          <w:rFonts w:cs="Arial"/>
          <w:snapToGrid w:val="0"/>
          <w:lang w:val="en-GB"/>
        </w:rPr>
        <w:t xml:space="preserve">The PBAC recommended the listing of </w:t>
      </w:r>
      <w:r>
        <w:rPr>
          <w:rFonts w:cs="Arial"/>
          <w:snapToGrid w:val="0"/>
          <w:lang w:val="en-GB"/>
        </w:rPr>
        <w:t>lanreotide</w:t>
      </w:r>
      <w:r w:rsidR="008E0FE2">
        <w:rPr>
          <w:rFonts w:cs="Arial"/>
          <w:snapToGrid w:val="0"/>
          <w:lang w:val="en-GB"/>
        </w:rPr>
        <w:t xml:space="preserve"> (LACREO)</w:t>
      </w:r>
      <w:r w:rsidRPr="00CE42B4">
        <w:rPr>
          <w:rFonts w:cs="Arial"/>
          <w:snapToGrid w:val="0"/>
          <w:lang w:val="en-GB"/>
        </w:rPr>
        <w:t xml:space="preserve">, </w:t>
      </w:r>
      <w:r w:rsidR="0013563D">
        <w:rPr>
          <w:rFonts w:cs="Arial"/>
          <w:snapToGrid w:val="0"/>
          <w:lang w:val="en-GB"/>
        </w:rPr>
        <w:t>fo</w:t>
      </w:r>
      <w:r w:rsidR="0013563D" w:rsidRPr="0013563D">
        <w:rPr>
          <w:rFonts w:cs="Arial"/>
          <w:snapToGrid w:val="0"/>
          <w:lang w:val="en-GB"/>
        </w:rPr>
        <w:t xml:space="preserve">r the treatment of </w:t>
      </w:r>
      <w:r w:rsidR="0013563D" w:rsidRPr="0013563D">
        <w:t>acromegaly, functional carcinoid tumour and</w:t>
      </w:r>
      <w:r w:rsidR="0013563D" w:rsidRPr="0013563D">
        <w:rPr>
          <w:rFonts w:cstheme="minorHAnsi"/>
          <w:szCs w:val="24"/>
        </w:rPr>
        <w:t xml:space="preserve"> non-functional </w:t>
      </w:r>
      <w:r w:rsidR="0013563D" w:rsidRPr="0013563D">
        <w:rPr>
          <w:rFonts w:eastAsia="Times New Roman" w:cstheme="minorHAnsi"/>
          <w:color w:val="333333"/>
          <w:szCs w:val="24"/>
        </w:rPr>
        <w:t xml:space="preserve">gastroenteropancreatic </w:t>
      </w:r>
      <w:r w:rsidR="0013563D" w:rsidRPr="0013563D">
        <w:rPr>
          <w:rFonts w:cstheme="minorHAnsi"/>
          <w:szCs w:val="24"/>
        </w:rPr>
        <w:t>neuroendocrine tumour (GEP-NET)</w:t>
      </w:r>
      <w:r w:rsidR="0013563D" w:rsidRPr="00CE42B4">
        <w:rPr>
          <w:rFonts w:cs="Arial"/>
          <w:snapToGrid w:val="0"/>
          <w:lang w:val="en-GB"/>
        </w:rPr>
        <w:t xml:space="preserve"> </w:t>
      </w:r>
      <w:r w:rsidRPr="00CE42B4">
        <w:rPr>
          <w:rFonts w:cs="Arial"/>
          <w:snapToGrid w:val="0"/>
          <w:lang w:val="en-GB"/>
        </w:rPr>
        <w:t xml:space="preserve">on the basis that it should be available only under special arrangements under </w:t>
      </w:r>
      <w:r w:rsidR="008E0FE2">
        <w:rPr>
          <w:rFonts w:cs="Arial"/>
          <w:snapToGrid w:val="0"/>
          <w:lang w:val="en-GB"/>
        </w:rPr>
        <w:t xml:space="preserve">the </w:t>
      </w:r>
      <w:r w:rsidRPr="00CE42B4">
        <w:rPr>
          <w:rFonts w:cs="Arial"/>
          <w:snapToGrid w:val="0"/>
          <w:lang w:val="en-GB"/>
        </w:rPr>
        <w:t>Section 100</w:t>
      </w:r>
      <w:r>
        <w:rPr>
          <w:rFonts w:cs="Arial"/>
          <w:snapToGrid w:val="0"/>
          <w:lang w:val="en-GB"/>
        </w:rPr>
        <w:t xml:space="preserve"> Highly Specialised Drugs </w:t>
      </w:r>
      <w:r w:rsidR="00F749FD">
        <w:rPr>
          <w:rFonts w:cs="Arial"/>
          <w:snapToGrid w:val="0"/>
          <w:lang w:val="en-GB"/>
        </w:rPr>
        <w:t xml:space="preserve">(HSD) </w:t>
      </w:r>
      <w:r>
        <w:rPr>
          <w:rFonts w:cs="Arial"/>
          <w:snapToGrid w:val="0"/>
          <w:lang w:val="en-GB"/>
        </w:rPr>
        <w:t>Program</w:t>
      </w:r>
      <w:r w:rsidR="00703A7C">
        <w:rPr>
          <w:rFonts w:cs="Arial"/>
          <w:snapToGrid w:val="0"/>
          <w:lang w:val="en-GB"/>
        </w:rPr>
        <w:t xml:space="preserve"> </w:t>
      </w:r>
      <w:r w:rsidR="00C72CD4">
        <w:rPr>
          <w:rFonts w:cs="Arial"/>
          <w:snapToGrid w:val="0"/>
          <w:lang w:val="en-GB"/>
        </w:rPr>
        <w:t>Community Access</w:t>
      </w:r>
      <w:r w:rsidR="00C14C60">
        <w:rPr>
          <w:rFonts w:cs="Arial"/>
          <w:snapToGrid w:val="0"/>
          <w:lang w:val="en-GB"/>
        </w:rPr>
        <w:t xml:space="preserve"> </w:t>
      </w:r>
      <w:r w:rsidR="00703A7C">
        <w:rPr>
          <w:rFonts w:cs="Arial"/>
          <w:snapToGrid w:val="0"/>
          <w:lang w:val="en-GB"/>
        </w:rPr>
        <w:t>under the same circumstances as PBS-listed originator brand Somatuline Autogel®</w:t>
      </w:r>
      <w:r w:rsidR="00A71DC6">
        <w:rPr>
          <w:rFonts w:cs="Arial"/>
          <w:snapToGrid w:val="0"/>
          <w:lang w:val="en-GB"/>
        </w:rPr>
        <w:t>.</w:t>
      </w:r>
    </w:p>
    <w:p w14:paraId="0D53DEA9" w14:textId="03C2C608" w:rsidR="00AD5AD3" w:rsidRPr="001531DE" w:rsidRDefault="00AD5AD3" w:rsidP="002B74D4">
      <w:pPr>
        <w:pStyle w:val="3-BodyText"/>
      </w:pPr>
      <w:r>
        <w:rPr>
          <w:rFonts w:cs="Arial"/>
          <w:snapToGrid w:val="0"/>
          <w:lang w:val="en-GB"/>
        </w:rPr>
        <w:t xml:space="preserve">The PBAC </w:t>
      </w:r>
      <w:r w:rsidR="001531DE">
        <w:rPr>
          <w:rFonts w:cs="Arial"/>
          <w:snapToGrid w:val="0"/>
          <w:lang w:val="en-GB"/>
        </w:rPr>
        <w:t>advised the equi-effective doses to be</w:t>
      </w:r>
      <w:r w:rsidR="00E325EC">
        <w:rPr>
          <w:rFonts w:cs="Arial"/>
          <w:snapToGrid w:val="0"/>
          <w:lang w:val="en-GB"/>
        </w:rPr>
        <w:t xml:space="preserve"> 1 mg LACREO equal</w:t>
      </w:r>
      <w:r w:rsidR="002D18BD">
        <w:rPr>
          <w:rFonts w:cs="Arial"/>
          <w:snapToGrid w:val="0"/>
          <w:lang w:val="en-GB"/>
        </w:rPr>
        <w:t>s</w:t>
      </w:r>
      <w:r w:rsidR="00E325EC">
        <w:rPr>
          <w:rFonts w:cs="Arial"/>
          <w:snapToGrid w:val="0"/>
          <w:lang w:val="en-GB"/>
        </w:rPr>
        <w:t xml:space="preserve"> 1 mg </w:t>
      </w:r>
      <w:r w:rsidR="00B11681">
        <w:rPr>
          <w:rFonts w:cs="Arial"/>
          <w:snapToGrid w:val="0"/>
          <w:lang w:val="en-GB"/>
        </w:rPr>
        <w:t>Somatuline Autogel.</w:t>
      </w:r>
    </w:p>
    <w:p w14:paraId="3267856D" w14:textId="33E3034A" w:rsidR="006E1F7E" w:rsidRDefault="006E1F7E" w:rsidP="00FE63A2">
      <w:pPr>
        <w:pStyle w:val="3-BodyText"/>
      </w:pPr>
      <w:r w:rsidRPr="002D459B">
        <w:t xml:space="preserve">The PBAC advised that, under Section 101(4AACD) of the </w:t>
      </w:r>
      <w:r w:rsidRPr="001E4ACC">
        <w:rPr>
          <w:i/>
          <w:iCs/>
        </w:rPr>
        <w:t>National Health Act 1953</w:t>
      </w:r>
      <w:r w:rsidRPr="002D459B">
        <w:t xml:space="preserve">, </w:t>
      </w:r>
      <w:r w:rsidR="00FE63A2">
        <w:t xml:space="preserve">the following drug/strength/forms of </w:t>
      </w:r>
      <w:r w:rsidRPr="002D459B">
        <w:t>LACREO and Somatuline Auto</w:t>
      </w:r>
      <w:r w:rsidR="002D459B" w:rsidRPr="002D459B">
        <w:t>gel</w:t>
      </w:r>
      <w:r w:rsidRPr="002D459B">
        <w:t xml:space="preserve"> should be </w:t>
      </w:r>
      <w:r w:rsidRPr="002D459B">
        <w:lastRenderedPageBreak/>
        <w:t>considered equivalent for the purpose of substitution at the pharmacy level (i.e., ‘a’ flagged in the Schedule of Pharmaceutical Benefits)</w:t>
      </w:r>
      <w:r w:rsidR="00FE63A2">
        <w:t>:</w:t>
      </w:r>
    </w:p>
    <w:p w14:paraId="165656CD" w14:textId="12AAF9A0" w:rsidR="00FE63A2" w:rsidRDefault="00FE63A2" w:rsidP="00E665F1">
      <w:pPr>
        <w:pStyle w:val="ListParagraph"/>
        <w:numPr>
          <w:ilvl w:val="0"/>
          <w:numId w:val="9"/>
        </w:numPr>
      </w:pPr>
      <w:r>
        <w:t>LACREO 60 mg/0.2 mL injection 0.2 mL syringe and Somatuline Autogel 60 mg/0.5 mL injection 0.5 mL syringe</w:t>
      </w:r>
    </w:p>
    <w:p w14:paraId="094CB604" w14:textId="03F4E834" w:rsidR="00FE63A2" w:rsidRDefault="00FE63A2" w:rsidP="00E665F1">
      <w:pPr>
        <w:pStyle w:val="ListParagraph"/>
        <w:numPr>
          <w:ilvl w:val="0"/>
          <w:numId w:val="9"/>
        </w:numPr>
      </w:pPr>
      <w:r>
        <w:t>LACREO 90 mg/0.3 mL injection 0.3 mL syringe and Somatuline Autogel 90 mg/0.5 mL injection 0.5 mL syringe</w:t>
      </w:r>
    </w:p>
    <w:p w14:paraId="119C10A7" w14:textId="6B9CE89F" w:rsidR="00FE63A2" w:rsidRDefault="00FE63A2" w:rsidP="00E665F1">
      <w:pPr>
        <w:pStyle w:val="ListParagraph"/>
        <w:numPr>
          <w:ilvl w:val="0"/>
          <w:numId w:val="9"/>
        </w:numPr>
      </w:pPr>
      <w:r>
        <w:t>LACREO 120 mg/0.5 mL injection 0.5 mL syringe and Somatuline Autogel 120 mg/0.5 mL injection 0.5 mL syringe</w:t>
      </w:r>
    </w:p>
    <w:p w14:paraId="4306EF73" w14:textId="69E6E1E3" w:rsidR="001A7481" w:rsidRDefault="001A7481" w:rsidP="004F570F">
      <w:pPr>
        <w:pStyle w:val="3-BodyText"/>
      </w:pPr>
      <w:r>
        <w:t>The PBAC considered</w:t>
      </w:r>
      <w:r w:rsidR="007B1083">
        <w:t xml:space="preserve"> that the nominated comparator of lanreotide (Somatuline Autogel)</w:t>
      </w:r>
      <w:r w:rsidR="002C010C">
        <w:t xml:space="preserve"> was appropriate, and noted</w:t>
      </w:r>
      <w:r>
        <w:t xml:space="preserve"> </w:t>
      </w:r>
      <w:r w:rsidR="00B8247E">
        <w:t xml:space="preserve">the opinion of the TGA that lanreotide (LACREO) was bioequivalent to </w:t>
      </w:r>
      <w:r w:rsidR="004F570F">
        <w:t>lanreotide (Somatuline Autogel).</w:t>
      </w:r>
    </w:p>
    <w:p w14:paraId="21054295" w14:textId="53989ED5" w:rsidR="00287FB1" w:rsidRDefault="00287FB1" w:rsidP="004F570F">
      <w:pPr>
        <w:pStyle w:val="3-BodyText"/>
      </w:pPr>
      <w:r>
        <w:t>The PBAC considered the</w:t>
      </w:r>
      <w:r w:rsidR="00AC2F10">
        <w:t xml:space="preserve"> </w:t>
      </w:r>
      <w:r w:rsidR="0015338F">
        <w:t>economic model</w:t>
      </w:r>
      <w:r w:rsidR="00224D56">
        <w:t xml:space="preserve"> </w:t>
      </w:r>
      <w:r w:rsidR="0015338F">
        <w:t>and utilisation estimates</w:t>
      </w:r>
      <w:r>
        <w:t xml:space="preserve"> to be reasonable.</w:t>
      </w:r>
      <w:r w:rsidR="0067291C">
        <w:t xml:space="preserve"> The PBAC noted that the</w:t>
      </w:r>
      <w:r w:rsidR="00F717BC">
        <w:t xml:space="preserve"> recommended listing was made as a cost minimisation and </w:t>
      </w:r>
      <w:r w:rsidR="003E0C96">
        <w:t>would</w:t>
      </w:r>
      <w:r w:rsidR="0067291C">
        <w:t xml:space="preserve"> be cost neutral to the PBS.</w:t>
      </w:r>
    </w:p>
    <w:p w14:paraId="67FEE475" w14:textId="6DF47EC8" w:rsidR="00F80929" w:rsidRDefault="00F80929" w:rsidP="004F570F">
      <w:pPr>
        <w:pStyle w:val="3-BodyText"/>
      </w:pPr>
      <w:r>
        <w:t>The PBAC considered lanreotide (LACREO) to be suitable for prescribing by medical practitioners only.</w:t>
      </w:r>
    </w:p>
    <w:p w14:paraId="39B2B04A" w14:textId="168FA49B" w:rsidR="00E54309" w:rsidRDefault="009E4DE6" w:rsidP="004F570F">
      <w:pPr>
        <w:pStyle w:val="3-BodyText"/>
      </w:pPr>
      <w:r>
        <w:t xml:space="preserve">As a flow-on to </w:t>
      </w:r>
      <w:r w:rsidR="008A700F">
        <w:t xml:space="preserve">the recommendation to </w:t>
      </w:r>
      <w:r w:rsidR="00F214FC">
        <w:t>list lanreotide</w:t>
      </w:r>
      <w:r w:rsidR="003D5017">
        <w:t xml:space="preserve"> (LACREO) </w:t>
      </w:r>
      <w:r w:rsidR="00CF664D">
        <w:t>under the</w:t>
      </w:r>
      <w:r w:rsidR="003D5017">
        <w:t xml:space="preserve"> </w:t>
      </w:r>
      <w:r w:rsidR="00C23628">
        <w:t xml:space="preserve">s100 </w:t>
      </w:r>
      <w:r w:rsidR="00F749FD">
        <w:t>HSD</w:t>
      </w:r>
      <w:r w:rsidR="00C23628">
        <w:t xml:space="preserve"> Program Community Access</w:t>
      </w:r>
      <w:r w:rsidR="00922739">
        <w:t xml:space="preserve">, </w:t>
      </w:r>
      <w:r w:rsidR="009B7B98">
        <w:t xml:space="preserve">the PBAC noted that the </w:t>
      </w:r>
      <w:r w:rsidR="00AD699A">
        <w:t>s</w:t>
      </w:r>
      <w:r w:rsidR="00F749FD">
        <w:t xml:space="preserve">100 HSD Program </w:t>
      </w:r>
      <w:r w:rsidR="00FF0AFD">
        <w:t xml:space="preserve">public and private hospital </w:t>
      </w:r>
      <w:r w:rsidR="00F749FD">
        <w:t xml:space="preserve">listings for lanreotide </w:t>
      </w:r>
      <w:r w:rsidR="001F2CE8">
        <w:t xml:space="preserve">(all brands/forms) </w:t>
      </w:r>
      <w:r w:rsidR="00F749FD">
        <w:t xml:space="preserve">should be </w:t>
      </w:r>
      <w:r w:rsidR="00324826">
        <w:t xml:space="preserve">removed, as the HSD </w:t>
      </w:r>
      <w:r w:rsidR="00251E5A">
        <w:t xml:space="preserve">Program </w:t>
      </w:r>
      <w:r w:rsidR="00324826">
        <w:t>Community Access listings provide for access in community, public and private hospital settings.</w:t>
      </w:r>
    </w:p>
    <w:p w14:paraId="5D35A8CC" w14:textId="12EC7F1C" w:rsidR="00590069" w:rsidRPr="00287FB1" w:rsidRDefault="00590069" w:rsidP="00A40AA9">
      <w:pPr>
        <w:pStyle w:val="3-BodyText"/>
      </w:pPr>
      <w:r w:rsidRPr="00D121C5">
        <w:rPr>
          <w:lang w:val="en-GB"/>
        </w:rPr>
        <w:t>The PBAC noted that its recommendation was on a cost-minimisation basis and advised that, because</w:t>
      </w:r>
      <w:r>
        <w:rPr>
          <w:lang w:val="en-GB"/>
        </w:rPr>
        <w:t xml:space="preserve"> lanreotide (LACREO)</w:t>
      </w:r>
      <w:r w:rsidRPr="00D121C5">
        <w:rPr>
          <w:lang w:val="en-GB"/>
        </w:rPr>
        <w:t xml:space="preserve"> is not expected to provide a substantial</w:t>
      </w:r>
      <w:r w:rsidRPr="00D121C5">
        <w:rPr>
          <w:bCs/>
          <w:lang w:val="en-GB"/>
        </w:rPr>
        <w:t xml:space="preserve"> and</w:t>
      </w:r>
      <w:r w:rsidRPr="00531A05">
        <w:rPr>
          <w:bCs/>
          <w:lang w:val="en-GB"/>
        </w:rPr>
        <w:t xml:space="preserve"> clinically relevant improvement in efficacy, or reduction of toxicity, over </w:t>
      </w:r>
      <w:r>
        <w:rPr>
          <w:bCs/>
          <w:lang w:val="en-GB"/>
        </w:rPr>
        <w:t>lanreotide (Somatuline Autogel)</w:t>
      </w:r>
      <w:r w:rsidRPr="00531A05">
        <w:rPr>
          <w:bCs/>
          <w:lang w:val="en-GB"/>
        </w:rPr>
        <w:t xml:space="preserve">, or not expected to address a high and urgent unmet clinical need given the presence of an alternative therapy, the criteria prescribed by the </w:t>
      </w:r>
      <w:r w:rsidRPr="007A5703">
        <w:rPr>
          <w:bCs/>
          <w:i/>
          <w:lang w:val="en-GB"/>
        </w:rPr>
        <w:t>National Health (Pharmaceuticals and Vaccines – Cost Recovery) Regulations 20</w:t>
      </w:r>
      <w:r>
        <w:rPr>
          <w:bCs/>
          <w:i/>
          <w:lang w:val="en-GB"/>
        </w:rPr>
        <w:t>22</w:t>
      </w:r>
      <w:r w:rsidRPr="00531A05">
        <w:rPr>
          <w:bCs/>
          <w:lang w:val="en-GB"/>
        </w:rPr>
        <w:t xml:space="preserve"> for Pricing Pathway A were not met.</w:t>
      </w:r>
    </w:p>
    <w:p w14:paraId="6FE69326" w14:textId="0F82E60A" w:rsidR="002D18BD" w:rsidRDefault="00A833F6" w:rsidP="00EB50D2">
      <w:pPr>
        <w:pStyle w:val="3-BodyText"/>
      </w:pPr>
      <w:r>
        <w:rPr>
          <w:bCs/>
          <w:lang w:val="en-GB"/>
        </w:rPr>
        <w:t>The PBAC noted that this submission is not eligible for an Independent Review</w:t>
      </w:r>
      <w:r w:rsidR="00B0663F">
        <w:rPr>
          <w:bCs/>
          <w:lang w:val="en-GB"/>
        </w:rPr>
        <w:t xml:space="preserve"> as it received a positive recommendation.</w:t>
      </w:r>
    </w:p>
    <w:p w14:paraId="2ADB7E4B" w14:textId="5B98306A" w:rsidR="002E3C4D" w:rsidRPr="00FB3669" w:rsidRDefault="002E3C4D" w:rsidP="005179A3">
      <w:pPr>
        <w:pStyle w:val="3-BodyText"/>
        <w:numPr>
          <w:ilvl w:val="0"/>
          <w:numId w:val="0"/>
        </w:numPr>
        <w:spacing w:after="0"/>
        <w:ind w:left="720" w:hanging="720"/>
        <w:rPr>
          <w:b/>
          <w:bCs/>
        </w:rPr>
      </w:pPr>
      <w:r w:rsidRPr="00FB3669">
        <w:rPr>
          <w:b/>
          <w:bCs/>
        </w:rPr>
        <w:t>Outcome:</w:t>
      </w:r>
    </w:p>
    <w:p w14:paraId="4E4C04E9" w14:textId="6EEE24C1" w:rsidR="002E3C4D" w:rsidRDefault="002E3C4D" w:rsidP="005179A3">
      <w:pPr>
        <w:pStyle w:val="3-BodyText"/>
        <w:numPr>
          <w:ilvl w:val="0"/>
          <w:numId w:val="0"/>
        </w:numPr>
        <w:spacing w:before="0"/>
        <w:ind w:left="720" w:hanging="720"/>
      </w:pPr>
      <w:r>
        <w:t>Recommended</w:t>
      </w:r>
    </w:p>
    <w:p w14:paraId="750FD605" w14:textId="347410FF" w:rsidR="002E3C4D" w:rsidRDefault="002E3C4D" w:rsidP="002E3C4D">
      <w:pPr>
        <w:pStyle w:val="3-BodyText"/>
        <w:numPr>
          <w:ilvl w:val="0"/>
          <w:numId w:val="0"/>
        </w:numPr>
        <w:ind w:left="720" w:hanging="720"/>
      </w:pPr>
    </w:p>
    <w:p w14:paraId="5812E7B9" w14:textId="6C96D67E" w:rsidR="004B1224" w:rsidRDefault="004B1224">
      <w:pPr>
        <w:jc w:val="left"/>
        <w:rPr>
          <w:rFonts w:asciiTheme="minorHAnsi" w:eastAsiaTheme="minorHAnsi" w:hAnsiTheme="minorHAnsi" w:cstheme="minorBidi"/>
          <w:szCs w:val="22"/>
        </w:rPr>
      </w:pPr>
      <w:r>
        <w:br w:type="page"/>
      </w:r>
    </w:p>
    <w:p w14:paraId="5997A0D5" w14:textId="77777777" w:rsidR="0015277A" w:rsidRPr="003F3E82" w:rsidRDefault="0015277A" w:rsidP="0015277A">
      <w:pPr>
        <w:pStyle w:val="2-SectionHeading"/>
      </w:pPr>
      <w:r w:rsidRPr="003F3E82">
        <w:lastRenderedPageBreak/>
        <w:t>Recommended listing</w:t>
      </w:r>
    </w:p>
    <w:p w14:paraId="3B68C0CF" w14:textId="14C5ACBB" w:rsidR="00C95F47" w:rsidRDefault="003F3E82" w:rsidP="002D18BD">
      <w:r>
        <w:t>Add medicinal product pack</w:t>
      </w:r>
      <w:r w:rsidR="00CC1D2E">
        <w:t>s</w:t>
      </w:r>
      <w:r w:rsidR="00C95F47">
        <w:t xml:space="preserve"> (additions in </w:t>
      </w:r>
      <w:r w:rsidR="00C95F47" w:rsidRPr="00330CEE">
        <w:rPr>
          <w:i/>
          <w:iCs/>
        </w:rPr>
        <w:t>italic</w:t>
      </w:r>
      <w:r w:rsidR="00330CEE">
        <w:t xml:space="preserve">, deletions in </w:t>
      </w:r>
      <w:r w:rsidR="00330CEE" w:rsidRPr="00330CEE">
        <w:rPr>
          <w:strike/>
        </w:rPr>
        <w:t>strikethrough</w:t>
      </w:r>
      <w:r w:rsidR="00C95F47">
        <w:t>)</w:t>
      </w:r>
      <w:r w:rsidR="00682108">
        <w:t xml:space="preserve">: </w:t>
      </w:r>
    </w:p>
    <w:p w14:paraId="70972230" w14:textId="77777777" w:rsidR="00E665F1" w:rsidRPr="00F958A4" w:rsidRDefault="00E665F1" w:rsidP="00E665F1">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1271"/>
        <w:gridCol w:w="2668"/>
        <w:gridCol w:w="811"/>
        <w:gridCol w:w="812"/>
        <w:gridCol w:w="811"/>
        <w:gridCol w:w="812"/>
        <w:gridCol w:w="1831"/>
      </w:tblGrid>
      <w:tr w:rsidR="00E665F1" w:rsidRPr="00C87DB4" w14:paraId="7D22B54F" w14:textId="77777777">
        <w:trPr>
          <w:cantSplit/>
          <w:trHeight w:val="20"/>
        </w:trPr>
        <w:tc>
          <w:tcPr>
            <w:tcW w:w="3939" w:type="dxa"/>
            <w:gridSpan w:val="2"/>
            <w:vAlign w:val="center"/>
          </w:tcPr>
          <w:p w14:paraId="7107851E" w14:textId="77777777" w:rsidR="00E665F1" w:rsidRPr="00C87DB4" w:rsidRDefault="00E665F1">
            <w:pPr>
              <w:keepLines/>
              <w:rPr>
                <w:rFonts w:ascii="Arial Narrow" w:hAnsi="Arial Narrow" w:cs="Arial"/>
                <w:b/>
                <w:bCs/>
                <w:sz w:val="20"/>
                <w:szCs w:val="20"/>
              </w:rPr>
            </w:pPr>
            <w:r w:rsidRPr="00C87DB4">
              <w:rPr>
                <w:rFonts w:ascii="Arial Narrow" w:hAnsi="Arial Narrow" w:cs="Arial"/>
                <w:b/>
                <w:bCs/>
                <w:sz w:val="20"/>
                <w:szCs w:val="20"/>
              </w:rPr>
              <w:t>MEDICINAL PRODUCT</w:t>
            </w:r>
          </w:p>
          <w:p w14:paraId="488ACF80" w14:textId="77777777" w:rsidR="00E665F1" w:rsidRPr="00C87DB4" w:rsidRDefault="00E665F1">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1047483B" w14:textId="77777777" w:rsidR="00E665F1" w:rsidRPr="00C87DB4" w:rsidRDefault="00E665F1">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19AAB409" w14:textId="77777777" w:rsidR="00E665F1" w:rsidRPr="00C87DB4" w:rsidRDefault="00E665F1">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44C98460" w14:textId="77777777" w:rsidR="00E665F1" w:rsidRPr="00C87DB4" w:rsidRDefault="00E665F1">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01E83F2E" w14:textId="77777777" w:rsidR="00E665F1" w:rsidRPr="00C87DB4" w:rsidRDefault="00E665F1">
            <w:pPr>
              <w:keepLines/>
              <w:jc w:val="center"/>
              <w:rPr>
                <w:rFonts w:ascii="Arial Narrow" w:hAnsi="Arial Narrow" w:cs="Arial"/>
                <w:b/>
                <w:sz w:val="20"/>
                <w:szCs w:val="20"/>
              </w:rPr>
            </w:pPr>
            <w:r w:rsidRPr="00C87DB4">
              <w:rPr>
                <w:rFonts w:ascii="Arial Narrow" w:hAnsi="Arial Narrow" w:cs="Arial"/>
                <w:b/>
                <w:sz w:val="20"/>
                <w:szCs w:val="20"/>
              </w:rPr>
              <w:t>№.of</w:t>
            </w:r>
          </w:p>
          <w:p w14:paraId="45CC7531" w14:textId="77777777" w:rsidR="00E665F1" w:rsidRPr="00C87DB4" w:rsidRDefault="00E665F1">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4FB8BC75" w14:textId="77777777" w:rsidR="00E665F1" w:rsidRPr="00C87DB4" w:rsidRDefault="00E665F1">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E665F1" w:rsidRPr="00C87DB4" w14:paraId="0C02DFE1" w14:textId="77777777">
        <w:trPr>
          <w:cantSplit/>
          <w:trHeight w:val="20"/>
        </w:trPr>
        <w:tc>
          <w:tcPr>
            <w:tcW w:w="9016" w:type="dxa"/>
            <w:gridSpan w:val="7"/>
            <w:vAlign w:val="center"/>
          </w:tcPr>
          <w:p w14:paraId="37928B9D" w14:textId="77777777" w:rsidR="00E665F1" w:rsidRPr="00C87DB4" w:rsidRDefault="00E665F1">
            <w:pPr>
              <w:keepLines/>
              <w:rPr>
                <w:rFonts w:ascii="Arial Narrow" w:hAnsi="Arial Narrow" w:cs="Arial"/>
                <w:sz w:val="20"/>
                <w:szCs w:val="20"/>
              </w:rPr>
            </w:pPr>
            <w:r w:rsidRPr="00E35004">
              <w:rPr>
                <w:rFonts w:ascii="Arial Narrow" w:hAnsi="Arial Narrow" w:cs="Arial"/>
                <w:sz w:val="20"/>
                <w:szCs w:val="20"/>
              </w:rPr>
              <w:t>LANREOTIDE</w:t>
            </w:r>
          </w:p>
        </w:tc>
      </w:tr>
      <w:tr w:rsidR="00E665F1" w:rsidRPr="00B87DD2" w14:paraId="0942C1CA" w14:textId="77777777">
        <w:trPr>
          <w:cantSplit/>
          <w:trHeight w:val="20"/>
        </w:trPr>
        <w:tc>
          <w:tcPr>
            <w:tcW w:w="3939" w:type="dxa"/>
            <w:gridSpan w:val="2"/>
            <w:vAlign w:val="center"/>
          </w:tcPr>
          <w:p w14:paraId="6553660B" w14:textId="77777777" w:rsidR="00E665F1" w:rsidRPr="00B87DD2" w:rsidRDefault="00E665F1">
            <w:pPr>
              <w:keepLines/>
              <w:rPr>
                <w:rFonts w:ascii="Arial Narrow" w:hAnsi="Arial Narrow" w:cs="Arial"/>
                <w:sz w:val="20"/>
                <w:szCs w:val="20"/>
              </w:rPr>
            </w:pPr>
            <w:r w:rsidRPr="00B87DD2">
              <w:rPr>
                <w:rFonts w:ascii="Arial Narrow" w:hAnsi="Arial Narrow" w:cs="Arial"/>
                <w:sz w:val="20"/>
                <w:szCs w:val="20"/>
              </w:rPr>
              <w:t>lanreotide 60 mg/0.2 mL injection, 0.2 mL syringe</w:t>
            </w:r>
          </w:p>
        </w:tc>
        <w:tc>
          <w:tcPr>
            <w:tcW w:w="811" w:type="dxa"/>
            <w:vAlign w:val="center"/>
          </w:tcPr>
          <w:p w14:paraId="4B7EB3C0" w14:textId="2514304C" w:rsidR="00E665F1" w:rsidRPr="006D67FC" w:rsidRDefault="00E665F1">
            <w:pPr>
              <w:keepLines/>
              <w:jc w:val="center"/>
              <w:rPr>
                <w:rFonts w:ascii="Arial Narrow" w:hAnsi="Arial Narrow" w:cs="Arial"/>
                <w:i/>
                <w:iCs/>
                <w:color w:val="FF0000"/>
                <w:sz w:val="20"/>
                <w:szCs w:val="20"/>
              </w:rPr>
            </w:pPr>
            <w:r w:rsidRPr="006D67FC">
              <w:rPr>
                <w:rFonts w:ascii="Arial Narrow" w:hAnsi="Arial Narrow" w:cs="Arial"/>
                <w:i/>
                <w:iCs/>
                <w:color w:val="FF0000"/>
                <w:sz w:val="20"/>
                <w:szCs w:val="20"/>
              </w:rPr>
              <w:t>NEW</w:t>
            </w:r>
            <w:r w:rsidR="004823D8">
              <w:rPr>
                <w:rFonts w:ascii="Arial Narrow" w:hAnsi="Arial Narrow" w:cs="Arial"/>
                <w:i/>
                <w:iCs/>
                <w:color w:val="FF0000"/>
                <w:sz w:val="20"/>
                <w:szCs w:val="20"/>
              </w:rPr>
              <w:t>1</w:t>
            </w:r>
          </w:p>
        </w:tc>
        <w:tc>
          <w:tcPr>
            <w:tcW w:w="812" w:type="dxa"/>
            <w:vAlign w:val="center"/>
          </w:tcPr>
          <w:p w14:paraId="56C29AF9" w14:textId="77777777" w:rsidR="00E665F1" w:rsidRPr="00B87DD2" w:rsidRDefault="00E665F1">
            <w:pPr>
              <w:keepLines/>
              <w:jc w:val="center"/>
              <w:rPr>
                <w:rFonts w:ascii="Arial Narrow" w:hAnsi="Arial Narrow" w:cs="Arial"/>
                <w:sz w:val="20"/>
                <w:szCs w:val="20"/>
              </w:rPr>
            </w:pPr>
            <w:r w:rsidRPr="00B87DD2">
              <w:rPr>
                <w:rFonts w:ascii="Arial Narrow" w:hAnsi="Arial Narrow" w:cs="Arial"/>
                <w:sz w:val="20"/>
                <w:szCs w:val="20"/>
              </w:rPr>
              <w:t>2</w:t>
            </w:r>
          </w:p>
        </w:tc>
        <w:tc>
          <w:tcPr>
            <w:tcW w:w="811" w:type="dxa"/>
            <w:vAlign w:val="center"/>
          </w:tcPr>
          <w:p w14:paraId="02C03494" w14:textId="77777777" w:rsidR="00E665F1" w:rsidRPr="00B87DD2" w:rsidRDefault="00E665F1">
            <w:pPr>
              <w:keepLines/>
              <w:jc w:val="center"/>
              <w:rPr>
                <w:rFonts w:ascii="Arial Narrow" w:hAnsi="Arial Narrow" w:cs="Arial"/>
                <w:sz w:val="20"/>
                <w:szCs w:val="20"/>
              </w:rPr>
            </w:pPr>
            <w:r w:rsidRPr="00B87DD2">
              <w:rPr>
                <w:rFonts w:ascii="Arial Narrow" w:hAnsi="Arial Narrow" w:cs="Arial"/>
                <w:sz w:val="20"/>
                <w:szCs w:val="20"/>
              </w:rPr>
              <w:t>2</w:t>
            </w:r>
          </w:p>
        </w:tc>
        <w:tc>
          <w:tcPr>
            <w:tcW w:w="812" w:type="dxa"/>
            <w:vAlign w:val="center"/>
          </w:tcPr>
          <w:p w14:paraId="22ADB762" w14:textId="77777777" w:rsidR="00E665F1" w:rsidRPr="00B87DD2" w:rsidRDefault="00E665F1">
            <w:pPr>
              <w:keepLines/>
              <w:jc w:val="center"/>
              <w:rPr>
                <w:rFonts w:ascii="Arial Narrow" w:hAnsi="Arial Narrow" w:cs="Arial"/>
                <w:sz w:val="20"/>
                <w:szCs w:val="20"/>
              </w:rPr>
            </w:pPr>
            <w:r w:rsidRPr="00B87DD2">
              <w:rPr>
                <w:rFonts w:ascii="Arial Narrow" w:hAnsi="Arial Narrow" w:cs="Arial"/>
                <w:sz w:val="20"/>
                <w:szCs w:val="20"/>
              </w:rPr>
              <w:t>5</w:t>
            </w:r>
          </w:p>
        </w:tc>
        <w:tc>
          <w:tcPr>
            <w:tcW w:w="1831" w:type="dxa"/>
            <w:vAlign w:val="center"/>
          </w:tcPr>
          <w:p w14:paraId="7D60E51F" w14:textId="77777777" w:rsidR="00E665F1" w:rsidRPr="00B87DD2" w:rsidRDefault="00E665F1">
            <w:pPr>
              <w:keepLines/>
              <w:rPr>
                <w:rFonts w:ascii="Arial Narrow" w:hAnsi="Arial Narrow" w:cs="Arial"/>
                <w:sz w:val="20"/>
                <w:szCs w:val="20"/>
              </w:rPr>
            </w:pPr>
            <w:r>
              <w:rPr>
                <w:rFonts w:ascii="Arial Narrow" w:hAnsi="Arial Narrow" w:cs="Arial"/>
                <w:sz w:val="20"/>
                <w:szCs w:val="20"/>
              </w:rPr>
              <w:t>Lacreo</w:t>
            </w:r>
          </w:p>
        </w:tc>
      </w:tr>
      <w:tr w:rsidR="00E665F1" w:rsidRPr="00B87DD2" w14:paraId="2554B9BB" w14:textId="77777777">
        <w:trPr>
          <w:cantSplit/>
          <w:trHeight w:val="20"/>
        </w:trPr>
        <w:tc>
          <w:tcPr>
            <w:tcW w:w="3939" w:type="dxa"/>
            <w:gridSpan w:val="2"/>
            <w:vAlign w:val="center"/>
          </w:tcPr>
          <w:p w14:paraId="611108AB" w14:textId="77777777" w:rsidR="00E665F1" w:rsidRPr="00B87DD2" w:rsidRDefault="00E665F1">
            <w:pPr>
              <w:keepLines/>
              <w:rPr>
                <w:rFonts w:ascii="Arial Narrow" w:hAnsi="Arial Narrow" w:cs="Arial"/>
                <w:sz w:val="20"/>
                <w:szCs w:val="20"/>
              </w:rPr>
            </w:pPr>
            <w:r w:rsidRPr="00B87DD2">
              <w:rPr>
                <w:rFonts w:ascii="Arial Narrow" w:hAnsi="Arial Narrow" w:cs="Arial"/>
                <w:sz w:val="20"/>
                <w:szCs w:val="20"/>
              </w:rPr>
              <w:t>lanreotide 90 mg/0.3 mL injection 0.3 mL syringe</w:t>
            </w:r>
          </w:p>
        </w:tc>
        <w:tc>
          <w:tcPr>
            <w:tcW w:w="811" w:type="dxa"/>
            <w:vAlign w:val="center"/>
          </w:tcPr>
          <w:p w14:paraId="6586815A" w14:textId="5CEDD24B" w:rsidR="00E665F1" w:rsidRPr="006D67FC" w:rsidRDefault="00E665F1">
            <w:pPr>
              <w:keepLines/>
              <w:jc w:val="center"/>
              <w:rPr>
                <w:rFonts w:ascii="Arial Narrow" w:hAnsi="Arial Narrow" w:cs="Arial"/>
                <w:i/>
                <w:iCs/>
                <w:color w:val="FF0000"/>
                <w:sz w:val="20"/>
                <w:szCs w:val="20"/>
              </w:rPr>
            </w:pPr>
            <w:r w:rsidRPr="006D67FC">
              <w:rPr>
                <w:rFonts w:ascii="Arial Narrow" w:hAnsi="Arial Narrow" w:cs="Arial"/>
                <w:i/>
                <w:iCs/>
                <w:color w:val="FF0000"/>
                <w:sz w:val="20"/>
                <w:szCs w:val="20"/>
              </w:rPr>
              <w:t>NEW</w:t>
            </w:r>
            <w:r w:rsidR="004823D8">
              <w:rPr>
                <w:rFonts w:ascii="Arial Narrow" w:hAnsi="Arial Narrow" w:cs="Arial"/>
                <w:i/>
                <w:iCs/>
                <w:color w:val="FF0000"/>
                <w:sz w:val="20"/>
                <w:szCs w:val="20"/>
              </w:rPr>
              <w:t>2</w:t>
            </w:r>
          </w:p>
        </w:tc>
        <w:tc>
          <w:tcPr>
            <w:tcW w:w="812" w:type="dxa"/>
            <w:vAlign w:val="center"/>
          </w:tcPr>
          <w:p w14:paraId="741D55D9" w14:textId="77777777" w:rsidR="00E665F1" w:rsidRPr="00B87DD2" w:rsidRDefault="00E665F1">
            <w:pPr>
              <w:keepLines/>
              <w:jc w:val="center"/>
              <w:rPr>
                <w:rFonts w:ascii="Arial Narrow" w:hAnsi="Arial Narrow" w:cs="Arial"/>
                <w:sz w:val="20"/>
                <w:szCs w:val="20"/>
              </w:rPr>
            </w:pPr>
            <w:r w:rsidRPr="00B87DD2">
              <w:rPr>
                <w:rFonts w:ascii="Arial Narrow" w:hAnsi="Arial Narrow" w:cs="Arial"/>
                <w:sz w:val="20"/>
                <w:szCs w:val="20"/>
              </w:rPr>
              <w:t>2</w:t>
            </w:r>
          </w:p>
        </w:tc>
        <w:tc>
          <w:tcPr>
            <w:tcW w:w="811" w:type="dxa"/>
            <w:vAlign w:val="center"/>
          </w:tcPr>
          <w:p w14:paraId="24736536" w14:textId="77777777" w:rsidR="00E665F1" w:rsidRPr="00B87DD2" w:rsidRDefault="00E665F1">
            <w:pPr>
              <w:keepLines/>
              <w:jc w:val="center"/>
              <w:rPr>
                <w:rFonts w:ascii="Arial Narrow" w:hAnsi="Arial Narrow" w:cs="Arial"/>
                <w:sz w:val="20"/>
                <w:szCs w:val="20"/>
              </w:rPr>
            </w:pPr>
            <w:r w:rsidRPr="00B87DD2">
              <w:rPr>
                <w:rFonts w:ascii="Arial Narrow" w:hAnsi="Arial Narrow" w:cs="Arial"/>
                <w:sz w:val="20"/>
                <w:szCs w:val="20"/>
              </w:rPr>
              <w:t>2</w:t>
            </w:r>
          </w:p>
        </w:tc>
        <w:tc>
          <w:tcPr>
            <w:tcW w:w="812" w:type="dxa"/>
            <w:vAlign w:val="center"/>
          </w:tcPr>
          <w:p w14:paraId="79FE9A5C" w14:textId="77777777" w:rsidR="00E665F1" w:rsidRPr="00B87DD2" w:rsidRDefault="00E665F1">
            <w:pPr>
              <w:keepLines/>
              <w:jc w:val="center"/>
              <w:rPr>
                <w:rFonts w:ascii="Arial Narrow" w:hAnsi="Arial Narrow" w:cs="Arial"/>
                <w:sz w:val="20"/>
                <w:szCs w:val="20"/>
              </w:rPr>
            </w:pPr>
            <w:r w:rsidRPr="00B87DD2">
              <w:rPr>
                <w:rFonts w:ascii="Arial Narrow" w:hAnsi="Arial Narrow" w:cs="Arial"/>
                <w:sz w:val="20"/>
                <w:szCs w:val="20"/>
              </w:rPr>
              <w:t>5</w:t>
            </w:r>
          </w:p>
        </w:tc>
        <w:tc>
          <w:tcPr>
            <w:tcW w:w="1831" w:type="dxa"/>
            <w:vAlign w:val="center"/>
          </w:tcPr>
          <w:p w14:paraId="1548CFB3" w14:textId="57C296AB" w:rsidR="00E665F1" w:rsidRPr="00B87DD2" w:rsidRDefault="00E665F1">
            <w:pPr>
              <w:keepLines/>
              <w:rPr>
                <w:rFonts w:ascii="Arial Narrow" w:hAnsi="Arial Narrow" w:cs="Arial"/>
                <w:sz w:val="20"/>
                <w:szCs w:val="20"/>
              </w:rPr>
            </w:pPr>
            <w:r>
              <w:rPr>
                <w:rFonts w:ascii="Arial Narrow" w:hAnsi="Arial Narrow" w:cs="Arial"/>
                <w:sz w:val="20"/>
                <w:szCs w:val="20"/>
              </w:rPr>
              <w:t>Lacreo</w:t>
            </w:r>
          </w:p>
        </w:tc>
      </w:tr>
      <w:tr w:rsidR="00E665F1" w:rsidRPr="00B87DD2" w14:paraId="747FE616" w14:textId="77777777">
        <w:trPr>
          <w:cantSplit/>
          <w:trHeight w:val="20"/>
        </w:trPr>
        <w:tc>
          <w:tcPr>
            <w:tcW w:w="3939" w:type="dxa"/>
            <w:gridSpan w:val="2"/>
            <w:vAlign w:val="center"/>
          </w:tcPr>
          <w:p w14:paraId="3E65FB26" w14:textId="77777777" w:rsidR="00E665F1" w:rsidRPr="00B87DD2" w:rsidRDefault="00E665F1">
            <w:pPr>
              <w:keepNext/>
              <w:tabs>
                <w:tab w:val="left" w:pos="1077"/>
              </w:tabs>
              <w:rPr>
                <w:rFonts w:ascii="Arial Narrow" w:hAnsi="Arial Narrow" w:cs="Arial"/>
                <w:sz w:val="20"/>
                <w:szCs w:val="20"/>
              </w:rPr>
            </w:pPr>
            <w:r w:rsidRPr="00B87DD2">
              <w:rPr>
                <w:rFonts w:ascii="Arial Narrow" w:hAnsi="Arial Narrow" w:cs="Arial"/>
                <w:sz w:val="20"/>
                <w:szCs w:val="20"/>
              </w:rPr>
              <w:t>lanreotide 120 mg/0.5 mL injection, 0.5 mL syringe</w:t>
            </w:r>
          </w:p>
        </w:tc>
        <w:tc>
          <w:tcPr>
            <w:tcW w:w="811" w:type="dxa"/>
            <w:vAlign w:val="center"/>
          </w:tcPr>
          <w:p w14:paraId="6960ADD4" w14:textId="77777777" w:rsidR="00E665F1" w:rsidRPr="00B87DD2" w:rsidRDefault="00E665F1">
            <w:pPr>
              <w:keepNext/>
              <w:jc w:val="center"/>
              <w:rPr>
                <w:rFonts w:ascii="Arial Narrow" w:hAnsi="Arial Narrow" w:cs="Arial"/>
                <w:sz w:val="20"/>
                <w:szCs w:val="20"/>
              </w:rPr>
            </w:pPr>
            <w:r w:rsidRPr="00B87DD2">
              <w:rPr>
                <w:rFonts w:ascii="Arial Narrow" w:hAnsi="Arial Narrow" w:cs="Arial"/>
                <w:sz w:val="20"/>
                <w:szCs w:val="20"/>
              </w:rPr>
              <w:t>11289E</w:t>
            </w:r>
          </w:p>
        </w:tc>
        <w:tc>
          <w:tcPr>
            <w:tcW w:w="812" w:type="dxa"/>
            <w:vAlign w:val="center"/>
          </w:tcPr>
          <w:p w14:paraId="3CF993BA" w14:textId="77777777" w:rsidR="00E665F1" w:rsidRPr="00B87DD2" w:rsidRDefault="00E665F1">
            <w:pPr>
              <w:keepNext/>
              <w:jc w:val="center"/>
              <w:rPr>
                <w:rFonts w:ascii="Arial Narrow" w:hAnsi="Arial Narrow" w:cs="Arial"/>
                <w:sz w:val="20"/>
                <w:szCs w:val="20"/>
              </w:rPr>
            </w:pPr>
            <w:r w:rsidRPr="00B87DD2">
              <w:rPr>
                <w:rFonts w:ascii="Arial Narrow" w:hAnsi="Arial Narrow" w:cs="Arial"/>
                <w:sz w:val="20"/>
                <w:szCs w:val="20"/>
              </w:rPr>
              <w:t>2</w:t>
            </w:r>
          </w:p>
        </w:tc>
        <w:tc>
          <w:tcPr>
            <w:tcW w:w="811" w:type="dxa"/>
            <w:vAlign w:val="center"/>
          </w:tcPr>
          <w:p w14:paraId="4DA52E1F" w14:textId="77777777" w:rsidR="00E665F1" w:rsidRPr="00B87DD2" w:rsidRDefault="00E665F1">
            <w:pPr>
              <w:keepNext/>
              <w:jc w:val="center"/>
              <w:rPr>
                <w:rFonts w:ascii="Arial Narrow" w:hAnsi="Arial Narrow" w:cs="Arial"/>
                <w:sz w:val="20"/>
                <w:szCs w:val="20"/>
              </w:rPr>
            </w:pPr>
            <w:r w:rsidRPr="00B87DD2">
              <w:rPr>
                <w:rFonts w:ascii="Arial Narrow" w:hAnsi="Arial Narrow" w:cs="Arial"/>
                <w:sz w:val="20"/>
                <w:szCs w:val="20"/>
              </w:rPr>
              <w:t>2</w:t>
            </w:r>
          </w:p>
        </w:tc>
        <w:tc>
          <w:tcPr>
            <w:tcW w:w="812" w:type="dxa"/>
            <w:vAlign w:val="center"/>
          </w:tcPr>
          <w:p w14:paraId="54E73626" w14:textId="77777777" w:rsidR="00E665F1" w:rsidRPr="00B87DD2" w:rsidRDefault="00E665F1">
            <w:pPr>
              <w:keepNext/>
              <w:jc w:val="center"/>
              <w:rPr>
                <w:rFonts w:ascii="Arial Narrow" w:hAnsi="Arial Narrow" w:cs="Arial"/>
                <w:sz w:val="20"/>
                <w:szCs w:val="20"/>
              </w:rPr>
            </w:pPr>
            <w:r w:rsidRPr="00B87DD2">
              <w:rPr>
                <w:rFonts w:ascii="Arial Narrow" w:hAnsi="Arial Narrow" w:cs="Arial"/>
                <w:sz w:val="20"/>
                <w:szCs w:val="20"/>
              </w:rPr>
              <w:t>5</w:t>
            </w:r>
          </w:p>
        </w:tc>
        <w:tc>
          <w:tcPr>
            <w:tcW w:w="1831" w:type="dxa"/>
            <w:vAlign w:val="center"/>
          </w:tcPr>
          <w:p w14:paraId="4515364E" w14:textId="77777777" w:rsidR="00E665F1" w:rsidRDefault="00E665F1">
            <w:pPr>
              <w:keepNext/>
              <w:rPr>
                <w:rFonts w:ascii="Arial Narrow" w:hAnsi="Arial Narrow" w:cs="Arial"/>
                <w:sz w:val="20"/>
                <w:szCs w:val="20"/>
              </w:rPr>
            </w:pPr>
            <w:r>
              <w:rPr>
                <w:rFonts w:ascii="Arial Narrow" w:hAnsi="Arial Narrow" w:cs="Arial"/>
                <w:sz w:val="20"/>
                <w:szCs w:val="20"/>
              </w:rPr>
              <w:t>Somatuline Autogel</w:t>
            </w:r>
          </w:p>
          <w:p w14:paraId="59D13AC2" w14:textId="77777777" w:rsidR="00E665F1" w:rsidRDefault="00E665F1">
            <w:pPr>
              <w:keepNext/>
              <w:rPr>
                <w:rFonts w:ascii="Arial Narrow" w:hAnsi="Arial Narrow" w:cs="Arial"/>
                <w:sz w:val="20"/>
                <w:szCs w:val="20"/>
              </w:rPr>
            </w:pPr>
            <w:r>
              <w:rPr>
                <w:rFonts w:ascii="Arial Narrow" w:hAnsi="Arial Narrow" w:cs="Arial"/>
                <w:sz w:val="20"/>
                <w:szCs w:val="20"/>
              </w:rPr>
              <w:t xml:space="preserve">Mytolac </w:t>
            </w:r>
          </w:p>
          <w:p w14:paraId="4AC7F7F2" w14:textId="77777777" w:rsidR="00E665F1" w:rsidRPr="006D67FC" w:rsidRDefault="00E665F1">
            <w:pPr>
              <w:keepNext/>
              <w:rPr>
                <w:rFonts w:ascii="Arial Narrow" w:hAnsi="Arial Narrow" w:cs="Arial"/>
                <w:i/>
                <w:iCs/>
                <w:sz w:val="20"/>
                <w:szCs w:val="20"/>
              </w:rPr>
            </w:pPr>
            <w:r w:rsidRPr="006D67FC">
              <w:rPr>
                <w:rFonts w:ascii="Arial Narrow" w:hAnsi="Arial Narrow" w:cs="Arial"/>
                <w:i/>
                <w:iCs/>
                <w:color w:val="FF0000"/>
                <w:sz w:val="20"/>
                <w:szCs w:val="20"/>
              </w:rPr>
              <w:t>Lacreo</w:t>
            </w:r>
          </w:p>
        </w:tc>
      </w:tr>
      <w:tr w:rsidR="00E665F1" w:rsidRPr="00C87DB4" w14:paraId="5B30D9F2"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9AADEC3" w14:textId="77777777" w:rsidR="00E665F1" w:rsidRPr="00C87DB4" w:rsidRDefault="00E665F1">
            <w:pPr>
              <w:rPr>
                <w:rFonts w:ascii="Arial Narrow" w:hAnsi="Arial Narrow" w:cs="Arial"/>
                <w:sz w:val="20"/>
                <w:szCs w:val="20"/>
              </w:rPr>
            </w:pPr>
          </w:p>
        </w:tc>
      </w:tr>
      <w:tr w:rsidR="00E665F1" w:rsidRPr="00A86F4B" w14:paraId="69217E74"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7C260375" w14:textId="77777777" w:rsidR="00E665F1" w:rsidRPr="00A86F4B" w:rsidRDefault="00E665F1">
            <w:pPr>
              <w:jc w:val="center"/>
              <w:rPr>
                <w:rFonts w:ascii="Arial Narrow" w:hAnsi="Arial Narrow" w:cs="Arial"/>
                <w:sz w:val="20"/>
                <w:szCs w:val="20"/>
              </w:rPr>
            </w:pPr>
            <w:r w:rsidRPr="00A86F4B">
              <w:rPr>
                <w:rFonts w:ascii="Arial Narrow" w:hAnsi="Arial Narrow" w:cs="Arial"/>
                <w:b/>
                <w:sz w:val="20"/>
                <w:szCs w:val="20"/>
              </w:rPr>
              <w:t>Concept ID</w:t>
            </w:r>
          </w:p>
          <w:p w14:paraId="595FAAF2" w14:textId="77777777" w:rsidR="00E665F1" w:rsidRPr="00A86F4B" w:rsidRDefault="00E665F1">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62DE11A" w14:textId="77777777" w:rsidR="00E665F1" w:rsidRPr="00A86F4B" w:rsidRDefault="00E665F1">
            <w:pPr>
              <w:keepLines/>
              <w:rPr>
                <w:rFonts w:ascii="Arial Narrow" w:hAnsi="Arial Narrow" w:cs="Arial"/>
                <w:sz w:val="20"/>
                <w:szCs w:val="20"/>
              </w:rPr>
            </w:pPr>
            <w:r w:rsidRPr="00A86F4B">
              <w:rPr>
                <w:rFonts w:ascii="Arial Narrow" w:hAnsi="Arial Narrow" w:cs="Arial"/>
                <w:b/>
                <w:sz w:val="20"/>
                <w:szCs w:val="20"/>
              </w:rPr>
              <w:t>Category / Program:</w:t>
            </w:r>
            <w:r w:rsidRPr="00A86F4B">
              <w:rPr>
                <w:rFonts w:ascii="Arial Narrow" w:hAnsi="Arial Narrow" w:cs="Arial"/>
                <w:sz w:val="20"/>
                <w:szCs w:val="20"/>
              </w:rPr>
              <w:t xml:space="preserve"> </w:t>
            </w:r>
            <w:r w:rsidRPr="00A86F4B">
              <w:rPr>
                <w:rFonts w:ascii="Arial Narrow" w:eastAsia="Calibri" w:hAnsi="Arial Narrow" w:cs="Arial"/>
                <w:sz w:val="20"/>
                <w:szCs w:val="20"/>
              </w:rPr>
              <w:fldChar w:fldCharType="begin">
                <w:ffData>
                  <w:name w:val=""/>
                  <w:enabled/>
                  <w:calcOnExit w:val="0"/>
                  <w:checkBox>
                    <w:sizeAuto/>
                    <w:default w:val="1"/>
                  </w:checkBox>
                </w:ffData>
              </w:fldChar>
            </w:r>
            <w:r w:rsidRPr="00A86F4B">
              <w:rPr>
                <w:rFonts w:ascii="Arial Narrow" w:eastAsia="Calibri" w:hAnsi="Arial Narrow" w:cs="Arial"/>
                <w:sz w:val="20"/>
                <w:szCs w:val="20"/>
              </w:rPr>
              <w:instrText xml:space="preserve"> FORMCHECKBOX </w:instrText>
            </w:r>
            <w:r w:rsidRPr="00A86F4B">
              <w:rPr>
                <w:rFonts w:ascii="Arial Narrow" w:eastAsia="Calibri" w:hAnsi="Arial Narrow" w:cs="Arial"/>
                <w:sz w:val="20"/>
                <w:szCs w:val="20"/>
              </w:rPr>
            </w:r>
            <w:r w:rsidRPr="00A86F4B">
              <w:rPr>
                <w:rFonts w:ascii="Arial Narrow" w:eastAsia="Calibri" w:hAnsi="Arial Narrow" w:cs="Arial"/>
                <w:sz w:val="20"/>
                <w:szCs w:val="20"/>
              </w:rPr>
              <w:fldChar w:fldCharType="separate"/>
            </w:r>
            <w:r w:rsidRPr="00A86F4B">
              <w:rPr>
                <w:rFonts w:ascii="Arial Narrow" w:eastAsia="Calibri" w:hAnsi="Arial Narrow" w:cs="Arial"/>
                <w:sz w:val="20"/>
                <w:szCs w:val="20"/>
              </w:rPr>
              <w:fldChar w:fldCharType="end"/>
            </w:r>
            <w:r w:rsidRPr="00A86F4B">
              <w:rPr>
                <w:rFonts w:ascii="Arial Narrow" w:eastAsia="Calibri" w:hAnsi="Arial Narrow" w:cs="Arial"/>
                <w:sz w:val="20"/>
                <w:szCs w:val="20"/>
              </w:rPr>
              <w:t xml:space="preserve"> Section 100 – Highly Specialised Drugs Program – </w:t>
            </w:r>
            <w:r>
              <w:rPr>
                <w:rFonts w:ascii="Arial Narrow" w:eastAsia="Calibri" w:hAnsi="Arial Narrow" w:cs="Arial"/>
                <w:sz w:val="20"/>
                <w:szCs w:val="20"/>
              </w:rPr>
              <w:t xml:space="preserve">Community Access (CA) </w:t>
            </w:r>
          </w:p>
        </w:tc>
      </w:tr>
      <w:tr w:rsidR="00E665F1" w:rsidRPr="00A86F4B" w14:paraId="48BDC6E8"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44FD2A71" w14:textId="77777777" w:rsidR="00E665F1" w:rsidRPr="00A86F4B" w:rsidRDefault="00E665F1">
            <w:pPr>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F520605" w14:textId="77777777" w:rsidR="00E665F1" w:rsidRPr="00A86F4B" w:rsidRDefault="00E665F1">
            <w:pPr>
              <w:keepLines/>
              <w:rPr>
                <w:rFonts w:ascii="Arial Narrow" w:hAnsi="Arial Narrow" w:cs="Arial"/>
                <w:b/>
                <w:sz w:val="20"/>
                <w:szCs w:val="20"/>
              </w:rPr>
            </w:pPr>
            <w:r w:rsidRPr="00A86F4B">
              <w:rPr>
                <w:rFonts w:ascii="Arial Narrow" w:hAnsi="Arial Narrow" w:cs="Arial"/>
                <w:b/>
                <w:sz w:val="20"/>
                <w:szCs w:val="20"/>
              </w:rPr>
              <w:t xml:space="preserve">Prescriber type: </w:t>
            </w:r>
            <w:r w:rsidRPr="00A86F4B">
              <w:rPr>
                <w:rFonts w:ascii="Arial Narrow" w:hAnsi="Arial Narrow" w:cs="Arial"/>
                <w:sz w:val="20"/>
                <w:szCs w:val="20"/>
              </w:rPr>
              <w:fldChar w:fldCharType="begin">
                <w:ffData>
                  <w:name w:val=""/>
                  <w:enabled/>
                  <w:calcOnExit w:val="0"/>
                  <w:checkBox>
                    <w:sizeAuto/>
                    <w:default w:val="1"/>
                  </w:checkBox>
                </w:ffData>
              </w:fldChar>
            </w:r>
            <w:r w:rsidRPr="00A86F4B">
              <w:rPr>
                <w:rFonts w:ascii="Arial Narrow" w:hAnsi="Arial Narrow" w:cs="Arial"/>
                <w:sz w:val="20"/>
                <w:szCs w:val="20"/>
              </w:rPr>
              <w:instrText xml:space="preserve"> FORMCHECKBOX </w:instrText>
            </w:r>
            <w:r w:rsidRPr="00A86F4B">
              <w:rPr>
                <w:rFonts w:ascii="Arial Narrow" w:hAnsi="Arial Narrow" w:cs="Arial"/>
                <w:sz w:val="20"/>
                <w:szCs w:val="20"/>
              </w:rPr>
            </w:r>
            <w:r w:rsidRPr="00A86F4B">
              <w:rPr>
                <w:rFonts w:ascii="Arial Narrow" w:hAnsi="Arial Narrow" w:cs="Arial"/>
                <w:sz w:val="20"/>
                <w:szCs w:val="20"/>
              </w:rPr>
              <w:fldChar w:fldCharType="separate"/>
            </w:r>
            <w:r w:rsidRPr="00A86F4B">
              <w:rPr>
                <w:rFonts w:ascii="Arial Narrow" w:hAnsi="Arial Narrow" w:cs="Arial"/>
                <w:sz w:val="20"/>
                <w:szCs w:val="20"/>
              </w:rPr>
              <w:fldChar w:fldCharType="end"/>
            </w:r>
            <w:r w:rsidRPr="00A86F4B">
              <w:rPr>
                <w:rFonts w:ascii="Arial Narrow" w:hAnsi="Arial Narrow" w:cs="Arial"/>
                <w:sz w:val="20"/>
                <w:szCs w:val="20"/>
              </w:rPr>
              <w:t>Medical Practitioners</w:t>
            </w:r>
          </w:p>
        </w:tc>
      </w:tr>
      <w:tr w:rsidR="00E665F1" w:rsidRPr="00A86F4B" w14:paraId="545A3FDA"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33848AFF" w14:textId="77777777" w:rsidR="00E665F1" w:rsidRPr="00A86F4B" w:rsidRDefault="00E665F1">
            <w:pPr>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ED534DF" w14:textId="77777777" w:rsidR="00E665F1" w:rsidRPr="00A86F4B" w:rsidRDefault="00E665F1">
            <w:pPr>
              <w:keepLines/>
              <w:rPr>
                <w:rFonts w:ascii="Arial Narrow" w:hAnsi="Arial Narrow" w:cs="Arial"/>
                <w:sz w:val="20"/>
                <w:szCs w:val="20"/>
              </w:rPr>
            </w:pPr>
            <w:r w:rsidRPr="00A86F4B">
              <w:rPr>
                <w:rFonts w:ascii="Arial Narrow" w:hAnsi="Arial Narrow" w:cs="Arial"/>
                <w:b/>
                <w:sz w:val="20"/>
                <w:szCs w:val="20"/>
              </w:rPr>
              <w:t xml:space="preserve">Benefit type: </w:t>
            </w:r>
            <w:r w:rsidRPr="00A86F4B">
              <w:rPr>
                <w:rFonts w:ascii="Arial Narrow" w:eastAsia="Calibri" w:hAnsi="Arial Narrow" w:cs="Arial"/>
                <w:sz w:val="20"/>
                <w:szCs w:val="20"/>
              </w:rPr>
              <w:fldChar w:fldCharType="begin">
                <w:ffData>
                  <w:name w:val=""/>
                  <w:enabled/>
                  <w:calcOnExit w:val="0"/>
                  <w:checkBox>
                    <w:sizeAuto/>
                    <w:default w:val="1"/>
                  </w:checkBox>
                </w:ffData>
              </w:fldChar>
            </w:r>
            <w:r w:rsidRPr="00A86F4B">
              <w:rPr>
                <w:rFonts w:ascii="Arial Narrow" w:eastAsia="Calibri" w:hAnsi="Arial Narrow" w:cs="Arial"/>
                <w:sz w:val="20"/>
                <w:szCs w:val="20"/>
              </w:rPr>
              <w:instrText xml:space="preserve"> FORMCHECKBOX </w:instrText>
            </w:r>
            <w:r w:rsidRPr="00A86F4B">
              <w:rPr>
                <w:rFonts w:ascii="Arial Narrow" w:eastAsia="Calibri" w:hAnsi="Arial Narrow" w:cs="Arial"/>
                <w:sz w:val="20"/>
                <w:szCs w:val="20"/>
              </w:rPr>
            </w:r>
            <w:r w:rsidRPr="00A86F4B">
              <w:rPr>
                <w:rFonts w:ascii="Arial Narrow" w:eastAsia="Calibri" w:hAnsi="Arial Narrow" w:cs="Arial"/>
                <w:sz w:val="20"/>
                <w:szCs w:val="20"/>
              </w:rPr>
              <w:fldChar w:fldCharType="separate"/>
            </w:r>
            <w:r w:rsidRPr="00A86F4B">
              <w:rPr>
                <w:rFonts w:ascii="Arial Narrow" w:eastAsia="Calibri" w:hAnsi="Arial Narrow" w:cs="Arial"/>
                <w:sz w:val="20"/>
                <w:szCs w:val="20"/>
              </w:rPr>
              <w:fldChar w:fldCharType="end"/>
            </w:r>
            <w:r w:rsidRPr="00A86F4B">
              <w:rPr>
                <w:rFonts w:ascii="Arial Narrow" w:eastAsia="Calibri" w:hAnsi="Arial Narrow" w:cs="Arial"/>
                <w:sz w:val="20"/>
                <w:szCs w:val="20"/>
              </w:rPr>
              <w:t xml:space="preserve">Authority Required (Streamlined) [new/existing code] </w:t>
            </w:r>
          </w:p>
        </w:tc>
      </w:tr>
      <w:tr w:rsidR="00E665F1" w:rsidRPr="00A86F4B" w14:paraId="209959E4"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25507D51" w14:textId="77777777" w:rsidR="00E665F1" w:rsidRPr="00A86F4B" w:rsidRDefault="00E665F1">
            <w:pPr>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BE44E37" w14:textId="77777777" w:rsidR="00E665F1" w:rsidRPr="00A86F4B" w:rsidRDefault="00E665F1">
            <w:pPr>
              <w:keepLines/>
              <w:rPr>
                <w:rFonts w:ascii="Arial Narrow" w:eastAsia="Calibri" w:hAnsi="Arial Narrow" w:cs="Arial"/>
                <w:sz w:val="20"/>
                <w:szCs w:val="20"/>
              </w:rPr>
            </w:pPr>
            <w:r w:rsidRPr="00A86F4B">
              <w:rPr>
                <w:rFonts w:ascii="Arial Narrow" w:hAnsi="Arial Narrow" w:cs="Arial"/>
                <w:b/>
                <w:sz w:val="20"/>
                <w:szCs w:val="20"/>
              </w:rPr>
              <w:t xml:space="preserve">Authority type: </w:t>
            </w:r>
            <w:r w:rsidRPr="00A86F4B">
              <w:rPr>
                <w:rFonts w:ascii="Arial Narrow" w:eastAsia="Calibri" w:hAnsi="Arial Narrow" w:cs="Arial"/>
                <w:sz w:val="20"/>
                <w:szCs w:val="20"/>
              </w:rPr>
              <w:fldChar w:fldCharType="begin">
                <w:ffData>
                  <w:name w:val="Check1"/>
                  <w:enabled/>
                  <w:calcOnExit w:val="0"/>
                  <w:checkBox>
                    <w:sizeAuto/>
                    <w:default w:val="1"/>
                  </w:checkBox>
                </w:ffData>
              </w:fldChar>
            </w:r>
            <w:r w:rsidRPr="00A86F4B">
              <w:rPr>
                <w:rFonts w:ascii="Arial Narrow" w:eastAsia="Calibri" w:hAnsi="Arial Narrow" w:cs="Arial"/>
                <w:sz w:val="20"/>
                <w:szCs w:val="20"/>
              </w:rPr>
              <w:instrText xml:space="preserve"> FORMCHECKBOX </w:instrText>
            </w:r>
            <w:r w:rsidRPr="00A86F4B">
              <w:rPr>
                <w:rFonts w:ascii="Arial Narrow" w:eastAsia="Calibri" w:hAnsi="Arial Narrow" w:cs="Arial"/>
                <w:sz w:val="20"/>
                <w:szCs w:val="20"/>
              </w:rPr>
            </w:r>
            <w:r w:rsidRPr="00A86F4B">
              <w:rPr>
                <w:rFonts w:ascii="Arial Narrow" w:eastAsia="Calibri" w:hAnsi="Arial Narrow" w:cs="Arial"/>
                <w:sz w:val="20"/>
                <w:szCs w:val="20"/>
              </w:rPr>
              <w:fldChar w:fldCharType="separate"/>
            </w:r>
            <w:r w:rsidRPr="00A86F4B">
              <w:rPr>
                <w:rFonts w:ascii="Arial Narrow" w:eastAsia="Calibri" w:hAnsi="Arial Narrow" w:cs="Arial"/>
                <w:sz w:val="20"/>
                <w:szCs w:val="20"/>
              </w:rPr>
              <w:fldChar w:fldCharType="end"/>
            </w:r>
            <w:r w:rsidRPr="00A86F4B">
              <w:rPr>
                <w:rFonts w:ascii="Arial Narrow" w:eastAsia="Calibri" w:hAnsi="Arial Narrow" w:cs="Arial"/>
                <w:sz w:val="20"/>
                <w:szCs w:val="20"/>
              </w:rPr>
              <w:t xml:space="preserve"> Non-complex Authority Required (non-CAR)</w:t>
            </w:r>
          </w:p>
        </w:tc>
      </w:tr>
      <w:tr w:rsidR="00E665F1" w:rsidRPr="00CF23C4" w14:paraId="7487534D" w14:textId="77777777">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bottom w:val="single" w:sz="4" w:space="0" w:color="auto"/>
              <w:right w:val="single" w:sz="4" w:space="0" w:color="auto"/>
            </w:tcBorders>
          </w:tcPr>
          <w:p w14:paraId="28E3C9D8" w14:textId="5F6D6A39" w:rsidR="00E665F1" w:rsidRPr="00CF23C4" w:rsidRDefault="00E665F1">
            <w:pPr>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5C31AC4" w14:textId="77777777" w:rsidR="00E665F1" w:rsidRPr="00B271B5" w:rsidRDefault="00E665F1">
            <w:pPr>
              <w:rPr>
                <w:rFonts w:ascii="Arial Narrow" w:hAnsi="Arial Narrow"/>
                <w:sz w:val="20"/>
                <w:szCs w:val="20"/>
              </w:rPr>
            </w:pPr>
            <w:r w:rsidRPr="00B271B5">
              <w:rPr>
                <w:rFonts w:ascii="Arial Narrow" w:hAnsi="Arial Narrow"/>
                <w:b/>
                <w:bCs/>
                <w:sz w:val="20"/>
                <w:szCs w:val="20"/>
              </w:rPr>
              <w:t xml:space="preserve">Administrative Advice: </w:t>
            </w:r>
          </w:p>
          <w:p w14:paraId="68E6ACFD" w14:textId="77777777" w:rsidR="00E665F1" w:rsidRPr="00CF23C4" w:rsidRDefault="00E665F1">
            <w:pPr>
              <w:rPr>
                <w:rFonts w:ascii="Arial Narrow" w:hAnsi="Arial Narrow"/>
                <w:sz w:val="20"/>
                <w:szCs w:val="20"/>
              </w:rPr>
            </w:pPr>
            <w:r>
              <w:rPr>
                <w:rFonts w:ascii="Arial Narrow" w:hAnsi="Arial Narrow"/>
                <w:sz w:val="20"/>
                <w:szCs w:val="20"/>
              </w:rPr>
              <w:t>Somatuline Autogel</w:t>
            </w:r>
            <w:r w:rsidRPr="00495C62">
              <w:rPr>
                <w:rFonts w:ascii="Arial Narrow" w:hAnsi="Arial Narrow"/>
                <w:i/>
                <w:iCs/>
                <w:color w:val="FF0000"/>
                <w:sz w:val="20"/>
                <w:szCs w:val="20"/>
              </w:rPr>
              <w:t>,</w:t>
            </w:r>
            <w:r>
              <w:rPr>
                <w:rFonts w:ascii="Arial Narrow" w:hAnsi="Arial Narrow"/>
                <w:i/>
                <w:iCs/>
                <w:color w:val="FF0000"/>
                <w:sz w:val="20"/>
                <w:szCs w:val="20"/>
              </w:rPr>
              <w:t xml:space="preserve"> </w:t>
            </w:r>
            <w:r w:rsidRPr="00AE5A4D">
              <w:rPr>
                <w:rFonts w:ascii="Arial Narrow" w:hAnsi="Arial Narrow"/>
                <w:strike/>
                <w:color w:val="FF0000"/>
                <w:sz w:val="20"/>
                <w:szCs w:val="20"/>
              </w:rPr>
              <w:t>and</w:t>
            </w:r>
            <w:r>
              <w:rPr>
                <w:rFonts w:ascii="Arial Narrow" w:hAnsi="Arial Narrow"/>
                <w:sz w:val="20"/>
                <w:szCs w:val="20"/>
              </w:rPr>
              <w:t xml:space="preserve"> Mytolac </w:t>
            </w:r>
            <w:r w:rsidRPr="002C2A17">
              <w:rPr>
                <w:rFonts w:ascii="Arial Narrow" w:hAnsi="Arial Narrow"/>
                <w:color w:val="FF0000"/>
                <w:sz w:val="20"/>
                <w:szCs w:val="20"/>
              </w:rPr>
              <w:t xml:space="preserve">and </w:t>
            </w:r>
            <w:r w:rsidRPr="002C2A17">
              <w:rPr>
                <w:rFonts w:ascii="Arial Narrow" w:hAnsi="Arial Narrow"/>
                <w:i/>
                <w:iCs/>
                <w:color w:val="FF0000"/>
                <w:sz w:val="20"/>
                <w:szCs w:val="20"/>
              </w:rPr>
              <w:t>LACREO</w:t>
            </w:r>
            <w:r w:rsidRPr="002C2A17">
              <w:rPr>
                <w:rFonts w:ascii="Arial Narrow" w:hAnsi="Arial Narrow"/>
                <w:color w:val="FF0000"/>
                <w:sz w:val="20"/>
                <w:szCs w:val="20"/>
              </w:rPr>
              <w:t xml:space="preserve"> </w:t>
            </w:r>
            <w:r>
              <w:rPr>
                <w:rFonts w:ascii="Arial Narrow" w:hAnsi="Arial Narrow"/>
                <w:sz w:val="20"/>
                <w:szCs w:val="20"/>
              </w:rPr>
              <w:t>products are equivalent for the purpose of substitution. Pharmacists should ensure that patients are educated regarding the product differences upon dispensing.</w:t>
            </w:r>
          </w:p>
        </w:tc>
      </w:tr>
      <w:tr w:rsidR="00E665F1" w:rsidRPr="00C87DB4" w14:paraId="2EB01F25" w14:textId="77777777" w:rsidTr="005179A3">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bottom w:val="single" w:sz="4" w:space="0" w:color="auto"/>
              <w:right w:val="single" w:sz="4" w:space="0" w:color="auto"/>
            </w:tcBorders>
          </w:tcPr>
          <w:p w14:paraId="0693B8AC" w14:textId="77777777" w:rsidR="00E665F1" w:rsidRPr="00C87DB4" w:rsidRDefault="00E665F1">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C205029" w14:textId="75ECB443" w:rsidR="00E665F1" w:rsidRPr="00C87DB4" w:rsidRDefault="00E665F1">
            <w:pPr>
              <w:keepLines/>
              <w:rPr>
                <w:rFonts w:ascii="Arial Narrow" w:hAnsi="Arial Narrow"/>
                <w:b/>
                <w:bCs/>
                <w:color w:val="333333"/>
                <w:sz w:val="20"/>
                <w:szCs w:val="20"/>
              </w:rPr>
            </w:pPr>
          </w:p>
        </w:tc>
      </w:tr>
      <w:tr w:rsidR="00E665F1" w:rsidRPr="00D57D9E" w14:paraId="6EE9D575" w14:textId="77777777" w:rsidTr="005179A3">
        <w:tblPrEx>
          <w:tblCellMar>
            <w:top w:w="15" w:type="dxa"/>
            <w:bottom w:w="15" w:type="dxa"/>
          </w:tblCellMar>
        </w:tblPrEx>
        <w:trPr>
          <w:cantSplit/>
          <w:trHeight w:val="20"/>
        </w:trPr>
        <w:tc>
          <w:tcPr>
            <w:tcW w:w="1271" w:type="dxa"/>
          </w:tcPr>
          <w:p w14:paraId="35A797CC" w14:textId="29D75A04" w:rsidR="00E665F1" w:rsidRPr="00D57D9E" w:rsidRDefault="00E665F1">
            <w:pPr>
              <w:keepLines/>
              <w:jc w:val="center"/>
              <w:rPr>
                <w:rFonts w:ascii="Arial Narrow" w:hAnsi="Arial Narrow"/>
                <w:sz w:val="20"/>
                <w:szCs w:val="20"/>
              </w:rPr>
            </w:pPr>
          </w:p>
        </w:tc>
        <w:tc>
          <w:tcPr>
            <w:tcW w:w="7745" w:type="dxa"/>
            <w:gridSpan w:val="6"/>
            <w:vAlign w:val="center"/>
            <w:hideMark/>
          </w:tcPr>
          <w:p w14:paraId="79774047" w14:textId="77777777" w:rsidR="00E665F1" w:rsidRPr="00D57D9E" w:rsidRDefault="00E665F1">
            <w:pPr>
              <w:keepLines/>
              <w:rPr>
                <w:rFonts w:ascii="Arial Narrow" w:hAnsi="Arial Narrow"/>
                <w:sz w:val="20"/>
                <w:szCs w:val="20"/>
              </w:rPr>
            </w:pPr>
            <w:r w:rsidRPr="00D57D9E">
              <w:rPr>
                <w:rFonts w:ascii="Arial Narrow" w:hAnsi="Arial Narrow"/>
                <w:b/>
                <w:bCs/>
                <w:sz w:val="20"/>
                <w:szCs w:val="20"/>
              </w:rPr>
              <w:t>Indication:</w:t>
            </w:r>
            <w:r w:rsidRPr="00D57D9E">
              <w:rPr>
                <w:rFonts w:ascii="Arial Narrow" w:hAnsi="Arial Narrow"/>
                <w:sz w:val="20"/>
                <w:szCs w:val="20"/>
              </w:rPr>
              <w:t xml:space="preserve"> Acromegaly</w:t>
            </w:r>
          </w:p>
        </w:tc>
      </w:tr>
      <w:tr w:rsidR="00E665F1" w:rsidRPr="004B4770" w14:paraId="087F6A02" w14:textId="77777777">
        <w:tblPrEx>
          <w:tblCellMar>
            <w:top w:w="15" w:type="dxa"/>
            <w:bottom w:w="15" w:type="dxa"/>
          </w:tblCellMar>
          <w:tblLook w:val="04A0" w:firstRow="1" w:lastRow="0" w:firstColumn="1" w:lastColumn="0" w:noHBand="0" w:noVBand="1"/>
        </w:tblPrEx>
        <w:trPr>
          <w:cantSplit/>
          <w:trHeight w:val="20"/>
        </w:trPr>
        <w:tc>
          <w:tcPr>
            <w:tcW w:w="1271" w:type="dxa"/>
          </w:tcPr>
          <w:p w14:paraId="1BAED87A" w14:textId="77777777" w:rsidR="00E665F1" w:rsidRPr="00D57D9E" w:rsidRDefault="00E665F1">
            <w:pPr>
              <w:keepLines/>
              <w:jc w:val="center"/>
              <w:rPr>
                <w:rFonts w:ascii="Arial Narrow" w:hAnsi="Arial Narrow"/>
                <w:sz w:val="20"/>
                <w:szCs w:val="20"/>
              </w:rPr>
            </w:pPr>
          </w:p>
        </w:tc>
        <w:tc>
          <w:tcPr>
            <w:tcW w:w="7745" w:type="dxa"/>
            <w:gridSpan w:val="6"/>
            <w:vAlign w:val="center"/>
          </w:tcPr>
          <w:p w14:paraId="1DB3743F" w14:textId="77777777" w:rsidR="00E665F1" w:rsidRPr="004B4770" w:rsidRDefault="00E665F1">
            <w:pPr>
              <w:keepLines/>
              <w:rPr>
                <w:rFonts w:ascii="Arial Narrow" w:hAnsi="Arial Narrow"/>
                <w:sz w:val="20"/>
                <w:szCs w:val="20"/>
              </w:rPr>
            </w:pPr>
            <w:r>
              <w:rPr>
                <w:rFonts w:ascii="Arial Narrow" w:hAnsi="Arial Narrow"/>
                <w:b/>
                <w:bCs/>
                <w:sz w:val="20"/>
                <w:szCs w:val="20"/>
              </w:rPr>
              <w:t xml:space="preserve">Treatment Phase: </w:t>
            </w:r>
            <w:r>
              <w:rPr>
                <w:rFonts w:ascii="Arial Narrow" w:hAnsi="Arial Narrow"/>
                <w:sz w:val="20"/>
                <w:szCs w:val="20"/>
              </w:rPr>
              <w:t xml:space="preserve">Initial treatment </w:t>
            </w:r>
          </w:p>
        </w:tc>
      </w:tr>
      <w:tr w:rsidR="00E665F1" w:rsidRPr="0023180E" w14:paraId="3AB1F876" w14:textId="77777777">
        <w:tblPrEx>
          <w:tblCellMar>
            <w:top w:w="15" w:type="dxa"/>
            <w:bottom w:w="15" w:type="dxa"/>
          </w:tblCellMar>
          <w:tblLook w:val="04A0" w:firstRow="1" w:lastRow="0" w:firstColumn="1" w:lastColumn="0" w:noHBand="0" w:noVBand="1"/>
        </w:tblPrEx>
        <w:trPr>
          <w:cantSplit/>
          <w:trHeight w:val="20"/>
        </w:trPr>
        <w:tc>
          <w:tcPr>
            <w:tcW w:w="1271" w:type="dxa"/>
          </w:tcPr>
          <w:p w14:paraId="1B128F64" w14:textId="76F9CD70" w:rsidR="00E665F1" w:rsidRPr="0023180E" w:rsidRDefault="00E665F1">
            <w:pPr>
              <w:jc w:val="center"/>
              <w:rPr>
                <w:rFonts w:ascii="Arial Narrow" w:hAnsi="Arial Narrow"/>
                <w:sz w:val="20"/>
                <w:szCs w:val="20"/>
              </w:rPr>
            </w:pPr>
          </w:p>
        </w:tc>
        <w:tc>
          <w:tcPr>
            <w:tcW w:w="7745" w:type="dxa"/>
            <w:gridSpan w:val="6"/>
            <w:vAlign w:val="center"/>
          </w:tcPr>
          <w:p w14:paraId="3213BFCD" w14:textId="77777777" w:rsidR="00E665F1" w:rsidRPr="0023180E" w:rsidRDefault="00E665F1">
            <w:pPr>
              <w:rPr>
                <w:rFonts w:ascii="Arial Narrow" w:hAnsi="Arial Narrow"/>
                <w:b/>
                <w:bCs/>
                <w:sz w:val="20"/>
                <w:szCs w:val="20"/>
              </w:rPr>
            </w:pPr>
            <w:r>
              <w:rPr>
                <w:rFonts w:ascii="Arial Narrow" w:hAnsi="Arial Narrow"/>
                <w:b/>
                <w:bCs/>
                <w:sz w:val="20"/>
                <w:szCs w:val="20"/>
              </w:rPr>
              <w:t>Treatment Criteria:</w:t>
            </w:r>
          </w:p>
        </w:tc>
      </w:tr>
      <w:tr w:rsidR="00E665F1" w:rsidRPr="00330D00" w14:paraId="7EC2AEAD" w14:textId="77777777">
        <w:tblPrEx>
          <w:tblCellMar>
            <w:top w:w="15" w:type="dxa"/>
            <w:bottom w:w="15" w:type="dxa"/>
          </w:tblCellMar>
          <w:tblLook w:val="04A0" w:firstRow="1" w:lastRow="0" w:firstColumn="1" w:lastColumn="0" w:noHBand="0" w:noVBand="1"/>
        </w:tblPrEx>
        <w:trPr>
          <w:cantSplit/>
          <w:trHeight w:val="20"/>
        </w:trPr>
        <w:tc>
          <w:tcPr>
            <w:tcW w:w="1271" w:type="dxa"/>
          </w:tcPr>
          <w:p w14:paraId="58958A4D" w14:textId="357A88F5" w:rsidR="00E665F1" w:rsidRPr="0023180E" w:rsidRDefault="00E665F1">
            <w:pPr>
              <w:jc w:val="center"/>
              <w:rPr>
                <w:rFonts w:ascii="Arial Narrow" w:hAnsi="Arial Narrow"/>
                <w:sz w:val="20"/>
                <w:szCs w:val="20"/>
              </w:rPr>
            </w:pPr>
          </w:p>
        </w:tc>
        <w:tc>
          <w:tcPr>
            <w:tcW w:w="7745" w:type="dxa"/>
            <w:gridSpan w:val="6"/>
            <w:vAlign w:val="center"/>
          </w:tcPr>
          <w:p w14:paraId="7BE79817" w14:textId="77777777" w:rsidR="00E665F1" w:rsidRPr="00330D00" w:rsidRDefault="00E665F1">
            <w:pPr>
              <w:rPr>
                <w:rFonts w:ascii="Arial Narrow" w:hAnsi="Arial Narrow"/>
                <w:sz w:val="20"/>
                <w:szCs w:val="20"/>
              </w:rPr>
            </w:pPr>
            <w:r>
              <w:rPr>
                <w:rFonts w:ascii="Arial Narrow" w:hAnsi="Arial Narrow"/>
                <w:sz w:val="20"/>
                <w:szCs w:val="20"/>
              </w:rPr>
              <w:t xml:space="preserve">Must be treated by a specialist practicing in a hospital who is either: (i) an endocrinologist, (ii) an oncologist; or </w:t>
            </w:r>
          </w:p>
        </w:tc>
      </w:tr>
      <w:tr w:rsidR="00E665F1" w:rsidRPr="004B4770" w14:paraId="3F0C3733" w14:textId="77777777">
        <w:tblPrEx>
          <w:tblCellMar>
            <w:top w:w="15" w:type="dxa"/>
            <w:bottom w:w="15" w:type="dxa"/>
          </w:tblCellMar>
          <w:tblLook w:val="04A0" w:firstRow="1" w:lastRow="0" w:firstColumn="1" w:lastColumn="0" w:noHBand="0" w:noVBand="1"/>
        </w:tblPrEx>
        <w:trPr>
          <w:cantSplit/>
          <w:trHeight w:val="20"/>
        </w:trPr>
        <w:tc>
          <w:tcPr>
            <w:tcW w:w="1271" w:type="dxa"/>
          </w:tcPr>
          <w:p w14:paraId="0DB41AA9" w14:textId="1ABBE8CF" w:rsidR="00E665F1" w:rsidRPr="0023180E" w:rsidRDefault="00E665F1">
            <w:pPr>
              <w:jc w:val="center"/>
              <w:rPr>
                <w:rFonts w:ascii="Arial Narrow" w:hAnsi="Arial Narrow"/>
                <w:sz w:val="20"/>
                <w:szCs w:val="20"/>
              </w:rPr>
            </w:pPr>
          </w:p>
        </w:tc>
        <w:tc>
          <w:tcPr>
            <w:tcW w:w="7745" w:type="dxa"/>
            <w:gridSpan w:val="6"/>
            <w:vAlign w:val="center"/>
          </w:tcPr>
          <w:p w14:paraId="516F89F4" w14:textId="77777777" w:rsidR="00E665F1" w:rsidRPr="004B4770" w:rsidRDefault="00E665F1">
            <w:pPr>
              <w:rPr>
                <w:rFonts w:ascii="Arial Narrow" w:hAnsi="Arial Narrow"/>
                <w:sz w:val="20"/>
                <w:szCs w:val="20"/>
              </w:rPr>
            </w:pPr>
            <w:r>
              <w:rPr>
                <w:rFonts w:ascii="Arial Narrow" w:hAnsi="Arial Narrow"/>
                <w:sz w:val="20"/>
                <w:szCs w:val="20"/>
              </w:rPr>
              <w:t>Must be treated by a medical practitioner working under the direct supervision of one of the above mentioned specialist types within a hospital setting</w:t>
            </w:r>
          </w:p>
        </w:tc>
      </w:tr>
      <w:tr w:rsidR="00E665F1" w:rsidRPr="0023180E" w14:paraId="509785E3" w14:textId="77777777">
        <w:tblPrEx>
          <w:tblCellMar>
            <w:top w:w="15" w:type="dxa"/>
            <w:bottom w:w="15" w:type="dxa"/>
          </w:tblCellMar>
          <w:tblLook w:val="04A0" w:firstRow="1" w:lastRow="0" w:firstColumn="1" w:lastColumn="0" w:noHBand="0" w:noVBand="1"/>
        </w:tblPrEx>
        <w:trPr>
          <w:cantSplit/>
          <w:trHeight w:val="20"/>
        </w:trPr>
        <w:tc>
          <w:tcPr>
            <w:tcW w:w="1271" w:type="dxa"/>
          </w:tcPr>
          <w:p w14:paraId="52AE6609" w14:textId="77777777" w:rsidR="00E665F1" w:rsidRPr="0023180E" w:rsidRDefault="00E665F1">
            <w:pPr>
              <w:jc w:val="center"/>
              <w:rPr>
                <w:rFonts w:ascii="Arial Narrow" w:hAnsi="Arial Narrow"/>
                <w:sz w:val="20"/>
                <w:szCs w:val="20"/>
              </w:rPr>
            </w:pPr>
          </w:p>
        </w:tc>
        <w:tc>
          <w:tcPr>
            <w:tcW w:w="7745" w:type="dxa"/>
            <w:gridSpan w:val="6"/>
            <w:vAlign w:val="center"/>
          </w:tcPr>
          <w:p w14:paraId="078D3E31" w14:textId="77777777" w:rsidR="00E665F1" w:rsidRPr="0023180E" w:rsidRDefault="00E665F1">
            <w:pPr>
              <w:rPr>
                <w:rFonts w:ascii="Arial Narrow" w:hAnsi="Arial Narrow"/>
                <w:b/>
                <w:bCs/>
                <w:sz w:val="20"/>
                <w:szCs w:val="20"/>
              </w:rPr>
            </w:pPr>
            <w:r w:rsidRPr="00C87DB4">
              <w:rPr>
                <w:rFonts w:ascii="Arial Narrow" w:hAnsi="Arial Narrow"/>
                <w:b/>
                <w:bCs/>
                <w:color w:val="333333"/>
                <w:sz w:val="20"/>
                <w:szCs w:val="20"/>
              </w:rPr>
              <w:t>AND</w:t>
            </w:r>
          </w:p>
        </w:tc>
      </w:tr>
      <w:tr w:rsidR="00E665F1" w:rsidRPr="0023180E" w14:paraId="6ED7EB2A" w14:textId="77777777" w:rsidTr="005179A3">
        <w:tblPrEx>
          <w:tblCellMar>
            <w:top w:w="15" w:type="dxa"/>
            <w:bottom w:w="15" w:type="dxa"/>
          </w:tblCellMar>
        </w:tblPrEx>
        <w:trPr>
          <w:cantSplit/>
          <w:trHeight w:val="20"/>
        </w:trPr>
        <w:tc>
          <w:tcPr>
            <w:tcW w:w="1271" w:type="dxa"/>
          </w:tcPr>
          <w:p w14:paraId="5FF8361F" w14:textId="53023012" w:rsidR="00E665F1" w:rsidRPr="0023180E" w:rsidRDefault="00E665F1">
            <w:pPr>
              <w:jc w:val="center"/>
              <w:rPr>
                <w:rFonts w:ascii="Arial Narrow" w:hAnsi="Arial Narrow"/>
                <w:sz w:val="20"/>
                <w:szCs w:val="20"/>
              </w:rPr>
            </w:pPr>
          </w:p>
        </w:tc>
        <w:tc>
          <w:tcPr>
            <w:tcW w:w="7745" w:type="dxa"/>
            <w:gridSpan w:val="6"/>
            <w:vAlign w:val="center"/>
            <w:hideMark/>
          </w:tcPr>
          <w:p w14:paraId="5041293D" w14:textId="77777777" w:rsidR="00E665F1" w:rsidRPr="0023180E" w:rsidRDefault="00E665F1">
            <w:pPr>
              <w:rPr>
                <w:rFonts w:ascii="Arial Narrow" w:hAnsi="Arial Narrow"/>
                <w:sz w:val="20"/>
                <w:szCs w:val="20"/>
              </w:rPr>
            </w:pPr>
            <w:r w:rsidRPr="0023180E">
              <w:rPr>
                <w:rFonts w:ascii="Arial Narrow" w:hAnsi="Arial Narrow"/>
                <w:b/>
                <w:bCs/>
                <w:sz w:val="20"/>
                <w:szCs w:val="20"/>
              </w:rPr>
              <w:t xml:space="preserve">Clinical criteria: </w:t>
            </w:r>
          </w:p>
        </w:tc>
      </w:tr>
      <w:tr w:rsidR="00E665F1" w:rsidRPr="0023180E" w14:paraId="2A3DB0A6" w14:textId="77777777" w:rsidTr="005179A3">
        <w:tblPrEx>
          <w:tblCellMar>
            <w:top w:w="15" w:type="dxa"/>
            <w:bottom w:w="15" w:type="dxa"/>
          </w:tblCellMar>
        </w:tblPrEx>
        <w:trPr>
          <w:cantSplit/>
          <w:trHeight w:val="20"/>
        </w:trPr>
        <w:tc>
          <w:tcPr>
            <w:tcW w:w="1271" w:type="dxa"/>
          </w:tcPr>
          <w:p w14:paraId="6C659A93" w14:textId="05592DF6" w:rsidR="00E665F1" w:rsidRPr="0023180E" w:rsidRDefault="00E665F1">
            <w:pPr>
              <w:jc w:val="center"/>
              <w:rPr>
                <w:rFonts w:ascii="Arial Narrow" w:hAnsi="Arial Narrow"/>
                <w:sz w:val="20"/>
                <w:szCs w:val="20"/>
              </w:rPr>
            </w:pPr>
          </w:p>
        </w:tc>
        <w:tc>
          <w:tcPr>
            <w:tcW w:w="7745" w:type="dxa"/>
            <w:gridSpan w:val="6"/>
            <w:vAlign w:val="center"/>
            <w:hideMark/>
          </w:tcPr>
          <w:p w14:paraId="10E7DE09" w14:textId="77777777" w:rsidR="00E665F1" w:rsidRPr="0023180E" w:rsidRDefault="00E665F1">
            <w:pPr>
              <w:rPr>
                <w:rFonts w:ascii="Arial Narrow" w:hAnsi="Arial Narrow"/>
                <w:sz w:val="20"/>
                <w:szCs w:val="20"/>
              </w:rPr>
            </w:pPr>
            <w:r w:rsidRPr="0023180E">
              <w:rPr>
                <w:rFonts w:ascii="Arial Narrow" w:hAnsi="Arial Narrow" w:cs="Arial Narrow"/>
                <w:iCs/>
                <w:sz w:val="20"/>
                <w:szCs w:val="20"/>
              </w:rPr>
              <w:t xml:space="preserve">The condition must be active </w:t>
            </w:r>
          </w:p>
        </w:tc>
      </w:tr>
      <w:tr w:rsidR="00E665F1" w:rsidRPr="00C87DB4" w14:paraId="481B2BA7" w14:textId="77777777" w:rsidTr="005179A3">
        <w:tblPrEx>
          <w:tblCellMar>
            <w:top w:w="15" w:type="dxa"/>
            <w:bottom w:w="15" w:type="dxa"/>
          </w:tblCellMar>
        </w:tblPrEx>
        <w:trPr>
          <w:cantSplit/>
          <w:trHeight w:val="20"/>
        </w:trPr>
        <w:tc>
          <w:tcPr>
            <w:tcW w:w="1271" w:type="dxa"/>
          </w:tcPr>
          <w:p w14:paraId="1BAE9EAF" w14:textId="77777777" w:rsidR="00E665F1" w:rsidRPr="00C87DB4" w:rsidRDefault="00E665F1">
            <w:pPr>
              <w:jc w:val="center"/>
              <w:rPr>
                <w:rFonts w:ascii="Arial Narrow" w:hAnsi="Arial Narrow"/>
                <w:color w:val="333333"/>
                <w:sz w:val="20"/>
                <w:szCs w:val="20"/>
              </w:rPr>
            </w:pPr>
          </w:p>
        </w:tc>
        <w:tc>
          <w:tcPr>
            <w:tcW w:w="7745" w:type="dxa"/>
            <w:gridSpan w:val="6"/>
            <w:vAlign w:val="center"/>
            <w:hideMark/>
          </w:tcPr>
          <w:p w14:paraId="150A52E7" w14:textId="77777777" w:rsidR="00E665F1" w:rsidRPr="00C87DB4" w:rsidRDefault="00E665F1">
            <w:pPr>
              <w:rPr>
                <w:rFonts w:ascii="Arial Narrow" w:hAnsi="Arial Narrow"/>
                <w:color w:val="333333"/>
                <w:sz w:val="20"/>
                <w:szCs w:val="20"/>
              </w:rPr>
            </w:pPr>
            <w:r w:rsidRPr="00C87DB4">
              <w:rPr>
                <w:rFonts w:ascii="Arial Narrow" w:hAnsi="Arial Narrow"/>
                <w:b/>
                <w:bCs/>
                <w:color w:val="333333"/>
                <w:sz w:val="20"/>
                <w:szCs w:val="20"/>
              </w:rPr>
              <w:t>AND</w:t>
            </w:r>
          </w:p>
        </w:tc>
      </w:tr>
      <w:tr w:rsidR="00E665F1" w:rsidRPr="00492B1D" w14:paraId="080AA894" w14:textId="77777777">
        <w:tblPrEx>
          <w:tblCellMar>
            <w:top w:w="15" w:type="dxa"/>
            <w:bottom w:w="15" w:type="dxa"/>
          </w:tblCellMar>
          <w:tblLook w:val="04A0" w:firstRow="1" w:lastRow="0" w:firstColumn="1" w:lastColumn="0" w:noHBand="0" w:noVBand="1"/>
        </w:tblPrEx>
        <w:trPr>
          <w:cantSplit/>
          <w:trHeight w:val="20"/>
        </w:trPr>
        <w:tc>
          <w:tcPr>
            <w:tcW w:w="1271" w:type="dxa"/>
          </w:tcPr>
          <w:p w14:paraId="5566874C" w14:textId="6300964C" w:rsidR="00E665F1" w:rsidRPr="00492B1D" w:rsidRDefault="00E665F1">
            <w:pPr>
              <w:jc w:val="center"/>
              <w:rPr>
                <w:rFonts w:ascii="Arial Narrow" w:hAnsi="Arial Narrow"/>
                <w:sz w:val="20"/>
                <w:szCs w:val="20"/>
              </w:rPr>
            </w:pPr>
          </w:p>
        </w:tc>
        <w:tc>
          <w:tcPr>
            <w:tcW w:w="7745" w:type="dxa"/>
            <w:gridSpan w:val="6"/>
            <w:vAlign w:val="center"/>
            <w:hideMark/>
          </w:tcPr>
          <w:p w14:paraId="59616273" w14:textId="77777777" w:rsidR="00E665F1" w:rsidRPr="00492B1D" w:rsidRDefault="00E665F1">
            <w:pPr>
              <w:rPr>
                <w:rFonts w:ascii="Arial Narrow" w:hAnsi="Arial Narrow"/>
                <w:sz w:val="20"/>
                <w:szCs w:val="20"/>
              </w:rPr>
            </w:pPr>
            <w:r w:rsidRPr="00492B1D">
              <w:rPr>
                <w:rFonts w:ascii="Arial Narrow" w:hAnsi="Arial Narrow"/>
                <w:b/>
                <w:bCs/>
                <w:sz w:val="20"/>
                <w:szCs w:val="20"/>
              </w:rPr>
              <w:t>Clinical criteria:</w:t>
            </w:r>
          </w:p>
        </w:tc>
      </w:tr>
      <w:tr w:rsidR="00E665F1" w:rsidRPr="00492B1D" w14:paraId="48CAA6A0" w14:textId="77777777">
        <w:tblPrEx>
          <w:tblCellMar>
            <w:top w:w="15" w:type="dxa"/>
            <w:bottom w:w="15" w:type="dxa"/>
          </w:tblCellMar>
          <w:tblLook w:val="04A0" w:firstRow="1" w:lastRow="0" w:firstColumn="1" w:lastColumn="0" w:noHBand="0" w:noVBand="1"/>
        </w:tblPrEx>
        <w:trPr>
          <w:cantSplit/>
          <w:trHeight w:val="20"/>
        </w:trPr>
        <w:tc>
          <w:tcPr>
            <w:tcW w:w="1271" w:type="dxa"/>
          </w:tcPr>
          <w:p w14:paraId="1BF1DE3B" w14:textId="0EC6732F" w:rsidR="00E665F1" w:rsidRPr="00492B1D" w:rsidRDefault="00E665F1">
            <w:pPr>
              <w:jc w:val="center"/>
              <w:rPr>
                <w:rFonts w:ascii="Arial Narrow" w:hAnsi="Arial Narrow"/>
                <w:sz w:val="20"/>
                <w:szCs w:val="20"/>
              </w:rPr>
            </w:pPr>
          </w:p>
        </w:tc>
        <w:tc>
          <w:tcPr>
            <w:tcW w:w="7745" w:type="dxa"/>
            <w:gridSpan w:val="6"/>
            <w:vAlign w:val="center"/>
          </w:tcPr>
          <w:p w14:paraId="28E73435" w14:textId="77777777" w:rsidR="00E665F1" w:rsidRPr="00492B1D" w:rsidRDefault="00E665F1">
            <w:pPr>
              <w:rPr>
                <w:rFonts w:ascii="Arial Narrow" w:hAnsi="Arial Narrow"/>
                <w:sz w:val="20"/>
                <w:szCs w:val="20"/>
              </w:rPr>
            </w:pPr>
            <w:r w:rsidRPr="00492B1D">
              <w:rPr>
                <w:rFonts w:ascii="Arial Narrow" w:hAnsi="Arial Narrow" w:cs="Arial Narrow"/>
                <w:iCs/>
                <w:sz w:val="20"/>
                <w:szCs w:val="20"/>
              </w:rPr>
              <w:t>Patient must have persistent elevation of mean growth hormone levels of greater than 2.5 micrograms per litre</w:t>
            </w:r>
          </w:p>
        </w:tc>
      </w:tr>
      <w:tr w:rsidR="00E665F1" w:rsidRPr="00E310DC" w14:paraId="17060029" w14:textId="77777777">
        <w:tblPrEx>
          <w:tblCellMar>
            <w:top w:w="15" w:type="dxa"/>
            <w:bottom w:w="15" w:type="dxa"/>
          </w:tblCellMar>
          <w:tblLook w:val="04A0" w:firstRow="1" w:lastRow="0" w:firstColumn="1" w:lastColumn="0" w:noHBand="0" w:noVBand="1"/>
        </w:tblPrEx>
        <w:trPr>
          <w:cantSplit/>
          <w:trHeight w:val="20"/>
        </w:trPr>
        <w:tc>
          <w:tcPr>
            <w:tcW w:w="1271" w:type="dxa"/>
          </w:tcPr>
          <w:p w14:paraId="21672C02" w14:textId="77777777" w:rsidR="00E665F1" w:rsidRPr="00E310DC" w:rsidRDefault="00E665F1">
            <w:pPr>
              <w:jc w:val="center"/>
              <w:rPr>
                <w:rFonts w:ascii="Arial Narrow" w:hAnsi="Arial Narrow"/>
                <w:sz w:val="20"/>
                <w:szCs w:val="20"/>
              </w:rPr>
            </w:pPr>
          </w:p>
        </w:tc>
        <w:tc>
          <w:tcPr>
            <w:tcW w:w="7745" w:type="dxa"/>
            <w:gridSpan w:val="6"/>
            <w:vAlign w:val="center"/>
            <w:hideMark/>
          </w:tcPr>
          <w:p w14:paraId="0E100113" w14:textId="77777777" w:rsidR="00E665F1" w:rsidRPr="00E310DC" w:rsidRDefault="00E665F1">
            <w:pPr>
              <w:rPr>
                <w:rFonts w:ascii="Arial Narrow" w:hAnsi="Arial Narrow"/>
                <w:sz w:val="20"/>
                <w:szCs w:val="20"/>
              </w:rPr>
            </w:pPr>
            <w:r w:rsidRPr="00E310DC">
              <w:rPr>
                <w:rFonts w:ascii="Arial Narrow" w:hAnsi="Arial Narrow"/>
                <w:b/>
                <w:bCs/>
                <w:sz w:val="20"/>
                <w:szCs w:val="20"/>
              </w:rPr>
              <w:t>AND</w:t>
            </w:r>
          </w:p>
        </w:tc>
      </w:tr>
      <w:tr w:rsidR="00E665F1" w:rsidRPr="00E310DC" w14:paraId="3930D023" w14:textId="77777777">
        <w:tblPrEx>
          <w:tblCellMar>
            <w:top w:w="15" w:type="dxa"/>
            <w:bottom w:w="15" w:type="dxa"/>
          </w:tblCellMar>
          <w:tblLook w:val="04A0" w:firstRow="1" w:lastRow="0" w:firstColumn="1" w:lastColumn="0" w:noHBand="0" w:noVBand="1"/>
        </w:tblPrEx>
        <w:trPr>
          <w:cantSplit/>
          <w:trHeight w:val="20"/>
        </w:trPr>
        <w:tc>
          <w:tcPr>
            <w:tcW w:w="1271" w:type="dxa"/>
          </w:tcPr>
          <w:p w14:paraId="5C40D898" w14:textId="6CB4F1BB" w:rsidR="00E665F1" w:rsidRPr="00E310DC" w:rsidRDefault="00E665F1">
            <w:pPr>
              <w:jc w:val="center"/>
              <w:rPr>
                <w:rFonts w:ascii="Arial Narrow" w:hAnsi="Arial Narrow"/>
                <w:sz w:val="20"/>
                <w:szCs w:val="20"/>
              </w:rPr>
            </w:pPr>
          </w:p>
        </w:tc>
        <w:tc>
          <w:tcPr>
            <w:tcW w:w="7745" w:type="dxa"/>
            <w:gridSpan w:val="6"/>
            <w:vAlign w:val="center"/>
            <w:hideMark/>
          </w:tcPr>
          <w:p w14:paraId="3EC225CC" w14:textId="77777777" w:rsidR="00E665F1" w:rsidRPr="00E310DC" w:rsidRDefault="00E665F1">
            <w:pPr>
              <w:rPr>
                <w:rFonts w:ascii="Arial Narrow" w:hAnsi="Arial Narrow"/>
                <w:sz w:val="20"/>
                <w:szCs w:val="20"/>
              </w:rPr>
            </w:pPr>
            <w:r w:rsidRPr="00E310DC">
              <w:rPr>
                <w:rFonts w:ascii="Arial Narrow" w:hAnsi="Arial Narrow"/>
                <w:b/>
                <w:bCs/>
                <w:sz w:val="20"/>
                <w:szCs w:val="20"/>
              </w:rPr>
              <w:t>Clinical criteria:</w:t>
            </w:r>
          </w:p>
        </w:tc>
      </w:tr>
      <w:tr w:rsidR="00E665F1" w:rsidRPr="00E310DC" w14:paraId="6D0ED1AC" w14:textId="77777777">
        <w:tblPrEx>
          <w:tblCellMar>
            <w:top w:w="15" w:type="dxa"/>
            <w:bottom w:w="15" w:type="dxa"/>
          </w:tblCellMar>
          <w:tblLook w:val="04A0" w:firstRow="1" w:lastRow="0" w:firstColumn="1" w:lastColumn="0" w:noHBand="0" w:noVBand="1"/>
        </w:tblPrEx>
        <w:trPr>
          <w:cantSplit/>
          <w:trHeight w:val="20"/>
        </w:trPr>
        <w:tc>
          <w:tcPr>
            <w:tcW w:w="1271" w:type="dxa"/>
          </w:tcPr>
          <w:p w14:paraId="20AD9E11" w14:textId="63831DB2" w:rsidR="00E665F1" w:rsidRPr="00E310DC" w:rsidRDefault="00E665F1">
            <w:pPr>
              <w:jc w:val="center"/>
              <w:rPr>
                <w:rFonts w:ascii="Arial Narrow" w:hAnsi="Arial Narrow"/>
                <w:sz w:val="20"/>
                <w:szCs w:val="20"/>
              </w:rPr>
            </w:pPr>
          </w:p>
        </w:tc>
        <w:tc>
          <w:tcPr>
            <w:tcW w:w="7745" w:type="dxa"/>
            <w:gridSpan w:val="6"/>
            <w:vAlign w:val="center"/>
            <w:hideMark/>
          </w:tcPr>
          <w:p w14:paraId="3F95B35D" w14:textId="77777777" w:rsidR="00E665F1" w:rsidRPr="00E310DC" w:rsidRDefault="00E665F1">
            <w:pPr>
              <w:rPr>
                <w:rFonts w:ascii="Arial Narrow" w:hAnsi="Arial Narrow"/>
                <w:sz w:val="20"/>
                <w:szCs w:val="20"/>
              </w:rPr>
            </w:pPr>
            <w:r w:rsidRPr="00E310DC">
              <w:rPr>
                <w:rFonts w:ascii="Arial Narrow" w:hAnsi="Arial Narrow"/>
                <w:sz w:val="20"/>
                <w:szCs w:val="20"/>
              </w:rPr>
              <w:t xml:space="preserve">The treatment must be after failure of other therapy including dopamine agonists; or </w:t>
            </w:r>
          </w:p>
        </w:tc>
      </w:tr>
      <w:tr w:rsidR="00E665F1" w:rsidRPr="00E310DC" w14:paraId="2C80B1A4" w14:textId="77777777">
        <w:tblPrEx>
          <w:tblCellMar>
            <w:top w:w="15" w:type="dxa"/>
            <w:bottom w:w="15" w:type="dxa"/>
          </w:tblCellMar>
          <w:tblLook w:val="04A0" w:firstRow="1" w:lastRow="0" w:firstColumn="1" w:lastColumn="0" w:noHBand="0" w:noVBand="1"/>
        </w:tblPrEx>
        <w:trPr>
          <w:cantSplit/>
          <w:trHeight w:val="20"/>
        </w:trPr>
        <w:tc>
          <w:tcPr>
            <w:tcW w:w="1271" w:type="dxa"/>
          </w:tcPr>
          <w:p w14:paraId="6C8E99FC" w14:textId="3136B9A0" w:rsidR="00E665F1" w:rsidRPr="00E310DC" w:rsidRDefault="00E665F1">
            <w:pPr>
              <w:jc w:val="center"/>
              <w:rPr>
                <w:rFonts w:ascii="Arial Narrow" w:hAnsi="Arial Narrow"/>
                <w:sz w:val="20"/>
                <w:szCs w:val="20"/>
              </w:rPr>
            </w:pPr>
          </w:p>
        </w:tc>
        <w:tc>
          <w:tcPr>
            <w:tcW w:w="7745" w:type="dxa"/>
            <w:gridSpan w:val="6"/>
            <w:vAlign w:val="center"/>
          </w:tcPr>
          <w:p w14:paraId="35B644F8" w14:textId="77777777" w:rsidR="00E665F1" w:rsidRPr="00E310DC" w:rsidRDefault="00E665F1">
            <w:pPr>
              <w:rPr>
                <w:rFonts w:ascii="Arial Narrow" w:hAnsi="Arial Narrow"/>
                <w:sz w:val="20"/>
                <w:szCs w:val="20"/>
              </w:rPr>
            </w:pPr>
            <w:r w:rsidRPr="00E310DC">
              <w:rPr>
                <w:rFonts w:ascii="Arial Narrow" w:hAnsi="Arial Narrow"/>
                <w:sz w:val="20"/>
                <w:szCs w:val="20"/>
              </w:rPr>
              <w:t xml:space="preserve">The treatment must be as interim treatment while awaiting the effects of radiotherapy and where treatment with dopamine agonists has failed; or </w:t>
            </w:r>
          </w:p>
        </w:tc>
      </w:tr>
      <w:tr w:rsidR="00E665F1" w:rsidRPr="00E310DC" w14:paraId="7D563A3B" w14:textId="77777777">
        <w:tblPrEx>
          <w:tblCellMar>
            <w:top w:w="15" w:type="dxa"/>
            <w:bottom w:w="15" w:type="dxa"/>
          </w:tblCellMar>
          <w:tblLook w:val="04A0" w:firstRow="1" w:lastRow="0" w:firstColumn="1" w:lastColumn="0" w:noHBand="0" w:noVBand="1"/>
        </w:tblPrEx>
        <w:trPr>
          <w:cantSplit/>
          <w:trHeight w:val="20"/>
        </w:trPr>
        <w:tc>
          <w:tcPr>
            <w:tcW w:w="1271" w:type="dxa"/>
          </w:tcPr>
          <w:p w14:paraId="602BA85C" w14:textId="3580A7F6" w:rsidR="00E665F1" w:rsidRPr="00E310DC" w:rsidRDefault="00E665F1">
            <w:pPr>
              <w:jc w:val="center"/>
              <w:rPr>
                <w:rFonts w:ascii="Arial Narrow" w:hAnsi="Arial Narrow"/>
                <w:sz w:val="20"/>
                <w:szCs w:val="20"/>
              </w:rPr>
            </w:pPr>
          </w:p>
        </w:tc>
        <w:tc>
          <w:tcPr>
            <w:tcW w:w="7745" w:type="dxa"/>
            <w:gridSpan w:val="6"/>
            <w:vAlign w:val="center"/>
          </w:tcPr>
          <w:p w14:paraId="05E6ABB7" w14:textId="77777777" w:rsidR="00E665F1" w:rsidRPr="00E310DC" w:rsidRDefault="00E665F1">
            <w:pPr>
              <w:rPr>
                <w:rFonts w:ascii="Arial Narrow" w:hAnsi="Arial Narrow"/>
                <w:sz w:val="20"/>
                <w:szCs w:val="20"/>
              </w:rPr>
            </w:pPr>
            <w:r w:rsidRPr="00E310DC">
              <w:rPr>
                <w:rFonts w:ascii="Arial Narrow" w:hAnsi="Arial Narrow"/>
                <w:sz w:val="20"/>
                <w:szCs w:val="20"/>
              </w:rPr>
              <w:t xml:space="preserve">The treatment must be in a patient who is unfit for or unwilling to undergo surgery and where radiotherapy is contraindicated </w:t>
            </w:r>
          </w:p>
        </w:tc>
      </w:tr>
      <w:tr w:rsidR="00E665F1" w:rsidRPr="00C87DB4" w14:paraId="3A36018F" w14:textId="77777777">
        <w:tblPrEx>
          <w:tblCellMar>
            <w:top w:w="15" w:type="dxa"/>
            <w:bottom w:w="15" w:type="dxa"/>
          </w:tblCellMar>
          <w:tblLook w:val="04A0" w:firstRow="1" w:lastRow="0" w:firstColumn="1" w:lastColumn="0" w:noHBand="0" w:noVBand="1"/>
        </w:tblPrEx>
        <w:trPr>
          <w:cantSplit/>
          <w:trHeight w:val="20"/>
        </w:trPr>
        <w:tc>
          <w:tcPr>
            <w:tcW w:w="1271" w:type="dxa"/>
          </w:tcPr>
          <w:p w14:paraId="7004F6D2" w14:textId="77777777" w:rsidR="00E665F1" w:rsidRDefault="00E665F1">
            <w:pPr>
              <w:jc w:val="center"/>
              <w:rPr>
                <w:rFonts w:ascii="Arial Narrow" w:hAnsi="Arial Narrow"/>
                <w:color w:val="FF0000"/>
                <w:sz w:val="20"/>
                <w:szCs w:val="20"/>
              </w:rPr>
            </w:pPr>
          </w:p>
        </w:tc>
        <w:tc>
          <w:tcPr>
            <w:tcW w:w="7745" w:type="dxa"/>
            <w:gridSpan w:val="6"/>
            <w:vAlign w:val="center"/>
          </w:tcPr>
          <w:p w14:paraId="097DCD34" w14:textId="77777777" w:rsidR="00E665F1" w:rsidRPr="00C87DB4" w:rsidRDefault="00E665F1">
            <w:pPr>
              <w:rPr>
                <w:rFonts w:ascii="Arial Narrow" w:hAnsi="Arial Narrow"/>
                <w:color w:val="FF0000"/>
                <w:sz w:val="20"/>
                <w:szCs w:val="20"/>
              </w:rPr>
            </w:pPr>
            <w:r w:rsidRPr="00C87DB4">
              <w:rPr>
                <w:rFonts w:ascii="Arial Narrow" w:hAnsi="Arial Narrow"/>
                <w:b/>
                <w:bCs/>
                <w:color w:val="333333"/>
                <w:sz w:val="20"/>
                <w:szCs w:val="20"/>
              </w:rPr>
              <w:t>AND</w:t>
            </w:r>
          </w:p>
        </w:tc>
      </w:tr>
      <w:tr w:rsidR="00E665F1" w:rsidRPr="0065533A" w14:paraId="2D811C04" w14:textId="77777777">
        <w:tblPrEx>
          <w:tblCellMar>
            <w:top w:w="15" w:type="dxa"/>
            <w:bottom w:w="15" w:type="dxa"/>
          </w:tblCellMar>
          <w:tblLook w:val="04A0" w:firstRow="1" w:lastRow="0" w:firstColumn="1" w:lastColumn="0" w:noHBand="0" w:noVBand="1"/>
        </w:tblPrEx>
        <w:trPr>
          <w:cantSplit/>
          <w:trHeight w:val="20"/>
        </w:trPr>
        <w:tc>
          <w:tcPr>
            <w:tcW w:w="1271" w:type="dxa"/>
          </w:tcPr>
          <w:p w14:paraId="44E6913B" w14:textId="44D29E2F" w:rsidR="00E665F1" w:rsidRPr="0065533A" w:rsidRDefault="00E665F1">
            <w:pPr>
              <w:jc w:val="center"/>
              <w:rPr>
                <w:rFonts w:ascii="Arial Narrow" w:hAnsi="Arial Narrow"/>
                <w:sz w:val="20"/>
                <w:szCs w:val="20"/>
              </w:rPr>
            </w:pPr>
          </w:p>
        </w:tc>
        <w:tc>
          <w:tcPr>
            <w:tcW w:w="7745" w:type="dxa"/>
            <w:gridSpan w:val="6"/>
            <w:vAlign w:val="center"/>
          </w:tcPr>
          <w:p w14:paraId="5C5E6CCF" w14:textId="77777777" w:rsidR="00E665F1" w:rsidRPr="0065533A" w:rsidRDefault="00E665F1">
            <w:pPr>
              <w:rPr>
                <w:rFonts w:ascii="Arial Narrow" w:hAnsi="Arial Narrow"/>
                <w:sz w:val="20"/>
                <w:szCs w:val="20"/>
              </w:rPr>
            </w:pPr>
            <w:r w:rsidRPr="0065533A">
              <w:rPr>
                <w:rFonts w:ascii="Arial Narrow" w:hAnsi="Arial Narrow"/>
                <w:b/>
                <w:bCs/>
                <w:sz w:val="20"/>
                <w:szCs w:val="20"/>
              </w:rPr>
              <w:t>Clinical criteria:</w:t>
            </w:r>
          </w:p>
        </w:tc>
      </w:tr>
      <w:tr w:rsidR="00E665F1" w:rsidRPr="0065533A" w14:paraId="02F0A56F" w14:textId="77777777">
        <w:tblPrEx>
          <w:tblCellMar>
            <w:top w:w="15" w:type="dxa"/>
            <w:bottom w:w="15" w:type="dxa"/>
          </w:tblCellMar>
          <w:tblLook w:val="04A0" w:firstRow="1" w:lastRow="0" w:firstColumn="1" w:lastColumn="0" w:noHBand="0" w:noVBand="1"/>
        </w:tblPrEx>
        <w:trPr>
          <w:cantSplit/>
          <w:trHeight w:val="20"/>
        </w:trPr>
        <w:tc>
          <w:tcPr>
            <w:tcW w:w="1271" w:type="dxa"/>
          </w:tcPr>
          <w:p w14:paraId="4D1C7E9F" w14:textId="36A22644" w:rsidR="00E665F1" w:rsidRPr="0065533A" w:rsidRDefault="00E665F1">
            <w:pPr>
              <w:jc w:val="center"/>
              <w:rPr>
                <w:rFonts w:ascii="Arial Narrow" w:hAnsi="Arial Narrow"/>
                <w:sz w:val="20"/>
                <w:szCs w:val="20"/>
              </w:rPr>
            </w:pPr>
          </w:p>
        </w:tc>
        <w:tc>
          <w:tcPr>
            <w:tcW w:w="7745" w:type="dxa"/>
            <w:gridSpan w:val="6"/>
            <w:vAlign w:val="center"/>
          </w:tcPr>
          <w:p w14:paraId="59328A4E" w14:textId="77777777" w:rsidR="00E665F1" w:rsidRPr="0065533A" w:rsidRDefault="00E665F1">
            <w:pPr>
              <w:rPr>
                <w:rFonts w:ascii="Arial Narrow" w:hAnsi="Arial Narrow"/>
                <w:sz w:val="20"/>
                <w:szCs w:val="20"/>
              </w:rPr>
            </w:pPr>
            <w:r w:rsidRPr="0065533A">
              <w:rPr>
                <w:rFonts w:ascii="Arial Narrow" w:hAnsi="Arial Narrow"/>
                <w:sz w:val="20"/>
                <w:szCs w:val="20"/>
              </w:rPr>
              <w:t>The treatment must cease in a patient treated with radiotherapy if there is biochemical evidence of remission (normal IGF1) after lanreotide has been withdrawn for at least 4 weeks (8 weeks after the last dose)</w:t>
            </w:r>
          </w:p>
        </w:tc>
      </w:tr>
      <w:tr w:rsidR="00E665F1" w:rsidRPr="00C87DB4" w14:paraId="47A6A53C" w14:textId="77777777">
        <w:tblPrEx>
          <w:tblCellMar>
            <w:top w:w="15" w:type="dxa"/>
            <w:bottom w:w="15" w:type="dxa"/>
          </w:tblCellMar>
          <w:tblLook w:val="04A0" w:firstRow="1" w:lastRow="0" w:firstColumn="1" w:lastColumn="0" w:noHBand="0" w:noVBand="1"/>
        </w:tblPrEx>
        <w:trPr>
          <w:cantSplit/>
          <w:trHeight w:val="20"/>
        </w:trPr>
        <w:tc>
          <w:tcPr>
            <w:tcW w:w="1271" w:type="dxa"/>
          </w:tcPr>
          <w:p w14:paraId="650757A8" w14:textId="77777777" w:rsidR="00E665F1" w:rsidRDefault="00E665F1">
            <w:pPr>
              <w:jc w:val="center"/>
              <w:rPr>
                <w:rFonts w:ascii="Arial Narrow" w:hAnsi="Arial Narrow"/>
                <w:color w:val="FF0000"/>
                <w:sz w:val="20"/>
                <w:szCs w:val="20"/>
              </w:rPr>
            </w:pPr>
          </w:p>
        </w:tc>
        <w:tc>
          <w:tcPr>
            <w:tcW w:w="7745" w:type="dxa"/>
            <w:gridSpan w:val="6"/>
            <w:vAlign w:val="center"/>
          </w:tcPr>
          <w:p w14:paraId="65BABB0C" w14:textId="77777777" w:rsidR="00E665F1" w:rsidRPr="00C87DB4" w:rsidRDefault="00E665F1">
            <w:pPr>
              <w:rPr>
                <w:rFonts w:ascii="Arial Narrow" w:hAnsi="Arial Narrow"/>
                <w:color w:val="FF0000"/>
                <w:sz w:val="20"/>
                <w:szCs w:val="20"/>
              </w:rPr>
            </w:pPr>
            <w:r w:rsidRPr="00C87DB4">
              <w:rPr>
                <w:rFonts w:ascii="Arial Narrow" w:hAnsi="Arial Narrow"/>
                <w:b/>
                <w:bCs/>
                <w:color w:val="333333"/>
                <w:sz w:val="20"/>
                <w:szCs w:val="20"/>
              </w:rPr>
              <w:t>AND</w:t>
            </w:r>
          </w:p>
        </w:tc>
      </w:tr>
      <w:tr w:rsidR="00E665F1" w:rsidRPr="00DF6B1E" w14:paraId="7FD208FC" w14:textId="77777777">
        <w:tblPrEx>
          <w:tblCellMar>
            <w:top w:w="15" w:type="dxa"/>
            <w:bottom w:w="15" w:type="dxa"/>
          </w:tblCellMar>
          <w:tblLook w:val="04A0" w:firstRow="1" w:lastRow="0" w:firstColumn="1" w:lastColumn="0" w:noHBand="0" w:noVBand="1"/>
        </w:tblPrEx>
        <w:trPr>
          <w:cantSplit/>
          <w:trHeight w:val="20"/>
        </w:trPr>
        <w:tc>
          <w:tcPr>
            <w:tcW w:w="1271" w:type="dxa"/>
          </w:tcPr>
          <w:p w14:paraId="5F1DBB86" w14:textId="2F1D1119" w:rsidR="00E665F1" w:rsidRPr="00DF6B1E" w:rsidRDefault="00E665F1">
            <w:pPr>
              <w:jc w:val="center"/>
              <w:rPr>
                <w:rFonts w:ascii="Arial Narrow" w:hAnsi="Arial Narrow"/>
                <w:sz w:val="20"/>
                <w:szCs w:val="20"/>
              </w:rPr>
            </w:pPr>
          </w:p>
        </w:tc>
        <w:tc>
          <w:tcPr>
            <w:tcW w:w="7745" w:type="dxa"/>
            <w:gridSpan w:val="6"/>
            <w:vAlign w:val="center"/>
          </w:tcPr>
          <w:p w14:paraId="12AFDD86" w14:textId="77777777" w:rsidR="00E665F1" w:rsidRPr="00DF6B1E" w:rsidRDefault="00E665F1">
            <w:pPr>
              <w:rPr>
                <w:rFonts w:ascii="Arial Narrow" w:hAnsi="Arial Narrow"/>
                <w:sz w:val="20"/>
                <w:szCs w:val="20"/>
              </w:rPr>
            </w:pPr>
            <w:r w:rsidRPr="00DF6B1E">
              <w:rPr>
                <w:rFonts w:ascii="Arial Narrow" w:hAnsi="Arial Narrow"/>
                <w:b/>
                <w:bCs/>
                <w:sz w:val="20"/>
                <w:szCs w:val="20"/>
              </w:rPr>
              <w:t>Clinical criteria:</w:t>
            </w:r>
          </w:p>
        </w:tc>
      </w:tr>
      <w:tr w:rsidR="00E665F1" w:rsidRPr="00DF6B1E" w14:paraId="0F2B8B27" w14:textId="77777777">
        <w:tblPrEx>
          <w:tblCellMar>
            <w:top w:w="15" w:type="dxa"/>
            <w:bottom w:w="15" w:type="dxa"/>
          </w:tblCellMar>
          <w:tblLook w:val="04A0" w:firstRow="1" w:lastRow="0" w:firstColumn="1" w:lastColumn="0" w:noHBand="0" w:noVBand="1"/>
        </w:tblPrEx>
        <w:trPr>
          <w:cantSplit/>
          <w:trHeight w:val="20"/>
        </w:trPr>
        <w:tc>
          <w:tcPr>
            <w:tcW w:w="1271" w:type="dxa"/>
          </w:tcPr>
          <w:p w14:paraId="37AFAB4D" w14:textId="4FEA48B7" w:rsidR="00E665F1" w:rsidRPr="00DF6B1E" w:rsidRDefault="00E665F1">
            <w:pPr>
              <w:jc w:val="center"/>
              <w:rPr>
                <w:rFonts w:ascii="Arial Narrow" w:hAnsi="Arial Narrow"/>
                <w:sz w:val="20"/>
                <w:szCs w:val="20"/>
              </w:rPr>
            </w:pPr>
          </w:p>
        </w:tc>
        <w:tc>
          <w:tcPr>
            <w:tcW w:w="7745" w:type="dxa"/>
            <w:gridSpan w:val="6"/>
            <w:vAlign w:val="center"/>
          </w:tcPr>
          <w:p w14:paraId="694B7745" w14:textId="77777777" w:rsidR="00E665F1" w:rsidRPr="00DF6B1E" w:rsidRDefault="00E665F1">
            <w:pPr>
              <w:rPr>
                <w:rFonts w:ascii="Arial Narrow" w:hAnsi="Arial Narrow"/>
                <w:sz w:val="20"/>
                <w:szCs w:val="20"/>
              </w:rPr>
            </w:pPr>
            <w:r w:rsidRPr="00DF6B1E">
              <w:rPr>
                <w:rFonts w:ascii="Arial Narrow" w:hAnsi="Arial Narrow"/>
                <w:sz w:val="20"/>
                <w:szCs w:val="20"/>
              </w:rPr>
              <w:t xml:space="preserve">The treatment must cease if IGF1 is not lower after 3 months of treatment </w:t>
            </w:r>
          </w:p>
        </w:tc>
      </w:tr>
      <w:tr w:rsidR="00E665F1" w:rsidRPr="00C87DB4" w14:paraId="3DDA3BAF" w14:textId="77777777">
        <w:tblPrEx>
          <w:tblCellMar>
            <w:top w:w="15" w:type="dxa"/>
            <w:bottom w:w="15" w:type="dxa"/>
          </w:tblCellMar>
          <w:tblLook w:val="04A0" w:firstRow="1" w:lastRow="0" w:firstColumn="1" w:lastColumn="0" w:noHBand="0" w:noVBand="1"/>
        </w:tblPrEx>
        <w:trPr>
          <w:cantSplit/>
          <w:trHeight w:val="20"/>
        </w:trPr>
        <w:tc>
          <w:tcPr>
            <w:tcW w:w="1271" w:type="dxa"/>
          </w:tcPr>
          <w:p w14:paraId="14861F07" w14:textId="77777777" w:rsidR="00E665F1" w:rsidRDefault="00E665F1">
            <w:pPr>
              <w:jc w:val="center"/>
              <w:rPr>
                <w:rFonts w:ascii="Arial Narrow" w:hAnsi="Arial Narrow"/>
                <w:color w:val="FF0000"/>
                <w:sz w:val="20"/>
                <w:szCs w:val="20"/>
              </w:rPr>
            </w:pPr>
          </w:p>
        </w:tc>
        <w:tc>
          <w:tcPr>
            <w:tcW w:w="7745" w:type="dxa"/>
            <w:gridSpan w:val="6"/>
            <w:vAlign w:val="center"/>
          </w:tcPr>
          <w:p w14:paraId="78610A6F" w14:textId="77777777" w:rsidR="00E665F1" w:rsidRPr="00C87DB4" w:rsidRDefault="00E665F1">
            <w:pPr>
              <w:rPr>
                <w:rFonts w:ascii="Arial Narrow" w:hAnsi="Arial Narrow"/>
                <w:color w:val="FF0000"/>
                <w:sz w:val="20"/>
                <w:szCs w:val="20"/>
              </w:rPr>
            </w:pPr>
            <w:r w:rsidRPr="00C87DB4">
              <w:rPr>
                <w:rFonts w:ascii="Arial Narrow" w:hAnsi="Arial Narrow"/>
                <w:b/>
                <w:bCs/>
                <w:color w:val="333333"/>
                <w:sz w:val="20"/>
                <w:szCs w:val="20"/>
              </w:rPr>
              <w:t>AND</w:t>
            </w:r>
          </w:p>
        </w:tc>
      </w:tr>
      <w:tr w:rsidR="00E665F1" w:rsidRPr="005E4C7F" w14:paraId="49587C33" w14:textId="77777777">
        <w:tblPrEx>
          <w:tblCellMar>
            <w:top w:w="15" w:type="dxa"/>
            <w:bottom w:w="15" w:type="dxa"/>
          </w:tblCellMar>
          <w:tblLook w:val="04A0" w:firstRow="1" w:lastRow="0" w:firstColumn="1" w:lastColumn="0" w:noHBand="0" w:noVBand="1"/>
        </w:tblPrEx>
        <w:trPr>
          <w:cantSplit/>
          <w:trHeight w:val="20"/>
        </w:trPr>
        <w:tc>
          <w:tcPr>
            <w:tcW w:w="1271" w:type="dxa"/>
          </w:tcPr>
          <w:p w14:paraId="7830900C" w14:textId="3484FE34" w:rsidR="00E665F1" w:rsidRPr="005E4C7F" w:rsidRDefault="00E665F1">
            <w:pPr>
              <w:jc w:val="center"/>
              <w:rPr>
                <w:rFonts w:ascii="Arial Narrow" w:hAnsi="Arial Narrow"/>
                <w:sz w:val="20"/>
                <w:szCs w:val="20"/>
              </w:rPr>
            </w:pPr>
          </w:p>
        </w:tc>
        <w:tc>
          <w:tcPr>
            <w:tcW w:w="7745" w:type="dxa"/>
            <w:gridSpan w:val="6"/>
            <w:vAlign w:val="center"/>
          </w:tcPr>
          <w:p w14:paraId="7A1316A4" w14:textId="77777777" w:rsidR="00E665F1" w:rsidRPr="005E4C7F" w:rsidRDefault="00E665F1">
            <w:pPr>
              <w:rPr>
                <w:rFonts w:ascii="Arial Narrow" w:hAnsi="Arial Narrow"/>
                <w:sz w:val="20"/>
                <w:szCs w:val="20"/>
              </w:rPr>
            </w:pPr>
            <w:r w:rsidRPr="005E4C7F">
              <w:rPr>
                <w:rFonts w:ascii="Arial Narrow" w:hAnsi="Arial Narrow"/>
                <w:b/>
                <w:bCs/>
                <w:sz w:val="20"/>
                <w:szCs w:val="20"/>
              </w:rPr>
              <w:t>Clinical criteria:</w:t>
            </w:r>
          </w:p>
        </w:tc>
      </w:tr>
      <w:tr w:rsidR="00E665F1" w:rsidRPr="005E4C7F" w14:paraId="37108400" w14:textId="77777777">
        <w:tblPrEx>
          <w:tblCellMar>
            <w:top w:w="15" w:type="dxa"/>
            <w:bottom w:w="15" w:type="dxa"/>
          </w:tblCellMar>
          <w:tblLook w:val="04A0" w:firstRow="1" w:lastRow="0" w:firstColumn="1" w:lastColumn="0" w:noHBand="0" w:noVBand="1"/>
        </w:tblPrEx>
        <w:trPr>
          <w:cantSplit/>
          <w:trHeight w:val="20"/>
        </w:trPr>
        <w:tc>
          <w:tcPr>
            <w:tcW w:w="1271" w:type="dxa"/>
          </w:tcPr>
          <w:p w14:paraId="62A19CA6" w14:textId="1EB3B9AA" w:rsidR="00E665F1" w:rsidRPr="005E4C7F" w:rsidRDefault="00E665F1">
            <w:pPr>
              <w:jc w:val="center"/>
              <w:rPr>
                <w:rFonts w:ascii="Arial Narrow" w:hAnsi="Arial Narrow"/>
                <w:sz w:val="20"/>
                <w:szCs w:val="20"/>
              </w:rPr>
            </w:pPr>
          </w:p>
        </w:tc>
        <w:tc>
          <w:tcPr>
            <w:tcW w:w="7745" w:type="dxa"/>
            <w:gridSpan w:val="6"/>
            <w:vAlign w:val="center"/>
          </w:tcPr>
          <w:p w14:paraId="6D036A43" w14:textId="77777777" w:rsidR="00E665F1" w:rsidRPr="005E4C7F" w:rsidRDefault="00E665F1">
            <w:pPr>
              <w:rPr>
                <w:rFonts w:ascii="Arial Narrow" w:hAnsi="Arial Narrow"/>
                <w:sz w:val="20"/>
                <w:szCs w:val="20"/>
              </w:rPr>
            </w:pPr>
            <w:r w:rsidRPr="005E4C7F">
              <w:rPr>
                <w:rFonts w:ascii="Arial Narrow" w:hAnsi="Arial Narrow"/>
                <w:sz w:val="20"/>
                <w:szCs w:val="20"/>
              </w:rPr>
              <w:t>The treatment must not be given concomitantly with PBS-subsidised pegvisomant</w:t>
            </w:r>
          </w:p>
        </w:tc>
      </w:tr>
      <w:tr w:rsidR="00E665F1" w:rsidRPr="00C87DB4" w14:paraId="28284518" w14:textId="77777777">
        <w:tblPrEx>
          <w:tblCellMar>
            <w:top w:w="15" w:type="dxa"/>
            <w:bottom w:w="15" w:type="dxa"/>
          </w:tblCellMar>
          <w:tblLook w:val="04A0" w:firstRow="1" w:lastRow="0" w:firstColumn="1" w:lastColumn="0" w:noHBand="0" w:noVBand="1"/>
        </w:tblPrEx>
        <w:trPr>
          <w:cantSplit/>
          <w:trHeight w:val="20"/>
        </w:trPr>
        <w:tc>
          <w:tcPr>
            <w:tcW w:w="1271" w:type="dxa"/>
          </w:tcPr>
          <w:p w14:paraId="0FA4D0FD" w14:textId="77777777" w:rsidR="00E665F1" w:rsidRPr="00C87DB4" w:rsidRDefault="00E665F1">
            <w:pPr>
              <w:jc w:val="center"/>
              <w:rPr>
                <w:rFonts w:ascii="Arial Narrow" w:hAnsi="Arial Narrow"/>
                <w:color w:val="333333"/>
                <w:sz w:val="20"/>
                <w:szCs w:val="20"/>
              </w:rPr>
            </w:pPr>
          </w:p>
        </w:tc>
        <w:tc>
          <w:tcPr>
            <w:tcW w:w="7745" w:type="dxa"/>
            <w:gridSpan w:val="6"/>
            <w:vAlign w:val="center"/>
          </w:tcPr>
          <w:p w14:paraId="40F23D59" w14:textId="77777777" w:rsidR="00E665F1" w:rsidRPr="00C87DB4" w:rsidRDefault="00E665F1">
            <w:pPr>
              <w:rPr>
                <w:rFonts w:ascii="Arial Narrow" w:hAnsi="Arial Narrow"/>
                <w:color w:val="333333"/>
                <w:sz w:val="20"/>
                <w:szCs w:val="20"/>
              </w:rPr>
            </w:pPr>
          </w:p>
        </w:tc>
      </w:tr>
      <w:tr w:rsidR="00E665F1" w:rsidRPr="00C87DB4" w14:paraId="104458BB" w14:textId="77777777" w:rsidTr="005179A3">
        <w:tblPrEx>
          <w:tblCellMar>
            <w:top w:w="15" w:type="dxa"/>
            <w:bottom w:w="15" w:type="dxa"/>
          </w:tblCellMar>
        </w:tblPrEx>
        <w:trPr>
          <w:cantSplit/>
          <w:trHeight w:val="20"/>
        </w:trPr>
        <w:tc>
          <w:tcPr>
            <w:tcW w:w="1271" w:type="dxa"/>
          </w:tcPr>
          <w:p w14:paraId="2BEF6151" w14:textId="562F4515" w:rsidR="00E665F1" w:rsidRPr="00C87DB4" w:rsidRDefault="00E665F1">
            <w:pPr>
              <w:jc w:val="center"/>
              <w:rPr>
                <w:rFonts w:ascii="Arial Narrow" w:hAnsi="Arial Narrow"/>
                <w:color w:val="333333"/>
                <w:sz w:val="20"/>
                <w:szCs w:val="20"/>
              </w:rPr>
            </w:pPr>
          </w:p>
        </w:tc>
        <w:tc>
          <w:tcPr>
            <w:tcW w:w="7745" w:type="dxa"/>
            <w:gridSpan w:val="6"/>
            <w:vAlign w:val="center"/>
            <w:hideMark/>
          </w:tcPr>
          <w:p w14:paraId="197531BA" w14:textId="77777777" w:rsidR="00E665F1" w:rsidRPr="00C87DB4" w:rsidRDefault="00E665F1">
            <w:pPr>
              <w:rPr>
                <w:rFonts w:ascii="Arial Narrow" w:hAnsi="Arial Narrow"/>
                <w:sz w:val="20"/>
                <w:szCs w:val="20"/>
              </w:rPr>
            </w:pPr>
            <w:r w:rsidRPr="00C87DB4">
              <w:rPr>
                <w:rFonts w:ascii="Arial Narrow" w:hAnsi="Arial Narrow"/>
                <w:b/>
                <w:bCs/>
                <w:color w:val="333333"/>
                <w:sz w:val="20"/>
                <w:szCs w:val="20"/>
              </w:rPr>
              <w:t xml:space="preserve">Prescribing Instructions: </w:t>
            </w:r>
          </w:p>
          <w:p w14:paraId="4001631E" w14:textId="77777777" w:rsidR="00E665F1" w:rsidRPr="00C87DB4" w:rsidRDefault="00E665F1">
            <w:pPr>
              <w:rPr>
                <w:rFonts w:ascii="Arial Narrow" w:hAnsi="Arial Narrow"/>
                <w:sz w:val="20"/>
                <w:szCs w:val="20"/>
              </w:rPr>
            </w:pPr>
            <w:r>
              <w:rPr>
                <w:rFonts w:ascii="Arial Narrow" w:hAnsi="Arial Narrow"/>
                <w:sz w:val="20"/>
                <w:szCs w:val="20"/>
              </w:rPr>
              <w:t>In a patient treated with radiotherapy, lanreotide should be withdrawn every 2 years in the 10 years after radiotherapy for assessment of remission</w:t>
            </w:r>
          </w:p>
        </w:tc>
      </w:tr>
      <w:tr w:rsidR="00E665F1" w:rsidRPr="00C87DB4" w14:paraId="6A5A5425" w14:textId="77777777">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290CC7D1" w14:textId="77777777" w:rsidR="00E665F1" w:rsidRPr="00C87DB4" w:rsidRDefault="00E665F1">
            <w:pPr>
              <w:rPr>
                <w:rFonts w:ascii="Arial Narrow" w:hAnsi="Arial Narrow"/>
                <w:bCs/>
                <w:color w:val="FF0000"/>
                <w:sz w:val="20"/>
                <w:szCs w:val="20"/>
              </w:rPr>
            </w:pPr>
          </w:p>
        </w:tc>
      </w:tr>
      <w:tr w:rsidR="00E665F1" w:rsidRPr="00C87DB4" w14:paraId="0DB36748" w14:textId="77777777">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265B0AA0" w14:textId="77777777" w:rsidR="00E665F1" w:rsidRPr="00C87DB4" w:rsidRDefault="00E665F1">
            <w:pPr>
              <w:rPr>
                <w:rFonts w:ascii="Arial Narrow" w:hAnsi="Arial Narrow"/>
                <w:bCs/>
                <w:color w:val="FF0000"/>
                <w:sz w:val="20"/>
                <w:szCs w:val="20"/>
              </w:rPr>
            </w:pPr>
          </w:p>
        </w:tc>
      </w:tr>
      <w:tr w:rsidR="00E665F1" w:rsidRPr="00C87DB4" w14:paraId="33A21F18" w14:textId="77777777">
        <w:tblPrEx>
          <w:tblCellMar>
            <w:top w:w="15" w:type="dxa"/>
            <w:bottom w:w="15" w:type="dxa"/>
          </w:tblCellMar>
          <w:tblLook w:val="04A0" w:firstRow="1" w:lastRow="0" w:firstColumn="1" w:lastColumn="0" w:noHBand="0" w:noVBand="1"/>
        </w:tblPrEx>
        <w:trPr>
          <w:cantSplit/>
          <w:trHeight w:val="20"/>
        </w:trPr>
        <w:tc>
          <w:tcPr>
            <w:tcW w:w="1271" w:type="dxa"/>
          </w:tcPr>
          <w:p w14:paraId="53891A07" w14:textId="0A59A3B9"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4DB85502" w14:textId="77777777" w:rsidR="00E665F1" w:rsidRPr="00C87DB4" w:rsidRDefault="00E665F1">
            <w:pPr>
              <w:keepNext/>
              <w:keepLines/>
              <w:rPr>
                <w:rFonts w:ascii="Arial Narrow" w:hAnsi="Arial Narrow"/>
                <w:b/>
                <w:bCs/>
                <w:color w:val="333333"/>
                <w:sz w:val="20"/>
                <w:szCs w:val="20"/>
              </w:rPr>
            </w:pPr>
            <w:r w:rsidRPr="00D57D9E">
              <w:rPr>
                <w:rFonts w:ascii="Arial Narrow" w:hAnsi="Arial Narrow"/>
                <w:b/>
                <w:bCs/>
                <w:sz w:val="20"/>
                <w:szCs w:val="20"/>
              </w:rPr>
              <w:t>Indication:</w:t>
            </w:r>
            <w:r w:rsidRPr="00D57D9E">
              <w:rPr>
                <w:rFonts w:ascii="Arial Narrow" w:hAnsi="Arial Narrow"/>
                <w:sz w:val="20"/>
                <w:szCs w:val="20"/>
              </w:rPr>
              <w:t xml:space="preserve"> Acromegaly</w:t>
            </w:r>
          </w:p>
        </w:tc>
      </w:tr>
      <w:tr w:rsidR="00E665F1" w:rsidRPr="00C87DB4" w14:paraId="025E092E" w14:textId="77777777">
        <w:tblPrEx>
          <w:tblCellMar>
            <w:top w:w="15" w:type="dxa"/>
            <w:bottom w:w="15" w:type="dxa"/>
          </w:tblCellMar>
          <w:tblLook w:val="04A0" w:firstRow="1" w:lastRow="0" w:firstColumn="1" w:lastColumn="0" w:noHBand="0" w:noVBand="1"/>
        </w:tblPrEx>
        <w:trPr>
          <w:cantSplit/>
          <w:trHeight w:val="20"/>
        </w:trPr>
        <w:tc>
          <w:tcPr>
            <w:tcW w:w="1271" w:type="dxa"/>
          </w:tcPr>
          <w:p w14:paraId="6D8FAEBD" w14:textId="77777777"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3C2F6C64" w14:textId="77777777" w:rsidR="00E665F1" w:rsidRPr="00C87DB4" w:rsidRDefault="00E665F1">
            <w:pPr>
              <w:keepNext/>
              <w:keepLines/>
              <w:rPr>
                <w:rFonts w:ascii="Arial Narrow" w:hAnsi="Arial Narrow"/>
                <w:b/>
                <w:bCs/>
                <w:color w:val="333333"/>
                <w:sz w:val="20"/>
                <w:szCs w:val="20"/>
              </w:rPr>
            </w:pPr>
            <w:r>
              <w:rPr>
                <w:rFonts w:ascii="Arial Narrow" w:hAnsi="Arial Narrow"/>
                <w:b/>
                <w:bCs/>
                <w:sz w:val="20"/>
                <w:szCs w:val="20"/>
              </w:rPr>
              <w:t xml:space="preserve">Treatment Phase: </w:t>
            </w:r>
            <w:r>
              <w:rPr>
                <w:rFonts w:ascii="Arial Narrow" w:hAnsi="Arial Narrow"/>
                <w:sz w:val="20"/>
                <w:szCs w:val="20"/>
              </w:rPr>
              <w:t xml:space="preserve">Continuing treatment </w:t>
            </w:r>
          </w:p>
        </w:tc>
      </w:tr>
      <w:tr w:rsidR="00E665F1" w:rsidRPr="00C87DB4" w14:paraId="51E0AD1C" w14:textId="77777777">
        <w:tblPrEx>
          <w:tblCellMar>
            <w:top w:w="15" w:type="dxa"/>
            <w:bottom w:w="15" w:type="dxa"/>
          </w:tblCellMar>
          <w:tblLook w:val="04A0" w:firstRow="1" w:lastRow="0" w:firstColumn="1" w:lastColumn="0" w:noHBand="0" w:noVBand="1"/>
        </w:tblPrEx>
        <w:trPr>
          <w:cantSplit/>
          <w:trHeight w:val="20"/>
        </w:trPr>
        <w:tc>
          <w:tcPr>
            <w:tcW w:w="1271" w:type="dxa"/>
          </w:tcPr>
          <w:p w14:paraId="6C92DCCF" w14:textId="3CE2121E"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592DECC2" w14:textId="77777777" w:rsidR="00E665F1" w:rsidRPr="00C87DB4" w:rsidRDefault="00E665F1">
            <w:pPr>
              <w:keepNext/>
              <w:keepLines/>
              <w:rPr>
                <w:rFonts w:ascii="Arial Narrow" w:hAnsi="Arial Narrow"/>
                <w:b/>
                <w:bCs/>
                <w:color w:val="333333"/>
                <w:sz w:val="20"/>
                <w:szCs w:val="20"/>
              </w:rPr>
            </w:pPr>
            <w:r w:rsidRPr="0023180E">
              <w:rPr>
                <w:rFonts w:ascii="Arial Narrow" w:hAnsi="Arial Narrow"/>
                <w:b/>
                <w:bCs/>
                <w:sz w:val="20"/>
                <w:szCs w:val="20"/>
              </w:rPr>
              <w:t xml:space="preserve">Clinical criteria: </w:t>
            </w:r>
          </w:p>
        </w:tc>
      </w:tr>
      <w:tr w:rsidR="00E665F1" w:rsidRPr="00C87DB4" w14:paraId="4CE6DA29" w14:textId="77777777">
        <w:tblPrEx>
          <w:tblCellMar>
            <w:top w:w="15" w:type="dxa"/>
            <w:bottom w:w="15" w:type="dxa"/>
          </w:tblCellMar>
          <w:tblLook w:val="04A0" w:firstRow="1" w:lastRow="0" w:firstColumn="1" w:lastColumn="0" w:noHBand="0" w:noVBand="1"/>
        </w:tblPrEx>
        <w:trPr>
          <w:cantSplit/>
          <w:trHeight w:val="20"/>
        </w:trPr>
        <w:tc>
          <w:tcPr>
            <w:tcW w:w="1271" w:type="dxa"/>
          </w:tcPr>
          <w:p w14:paraId="335DF4D2" w14:textId="2207B756"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3685FA7A" w14:textId="77777777" w:rsidR="00E665F1" w:rsidRPr="00C87DB4" w:rsidRDefault="00E665F1">
            <w:pPr>
              <w:keepNext/>
              <w:keepLines/>
              <w:rPr>
                <w:rFonts w:ascii="Arial Narrow" w:hAnsi="Arial Narrow"/>
                <w:b/>
                <w:bCs/>
                <w:color w:val="333333"/>
                <w:sz w:val="20"/>
                <w:szCs w:val="20"/>
              </w:rPr>
            </w:pPr>
            <w:r>
              <w:rPr>
                <w:rFonts w:ascii="Arial Narrow" w:hAnsi="Arial Narrow" w:cs="Arial Narrow"/>
                <w:iCs/>
                <w:sz w:val="20"/>
                <w:szCs w:val="20"/>
              </w:rPr>
              <w:t xml:space="preserve">Patient must have previously received PBS-subsidised treatment with this drug for this condition </w:t>
            </w:r>
            <w:r w:rsidRPr="0023180E">
              <w:rPr>
                <w:rFonts w:ascii="Arial Narrow" w:hAnsi="Arial Narrow" w:cs="Arial Narrow"/>
                <w:iCs/>
                <w:sz w:val="20"/>
                <w:szCs w:val="20"/>
              </w:rPr>
              <w:t xml:space="preserve"> </w:t>
            </w:r>
          </w:p>
        </w:tc>
      </w:tr>
      <w:tr w:rsidR="00E665F1" w:rsidRPr="00C87DB4" w14:paraId="76CA520A" w14:textId="77777777">
        <w:tblPrEx>
          <w:tblCellMar>
            <w:top w:w="15" w:type="dxa"/>
            <w:bottom w:w="15" w:type="dxa"/>
          </w:tblCellMar>
          <w:tblLook w:val="04A0" w:firstRow="1" w:lastRow="0" w:firstColumn="1" w:lastColumn="0" w:noHBand="0" w:noVBand="1"/>
        </w:tblPrEx>
        <w:trPr>
          <w:cantSplit/>
          <w:trHeight w:val="20"/>
        </w:trPr>
        <w:tc>
          <w:tcPr>
            <w:tcW w:w="1271" w:type="dxa"/>
          </w:tcPr>
          <w:p w14:paraId="4F4C2771" w14:textId="77777777"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3791FE02" w14:textId="77777777" w:rsidR="00E665F1" w:rsidRPr="00C87DB4" w:rsidRDefault="00E665F1">
            <w:pPr>
              <w:keepNext/>
              <w:keepLines/>
              <w:rPr>
                <w:rFonts w:ascii="Arial Narrow" w:hAnsi="Arial Narrow"/>
                <w:b/>
                <w:bCs/>
                <w:color w:val="333333"/>
                <w:sz w:val="20"/>
                <w:szCs w:val="20"/>
              </w:rPr>
            </w:pPr>
            <w:r w:rsidRPr="00C87DB4">
              <w:rPr>
                <w:rFonts w:ascii="Arial Narrow" w:hAnsi="Arial Narrow"/>
                <w:b/>
                <w:bCs/>
                <w:color w:val="333333"/>
                <w:sz w:val="20"/>
                <w:szCs w:val="20"/>
              </w:rPr>
              <w:t>AND</w:t>
            </w:r>
          </w:p>
        </w:tc>
      </w:tr>
      <w:tr w:rsidR="00E665F1" w:rsidRPr="00C87DB4" w14:paraId="04EEBAA8" w14:textId="77777777">
        <w:tblPrEx>
          <w:tblCellMar>
            <w:top w:w="15" w:type="dxa"/>
            <w:bottom w:w="15" w:type="dxa"/>
          </w:tblCellMar>
          <w:tblLook w:val="04A0" w:firstRow="1" w:lastRow="0" w:firstColumn="1" w:lastColumn="0" w:noHBand="0" w:noVBand="1"/>
        </w:tblPrEx>
        <w:trPr>
          <w:cantSplit/>
          <w:trHeight w:val="20"/>
        </w:trPr>
        <w:tc>
          <w:tcPr>
            <w:tcW w:w="1271" w:type="dxa"/>
          </w:tcPr>
          <w:p w14:paraId="4ABA3621" w14:textId="395A715A"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64BB6A6D" w14:textId="77777777" w:rsidR="00E665F1" w:rsidRPr="00C87DB4" w:rsidRDefault="00E665F1">
            <w:pPr>
              <w:keepNext/>
              <w:keepLines/>
              <w:rPr>
                <w:rFonts w:ascii="Arial Narrow" w:hAnsi="Arial Narrow"/>
                <w:b/>
                <w:bCs/>
                <w:color w:val="333333"/>
                <w:sz w:val="20"/>
                <w:szCs w:val="20"/>
              </w:rPr>
            </w:pPr>
            <w:r w:rsidRPr="00492B1D">
              <w:rPr>
                <w:rFonts w:ascii="Arial Narrow" w:hAnsi="Arial Narrow"/>
                <w:b/>
                <w:bCs/>
                <w:sz w:val="20"/>
                <w:szCs w:val="20"/>
              </w:rPr>
              <w:t>Clinical criteria:</w:t>
            </w:r>
          </w:p>
        </w:tc>
      </w:tr>
      <w:tr w:rsidR="00E665F1" w:rsidRPr="0071466F" w14:paraId="7E70BBB9" w14:textId="77777777">
        <w:tblPrEx>
          <w:tblCellMar>
            <w:top w:w="15" w:type="dxa"/>
            <w:bottom w:w="15" w:type="dxa"/>
          </w:tblCellMar>
          <w:tblLook w:val="04A0" w:firstRow="1" w:lastRow="0" w:firstColumn="1" w:lastColumn="0" w:noHBand="0" w:noVBand="1"/>
        </w:tblPrEx>
        <w:trPr>
          <w:cantSplit/>
          <w:trHeight w:val="20"/>
        </w:trPr>
        <w:tc>
          <w:tcPr>
            <w:tcW w:w="1271" w:type="dxa"/>
          </w:tcPr>
          <w:p w14:paraId="557B7774" w14:textId="23E2448E"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7CA26E5C" w14:textId="77777777" w:rsidR="00E665F1" w:rsidRPr="0071466F" w:rsidRDefault="00E665F1">
            <w:pPr>
              <w:keepNext/>
              <w:keepLines/>
              <w:rPr>
                <w:rFonts w:ascii="Arial Narrow" w:hAnsi="Arial Narrow"/>
                <w:color w:val="333333"/>
                <w:sz w:val="20"/>
                <w:szCs w:val="20"/>
              </w:rPr>
            </w:pPr>
            <w:r w:rsidRPr="0071466F">
              <w:rPr>
                <w:rFonts w:ascii="Arial Narrow" w:hAnsi="Arial Narrow"/>
                <w:sz w:val="20"/>
                <w:szCs w:val="20"/>
              </w:rPr>
              <w:t xml:space="preserve">The condition must be active </w:t>
            </w:r>
          </w:p>
        </w:tc>
      </w:tr>
      <w:tr w:rsidR="00E665F1" w:rsidRPr="00C87DB4" w14:paraId="17BEF8F2" w14:textId="77777777">
        <w:tblPrEx>
          <w:tblCellMar>
            <w:top w:w="15" w:type="dxa"/>
            <w:bottom w:w="15" w:type="dxa"/>
          </w:tblCellMar>
          <w:tblLook w:val="04A0" w:firstRow="1" w:lastRow="0" w:firstColumn="1" w:lastColumn="0" w:noHBand="0" w:noVBand="1"/>
        </w:tblPrEx>
        <w:trPr>
          <w:cantSplit/>
          <w:trHeight w:val="20"/>
        </w:trPr>
        <w:tc>
          <w:tcPr>
            <w:tcW w:w="1271" w:type="dxa"/>
          </w:tcPr>
          <w:p w14:paraId="45DEB599" w14:textId="77777777"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0BE97F22" w14:textId="77777777" w:rsidR="00E665F1" w:rsidRPr="00C87DB4" w:rsidRDefault="00E665F1">
            <w:pPr>
              <w:keepNext/>
              <w:keepLines/>
              <w:rPr>
                <w:rFonts w:ascii="Arial Narrow" w:hAnsi="Arial Narrow"/>
                <w:b/>
                <w:bCs/>
                <w:color w:val="333333"/>
                <w:sz w:val="20"/>
                <w:szCs w:val="20"/>
              </w:rPr>
            </w:pPr>
            <w:r w:rsidRPr="00C87DB4">
              <w:rPr>
                <w:rFonts w:ascii="Arial Narrow" w:hAnsi="Arial Narrow"/>
                <w:b/>
                <w:bCs/>
                <w:color w:val="333333"/>
                <w:sz w:val="20"/>
                <w:szCs w:val="20"/>
              </w:rPr>
              <w:t>AND</w:t>
            </w:r>
          </w:p>
        </w:tc>
      </w:tr>
      <w:tr w:rsidR="00E665F1" w:rsidRPr="00C87DB4" w14:paraId="7D77D11C" w14:textId="77777777">
        <w:tblPrEx>
          <w:tblCellMar>
            <w:top w:w="15" w:type="dxa"/>
            <w:bottom w:w="15" w:type="dxa"/>
          </w:tblCellMar>
          <w:tblLook w:val="04A0" w:firstRow="1" w:lastRow="0" w:firstColumn="1" w:lastColumn="0" w:noHBand="0" w:noVBand="1"/>
        </w:tblPrEx>
        <w:trPr>
          <w:cantSplit/>
          <w:trHeight w:val="20"/>
        </w:trPr>
        <w:tc>
          <w:tcPr>
            <w:tcW w:w="1271" w:type="dxa"/>
          </w:tcPr>
          <w:p w14:paraId="14611B3B" w14:textId="6A435E46"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6C5E6C90" w14:textId="77777777" w:rsidR="00E665F1" w:rsidRPr="00C87DB4" w:rsidRDefault="00E665F1">
            <w:pPr>
              <w:keepNext/>
              <w:keepLines/>
              <w:rPr>
                <w:rFonts w:ascii="Arial Narrow" w:hAnsi="Arial Narrow"/>
                <w:b/>
                <w:bCs/>
                <w:color w:val="333333"/>
                <w:sz w:val="20"/>
                <w:szCs w:val="20"/>
              </w:rPr>
            </w:pPr>
            <w:r w:rsidRPr="00492B1D">
              <w:rPr>
                <w:rFonts w:ascii="Arial Narrow" w:hAnsi="Arial Narrow"/>
                <w:b/>
                <w:bCs/>
                <w:sz w:val="20"/>
                <w:szCs w:val="20"/>
              </w:rPr>
              <w:t>Clinical criteria:</w:t>
            </w:r>
          </w:p>
        </w:tc>
      </w:tr>
      <w:tr w:rsidR="00E665F1" w:rsidRPr="00C87DB4" w14:paraId="79E339A2" w14:textId="77777777">
        <w:tblPrEx>
          <w:tblCellMar>
            <w:top w:w="15" w:type="dxa"/>
            <w:bottom w:w="15" w:type="dxa"/>
          </w:tblCellMar>
          <w:tblLook w:val="04A0" w:firstRow="1" w:lastRow="0" w:firstColumn="1" w:lastColumn="0" w:noHBand="0" w:noVBand="1"/>
        </w:tblPrEx>
        <w:trPr>
          <w:cantSplit/>
          <w:trHeight w:val="20"/>
        </w:trPr>
        <w:tc>
          <w:tcPr>
            <w:tcW w:w="1271" w:type="dxa"/>
          </w:tcPr>
          <w:p w14:paraId="789E28AA" w14:textId="0FA2C26A"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668AE795" w14:textId="77777777" w:rsidR="00E665F1" w:rsidRPr="00C87DB4" w:rsidRDefault="00E665F1">
            <w:pPr>
              <w:keepNext/>
              <w:keepLines/>
              <w:rPr>
                <w:rFonts w:ascii="Arial Narrow" w:hAnsi="Arial Narrow"/>
                <w:b/>
                <w:bCs/>
                <w:color w:val="333333"/>
                <w:sz w:val="20"/>
                <w:szCs w:val="20"/>
              </w:rPr>
            </w:pPr>
            <w:r w:rsidRPr="00492B1D">
              <w:rPr>
                <w:rFonts w:ascii="Arial Narrow" w:hAnsi="Arial Narrow" w:cs="Arial Narrow"/>
                <w:iCs/>
                <w:sz w:val="20"/>
                <w:szCs w:val="20"/>
              </w:rPr>
              <w:t>Patient must have persistent elevation of mean growth hormone levels of greater than 2.5 micrograms per litre</w:t>
            </w:r>
          </w:p>
        </w:tc>
      </w:tr>
      <w:tr w:rsidR="00E665F1" w:rsidRPr="00C87DB4" w14:paraId="7584D097" w14:textId="77777777">
        <w:tblPrEx>
          <w:tblCellMar>
            <w:top w:w="15" w:type="dxa"/>
            <w:bottom w:w="15" w:type="dxa"/>
          </w:tblCellMar>
          <w:tblLook w:val="04A0" w:firstRow="1" w:lastRow="0" w:firstColumn="1" w:lastColumn="0" w:noHBand="0" w:noVBand="1"/>
        </w:tblPrEx>
        <w:trPr>
          <w:cantSplit/>
          <w:trHeight w:val="20"/>
        </w:trPr>
        <w:tc>
          <w:tcPr>
            <w:tcW w:w="1271" w:type="dxa"/>
          </w:tcPr>
          <w:p w14:paraId="1D26FB62" w14:textId="77777777"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7B869811" w14:textId="77777777" w:rsidR="00E665F1" w:rsidRPr="00C87DB4" w:rsidRDefault="00E665F1">
            <w:pPr>
              <w:keepNext/>
              <w:keepLines/>
              <w:rPr>
                <w:rFonts w:ascii="Arial Narrow" w:hAnsi="Arial Narrow"/>
                <w:b/>
                <w:bCs/>
                <w:color w:val="333333"/>
                <w:sz w:val="20"/>
                <w:szCs w:val="20"/>
              </w:rPr>
            </w:pPr>
            <w:r w:rsidRPr="00E310DC">
              <w:rPr>
                <w:rFonts w:ascii="Arial Narrow" w:hAnsi="Arial Narrow"/>
                <w:b/>
                <w:bCs/>
                <w:sz w:val="20"/>
                <w:szCs w:val="20"/>
              </w:rPr>
              <w:t>AND</w:t>
            </w:r>
          </w:p>
        </w:tc>
      </w:tr>
      <w:tr w:rsidR="00E665F1" w:rsidRPr="00C87DB4" w14:paraId="394A9E33" w14:textId="77777777">
        <w:tblPrEx>
          <w:tblCellMar>
            <w:top w:w="15" w:type="dxa"/>
            <w:bottom w:w="15" w:type="dxa"/>
          </w:tblCellMar>
          <w:tblLook w:val="04A0" w:firstRow="1" w:lastRow="0" w:firstColumn="1" w:lastColumn="0" w:noHBand="0" w:noVBand="1"/>
        </w:tblPrEx>
        <w:trPr>
          <w:cantSplit/>
          <w:trHeight w:val="20"/>
        </w:trPr>
        <w:tc>
          <w:tcPr>
            <w:tcW w:w="1271" w:type="dxa"/>
          </w:tcPr>
          <w:p w14:paraId="034319FC" w14:textId="74092340"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40488607" w14:textId="77777777" w:rsidR="00E665F1" w:rsidRPr="00C87DB4" w:rsidRDefault="00E665F1">
            <w:pPr>
              <w:keepNext/>
              <w:keepLines/>
              <w:rPr>
                <w:rFonts w:ascii="Arial Narrow" w:hAnsi="Arial Narrow"/>
                <w:b/>
                <w:bCs/>
                <w:color w:val="333333"/>
                <w:sz w:val="20"/>
                <w:szCs w:val="20"/>
              </w:rPr>
            </w:pPr>
            <w:r w:rsidRPr="00E310DC">
              <w:rPr>
                <w:rFonts w:ascii="Arial Narrow" w:hAnsi="Arial Narrow"/>
                <w:b/>
                <w:bCs/>
                <w:sz w:val="20"/>
                <w:szCs w:val="20"/>
              </w:rPr>
              <w:t>Clinical criteria:</w:t>
            </w:r>
          </w:p>
        </w:tc>
      </w:tr>
      <w:tr w:rsidR="00E665F1" w:rsidRPr="00C87DB4" w14:paraId="0BD2B897" w14:textId="77777777">
        <w:tblPrEx>
          <w:tblCellMar>
            <w:top w:w="15" w:type="dxa"/>
            <w:bottom w:w="15" w:type="dxa"/>
          </w:tblCellMar>
          <w:tblLook w:val="04A0" w:firstRow="1" w:lastRow="0" w:firstColumn="1" w:lastColumn="0" w:noHBand="0" w:noVBand="1"/>
        </w:tblPrEx>
        <w:trPr>
          <w:cantSplit/>
          <w:trHeight w:val="20"/>
        </w:trPr>
        <w:tc>
          <w:tcPr>
            <w:tcW w:w="1271" w:type="dxa"/>
          </w:tcPr>
          <w:p w14:paraId="7EA3EB55" w14:textId="6C63CF2B"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71880FCA" w14:textId="77777777" w:rsidR="00E665F1" w:rsidRPr="00C87DB4" w:rsidRDefault="00E665F1">
            <w:pPr>
              <w:keepNext/>
              <w:keepLines/>
              <w:rPr>
                <w:rFonts w:ascii="Arial Narrow" w:hAnsi="Arial Narrow"/>
                <w:b/>
                <w:bCs/>
                <w:color w:val="333333"/>
                <w:sz w:val="20"/>
                <w:szCs w:val="20"/>
              </w:rPr>
            </w:pPr>
            <w:r w:rsidRPr="00E310DC">
              <w:rPr>
                <w:rFonts w:ascii="Arial Narrow" w:hAnsi="Arial Narrow"/>
                <w:sz w:val="20"/>
                <w:szCs w:val="20"/>
              </w:rPr>
              <w:t xml:space="preserve">The treatment must be after failure of other therapy including dopamine agonists; or </w:t>
            </w:r>
          </w:p>
        </w:tc>
      </w:tr>
      <w:tr w:rsidR="00E665F1" w:rsidRPr="00C87DB4" w14:paraId="4B68706C" w14:textId="77777777">
        <w:tblPrEx>
          <w:tblCellMar>
            <w:top w:w="15" w:type="dxa"/>
            <w:bottom w:w="15" w:type="dxa"/>
          </w:tblCellMar>
          <w:tblLook w:val="04A0" w:firstRow="1" w:lastRow="0" w:firstColumn="1" w:lastColumn="0" w:noHBand="0" w:noVBand="1"/>
        </w:tblPrEx>
        <w:trPr>
          <w:cantSplit/>
          <w:trHeight w:val="20"/>
        </w:trPr>
        <w:tc>
          <w:tcPr>
            <w:tcW w:w="1271" w:type="dxa"/>
          </w:tcPr>
          <w:p w14:paraId="2E00243E" w14:textId="37291010"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567B1884" w14:textId="77777777" w:rsidR="00E665F1" w:rsidRPr="00C87DB4" w:rsidRDefault="00E665F1">
            <w:pPr>
              <w:keepNext/>
              <w:keepLines/>
              <w:rPr>
                <w:rFonts w:ascii="Arial Narrow" w:hAnsi="Arial Narrow"/>
                <w:b/>
                <w:bCs/>
                <w:color w:val="333333"/>
                <w:sz w:val="20"/>
                <w:szCs w:val="20"/>
              </w:rPr>
            </w:pPr>
            <w:r w:rsidRPr="00E310DC">
              <w:rPr>
                <w:rFonts w:ascii="Arial Narrow" w:hAnsi="Arial Narrow"/>
                <w:sz w:val="20"/>
                <w:szCs w:val="20"/>
              </w:rPr>
              <w:t xml:space="preserve">The treatment must be as interim treatment while awaiting the effects of radiotherapy and where treatment with dopamine agonists has failed; or </w:t>
            </w:r>
          </w:p>
        </w:tc>
      </w:tr>
      <w:tr w:rsidR="00E665F1" w:rsidRPr="00C87DB4" w14:paraId="3FB531CD" w14:textId="77777777">
        <w:tblPrEx>
          <w:tblCellMar>
            <w:top w:w="15" w:type="dxa"/>
            <w:bottom w:w="15" w:type="dxa"/>
          </w:tblCellMar>
          <w:tblLook w:val="04A0" w:firstRow="1" w:lastRow="0" w:firstColumn="1" w:lastColumn="0" w:noHBand="0" w:noVBand="1"/>
        </w:tblPrEx>
        <w:trPr>
          <w:cantSplit/>
          <w:trHeight w:val="20"/>
        </w:trPr>
        <w:tc>
          <w:tcPr>
            <w:tcW w:w="1271" w:type="dxa"/>
          </w:tcPr>
          <w:p w14:paraId="00ADAB5E" w14:textId="58D12499"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2193D73E" w14:textId="77777777" w:rsidR="00E665F1" w:rsidRPr="00C87DB4" w:rsidRDefault="00E665F1">
            <w:pPr>
              <w:keepNext/>
              <w:keepLines/>
              <w:rPr>
                <w:rFonts w:ascii="Arial Narrow" w:hAnsi="Arial Narrow"/>
                <w:b/>
                <w:bCs/>
                <w:color w:val="333333"/>
                <w:sz w:val="20"/>
                <w:szCs w:val="20"/>
              </w:rPr>
            </w:pPr>
            <w:r w:rsidRPr="00E310DC">
              <w:rPr>
                <w:rFonts w:ascii="Arial Narrow" w:hAnsi="Arial Narrow"/>
                <w:sz w:val="20"/>
                <w:szCs w:val="20"/>
              </w:rPr>
              <w:t xml:space="preserve">The treatment must be in a patient who is unfit for or unwilling to undergo surgery and where radiotherapy is contraindicated </w:t>
            </w:r>
          </w:p>
        </w:tc>
      </w:tr>
      <w:tr w:rsidR="00E665F1" w:rsidRPr="00C87DB4" w14:paraId="0E2459DF" w14:textId="77777777">
        <w:tblPrEx>
          <w:tblCellMar>
            <w:top w:w="15" w:type="dxa"/>
            <w:bottom w:w="15" w:type="dxa"/>
          </w:tblCellMar>
          <w:tblLook w:val="04A0" w:firstRow="1" w:lastRow="0" w:firstColumn="1" w:lastColumn="0" w:noHBand="0" w:noVBand="1"/>
        </w:tblPrEx>
        <w:trPr>
          <w:cantSplit/>
          <w:trHeight w:val="20"/>
        </w:trPr>
        <w:tc>
          <w:tcPr>
            <w:tcW w:w="1271" w:type="dxa"/>
          </w:tcPr>
          <w:p w14:paraId="2544675E" w14:textId="77777777"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4C3E53DE" w14:textId="77777777" w:rsidR="00E665F1" w:rsidRPr="00C87DB4" w:rsidRDefault="00E665F1">
            <w:pPr>
              <w:keepNext/>
              <w:keepLines/>
              <w:rPr>
                <w:rFonts w:ascii="Arial Narrow" w:hAnsi="Arial Narrow"/>
                <w:b/>
                <w:bCs/>
                <w:color w:val="333333"/>
                <w:sz w:val="20"/>
                <w:szCs w:val="20"/>
              </w:rPr>
            </w:pPr>
            <w:r w:rsidRPr="00C87DB4">
              <w:rPr>
                <w:rFonts w:ascii="Arial Narrow" w:hAnsi="Arial Narrow"/>
                <w:b/>
                <w:bCs/>
                <w:color w:val="333333"/>
                <w:sz w:val="20"/>
                <w:szCs w:val="20"/>
              </w:rPr>
              <w:t>AND</w:t>
            </w:r>
          </w:p>
        </w:tc>
      </w:tr>
      <w:tr w:rsidR="00E665F1" w:rsidRPr="00C87DB4" w14:paraId="16487632" w14:textId="77777777">
        <w:tblPrEx>
          <w:tblCellMar>
            <w:top w:w="15" w:type="dxa"/>
            <w:bottom w:w="15" w:type="dxa"/>
          </w:tblCellMar>
          <w:tblLook w:val="04A0" w:firstRow="1" w:lastRow="0" w:firstColumn="1" w:lastColumn="0" w:noHBand="0" w:noVBand="1"/>
        </w:tblPrEx>
        <w:trPr>
          <w:cantSplit/>
          <w:trHeight w:val="20"/>
        </w:trPr>
        <w:tc>
          <w:tcPr>
            <w:tcW w:w="1271" w:type="dxa"/>
          </w:tcPr>
          <w:p w14:paraId="23987AE8" w14:textId="4842E940"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2BAFE748" w14:textId="77777777" w:rsidR="00E665F1" w:rsidRPr="00C87DB4" w:rsidRDefault="00E665F1">
            <w:pPr>
              <w:keepNext/>
              <w:keepLines/>
              <w:rPr>
                <w:rFonts w:ascii="Arial Narrow" w:hAnsi="Arial Narrow"/>
                <w:b/>
                <w:bCs/>
                <w:color w:val="333333"/>
                <w:sz w:val="20"/>
                <w:szCs w:val="20"/>
              </w:rPr>
            </w:pPr>
            <w:r w:rsidRPr="0065533A">
              <w:rPr>
                <w:rFonts w:ascii="Arial Narrow" w:hAnsi="Arial Narrow"/>
                <w:b/>
                <w:bCs/>
                <w:sz w:val="20"/>
                <w:szCs w:val="20"/>
              </w:rPr>
              <w:t>Clinical criteria:</w:t>
            </w:r>
          </w:p>
        </w:tc>
      </w:tr>
      <w:tr w:rsidR="00E665F1" w:rsidRPr="00C87DB4" w14:paraId="01D08B9E" w14:textId="77777777">
        <w:tblPrEx>
          <w:tblCellMar>
            <w:top w:w="15" w:type="dxa"/>
            <w:bottom w:w="15" w:type="dxa"/>
          </w:tblCellMar>
          <w:tblLook w:val="04A0" w:firstRow="1" w:lastRow="0" w:firstColumn="1" w:lastColumn="0" w:noHBand="0" w:noVBand="1"/>
        </w:tblPrEx>
        <w:trPr>
          <w:cantSplit/>
          <w:trHeight w:val="20"/>
        </w:trPr>
        <w:tc>
          <w:tcPr>
            <w:tcW w:w="1271" w:type="dxa"/>
          </w:tcPr>
          <w:p w14:paraId="74EB291D" w14:textId="27295373"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7C952C47" w14:textId="77777777" w:rsidR="00E665F1" w:rsidRPr="00C87DB4" w:rsidRDefault="00E665F1">
            <w:pPr>
              <w:keepNext/>
              <w:keepLines/>
              <w:rPr>
                <w:rFonts w:ascii="Arial Narrow" w:hAnsi="Arial Narrow"/>
                <w:b/>
                <w:bCs/>
                <w:color w:val="333333"/>
                <w:sz w:val="20"/>
                <w:szCs w:val="20"/>
              </w:rPr>
            </w:pPr>
            <w:r w:rsidRPr="0065533A">
              <w:rPr>
                <w:rFonts w:ascii="Arial Narrow" w:hAnsi="Arial Narrow"/>
                <w:sz w:val="20"/>
                <w:szCs w:val="20"/>
              </w:rPr>
              <w:t>The treatment must cease in a patient treated with radiotherapy if there is biochemical evidence of remission (normal IGF1) after lanreotide has been withdrawn for at least 4 weeks (8 weeks after the last dose)</w:t>
            </w:r>
          </w:p>
        </w:tc>
      </w:tr>
      <w:tr w:rsidR="00E665F1" w:rsidRPr="00C87DB4" w14:paraId="1C9DDD53" w14:textId="77777777">
        <w:tblPrEx>
          <w:tblCellMar>
            <w:top w:w="15" w:type="dxa"/>
            <w:bottom w:w="15" w:type="dxa"/>
          </w:tblCellMar>
          <w:tblLook w:val="04A0" w:firstRow="1" w:lastRow="0" w:firstColumn="1" w:lastColumn="0" w:noHBand="0" w:noVBand="1"/>
        </w:tblPrEx>
        <w:trPr>
          <w:cantSplit/>
          <w:trHeight w:val="20"/>
        </w:trPr>
        <w:tc>
          <w:tcPr>
            <w:tcW w:w="1271" w:type="dxa"/>
          </w:tcPr>
          <w:p w14:paraId="3888EE90" w14:textId="77777777"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7834CCB3" w14:textId="77777777" w:rsidR="00E665F1" w:rsidRPr="00C87DB4" w:rsidRDefault="00E665F1">
            <w:pPr>
              <w:keepNext/>
              <w:keepLines/>
              <w:rPr>
                <w:rFonts w:ascii="Arial Narrow" w:hAnsi="Arial Narrow"/>
                <w:b/>
                <w:bCs/>
                <w:color w:val="333333"/>
                <w:sz w:val="20"/>
                <w:szCs w:val="20"/>
              </w:rPr>
            </w:pPr>
            <w:r w:rsidRPr="00C87DB4">
              <w:rPr>
                <w:rFonts w:ascii="Arial Narrow" w:hAnsi="Arial Narrow"/>
                <w:b/>
                <w:bCs/>
                <w:color w:val="333333"/>
                <w:sz w:val="20"/>
                <w:szCs w:val="20"/>
              </w:rPr>
              <w:t>AND</w:t>
            </w:r>
          </w:p>
        </w:tc>
      </w:tr>
      <w:tr w:rsidR="00E665F1" w:rsidRPr="00C87DB4" w14:paraId="258B1F71" w14:textId="77777777">
        <w:tblPrEx>
          <w:tblCellMar>
            <w:top w:w="15" w:type="dxa"/>
            <w:bottom w:w="15" w:type="dxa"/>
          </w:tblCellMar>
          <w:tblLook w:val="04A0" w:firstRow="1" w:lastRow="0" w:firstColumn="1" w:lastColumn="0" w:noHBand="0" w:noVBand="1"/>
        </w:tblPrEx>
        <w:trPr>
          <w:cantSplit/>
          <w:trHeight w:val="20"/>
        </w:trPr>
        <w:tc>
          <w:tcPr>
            <w:tcW w:w="1271" w:type="dxa"/>
          </w:tcPr>
          <w:p w14:paraId="6F407B03" w14:textId="379FDF94"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17BC1555" w14:textId="77777777" w:rsidR="00E665F1" w:rsidRPr="00C87DB4" w:rsidRDefault="00E665F1">
            <w:pPr>
              <w:keepNext/>
              <w:keepLines/>
              <w:rPr>
                <w:rFonts w:ascii="Arial Narrow" w:hAnsi="Arial Narrow"/>
                <w:b/>
                <w:bCs/>
                <w:color w:val="333333"/>
                <w:sz w:val="20"/>
                <w:szCs w:val="20"/>
              </w:rPr>
            </w:pPr>
            <w:r w:rsidRPr="00DF6B1E">
              <w:rPr>
                <w:rFonts w:ascii="Arial Narrow" w:hAnsi="Arial Narrow"/>
                <w:b/>
                <w:bCs/>
                <w:sz w:val="20"/>
                <w:szCs w:val="20"/>
              </w:rPr>
              <w:t>Clinical criteria:</w:t>
            </w:r>
          </w:p>
        </w:tc>
      </w:tr>
      <w:tr w:rsidR="00E665F1" w:rsidRPr="00C87DB4" w14:paraId="357F9080" w14:textId="77777777">
        <w:tblPrEx>
          <w:tblCellMar>
            <w:top w:w="15" w:type="dxa"/>
            <w:bottom w:w="15" w:type="dxa"/>
          </w:tblCellMar>
          <w:tblLook w:val="04A0" w:firstRow="1" w:lastRow="0" w:firstColumn="1" w:lastColumn="0" w:noHBand="0" w:noVBand="1"/>
        </w:tblPrEx>
        <w:trPr>
          <w:cantSplit/>
          <w:trHeight w:val="20"/>
        </w:trPr>
        <w:tc>
          <w:tcPr>
            <w:tcW w:w="1271" w:type="dxa"/>
          </w:tcPr>
          <w:p w14:paraId="6542096A" w14:textId="0F5FF165"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31701FC5" w14:textId="77777777" w:rsidR="00E665F1" w:rsidRPr="00C87DB4" w:rsidRDefault="00E665F1">
            <w:pPr>
              <w:keepNext/>
              <w:keepLines/>
              <w:rPr>
                <w:rFonts w:ascii="Arial Narrow" w:hAnsi="Arial Narrow"/>
                <w:b/>
                <w:bCs/>
                <w:color w:val="333333"/>
                <w:sz w:val="20"/>
                <w:szCs w:val="20"/>
              </w:rPr>
            </w:pPr>
            <w:r w:rsidRPr="00DF6B1E">
              <w:rPr>
                <w:rFonts w:ascii="Arial Narrow" w:hAnsi="Arial Narrow"/>
                <w:sz w:val="20"/>
                <w:szCs w:val="20"/>
              </w:rPr>
              <w:t xml:space="preserve">The treatment must cease if IGF1 is not lower after 3 months of treatment </w:t>
            </w:r>
          </w:p>
        </w:tc>
      </w:tr>
      <w:tr w:rsidR="00E665F1" w:rsidRPr="00C87DB4" w14:paraId="4005C752" w14:textId="77777777">
        <w:tblPrEx>
          <w:tblCellMar>
            <w:top w:w="15" w:type="dxa"/>
            <w:bottom w:w="15" w:type="dxa"/>
          </w:tblCellMar>
          <w:tblLook w:val="04A0" w:firstRow="1" w:lastRow="0" w:firstColumn="1" w:lastColumn="0" w:noHBand="0" w:noVBand="1"/>
        </w:tblPrEx>
        <w:trPr>
          <w:cantSplit/>
          <w:trHeight w:val="20"/>
        </w:trPr>
        <w:tc>
          <w:tcPr>
            <w:tcW w:w="1271" w:type="dxa"/>
          </w:tcPr>
          <w:p w14:paraId="79D7405C" w14:textId="77777777"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51CCFCA9" w14:textId="77777777" w:rsidR="00E665F1" w:rsidRPr="00C87DB4" w:rsidRDefault="00E665F1">
            <w:pPr>
              <w:keepNext/>
              <w:keepLines/>
              <w:rPr>
                <w:rFonts w:ascii="Arial Narrow" w:hAnsi="Arial Narrow"/>
                <w:b/>
                <w:bCs/>
                <w:color w:val="333333"/>
                <w:sz w:val="20"/>
                <w:szCs w:val="20"/>
              </w:rPr>
            </w:pPr>
            <w:r w:rsidRPr="00C87DB4">
              <w:rPr>
                <w:rFonts w:ascii="Arial Narrow" w:hAnsi="Arial Narrow"/>
                <w:b/>
                <w:bCs/>
                <w:color w:val="333333"/>
                <w:sz w:val="20"/>
                <w:szCs w:val="20"/>
              </w:rPr>
              <w:t>AND</w:t>
            </w:r>
          </w:p>
        </w:tc>
      </w:tr>
      <w:tr w:rsidR="00E665F1" w:rsidRPr="00C87DB4" w14:paraId="777F9FE4" w14:textId="77777777">
        <w:tblPrEx>
          <w:tblCellMar>
            <w:top w:w="15" w:type="dxa"/>
            <w:bottom w:w="15" w:type="dxa"/>
          </w:tblCellMar>
          <w:tblLook w:val="04A0" w:firstRow="1" w:lastRow="0" w:firstColumn="1" w:lastColumn="0" w:noHBand="0" w:noVBand="1"/>
        </w:tblPrEx>
        <w:trPr>
          <w:cantSplit/>
          <w:trHeight w:val="20"/>
        </w:trPr>
        <w:tc>
          <w:tcPr>
            <w:tcW w:w="1271" w:type="dxa"/>
          </w:tcPr>
          <w:p w14:paraId="38BC6C28" w14:textId="53ECF4A2"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2F8E0C6E" w14:textId="77777777" w:rsidR="00E665F1" w:rsidRPr="00C87DB4" w:rsidRDefault="00E665F1">
            <w:pPr>
              <w:keepNext/>
              <w:keepLines/>
              <w:rPr>
                <w:rFonts w:ascii="Arial Narrow" w:hAnsi="Arial Narrow"/>
                <w:b/>
                <w:bCs/>
                <w:color w:val="333333"/>
                <w:sz w:val="20"/>
                <w:szCs w:val="20"/>
              </w:rPr>
            </w:pPr>
            <w:r w:rsidRPr="005E4C7F">
              <w:rPr>
                <w:rFonts w:ascii="Arial Narrow" w:hAnsi="Arial Narrow"/>
                <w:b/>
                <w:bCs/>
                <w:sz w:val="20"/>
                <w:szCs w:val="20"/>
              </w:rPr>
              <w:t>Clinical criteria:</w:t>
            </w:r>
          </w:p>
        </w:tc>
      </w:tr>
      <w:tr w:rsidR="00E665F1" w:rsidRPr="00C87DB4" w14:paraId="024EDC18" w14:textId="77777777">
        <w:tblPrEx>
          <w:tblCellMar>
            <w:top w:w="15" w:type="dxa"/>
            <w:bottom w:w="15" w:type="dxa"/>
          </w:tblCellMar>
          <w:tblLook w:val="04A0" w:firstRow="1" w:lastRow="0" w:firstColumn="1" w:lastColumn="0" w:noHBand="0" w:noVBand="1"/>
        </w:tblPrEx>
        <w:trPr>
          <w:cantSplit/>
          <w:trHeight w:val="20"/>
        </w:trPr>
        <w:tc>
          <w:tcPr>
            <w:tcW w:w="1271" w:type="dxa"/>
          </w:tcPr>
          <w:p w14:paraId="7625D60D" w14:textId="2374E7DA"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2491A40A" w14:textId="77777777" w:rsidR="00E665F1" w:rsidRPr="00C87DB4" w:rsidRDefault="00E665F1">
            <w:pPr>
              <w:keepNext/>
              <w:keepLines/>
              <w:rPr>
                <w:rFonts w:ascii="Arial Narrow" w:hAnsi="Arial Narrow"/>
                <w:b/>
                <w:bCs/>
                <w:color w:val="333333"/>
                <w:sz w:val="20"/>
                <w:szCs w:val="20"/>
              </w:rPr>
            </w:pPr>
            <w:r w:rsidRPr="005E4C7F">
              <w:rPr>
                <w:rFonts w:ascii="Arial Narrow" w:hAnsi="Arial Narrow"/>
                <w:sz w:val="20"/>
                <w:szCs w:val="20"/>
              </w:rPr>
              <w:t>The treatment must not be given concomitantly with PBS-subsidised pegvisomant</w:t>
            </w:r>
          </w:p>
        </w:tc>
      </w:tr>
      <w:tr w:rsidR="00E665F1" w:rsidRPr="00C87DB4" w14:paraId="74D0CEEC" w14:textId="77777777">
        <w:tblPrEx>
          <w:tblCellMar>
            <w:top w:w="15" w:type="dxa"/>
            <w:bottom w:w="15" w:type="dxa"/>
          </w:tblCellMar>
          <w:tblLook w:val="04A0" w:firstRow="1" w:lastRow="0" w:firstColumn="1" w:lastColumn="0" w:noHBand="0" w:noVBand="1"/>
        </w:tblPrEx>
        <w:trPr>
          <w:cantSplit/>
          <w:trHeight w:val="20"/>
        </w:trPr>
        <w:tc>
          <w:tcPr>
            <w:tcW w:w="1271" w:type="dxa"/>
          </w:tcPr>
          <w:p w14:paraId="265E2AA2" w14:textId="77777777"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05965F40" w14:textId="77777777" w:rsidR="00E665F1" w:rsidRPr="00C87DB4" w:rsidRDefault="00E665F1">
            <w:pPr>
              <w:keepNext/>
              <w:keepLines/>
              <w:rPr>
                <w:rFonts w:ascii="Arial Narrow" w:hAnsi="Arial Narrow"/>
                <w:b/>
                <w:bCs/>
                <w:color w:val="333333"/>
                <w:sz w:val="20"/>
                <w:szCs w:val="20"/>
              </w:rPr>
            </w:pPr>
          </w:p>
        </w:tc>
      </w:tr>
      <w:tr w:rsidR="00E665F1" w:rsidRPr="00C87DB4" w14:paraId="4C6C633C" w14:textId="77777777">
        <w:tblPrEx>
          <w:tblCellMar>
            <w:top w:w="15" w:type="dxa"/>
            <w:bottom w:w="15" w:type="dxa"/>
          </w:tblCellMar>
          <w:tblLook w:val="04A0" w:firstRow="1" w:lastRow="0" w:firstColumn="1" w:lastColumn="0" w:noHBand="0" w:noVBand="1"/>
        </w:tblPrEx>
        <w:trPr>
          <w:cantSplit/>
          <w:trHeight w:val="20"/>
        </w:trPr>
        <w:tc>
          <w:tcPr>
            <w:tcW w:w="1271" w:type="dxa"/>
          </w:tcPr>
          <w:p w14:paraId="099F282D" w14:textId="0AA22F97" w:rsidR="00E665F1" w:rsidRPr="00C87DB4" w:rsidRDefault="00E665F1">
            <w:pPr>
              <w:keepNext/>
              <w:keepLines/>
              <w:jc w:val="center"/>
              <w:rPr>
                <w:rFonts w:ascii="Arial Narrow" w:hAnsi="Arial Narrow"/>
                <w:b/>
                <w:bCs/>
                <w:color w:val="333333"/>
                <w:sz w:val="20"/>
                <w:szCs w:val="20"/>
              </w:rPr>
            </w:pPr>
          </w:p>
        </w:tc>
        <w:tc>
          <w:tcPr>
            <w:tcW w:w="7745" w:type="dxa"/>
            <w:gridSpan w:val="6"/>
            <w:vAlign w:val="center"/>
          </w:tcPr>
          <w:p w14:paraId="39D50450" w14:textId="77777777" w:rsidR="00E665F1" w:rsidRPr="00C87DB4" w:rsidRDefault="00E665F1">
            <w:pPr>
              <w:rPr>
                <w:rFonts w:ascii="Arial Narrow" w:hAnsi="Arial Narrow"/>
                <w:sz w:val="20"/>
                <w:szCs w:val="20"/>
              </w:rPr>
            </w:pPr>
            <w:r w:rsidRPr="00C87DB4">
              <w:rPr>
                <w:rFonts w:ascii="Arial Narrow" w:hAnsi="Arial Narrow"/>
                <w:b/>
                <w:bCs/>
                <w:color w:val="333333"/>
                <w:sz w:val="20"/>
                <w:szCs w:val="20"/>
              </w:rPr>
              <w:t xml:space="preserve">Prescribing Instructions: </w:t>
            </w:r>
          </w:p>
          <w:p w14:paraId="3C135338" w14:textId="77777777" w:rsidR="00E665F1" w:rsidRPr="00C87DB4" w:rsidRDefault="00E665F1">
            <w:pPr>
              <w:keepNext/>
              <w:keepLines/>
              <w:rPr>
                <w:rFonts w:ascii="Arial Narrow" w:hAnsi="Arial Narrow"/>
                <w:b/>
                <w:bCs/>
                <w:color w:val="333333"/>
                <w:sz w:val="20"/>
                <w:szCs w:val="20"/>
              </w:rPr>
            </w:pPr>
            <w:r>
              <w:rPr>
                <w:rFonts w:ascii="Arial Narrow" w:hAnsi="Arial Narrow"/>
                <w:sz w:val="20"/>
                <w:szCs w:val="20"/>
              </w:rPr>
              <w:t>In a patient treated with radiotherapy, lanreotide should be withdrawn every 2 years in the 10 years after radiotherapy for assessment of remission</w:t>
            </w:r>
          </w:p>
        </w:tc>
      </w:tr>
      <w:tr w:rsidR="00E665F1" w:rsidRPr="00C87DB4" w14:paraId="138DF09F" w14:textId="77777777">
        <w:tblPrEx>
          <w:tblCellMar>
            <w:top w:w="15" w:type="dxa"/>
            <w:bottom w:w="15" w:type="dxa"/>
          </w:tblCellMar>
          <w:tblLook w:val="04A0" w:firstRow="1" w:lastRow="0" w:firstColumn="1" w:lastColumn="0" w:noHBand="0" w:noVBand="1"/>
        </w:tblPrEx>
        <w:trPr>
          <w:cantSplit/>
          <w:trHeight w:val="20"/>
        </w:trPr>
        <w:tc>
          <w:tcPr>
            <w:tcW w:w="9016" w:type="dxa"/>
            <w:gridSpan w:val="7"/>
          </w:tcPr>
          <w:p w14:paraId="7527D11B" w14:textId="77777777" w:rsidR="00E665F1" w:rsidRPr="00C87DB4" w:rsidRDefault="00E665F1">
            <w:pPr>
              <w:keepNext/>
              <w:keepLines/>
              <w:rPr>
                <w:rFonts w:ascii="Arial Narrow" w:hAnsi="Arial Narrow"/>
                <w:b/>
                <w:bCs/>
                <w:color w:val="333333"/>
                <w:sz w:val="20"/>
                <w:szCs w:val="20"/>
              </w:rPr>
            </w:pPr>
          </w:p>
        </w:tc>
      </w:tr>
      <w:tr w:rsidR="00E665F1" w:rsidRPr="00C87DB4" w14:paraId="1A95D359" w14:textId="77777777">
        <w:tblPrEx>
          <w:tblCellMar>
            <w:top w:w="15" w:type="dxa"/>
            <w:bottom w:w="15" w:type="dxa"/>
          </w:tblCellMar>
          <w:tblLook w:val="04A0" w:firstRow="1" w:lastRow="0" w:firstColumn="1" w:lastColumn="0" w:noHBand="0" w:noVBand="1"/>
        </w:tblPrEx>
        <w:trPr>
          <w:cantSplit/>
          <w:trHeight w:val="20"/>
        </w:trPr>
        <w:tc>
          <w:tcPr>
            <w:tcW w:w="9016" w:type="dxa"/>
            <w:gridSpan w:val="7"/>
          </w:tcPr>
          <w:p w14:paraId="4754C852" w14:textId="77777777" w:rsidR="00E665F1" w:rsidRPr="00C87DB4" w:rsidRDefault="00E665F1">
            <w:pPr>
              <w:keepNext/>
              <w:keepLines/>
              <w:rPr>
                <w:rFonts w:ascii="Arial Narrow" w:hAnsi="Arial Narrow"/>
                <w:b/>
                <w:bCs/>
                <w:color w:val="333333"/>
                <w:sz w:val="20"/>
                <w:szCs w:val="20"/>
              </w:rPr>
            </w:pPr>
          </w:p>
        </w:tc>
      </w:tr>
      <w:tr w:rsidR="00E665F1" w:rsidRPr="00092B5B" w14:paraId="7DFA5425" w14:textId="77777777" w:rsidTr="005179A3">
        <w:tblPrEx>
          <w:tblCellMar>
            <w:top w:w="15" w:type="dxa"/>
            <w:bottom w:w="15" w:type="dxa"/>
          </w:tblCellMar>
        </w:tblPrEx>
        <w:trPr>
          <w:cantSplit/>
          <w:trHeight w:val="20"/>
        </w:trPr>
        <w:tc>
          <w:tcPr>
            <w:tcW w:w="1271" w:type="dxa"/>
          </w:tcPr>
          <w:p w14:paraId="20E4069D" w14:textId="214D0C46" w:rsidR="00E665F1" w:rsidRPr="00092B5B" w:rsidRDefault="00E665F1">
            <w:pPr>
              <w:jc w:val="center"/>
              <w:rPr>
                <w:rFonts w:ascii="Arial Narrow" w:hAnsi="Arial Narrow"/>
                <w:sz w:val="20"/>
                <w:szCs w:val="20"/>
              </w:rPr>
            </w:pPr>
          </w:p>
        </w:tc>
        <w:tc>
          <w:tcPr>
            <w:tcW w:w="7745" w:type="dxa"/>
            <w:gridSpan w:val="6"/>
            <w:vAlign w:val="center"/>
            <w:hideMark/>
          </w:tcPr>
          <w:p w14:paraId="66DE6CA1" w14:textId="77777777" w:rsidR="00E665F1" w:rsidRPr="00092B5B" w:rsidRDefault="00E665F1">
            <w:pPr>
              <w:rPr>
                <w:rFonts w:ascii="Arial Narrow" w:hAnsi="Arial Narrow"/>
                <w:sz w:val="20"/>
                <w:szCs w:val="20"/>
              </w:rPr>
            </w:pPr>
            <w:r w:rsidRPr="00092B5B">
              <w:rPr>
                <w:rFonts w:ascii="Arial Narrow" w:hAnsi="Arial Narrow"/>
                <w:b/>
                <w:bCs/>
                <w:sz w:val="20"/>
                <w:szCs w:val="20"/>
              </w:rPr>
              <w:t>Indication:</w:t>
            </w:r>
            <w:r w:rsidRPr="00092B5B">
              <w:rPr>
                <w:rFonts w:ascii="Arial Narrow" w:hAnsi="Arial Narrow"/>
                <w:sz w:val="20"/>
                <w:szCs w:val="20"/>
              </w:rPr>
              <w:t xml:space="preserve"> Functional carcinoid tumour</w:t>
            </w:r>
          </w:p>
        </w:tc>
      </w:tr>
      <w:tr w:rsidR="00E665F1" w:rsidRPr="00092B5B" w14:paraId="1E629BF2" w14:textId="77777777">
        <w:tblPrEx>
          <w:tblCellMar>
            <w:top w:w="15" w:type="dxa"/>
            <w:bottom w:w="15" w:type="dxa"/>
          </w:tblCellMar>
          <w:tblLook w:val="04A0" w:firstRow="1" w:lastRow="0" w:firstColumn="1" w:lastColumn="0" w:noHBand="0" w:noVBand="1"/>
        </w:tblPrEx>
        <w:trPr>
          <w:cantSplit/>
          <w:trHeight w:val="20"/>
        </w:trPr>
        <w:tc>
          <w:tcPr>
            <w:tcW w:w="1271" w:type="dxa"/>
          </w:tcPr>
          <w:p w14:paraId="077B12B8" w14:textId="77777777" w:rsidR="00E665F1" w:rsidRPr="00092B5B" w:rsidRDefault="00E665F1">
            <w:pPr>
              <w:jc w:val="center"/>
              <w:rPr>
                <w:rFonts w:ascii="Arial Narrow" w:hAnsi="Arial Narrow"/>
                <w:sz w:val="20"/>
                <w:szCs w:val="20"/>
              </w:rPr>
            </w:pPr>
          </w:p>
        </w:tc>
        <w:tc>
          <w:tcPr>
            <w:tcW w:w="7745" w:type="dxa"/>
            <w:gridSpan w:val="6"/>
            <w:vAlign w:val="center"/>
          </w:tcPr>
          <w:p w14:paraId="1789D950" w14:textId="77777777" w:rsidR="00E665F1" w:rsidRPr="00092B5B" w:rsidRDefault="00E665F1">
            <w:pPr>
              <w:rPr>
                <w:rFonts w:ascii="Arial Narrow" w:hAnsi="Arial Narrow"/>
                <w:b/>
                <w:bCs/>
                <w:sz w:val="20"/>
                <w:szCs w:val="20"/>
              </w:rPr>
            </w:pPr>
            <w:r>
              <w:rPr>
                <w:rFonts w:ascii="Arial Narrow" w:hAnsi="Arial Narrow"/>
                <w:b/>
                <w:bCs/>
                <w:sz w:val="20"/>
                <w:szCs w:val="20"/>
              </w:rPr>
              <w:t xml:space="preserve">Treatment Phase: </w:t>
            </w:r>
            <w:r w:rsidRPr="00297ACD">
              <w:rPr>
                <w:rFonts w:ascii="Arial Narrow" w:hAnsi="Arial Narrow"/>
                <w:sz w:val="20"/>
                <w:szCs w:val="20"/>
              </w:rPr>
              <w:t>Initial treatment</w:t>
            </w:r>
          </w:p>
        </w:tc>
      </w:tr>
      <w:tr w:rsidR="00E665F1" w:rsidRPr="00092B5B" w14:paraId="494D53EC" w14:textId="77777777">
        <w:tblPrEx>
          <w:tblCellMar>
            <w:top w:w="15" w:type="dxa"/>
            <w:bottom w:w="15" w:type="dxa"/>
          </w:tblCellMar>
          <w:tblLook w:val="04A0" w:firstRow="1" w:lastRow="0" w:firstColumn="1" w:lastColumn="0" w:noHBand="0" w:noVBand="1"/>
        </w:tblPrEx>
        <w:trPr>
          <w:cantSplit/>
          <w:trHeight w:val="20"/>
        </w:trPr>
        <w:tc>
          <w:tcPr>
            <w:tcW w:w="1271" w:type="dxa"/>
          </w:tcPr>
          <w:p w14:paraId="48054A23" w14:textId="5F701E3F" w:rsidR="00E665F1" w:rsidRPr="00092B5B" w:rsidRDefault="00E665F1">
            <w:pPr>
              <w:jc w:val="center"/>
              <w:rPr>
                <w:rFonts w:ascii="Arial Narrow" w:hAnsi="Arial Narrow"/>
                <w:sz w:val="20"/>
                <w:szCs w:val="20"/>
              </w:rPr>
            </w:pPr>
          </w:p>
        </w:tc>
        <w:tc>
          <w:tcPr>
            <w:tcW w:w="7745" w:type="dxa"/>
            <w:gridSpan w:val="6"/>
            <w:vAlign w:val="center"/>
          </w:tcPr>
          <w:p w14:paraId="0DF9F589" w14:textId="77777777" w:rsidR="00E665F1" w:rsidRPr="00092B5B" w:rsidRDefault="00E665F1">
            <w:pPr>
              <w:rPr>
                <w:rFonts w:ascii="Arial Narrow" w:hAnsi="Arial Narrow"/>
                <w:b/>
                <w:bCs/>
                <w:sz w:val="20"/>
                <w:szCs w:val="20"/>
              </w:rPr>
            </w:pPr>
            <w:r>
              <w:rPr>
                <w:rFonts w:ascii="Arial Narrow" w:hAnsi="Arial Narrow"/>
                <w:b/>
                <w:bCs/>
                <w:sz w:val="20"/>
                <w:szCs w:val="20"/>
              </w:rPr>
              <w:t>Treatment Criteria:</w:t>
            </w:r>
          </w:p>
        </w:tc>
      </w:tr>
      <w:tr w:rsidR="00E665F1" w:rsidRPr="00092B5B" w14:paraId="49E0A0E8" w14:textId="77777777">
        <w:tblPrEx>
          <w:tblCellMar>
            <w:top w:w="15" w:type="dxa"/>
            <w:bottom w:w="15" w:type="dxa"/>
          </w:tblCellMar>
          <w:tblLook w:val="04A0" w:firstRow="1" w:lastRow="0" w:firstColumn="1" w:lastColumn="0" w:noHBand="0" w:noVBand="1"/>
        </w:tblPrEx>
        <w:trPr>
          <w:cantSplit/>
          <w:trHeight w:val="20"/>
        </w:trPr>
        <w:tc>
          <w:tcPr>
            <w:tcW w:w="1271" w:type="dxa"/>
          </w:tcPr>
          <w:p w14:paraId="369965B1" w14:textId="03B1D899" w:rsidR="00E665F1" w:rsidRPr="00092B5B" w:rsidRDefault="00E665F1">
            <w:pPr>
              <w:jc w:val="center"/>
              <w:rPr>
                <w:rFonts w:ascii="Arial Narrow" w:hAnsi="Arial Narrow"/>
                <w:sz w:val="20"/>
                <w:szCs w:val="20"/>
              </w:rPr>
            </w:pPr>
          </w:p>
        </w:tc>
        <w:tc>
          <w:tcPr>
            <w:tcW w:w="7745" w:type="dxa"/>
            <w:gridSpan w:val="6"/>
            <w:vAlign w:val="center"/>
          </w:tcPr>
          <w:p w14:paraId="35DF12CA" w14:textId="77777777" w:rsidR="00E665F1" w:rsidRPr="00092B5B" w:rsidRDefault="00E665F1">
            <w:pPr>
              <w:rPr>
                <w:rFonts w:ascii="Arial Narrow" w:hAnsi="Arial Narrow"/>
                <w:b/>
                <w:bCs/>
                <w:sz w:val="20"/>
                <w:szCs w:val="20"/>
              </w:rPr>
            </w:pPr>
            <w:r>
              <w:rPr>
                <w:rFonts w:ascii="Arial Narrow" w:hAnsi="Arial Narrow"/>
                <w:sz w:val="20"/>
                <w:szCs w:val="20"/>
              </w:rPr>
              <w:t xml:space="preserve">Must be treated by a specialist practicing in a hospital who is either: (i) an endocrinologist, (ii) an oncologist; or </w:t>
            </w:r>
          </w:p>
        </w:tc>
      </w:tr>
      <w:tr w:rsidR="00E665F1" w:rsidRPr="00092B5B" w14:paraId="03A94B36" w14:textId="77777777">
        <w:tblPrEx>
          <w:tblCellMar>
            <w:top w:w="15" w:type="dxa"/>
            <w:bottom w:w="15" w:type="dxa"/>
          </w:tblCellMar>
          <w:tblLook w:val="04A0" w:firstRow="1" w:lastRow="0" w:firstColumn="1" w:lastColumn="0" w:noHBand="0" w:noVBand="1"/>
        </w:tblPrEx>
        <w:trPr>
          <w:cantSplit/>
          <w:trHeight w:val="20"/>
        </w:trPr>
        <w:tc>
          <w:tcPr>
            <w:tcW w:w="1271" w:type="dxa"/>
          </w:tcPr>
          <w:p w14:paraId="4989AFBC" w14:textId="31C26600" w:rsidR="00E665F1" w:rsidRPr="00092B5B" w:rsidRDefault="00E665F1">
            <w:pPr>
              <w:jc w:val="center"/>
              <w:rPr>
                <w:rFonts w:ascii="Arial Narrow" w:hAnsi="Arial Narrow"/>
                <w:sz w:val="20"/>
                <w:szCs w:val="20"/>
              </w:rPr>
            </w:pPr>
          </w:p>
        </w:tc>
        <w:tc>
          <w:tcPr>
            <w:tcW w:w="7745" w:type="dxa"/>
            <w:gridSpan w:val="6"/>
            <w:vAlign w:val="center"/>
          </w:tcPr>
          <w:p w14:paraId="422795C4" w14:textId="77777777" w:rsidR="00E665F1" w:rsidRPr="00092B5B" w:rsidRDefault="00E665F1">
            <w:pPr>
              <w:rPr>
                <w:rFonts w:ascii="Arial Narrow" w:hAnsi="Arial Narrow"/>
                <w:b/>
                <w:bCs/>
                <w:sz w:val="20"/>
                <w:szCs w:val="20"/>
              </w:rPr>
            </w:pPr>
            <w:r>
              <w:rPr>
                <w:rFonts w:ascii="Arial Narrow" w:hAnsi="Arial Narrow"/>
                <w:sz w:val="20"/>
                <w:szCs w:val="20"/>
              </w:rPr>
              <w:t>Must be treated by a medical practitioner working under the direct supervision of one of the above mentioned specialist types within a hospital setting</w:t>
            </w:r>
          </w:p>
        </w:tc>
      </w:tr>
      <w:tr w:rsidR="00E665F1" w:rsidRPr="00092B5B" w14:paraId="64DF8DAA" w14:textId="77777777">
        <w:tblPrEx>
          <w:tblCellMar>
            <w:top w:w="15" w:type="dxa"/>
            <w:bottom w:w="15" w:type="dxa"/>
          </w:tblCellMar>
          <w:tblLook w:val="04A0" w:firstRow="1" w:lastRow="0" w:firstColumn="1" w:lastColumn="0" w:noHBand="0" w:noVBand="1"/>
        </w:tblPrEx>
        <w:trPr>
          <w:cantSplit/>
          <w:trHeight w:val="20"/>
        </w:trPr>
        <w:tc>
          <w:tcPr>
            <w:tcW w:w="1271" w:type="dxa"/>
          </w:tcPr>
          <w:p w14:paraId="10B70347" w14:textId="77777777" w:rsidR="00E665F1" w:rsidRPr="00092B5B" w:rsidRDefault="00E665F1">
            <w:pPr>
              <w:jc w:val="center"/>
              <w:rPr>
                <w:rFonts w:ascii="Arial Narrow" w:hAnsi="Arial Narrow"/>
                <w:sz w:val="20"/>
                <w:szCs w:val="20"/>
              </w:rPr>
            </w:pPr>
          </w:p>
        </w:tc>
        <w:tc>
          <w:tcPr>
            <w:tcW w:w="7745" w:type="dxa"/>
            <w:gridSpan w:val="6"/>
            <w:vAlign w:val="center"/>
          </w:tcPr>
          <w:p w14:paraId="58057828" w14:textId="77777777" w:rsidR="00E665F1" w:rsidRPr="00092B5B" w:rsidRDefault="00E665F1">
            <w:pPr>
              <w:rPr>
                <w:rFonts w:ascii="Arial Narrow" w:hAnsi="Arial Narrow"/>
                <w:b/>
                <w:bCs/>
                <w:sz w:val="20"/>
                <w:szCs w:val="20"/>
              </w:rPr>
            </w:pPr>
            <w:r w:rsidRPr="00C87DB4">
              <w:rPr>
                <w:rFonts w:ascii="Arial Narrow" w:hAnsi="Arial Narrow"/>
                <w:b/>
                <w:bCs/>
                <w:color w:val="333333"/>
                <w:sz w:val="20"/>
                <w:szCs w:val="20"/>
              </w:rPr>
              <w:t>AND</w:t>
            </w:r>
          </w:p>
        </w:tc>
      </w:tr>
      <w:tr w:rsidR="00E665F1" w:rsidRPr="00821BDD" w14:paraId="7A3024BC" w14:textId="77777777">
        <w:tblPrEx>
          <w:tblCellMar>
            <w:top w:w="15" w:type="dxa"/>
            <w:bottom w:w="15" w:type="dxa"/>
          </w:tblCellMar>
          <w:tblLook w:val="04A0" w:firstRow="1" w:lastRow="0" w:firstColumn="1" w:lastColumn="0" w:noHBand="0" w:noVBand="1"/>
        </w:tblPrEx>
        <w:trPr>
          <w:cantSplit/>
          <w:trHeight w:val="20"/>
        </w:trPr>
        <w:tc>
          <w:tcPr>
            <w:tcW w:w="1271" w:type="dxa"/>
          </w:tcPr>
          <w:p w14:paraId="6F4AAB9D" w14:textId="7235843D" w:rsidR="00E665F1" w:rsidRPr="00821BDD" w:rsidRDefault="00E665F1">
            <w:pPr>
              <w:jc w:val="center"/>
              <w:rPr>
                <w:rFonts w:ascii="Arial Narrow" w:hAnsi="Arial Narrow"/>
                <w:sz w:val="20"/>
                <w:szCs w:val="20"/>
              </w:rPr>
            </w:pPr>
          </w:p>
        </w:tc>
        <w:tc>
          <w:tcPr>
            <w:tcW w:w="7745" w:type="dxa"/>
            <w:gridSpan w:val="6"/>
            <w:vAlign w:val="center"/>
          </w:tcPr>
          <w:p w14:paraId="1EA6A5B7" w14:textId="77777777" w:rsidR="00E665F1" w:rsidRPr="00821BDD" w:rsidRDefault="00E665F1">
            <w:pPr>
              <w:rPr>
                <w:rFonts w:ascii="Arial Narrow" w:hAnsi="Arial Narrow"/>
                <w:b/>
                <w:bCs/>
                <w:sz w:val="20"/>
                <w:szCs w:val="20"/>
              </w:rPr>
            </w:pPr>
            <w:r w:rsidRPr="00821BDD">
              <w:rPr>
                <w:rFonts w:ascii="Arial Narrow" w:hAnsi="Arial Narrow"/>
                <w:b/>
                <w:bCs/>
                <w:sz w:val="20"/>
                <w:szCs w:val="20"/>
              </w:rPr>
              <w:t xml:space="preserve">Clinical criteria: </w:t>
            </w:r>
          </w:p>
        </w:tc>
      </w:tr>
      <w:tr w:rsidR="00E665F1" w:rsidRPr="00821BDD" w14:paraId="23046DA9" w14:textId="77777777">
        <w:tblPrEx>
          <w:tblCellMar>
            <w:top w:w="15" w:type="dxa"/>
            <w:bottom w:w="15" w:type="dxa"/>
          </w:tblCellMar>
          <w:tblLook w:val="04A0" w:firstRow="1" w:lastRow="0" w:firstColumn="1" w:lastColumn="0" w:noHBand="0" w:noVBand="1"/>
        </w:tblPrEx>
        <w:trPr>
          <w:cantSplit/>
          <w:trHeight w:val="20"/>
        </w:trPr>
        <w:tc>
          <w:tcPr>
            <w:tcW w:w="1271" w:type="dxa"/>
          </w:tcPr>
          <w:p w14:paraId="23FE3689" w14:textId="0683DF13" w:rsidR="00E665F1" w:rsidRPr="00821BDD" w:rsidRDefault="00E665F1">
            <w:pPr>
              <w:jc w:val="center"/>
              <w:rPr>
                <w:rFonts w:ascii="Arial Narrow" w:hAnsi="Arial Narrow"/>
                <w:sz w:val="20"/>
                <w:szCs w:val="20"/>
              </w:rPr>
            </w:pPr>
          </w:p>
        </w:tc>
        <w:tc>
          <w:tcPr>
            <w:tcW w:w="7745" w:type="dxa"/>
            <w:gridSpan w:val="6"/>
            <w:vAlign w:val="center"/>
          </w:tcPr>
          <w:p w14:paraId="6A7EF185" w14:textId="77777777" w:rsidR="00E665F1" w:rsidRPr="00821BDD" w:rsidRDefault="00E665F1">
            <w:pPr>
              <w:rPr>
                <w:rFonts w:ascii="Arial Narrow" w:hAnsi="Arial Narrow"/>
                <w:b/>
                <w:bCs/>
                <w:sz w:val="20"/>
                <w:szCs w:val="20"/>
              </w:rPr>
            </w:pPr>
            <w:r w:rsidRPr="00821BDD">
              <w:rPr>
                <w:rFonts w:ascii="Arial Narrow" w:hAnsi="Arial Narrow" w:cs="Arial Narrow"/>
                <w:iCs/>
                <w:sz w:val="20"/>
                <w:szCs w:val="20"/>
              </w:rPr>
              <w:t xml:space="preserve">The condition must be causing intractable symptoms </w:t>
            </w:r>
          </w:p>
        </w:tc>
      </w:tr>
      <w:tr w:rsidR="00E665F1" w14:paraId="2E3C97B0" w14:textId="77777777">
        <w:tblPrEx>
          <w:tblCellMar>
            <w:top w:w="15" w:type="dxa"/>
            <w:bottom w:w="15" w:type="dxa"/>
          </w:tblCellMar>
          <w:tblLook w:val="04A0" w:firstRow="1" w:lastRow="0" w:firstColumn="1" w:lastColumn="0" w:noHBand="0" w:noVBand="1"/>
        </w:tblPrEx>
        <w:trPr>
          <w:cantSplit/>
          <w:trHeight w:val="20"/>
        </w:trPr>
        <w:tc>
          <w:tcPr>
            <w:tcW w:w="1271" w:type="dxa"/>
          </w:tcPr>
          <w:p w14:paraId="7BEFA6E9" w14:textId="77777777" w:rsidR="00E665F1" w:rsidRDefault="00E665F1">
            <w:pPr>
              <w:jc w:val="center"/>
              <w:rPr>
                <w:rFonts w:ascii="Arial Narrow" w:hAnsi="Arial Narrow"/>
                <w:color w:val="FF0000"/>
                <w:sz w:val="20"/>
                <w:szCs w:val="20"/>
              </w:rPr>
            </w:pPr>
          </w:p>
        </w:tc>
        <w:tc>
          <w:tcPr>
            <w:tcW w:w="7745" w:type="dxa"/>
            <w:gridSpan w:val="6"/>
            <w:vAlign w:val="center"/>
          </w:tcPr>
          <w:p w14:paraId="33E33387" w14:textId="77777777" w:rsidR="00E665F1" w:rsidRDefault="00E665F1">
            <w:pPr>
              <w:rPr>
                <w:rFonts w:ascii="Arial Narrow" w:hAnsi="Arial Narrow" w:cs="Arial Narrow"/>
                <w:iCs/>
                <w:color w:val="FF0000"/>
                <w:sz w:val="20"/>
                <w:szCs w:val="20"/>
              </w:rPr>
            </w:pPr>
            <w:r w:rsidRPr="00C87DB4">
              <w:rPr>
                <w:rFonts w:ascii="Arial Narrow" w:hAnsi="Arial Narrow"/>
                <w:b/>
                <w:bCs/>
                <w:color w:val="333333"/>
                <w:sz w:val="20"/>
                <w:szCs w:val="20"/>
              </w:rPr>
              <w:t>AND</w:t>
            </w:r>
          </w:p>
        </w:tc>
      </w:tr>
      <w:tr w:rsidR="00E665F1" w:rsidRPr="008C64FB" w14:paraId="71B94BA8" w14:textId="77777777">
        <w:tblPrEx>
          <w:tblCellMar>
            <w:top w:w="15" w:type="dxa"/>
            <w:bottom w:w="15" w:type="dxa"/>
          </w:tblCellMar>
          <w:tblLook w:val="04A0" w:firstRow="1" w:lastRow="0" w:firstColumn="1" w:lastColumn="0" w:noHBand="0" w:noVBand="1"/>
        </w:tblPrEx>
        <w:trPr>
          <w:cantSplit/>
          <w:trHeight w:val="20"/>
        </w:trPr>
        <w:tc>
          <w:tcPr>
            <w:tcW w:w="1271" w:type="dxa"/>
          </w:tcPr>
          <w:p w14:paraId="65940604" w14:textId="03EF31B3" w:rsidR="00E665F1" w:rsidRPr="008C64FB" w:rsidRDefault="00E665F1">
            <w:pPr>
              <w:jc w:val="center"/>
              <w:rPr>
                <w:rFonts w:ascii="Arial Narrow" w:hAnsi="Arial Narrow"/>
                <w:sz w:val="20"/>
                <w:szCs w:val="20"/>
              </w:rPr>
            </w:pPr>
          </w:p>
        </w:tc>
        <w:tc>
          <w:tcPr>
            <w:tcW w:w="7745" w:type="dxa"/>
            <w:gridSpan w:val="6"/>
            <w:vAlign w:val="center"/>
          </w:tcPr>
          <w:p w14:paraId="7AB7A170" w14:textId="77777777" w:rsidR="00E665F1" w:rsidRPr="008C64FB" w:rsidRDefault="00E665F1">
            <w:pPr>
              <w:rPr>
                <w:rFonts w:ascii="Arial Narrow" w:hAnsi="Arial Narrow" w:cs="Arial Narrow"/>
                <w:iCs/>
                <w:sz w:val="20"/>
                <w:szCs w:val="20"/>
              </w:rPr>
            </w:pPr>
            <w:r w:rsidRPr="008C64FB">
              <w:rPr>
                <w:rFonts w:ascii="Arial Narrow" w:hAnsi="Arial Narrow"/>
                <w:b/>
                <w:bCs/>
                <w:sz w:val="20"/>
                <w:szCs w:val="20"/>
              </w:rPr>
              <w:t>Clinical criteria:</w:t>
            </w:r>
          </w:p>
        </w:tc>
      </w:tr>
      <w:tr w:rsidR="00E665F1" w:rsidRPr="008C64FB" w14:paraId="1648B89D" w14:textId="77777777">
        <w:tblPrEx>
          <w:tblCellMar>
            <w:top w:w="15" w:type="dxa"/>
            <w:bottom w:w="15" w:type="dxa"/>
          </w:tblCellMar>
          <w:tblLook w:val="04A0" w:firstRow="1" w:lastRow="0" w:firstColumn="1" w:lastColumn="0" w:noHBand="0" w:noVBand="1"/>
        </w:tblPrEx>
        <w:trPr>
          <w:cantSplit/>
          <w:trHeight w:val="20"/>
        </w:trPr>
        <w:tc>
          <w:tcPr>
            <w:tcW w:w="1271" w:type="dxa"/>
          </w:tcPr>
          <w:p w14:paraId="6C98638A" w14:textId="0B4B4912" w:rsidR="00E665F1" w:rsidRPr="008C64FB" w:rsidRDefault="00E665F1">
            <w:pPr>
              <w:jc w:val="center"/>
              <w:rPr>
                <w:rFonts w:ascii="Arial Narrow" w:hAnsi="Arial Narrow"/>
                <w:sz w:val="20"/>
                <w:szCs w:val="20"/>
              </w:rPr>
            </w:pPr>
          </w:p>
        </w:tc>
        <w:tc>
          <w:tcPr>
            <w:tcW w:w="7745" w:type="dxa"/>
            <w:gridSpan w:val="6"/>
            <w:vAlign w:val="center"/>
          </w:tcPr>
          <w:p w14:paraId="2D2F9A8C" w14:textId="77777777" w:rsidR="00E665F1" w:rsidRPr="008C64FB" w:rsidRDefault="00E665F1">
            <w:pPr>
              <w:rPr>
                <w:rFonts w:ascii="Arial Narrow" w:hAnsi="Arial Narrow" w:cs="Arial Narrow"/>
                <w:iCs/>
                <w:sz w:val="20"/>
                <w:szCs w:val="20"/>
              </w:rPr>
            </w:pPr>
            <w:r w:rsidRPr="008C64FB">
              <w:rPr>
                <w:rFonts w:ascii="Arial Narrow" w:hAnsi="Arial Narrow" w:cs="Arial Narrow"/>
                <w:iCs/>
                <w:sz w:val="20"/>
                <w:szCs w:val="20"/>
              </w:rPr>
              <w:t>Patient must have experienced on average over 1 week, 3 or more episodes per day of diarrhoea and/or flushing which persisted despite the use of anti-histamines, anti-serotonin agents and anti-diarrhoea agents</w:t>
            </w:r>
          </w:p>
        </w:tc>
      </w:tr>
      <w:tr w:rsidR="00E665F1" w14:paraId="5E530F0D" w14:textId="77777777">
        <w:tblPrEx>
          <w:tblCellMar>
            <w:top w:w="15" w:type="dxa"/>
            <w:bottom w:w="15" w:type="dxa"/>
          </w:tblCellMar>
          <w:tblLook w:val="04A0" w:firstRow="1" w:lastRow="0" w:firstColumn="1" w:lastColumn="0" w:noHBand="0" w:noVBand="1"/>
        </w:tblPrEx>
        <w:trPr>
          <w:cantSplit/>
          <w:trHeight w:val="20"/>
        </w:trPr>
        <w:tc>
          <w:tcPr>
            <w:tcW w:w="1271" w:type="dxa"/>
          </w:tcPr>
          <w:p w14:paraId="7EDF2B02" w14:textId="77777777" w:rsidR="00E665F1" w:rsidRDefault="00E665F1">
            <w:pPr>
              <w:jc w:val="center"/>
              <w:rPr>
                <w:rFonts w:ascii="Arial Narrow" w:hAnsi="Arial Narrow"/>
                <w:color w:val="FF0000"/>
                <w:sz w:val="20"/>
                <w:szCs w:val="20"/>
              </w:rPr>
            </w:pPr>
          </w:p>
        </w:tc>
        <w:tc>
          <w:tcPr>
            <w:tcW w:w="7745" w:type="dxa"/>
            <w:gridSpan w:val="6"/>
            <w:vAlign w:val="center"/>
          </w:tcPr>
          <w:p w14:paraId="5281F2F9" w14:textId="77777777" w:rsidR="00E665F1" w:rsidRDefault="00E665F1">
            <w:pPr>
              <w:rPr>
                <w:rFonts w:ascii="Arial Narrow" w:hAnsi="Arial Narrow" w:cs="Arial Narrow"/>
                <w:iCs/>
                <w:color w:val="FF0000"/>
                <w:sz w:val="20"/>
                <w:szCs w:val="20"/>
              </w:rPr>
            </w:pPr>
            <w:r w:rsidRPr="00C87DB4">
              <w:rPr>
                <w:rFonts w:ascii="Arial Narrow" w:hAnsi="Arial Narrow"/>
                <w:b/>
                <w:bCs/>
                <w:color w:val="333333"/>
                <w:sz w:val="20"/>
                <w:szCs w:val="20"/>
              </w:rPr>
              <w:t>AND</w:t>
            </w:r>
          </w:p>
        </w:tc>
      </w:tr>
      <w:tr w:rsidR="00E665F1" w:rsidRPr="005B41E6" w14:paraId="796E12E3" w14:textId="77777777">
        <w:tblPrEx>
          <w:tblCellMar>
            <w:top w:w="15" w:type="dxa"/>
            <w:bottom w:w="15" w:type="dxa"/>
          </w:tblCellMar>
          <w:tblLook w:val="04A0" w:firstRow="1" w:lastRow="0" w:firstColumn="1" w:lastColumn="0" w:noHBand="0" w:noVBand="1"/>
        </w:tblPrEx>
        <w:trPr>
          <w:cantSplit/>
          <w:trHeight w:val="20"/>
        </w:trPr>
        <w:tc>
          <w:tcPr>
            <w:tcW w:w="1271" w:type="dxa"/>
          </w:tcPr>
          <w:p w14:paraId="33754256" w14:textId="374C1E86" w:rsidR="00E665F1" w:rsidRPr="005B41E6" w:rsidRDefault="00E665F1">
            <w:pPr>
              <w:jc w:val="center"/>
              <w:rPr>
                <w:rFonts w:ascii="Arial Narrow" w:hAnsi="Arial Narrow"/>
                <w:sz w:val="20"/>
                <w:szCs w:val="20"/>
              </w:rPr>
            </w:pPr>
          </w:p>
        </w:tc>
        <w:tc>
          <w:tcPr>
            <w:tcW w:w="7745" w:type="dxa"/>
            <w:gridSpan w:val="6"/>
            <w:vAlign w:val="center"/>
          </w:tcPr>
          <w:p w14:paraId="347EA433" w14:textId="77777777" w:rsidR="00E665F1" w:rsidRPr="005B41E6" w:rsidRDefault="00E665F1">
            <w:pPr>
              <w:rPr>
                <w:rFonts w:ascii="Arial Narrow" w:hAnsi="Arial Narrow" w:cs="Arial Narrow"/>
                <w:iCs/>
                <w:sz w:val="20"/>
                <w:szCs w:val="20"/>
              </w:rPr>
            </w:pPr>
            <w:r w:rsidRPr="005B41E6">
              <w:rPr>
                <w:rFonts w:ascii="Arial Narrow" w:hAnsi="Arial Narrow"/>
                <w:b/>
                <w:bCs/>
                <w:sz w:val="20"/>
                <w:szCs w:val="20"/>
              </w:rPr>
              <w:t>Clinical criteria:</w:t>
            </w:r>
          </w:p>
        </w:tc>
      </w:tr>
      <w:tr w:rsidR="00E665F1" w:rsidRPr="005B41E6" w14:paraId="564018BA" w14:textId="77777777">
        <w:tblPrEx>
          <w:tblCellMar>
            <w:top w:w="15" w:type="dxa"/>
            <w:bottom w:w="15" w:type="dxa"/>
          </w:tblCellMar>
          <w:tblLook w:val="04A0" w:firstRow="1" w:lastRow="0" w:firstColumn="1" w:lastColumn="0" w:noHBand="0" w:noVBand="1"/>
        </w:tblPrEx>
        <w:trPr>
          <w:cantSplit/>
          <w:trHeight w:val="89"/>
        </w:trPr>
        <w:tc>
          <w:tcPr>
            <w:tcW w:w="1271" w:type="dxa"/>
          </w:tcPr>
          <w:p w14:paraId="0ED790EB" w14:textId="3B78E87D" w:rsidR="00E665F1" w:rsidRPr="005B41E6" w:rsidRDefault="00E665F1">
            <w:pPr>
              <w:jc w:val="center"/>
              <w:rPr>
                <w:rFonts w:ascii="Arial Narrow" w:hAnsi="Arial Narrow"/>
                <w:sz w:val="20"/>
                <w:szCs w:val="20"/>
              </w:rPr>
            </w:pPr>
          </w:p>
        </w:tc>
        <w:tc>
          <w:tcPr>
            <w:tcW w:w="7745" w:type="dxa"/>
            <w:gridSpan w:val="6"/>
            <w:vAlign w:val="center"/>
          </w:tcPr>
          <w:p w14:paraId="7EDF43FC" w14:textId="77777777" w:rsidR="00E665F1" w:rsidRPr="005B41E6" w:rsidRDefault="00E665F1">
            <w:pPr>
              <w:rPr>
                <w:rFonts w:ascii="Arial Narrow" w:hAnsi="Arial Narrow" w:cs="Arial Narrow"/>
                <w:iCs/>
                <w:sz w:val="20"/>
                <w:szCs w:val="20"/>
              </w:rPr>
            </w:pPr>
            <w:r w:rsidRPr="005B41E6">
              <w:rPr>
                <w:rFonts w:ascii="Arial Narrow" w:hAnsi="Arial Narrow" w:cs="Arial Narrow"/>
                <w:iCs/>
                <w:sz w:val="20"/>
                <w:szCs w:val="20"/>
              </w:rPr>
              <w:t xml:space="preserve">Patient must be one in whom surgery or antineoplastic therapy has failed or is inappropriate </w:t>
            </w:r>
          </w:p>
        </w:tc>
      </w:tr>
      <w:tr w:rsidR="00E665F1" w14:paraId="4D874C06" w14:textId="77777777">
        <w:tblPrEx>
          <w:tblCellMar>
            <w:top w:w="15" w:type="dxa"/>
            <w:bottom w:w="15" w:type="dxa"/>
          </w:tblCellMar>
          <w:tblLook w:val="04A0" w:firstRow="1" w:lastRow="0" w:firstColumn="1" w:lastColumn="0" w:noHBand="0" w:noVBand="1"/>
        </w:tblPrEx>
        <w:trPr>
          <w:cantSplit/>
          <w:trHeight w:val="20"/>
        </w:trPr>
        <w:tc>
          <w:tcPr>
            <w:tcW w:w="1271" w:type="dxa"/>
          </w:tcPr>
          <w:p w14:paraId="74016CE9" w14:textId="77777777" w:rsidR="00E665F1" w:rsidRDefault="00E665F1">
            <w:pPr>
              <w:jc w:val="center"/>
              <w:rPr>
                <w:rFonts w:ascii="Arial Narrow" w:hAnsi="Arial Narrow"/>
                <w:color w:val="FF0000"/>
                <w:sz w:val="20"/>
                <w:szCs w:val="20"/>
              </w:rPr>
            </w:pPr>
          </w:p>
        </w:tc>
        <w:tc>
          <w:tcPr>
            <w:tcW w:w="7745" w:type="dxa"/>
            <w:gridSpan w:val="6"/>
            <w:vAlign w:val="center"/>
          </w:tcPr>
          <w:p w14:paraId="75BC2293" w14:textId="77777777" w:rsidR="00E665F1" w:rsidRDefault="00E665F1">
            <w:pPr>
              <w:rPr>
                <w:rFonts w:ascii="Arial Narrow" w:hAnsi="Arial Narrow" w:cs="Arial Narrow"/>
                <w:iCs/>
                <w:color w:val="FF0000"/>
                <w:sz w:val="20"/>
                <w:szCs w:val="20"/>
              </w:rPr>
            </w:pPr>
            <w:r w:rsidRPr="00C87DB4">
              <w:rPr>
                <w:rFonts w:ascii="Arial Narrow" w:hAnsi="Arial Narrow"/>
                <w:b/>
                <w:bCs/>
                <w:color w:val="333333"/>
                <w:sz w:val="20"/>
                <w:szCs w:val="20"/>
              </w:rPr>
              <w:t>AND</w:t>
            </w:r>
          </w:p>
        </w:tc>
      </w:tr>
      <w:tr w:rsidR="00E665F1" w:rsidRPr="00AC019F" w14:paraId="0D406B20" w14:textId="77777777">
        <w:tblPrEx>
          <w:tblCellMar>
            <w:top w:w="15" w:type="dxa"/>
            <w:bottom w:w="15" w:type="dxa"/>
          </w:tblCellMar>
          <w:tblLook w:val="04A0" w:firstRow="1" w:lastRow="0" w:firstColumn="1" w:lastColumn="0" w:noHBand="0" w:noVBand="1"/>
        </w:tblPrEx>
        <w:trPr>
          <w:cantSplit/>
          <w:trHeight w:val="20"/>
        </w:trPr>
        <w:tc>
          <w:tcPr>
            <w:tcW w:w="1271" w:type="dxa"/>
          </w:tcPr>
          <w:p w14:paraId="5A7C6E4D" w14:textId="15D7383E" w:rsidR="00E665F1" w:rsidRPr="00AC019F" w:rsidRDefault="00E665F1">
            <w:pPr>
              <w:jc w:val="center"/>
              <w:rPr>
                <w:rFonts w:ascii="Arial Narrow" w:hAnsi="Arial Narrow"/>
                <w:sz w:val="20"/>
                <w:szCs w:val="20"/>
              </w:rPr>
            </w:pPr>
          </w:p>
        </w:tc>
        <w:tc>
          <w:tcPr>
            <w:tcW w:w="7745" w:type="dxa"/>
            <w:gridSpan w:val="6"/>
            <w:vAlign w:val="center"/>
          </w:tcPr>
          <w:p w14:paraId="72A05DEE" w14:textId="77777777" w:rsidR="00E665F1" w:rsidRPr="00AC019F" w:rsidRDefault="00E665F1">
            <w:pPr>
              <w:rPr>
                <w:rFonts w:ascii="Arial Narrow" w:hAnsi="Arial Narrow" w:cs="Arial Narrow"/>
                <w:iCs/>
                <w:sz w:val="20"/>
                <w:szCs w:val="20"/>
              </w:rPr>
            </w:pPr>
            <w:r w:rsidRPr="00AC019F">
              <w:rPr>
                <w:rFonts w:ascii="Arial Narrow" w:hAnsi="Arial Narrow"/>
                <w:b/>
                <w:bCs/>
                <w:sz w:val="20"/>
                <w:szCs w:val="20"/>
              </w:rPr>
              <w:t>Clinical criteria:</w:t>
            </w:r>
          </w:p>
        </w:tc>
      </w:tr>
      <w:tr w:rsidR="00E665F1" w:rsidRPr="00AC019F" w14:paraId="363500B2" w14:textId="77777777">
        <w:tblPrEx>
          <w:tblCellMar>
            <w:top w:w="15" w:type="dxa"/>
            <w:bottom w:w="15" w:type="dxa"/>
          </w:tblCellMar>
          <w:tblLook w:val="04A0" w:firstRow="1" w:lastRow="0" w:firstColumn="1" w:lastColumn="0" w:noHBand="0" w:noVBand="1"/>
        </w:tblPrEx>
        <w:trPr>
          <w:cantSplit/>
          <w:trHeight w:val="20"/>
        </w:trPr>
        <w:tc>
          <w:tcPr>
            <w:tcW w:w="1271" w:type="dxa"/>
          </w:tcPr>
          <w:p w14:paraId="7B5A613F" w14:textId="7B61999A" w:rsidR="00E665F1" w:rsidRPr="00AC019F" w:rsidRDefault="00E665F1">
            <w:pPr>
              <w:jc w:val="center"/>
              <w:rPr>
                <w:rFonts w:ascii="Arial Narrow" w:hAnsi="Arial Narrow"/>
                <w:sz w:val="20"/>
                <w:szCs w:val="20"/>
              </w:rPr>
            </w:pPr>
          </w:p>
        </w:tc>
        <w:tc>
          <w:tcPr>
            <w:tcW w:w="7745" w:type="dxa"/>
            <w:gridSpan w:val="6"/>
            <w:vAlign w:val="center"/>
          </w:tcPr>
          <w:p w14:paraId="555197AF" w14:textId="77777777" w:rsidR="00E665F1" w:rsidRPr="00AC019F" w:rsidRDefault="00E665F1">
            <w:pPr>
              <w:rPr>
                <w:rFonts w:ascii="Arial Narrow" w:hAnsi="Arial Narrow" w:cs="Arial Narrow"/>
                <w:iCs/>
                <w:sz w:val="20"/>
                <w:szCs w:val="20"/>
              </w:rPr>
            </w:pPr>
            <w:r w:rsidRPr="00AC019F">
              <w:rPr>
                <w:rFonts w:ascii="Arial Narrow" w:hAnsi="Arial Narrow" w:cs="Arial Narrow"/>
                <w:iCs/>
                <w:sz w:val="20"/>
                <w:szCs w:val="20"/>
              </w:rPr>
              <w:t>The treatment must cease if there is failure to produce a clinically significant reduction in the frequency and severity of symptoms after 3 months’ therapy at a dose of 120 mg every 28 days</w:t>
            </w:r>
          </w:p>
        </w:tc>
      </w:tr>
      <w:tr w:rsidR="00E665F1" w14:paraId="5D932525" w14:textId="77777777">
        <w:tblPrEx>
          <w:tblCellMar>
            <w:top w:w="15" w:type="dxa"/>
            <w:bottom w:w="15" w:type="dxa"/>
          </w:tblCellMar>
          <w:tblLook w:val="04A0" w:firstRow="1" w:lastRow="0" w:firstColumn="1" w:lastColumn="0" w:noHBand="0" w:noVBand="1"/>
        </w:tblPrEx>
        <w:trPr>
          <w:cantSplit/>
          <w:trHeight w:val="20"/>
        </w:trPr>
        <w:tc>
          <w:tcPr>
            <w:tcW w:w="1271" w:type="dxa"/>
          </w:tcPr>
          <w:p w14:paraId="2A688AA0" w14:textId="77777777" w:rsidR="00E665F1" w:rsidRDefault="00E665F1">
            <w:pPr>
              <w:jc w:val="center"/>
              <w:rPr>
                <w:rFonts w:ascii="Arial Narrow" w:hAnsi="Arial Narrow"/>
                <w:color w:val="FF0000"/>
                <w:sz w:val="20"/>
                <w:szCs w:val="20"/>
              </w:rPr>
            </w:pPr>
          </w:p>
        </w:tc>
        <w:tc>
          <w:tcPr>
            <w:tcW w:w="7745" w:type="dxa"/>
            <w:gridSpan w:val="6"/>
            <w:vAlign w:val="center"/>
          </w:tcPr>
          <w:p w14:paraId="079AED6D" w14:textId="77777777" w:rsidR="00E665F1" w:rsidRDefault="00E665F1">
            <w:pPr>
              <w:rPr>
                <w:rFonts w:ascii="Arial Narrow" w:hAnsi="Arial Narrow" w:cs="Arial Narrow"/>
                <w:iCs/>
                <w:color w:val="FF0000"/>
                <w:sz w:val="20"/>
                <w:szCs w:val="20"/>
              </w:rPr>
            </w:pPr>
          </w:p>
        </w:tc>
      </w:tr>
      <w:tr w:rsidR="00E665F1" w:rsidRPr="00F34F7E" w14:paraId="5BD10314" w14:textId="77777777">
        <w:tblPrEx>
          <w:tblCellMar>
            <w:top w:w="15" w:type="dxa"/>
            <w:bottom w:w="15" w:type="dxa"/>
          </w:tblCellMar>
          <w:tblLook w:val="04A0" w:firstRow="1" w:lastRow="0" w:firstColumn="1" w:lastColumn="0" w:noHBand="0" w:noVBand="1"/>
        </w:tblPrEx>
        <w:trPr>
          <w:cantSplit/>
          <w:trHeight w:val="20"/>
        </w:trPr>
        <w:tc>
          <w:tcPr>
            <w:tcW w:w="1271" w:type="dxa"/>
          </w:tcPr>
          <w:p w14:paraId="7104DF45" w14:textId="18F44D13" w:rsidR="00E665F1" w:rsidRPr="00F34F7E" w:rsidRDefault="00E665F1">
            <w:pPr>
              <w:jc w:val="center"/>
              <w:rPr>
                <w:rFonts w:ascii="Arial Narrow" w:hAnsi="Arial Narrow"/>
                <w:sz w:val="20"/>
                <w:szCs w:val="20"/>
              </w:rPr>
            </w:pPr>
          </w:p>
        </w:tc>
        <w:tc>
          <w:tcPr>
            <w:tcW w:w="7745" w:type="dxa"/>
            <w:gridSpan w:val="6"/>
            <w:vAlign w:val="center"/>
          </w:tcPr>
          <w:p w14:paraId="62F64A4F" w14:textId="77777777" w:rsidR="00E665F1" w:rsidRPr="00F34F7E" w:rsidRDefault="00E665F1">
            <w:pPr>
              <w:rPr>
                <w:rFonts w:ascii="Arial Narrow" w:hAnsi="Arial Narrow"/>
                <w:sz w:val="20"/>
                <w:szCs w:val="20"/>
              </w:rPr>
            </w:pPr>
            <w:r w:rsidRPr="00F34F7E">
              <w:rPr>
                <w:rFonts w:ascii="Arial Narrow" w:hAnsi="Arial Narrow"/>
                <w:b/>
                <w:bCs/>
                <w:sz w:val="20"/>
                <w:szCs w:val="20"/>
              </w:rPr>
              <w:t xml:space="preserve">Prescribing Instructions: </w:t>
            </w:r>
          </w:p>
          <w:p w14:paraId="1D8D9670" w14:textId="77777777" w:rsidR="00E665F1" w:rsidRPr="00F34F7E" w:rsidRDefault="00E665F1">
            <w:pPr>
              <w:rPr>
                <w:rFonts w:ascii="Arial Narrow" w:hAnsi="Arial Narrow" w:cs="Arial Narrow"/>
                <w:iCs/>
                <w:sz w:val="20"/>
                <w:szCs w:val="20"/>
              </w:rPr>
            </w:pPr>
            <w:r w:rsidRPr="00F34F7E">
              <w:rPr>
                <w:rFonts w:ascii="Arial Narrow" w:hAnsi="Arial Narrow" w:cs="Arial Narrow"/>
                <w:iCs/>
                <w:sz w:val="20"/>
                <w:szCs w:val="20"/>
              </w:rPr>
              <w:t xml:space="preserve">Dosage and tolerance to the drug should be assessed regularly and the dosage should be titrated slowly downwards to determine the minimum effective dose. </w:t>
            </w:r>
          </w:p>
        </w:tc>
      </w:tr>
      <w:tr w:rsidR="00E665F1" w:rsidRPr="00F34F7E" w14:paraId="6FAB32D6" w14:textId="77777777">
        <w:tblPrEx>
          <w:tblCellMar>
            <w:top w:w="15" w:type="dxa"/>
            <w:bottom w:w="15" w:type="dxa"/>
          </w:tblCellMar>
          <w:tblLook w:val="04A0" w:firstRow="1" w:lastRow="0" w:firstColumn="1" w:lastColumn="0" w:noHBand="0" w:noVBand="1"/>
        </w:tblPrEx>
        <w:trPr>
          <w:cantSplit/>
          <w:trHeight w:val="20"/>
        </w:trPr>
        <w:tc>
          <w:tcPr>
            <w:tcW w:w="9016" w:type="dxa"/>
            <w:gridSpan w:val="7"/>
          </w:tcPr>
          <w:p w14:paraId="7C6FFF89" w14:textId="77777777" w:rsidR="00E665F1" w:rsidRPr="00F34F7E" w:rsidRDefault="00E665F1">
            <w:pPr>
              <w:rPr>
                <w:rFonts w:ascii="Arial Narrow" w:hAnsi="Arial Narrow"/>
                <w:b/>
                <w:bCs/>
                <w:sz w:val="20"/>
                <w:szCs w:val="20"/>
              </w:rPr>
            </w:pPr>
          </w:p>
        </w:tc>
      </w:tr>
      <w:tr w:rsidR="00E665F1" w:rsidRPr="00F34F7E" w14:paraId="099B8DFA" w14:textId="77777777">
        <w:tblPrEx>
          <w:tblCellMar>
            <w:top w:w="15" w:type="dxa"/>
            <w:bottom w:w="15" w:type="dxa"/>
          </w:tblCellMar>
          <w:tblLook w:val="04A0" w:firstRow="1" w:lastRow="0" w:firstColumn="1" w:lastColumn="0" w:noHBand="0" w:noVBand="1"/>
        </w:tblPrEx>
        <w:trPr>
          <w:cantSplit/>
          <w:trHeight w:val="20"/>
        </w:trPr>
        <w:tc>
          <w:tcPr>
            <w:tcW w:w="9016" w:type="dxa"/>
            <w:gridSpan w:val="7"/>
          </w:tcPr>
          <w:p w14:paraId="15CA368D" w14:textId="77777777" w:rsidR="00E665F1" w:rsidRPr="00F34F7E" w:rsidRDefault="00E665F1">
            <w:pPr>
              <w:rPr>
                <w:rFonts w:ascii="Arial Narrow" w:hAnsi="Arial Narrow"/>
                <w:b/>
                <w:bCs/>
                <w:sz w:val="20"/>
                <w:szCs w:val="20"/>
              </w:rPr>
            </w:pPr>
          </w:p>
        </w:tc>
      </w:tr>
      <w:tr w:rsidR="00E665F1" w:rsidRPr="00F34F7E" w14:paraId="29255C3F" w14:textId="77777777">
        <w:tblPrEx>
          <w:tblCellMar>
            <w:top w:w="15" w:type="dxa"/>
            <w:bottom w:w="15" w:type="dxa"/>
          </w:tblCellMar>
          <w:tblLook w:val="04A0" w:firstRow="1" w:lastRow="0" w:firstColumn="1" w:lastColumn="0" w:noHBand="0" w:noVBand="1"/>
        </w:tblPrEx>
        <w:trPr>
          <w:cantSplit/>
          <w:trHeight w:val="20"/>
        </w:trPr>
        <w:tc>
          <w:tcPr>
            <w:tcW w:w="1271" w:type="dxa"/>
          </w:tcPr>
          <w:p w14:paraId="67F53226" w14:textId="74071961" w:rsidR="00E665F1" w:rsidRPr="00F34F7E" w:rsidRDefault="00E665F1">
            <w:pPr>
              <w:jc w:val="center"/>
              <w:rPr>
                <w:rStyle w:val="cf01"/>
                <w:rFonts w:ascii="Arial Narrow" w:hAnsi="Arial Narrow"/>
                <w:sz w:val="20"/>
                <w:szCs w:val="20"/>
              </w:rPr>
            </w:pPr>
          </w:p>
        </w:tc>
        <w:tc>
          <w:tcPr>
            <w:tcW w:w="7745" w:type="dxa"/>
            <w:gridSpan w:val="6"/>
            <w:vAlign w:val="center"/>
          </w:tcPr>
          <w:p w14:paraId="4491D1AB" w14:textId="77777777" w:rsidR="00E665F1" w:rsidRPr="00F34F7E" w:rsidRDefault="00E665F1">
            <w:pPr>
              <w:rPr>
                <w:rFonts w:ascii="Arial Narrow" w:hAnsi="Arial Narrow"/>
                <w:b/>
                <w:bCs/>
                <w:sz w:val="20"/>
                <w:szCs w:val="20"/>
              </w:rPr>
            </w:pPr>
            <w:r w:rsidRPr="00092B5B">
              <w:rPr>
                <w:rFonts w:ascii="Arial Narrow" w:hAnsi="Arial Narrow"/>
                <w:b/>
                <w:bCs/>
                <w:sz w:val="20"/>
                <w:szCs w:val="20"/>
              </w:rPr>
              <w:t>Indication:</w:t>
            </w:r>
            <w:r w:rsidRPr="00092B5B">
              <w:rPr>
                <w:rFonts w:ascii="Arial Narrow" w:hAnsi="Arial Narrow"/>
                <w:sz w:val="20"/>
                <w:szCs w:val="20"/>
              </w:rPr>
              <w:t xml:space="preserve"> Functional carcinoid tumour</w:t>
            </w:r>
          </w:p>
        </w:tc>
      </w:tr>
      <w:tr w:rsidR="00E665F1" w:rsidRPr="00F34F7E" w14:paraId="6979A168" w14:textId="77777777">
        <w:tblPrEx>
          <w:tblCellMar>
            <w:top w:w="15" w:type="dxa"/>
            <w:bottom w:w="15" w:type="dxa"/>
          </w:tblCellMar>
          <w:tblLook w:val="04A0" w:firstRow="1" w:lastRow="0" w:firstColumn="1" w:lastColumn="0" w:noHBand="0" w:noVBand="1"/>
        </w:tblPrEx>
        <w:trPr>
          <w:cantSplit/>
          <w:trHeight w:val="20"/>
        </w:trPr>
        <w:tc>
          <w:tcPr>
            <w:tcW w:w="1271" w:type="dxa"/>
          </w:tcPr>
          <w:p w14:paraId="1950AF89" w14:textId="77777777" w:rsidR="00E665F1" w:rsidRPr="00F34F7E" w:rsidRDefault="00E665F1">
            <w:pPr>
              <w:jc w:val="center"/>
              <w:rPr>
                <w:rStyle w:val="cf01"/>
                <w:rFonts w:ascii="Arial Narrow" w:hAnsi="Arial Narrow"/>
                <w:sz w:val="20"/>
                <w:szCs w:val="20"/>
              </w:rPr>
            </w:pPr>
          </w:p>
        </w:tc>
        <w:tc>
          <w:tcPr>
            <w:tcW w:w="7745" w:type="dxa"/>
            <w:gridSpan w:val="6"/>
            <w:vAlign w:val="center"/>
          </w:tcPr>
          <w:p w14:paraId="476ADBA8" w14:textId="77777777" w:rsidR="00E665F1" w:rsidRPr="00F34F7E" w:rsidRDefault="00E665F1">
            <w:pPr>
              <w:rPr>
                <w:rFonts w:ascii="Arial Narrow" w:hAnsi="Arial Narrow"/>
                <w:b/>
                <w:bCs/>
                <w:sz w:val="20"/>
                <w:szCs w:val="20"/>
              </w:rPr>
            </w:pPr>
            <w:r>
              <w:rPr>
                <w:rFonts w:ascii="Arial Narrow" w:hAnsi="Arial Narrow"/>
                <w:b/>
                <w:bCs/>
                <w:sz w:val="20"/>
                <w:szCs w:val="20"/>
              </w:rPr>
              <w:t xml:space="preserve">Treatment Phase: </w:t>
            </w:r>
            <w:r>
              <w:rPr>
                <w:rFonts w:ascii="Arial Narrow" w:hAnsi="Arial Narrow"/>
                <w:sz w:val="20"/>
                <w:szCs w:val="20"/>
              </w:rPr>
              <w:t>Continuing</w:t>
            </w:r>
            <w:r w:rsidRPr="00297ACD">
              <w:rPr>
                <w:rFonts w:ascii="Arial Narrow" w:hAnsi="Arial Narrow"/>
                <w:sz w:val="20"/>
                <w:szCs w:val="20"/>
              </w:rPr>
              <w:t xml:space="preserve"> treatment</w:t>
            </w:r>
          </w:p>
        </w:tc>
      </w:tr>
      <w:tr w:rsidR="00E665F1" w:rsidRPr="00F34F7E" w14:paraId="5958A041" w14:textId="77777777">
        <w:tblPrEx>
          <w:tblCellMar>
            <w:top w:w="15" w:type="dxa"/>
            <w:bottom w:w="15" w:type="dxa"/>
          </w:tblCellMar>
          <w:tblLook w:val="04A0" w:firstRow="1" w:lastRow="0" w:firstColumn="1" w:lastColumn="0" w:noHBand="0" w:noVBand="1"/>
        </w:tblPrEx>
        <w:trPr>
          <w:cantSplit/>
          <w:trHeight w:val="20"/>
        </w:trPr>
        <w:tc>
          <w:tcPr>
            <w:tcW w:w="1271" w:type="dxa"/>
          </w:tcPr>
          <w:p w14:paraId="7A3209C4" w14:textId="1D2860A4" w:rsidR="00E665F1" w:rsidRPr="00F34F7E" w:rsidRDefault="00E665F1">
            <w:pPr>
              <w:jc w:val="center"/>
              <w:rPr>
                <w:rStyle w:val="cf01"/>
                <w:rFonts w:ascii="Arial Narrow" w:hAnsi="Arial Narrow"/>
                <w:sz w:val="20"/>
                <w:szCs w:val="20"/>
              </w:rPr>
            </w:pPr>
          </w:p>
        </w:tc>
        <w:tc>
          <w:tcPr>
            <w:tcW w:w="7745" w:type="dxa"/>
            <w:gridSpan w:val="6"/>
            <w:vAlign w:val="center"/>
          </w:tcPr>
          <w:p w14:paraId="6CAD8F20" w14:textId="77777777" w:rsidR="00E665F1" w:rsidRPr="00F34F7E" w:rsidRDefault="00E665F1">
            <w:pPr>
              <w:rPr>
                <w:rFonts w:ascii="Arial Narrow" w:hAnsi="Arial Narrow"/>
                <w:b/>
                <w:bCs/>
                <w:sz w:val="20"/>
                <w:szCs w:val="20"/>
              </w:rPr>
            </w:pPr>
            <w:r w:rsidRPr="00821BDD">
              <w:rPr>
                <w:rFonts w:ascii="Arial Narrow" w:hAnsi="Arial Narrow"/>
                <w:b/>
                <w:bCs/>
                <w:sz w:val="20"/>
                <w:szCs w:val="20"/>
              </w:rPr>
              <w:t>Clinical criteria:</w:t>
            </w:r>
          </w:p>
        </w:tc>
      </w:tr>
      <w:tr w:rsidR="00E665F1" w:rsidRPr="00F34F7E" w14:paraId="4F612CE7" w14:textId="77777777">
        <w:tblPrEx>
          <w:tblCellMar>
            <w:top w:w="15" w:type="dxa"/>
            <w:bottom w:w="15" w:type="dxa"/>
          </w:tblCellMar>
          <w:tblLook w:val="04A0" w:firstRow="1" w:lastRow="0" w:firstColumn="1" w:lastColumn="0" w:noHBand="0" w:noVBand="1"/>
        </w:tblPrEx>
        <w:trPr>
          <w:cantSplit/>
          <w:trHeight w:val="20"/>
        </w:trPr>
        <w:tc>
          <w:tcPr>
            <w:tcW w:w="1271" w:type="dxa"/>
          </w:tcPr>
          <w:p w14:paraId="3808D187" w14:textId="6403D107" w:rsidR="00E665F1" w:rsidRPr="00F34F7E" w:rsidRDefault="00E665F1">
            <w:pPr>
              <w:jc w:val="center"/>
              <w:rPr>
                <w:rStyle w:val="cf01"/>
                <w:rFonts w:ascii="Arial Narrow" w:hAnsi="Arial Narrow"/>
                <w:sz w:val="20"/>
                <w:szCs w:val="20"/>
              </w:rPr>
            </w:pPr>
          </w:p>
        </w:tc>
        <w:tc>
          <w:tcPr>
            <w:tcW w:w="7745" w:type="dxa"/>
            <w:gridSpan w:val="6"/>
            <w:vAlign w:val="center"/>
          </w:tcPr>
          <w:p w14:paraId="455B01CF" w14:textId="77777777" w:rsidR="00E665F1" w:rsidRPr="00F34F7E" w:rsidRDefault="00E665F1">
            <w:pPr>
              <w:rPr>
                <w:rFonts w:ascii="Arial Narrow" w:hAnsi="Arial Narrow"/>
                <w:b/>
                <w:bCs/>
                <w:sz w:val="20"/>
                <w:szCs w:val="20"/>
              </w:rPr>
            </w:pPr>
            <w:r>
              <w:rPr>
                <w:rFonts w:ascii="Arial Narrow" w:hAnsi="Arial Narrow"/>
                <w:sz w:val="20"/>
                <w:szCs w:val="20"/>
              </w:rPr>
              <w:t xml:space="preserve">Patient must have previously received PBS-subsidised treatment with this drug for this condition </w:t>
            </w:r>
          </w:p>
        </w:tc>
      </w:tr>
      <w:tr w:rsidR="00E665F1" w:rsidRPr="00F34F7E" w14:paraId="3401EED6" w14:textId="77777777">
        <w:tblPrEx>
          <w:tblCellMar>
            <w:top w:w="15" w:type="dxa"/>
            <w:bottom w:w="15" w:type="dxa"/>
          </w:tblCellMar>
          <w:tblLook w:val="04A0" w:firstRow="1" w:lastRow="0" w:firstColumn="1" w:lastColumn="0" w:noHBand="0" w:noVBand="1"/>
        </w:tblPrEx>
        <w:trPr>
          <w:cantSplit/>
          <w:trHeight w:val="20"/>
        </w:trPr>
        <w:tc>
          <w:tcPr>
            <w:tcW w:w="1271" w:type="dxa"/>
          </w:tcPr>
          <w:p w14:paraId="5E04776D" w14:textId="77777777" w:rsidR="00E665F1" w:rsidRPr="00F34F7E" w:rsidRDefault="00E665F1">
            <w:pPr>
              <w:jc w:val="center"/>
              <w:rPr>
                <w:rStyle w:val="cf01"/>
                <w:rFonts w:ascii="Arial Narrow" w:hAnsi="Arial Narrow"/>
                <w:sz w:val="20"/>
                <w:szCs w:val="20"/>
              </w:rPr>
            </w:pPr>
          </w:p>
        </w:tc>
        <w:tc>
          <w:tcPr>
            <w:tcW w:w="7745" w:type="dxa"/>
            <w:gridSpan w:val="6"/>
            <w:vAlign w:val="center"/>
          </w:tcPr>
          <w:p w14:paraId="6C6684CF" w14:textId="77777777" w:rsidR="00E665F1" w:rsidRPr="00F34F7E" w:rsidRDefault="00E665F1">
            <w:pPr>
              <w:rPr>
                <w:rFonts w:ascii="Arial Narrow" w:hAnsi="Arial Narrow"/>
                <w:b/>
                <w:bCs/>
                <w:sz w:val="20"/>
                <w:szCs w:val="20"/>
              </w:rPr>
            </w:pPr>
            <w:r w:rsidRPr="00C87DB4">
              <w:rPr>
                <w:rFonts w:ascii="Arial Narrow" w:hAnsi="Arial Narrow"/>
                <w:b/>
                <w:bCs/>
                <w:color w:val="333333"/>
                <w:sz w:val="20"/>
                <w:szCs w:val="20"/>
              </w:rPr>
              <w:t>AND</w:t>
            </w:r>
          </w:p>
        </w:tc>
      </w:tr>
      <w:tr w:rsidR="00E665F1" w:rsidRPr="00F34F7E" w14:paraId="547939CD" w14:textId="77777777">
        <w:tblPrEx>
          <w:tblCellMar>
            <w:top w:w="15" w:type="dxa"/>
            <w:bottom w:w="15" w:type="dxa"/>
          </w:tblCellMar>
          <w:tblLook w:val="04A0" w:firstRow="1" w:lastRow="0" w:firstColumn="1" w:lastColumn="0" w:noHBand="0" w:noVBand="1"/>
        </w:tblPrEx>
        <w:trPr>
          <w:cantSplit/>
          <w:trHeight w:val="20"/>
        </w:trPr>
        <w:tc>
          <w:tcPr>
            <w:tcW w:w="1271" w:type="dxa"/>
          </w:tcPr>
          <w:p w14:paraId="49346879" w14:textId="43CFE77B" w:rsidR="00E665F1" w:rsidRPr="00F34F7E" w:rsidRDefault="00E665F1">
            <w:pPr>
              <w:jc w:val="center"/>
              <w:rPr>
                <w:rStyle w:val="cf01"/>
                <w:rFonts w:ascii="Arial Narrow" w:hAnsi="Arial Narrow"/>
                <w:sz w:val="20"/>
                <w:szCs w:val="20"/>
              </w:rPr>
            </w:pPr>
          </w:p>
        </w:tc>
        <w:tc>
          <w:tcPr>
            <w:tcW w:w="7745" w:type="dxa"/>
            <w:gridSpan w:val="6"/>
            <w:vAlign w:val="center"/>
          </w:tcPr>
          <w:p w14:paraId="7A98D6E6" w14:textId="77777777" w:rsidR="00E665F1" w:rsidRPr="00F34F7E" w:rsidRDefault="00E665F1">
            <w:pPr>
              <w:rPr>
                <w:rFonts w:ascii="Arial Narrow" w:hAnsi="Arial Narrow"/>
                <w:b/>
                <w:bCs/>
                <w:sz w:val="20"/>
                <w:szCs w:val="20"/>
              </w:rPr>
            </w:pPr>
            <w:r w:rsidRPr="00821BDD">
              <w:rPr>
                <w:rFonts w:ascii="Arial Narrow" w:hAnsi="Arial Narrow"/>
                <w:b/>
                <w:bCs/>
                <w:sz w:val="20"/>
                <w:szCs w:val="20"/>
              </w:rPr>
              <w:t xml:space="preserve">Clinical criteria: </w:t>
            </w:r>
          </w:p>
        </w:tc>
      </w:tr>
      <w:tr w:rsidR="00E665F1" w:rsidRPr="00F34F7E" w14:paraId="35D02D3B" w14:textId="77777777">
        <w:tblPrEx>
          <w:tblCellMar>
            <w:top w:w="15" w:type="dxa"/>
            <w:bottom w:w="15" w:type="dxa"/>
          </w:tblCellMar>
          <w:tblLook w:val="04A0" w:firstRow="1" w:lastRow="0" w:firstColumn="1" w:lastColumn="0" w:noHBand="0" w:noVBand="1"/>
        </w:tblPrEx>
        <w:trPr>
          <w:cantSplit/>
          <w:trHeight w:val="20"/>
        </w:trPr>
        <w:tc>
          <w:tcPr>
            <w:tcW w:w="1271" w:type="dxa"/>
          </w:tcPr>
          <w:p w14:paraId="49AB5E3D" w14:textId="760C5D1E" w:rsidR="00E665F1" w:rsidRPr="00F34F7E" w:rsidRDefault="00E665F1">
            <w:pPr>
              <w:jc w:val="center"/>
              <w:rPr>
                <w:rStyle w:val="cf01"/>
                <w:rFonts w:ascii="Arial Narrow" w:hAnsi="Arial Narrow"/>
                <w:sz w:val="20"/>
                <w:szCs w:val="20"/>
              </w:rPr>
            </w:pPr>
          </w:p>
        </w:tc>
        <w:tc>
          <w:tcPr>
            <w:tcW w:w="7745" w:type="dxa"/>
            <w:gridSpan w:val="6"/>
            <w:vAlign w:val="center"/>
          </w:tcPr>
          <w:p w14:paraId="4E4B3229" w14:textId="77777777" w:rsidR="00E665F1" w:rsidRPr="00F34F7E" w:rsidRDefault="00E665F1">
            <w:pPr>
              <w:rPr>
                <w:rFonts w:ascii="Arial Narrow" w:hAnsi="Arial Narrow"/>
                <w:b/>
                <w:bCs/>
                <w:sz w:val="20"/>
                <w:szCs w:val="20"/>
              </w:rPr>
            </w:pPr>
            <w:r w:rsidRPr="00821BDD">
              <w:rPr>
                <w:rFonts w:ascii="Arial Narrow" w:hAnsi="Arial Narrow" w:cs="Arial Narrow"/>
                <w:iCs/>
                <w:sz w:val="20"/>
                <w:szCs w:val="20"/>
              </w:rPr>
              <w:t xml:space="preserve">The condition must be causing intractable symptoms </w:t>
            </w:r>
          </w:p>
        </w:tc>
      </w:tr>
      <w:tr w:rsidR="00E665F1" w:rsidRPr="00F34F7E" w14:paraId="2BE7B371" w14:textId="77777777">
        <w:tblPrEx>
          <w:tblCellMar>
            <w:top w:w="15" w:type="dxa"/>
            <w:bottom w:w="15" w:type="dxa"/>
          </w:tblCellMar>
          <w:tblLook w:val="04A0" w:firstRow="1" w:lastRow="0" w:firstColumn="1" w:lastColumn="0" w:noHBand="0" w:noVBand="1"/>
        </w:tblPrEx>
        <w:trPr>
          <w:cantSplit/>
          <w:trHeight w:val="20"/>
        </w:trPr>
        <w:tc>
          <w:tcPr>
            <w:tcW w:w="1271" w:type="dxa"/>
          </w:tcPr>
          <w:p w14:paraId="0E63FE36" w14:textId="77777777" w:rsidR="00E665F1" w:rsidRPr="00F34F7E" w:rsidRDefault="00E665F1">
            <w:pPr>
              <w:jc w:val="center"/>
              <w:rPr>
                <w:rStyle w:val="cf01"/>
                <w:rFonts w:ascii="Arial Narrow" w:hAnsi="Arial Narrow"/>
                <w:sz w:val="20"/>
                <w:szCs w:val="20"/>
              </w:rPr>
            </w:pPr>
          </w:p>
        </w:tc>
        <w:tc>
          <w:tcPr>
            <w:tcW w:w="7745" w:type="dxa"/>
            <w:gridSpan w:val="6"/>
            <w:vAlign w:val="center"/>
          </w:tcPr>
          <w:p w14:paraId="2D1C25ED" w14:textId="77777777" w:rsidR="00E665F1" w:rsidRPr="00F34F7E" w:rsidRDefault="00E665F1">
            <w:pPr>
              <w:rPr>
                <w:rFonts w:ascii="Arial Narrow" w:hAnsi="Arial Narrow"/>
                <w:b/>
                <w:bCs/>
                <w:sz w:val="20"/>
                <w:szCs w:val="20"/>
              </w:rPr>
            </w:pPr>
            <w:r w:rsidRPr="00C87DB4">
              <w:rPr>
                <w:rFonts w:ascii="Arial Narrow" w:hAnsi="Arial Narrow"/>
                <w:b/>
                <w:bCs/>
                <w:color w:val="333333"/>
                <w:sz w:val="20"/>
                <w:szCs w:val="20"/>
              </w:rPr>
              <w:t>AND</w:t>
            </w:r>
          </w:p>
        </w:tc>
      </w:tr>
      <w:tr w:rsidR="00E665F1" w:rsidRPr="00F34F7E" w14:paraId="60C8CC05" w14:textId="77777777">
        <w:tblPrEx>
          <w:tblCellMar>
            <w:top w:w="15" w:type="dxa"/>
            <w:bottom w:w="15" w:type="dxa"/>
          </w:tblCellMar>
          <w:tblLook w:val="04A0" w:firstRow="1" w:lastRow="0" w:firstColumn="1" w:lastColumn="0" w:noHBand="0" w:noVBand="1"/>
        </w:tblPrEx>
        <w:trPr>
          <w:cantSplit/>
          <w:trHeight w:val="20"/>
        </w:trPr>
        <w:tc>
          <w:tcPr>
            <w:tcW w:w="1271" w:type="dxa"/>
          </w:tcPr>
          <w:p w14:paraId="72DBAE52" w14:textId="77AA260C" w:rsidR="00E665F1" w:rsidRPr="00F34F7E" w:rsidRDefault="00E665F1">
            <w:pPr>
              <w:jc w:val="center"/>
              <w:rPr>
                <w:rStyle w:val="cf01"/>
                <w:rFonts w:ascii="Arial Narrow" w:hAnsi="Arial Narrow"/>
                <w:sz w:val="20"/>
                <w:szCs w:val="20"/>
              </w:rPr>
            </w:pPr>
          </w:p>
        </w:tc>
        <w:tc>
          <w:tcPr>
            <w:tcW w:w="7745" w:type="dxa"/>
            <w:gridSpan w:val="6"/>
            <w:vAlign w:val="center"/>
          </w:tcPr>
          <w:p w14:paraId="70BB696F" w14:textId="77777777" w:rsidR="00E665F1" w:rsidRPr="00F34F7E" w:rsidRDefault="00E665F1">
            <w:pPr>
              <w:rPr>
                <w:rFonts w:ascii="Arial Narrow" w:hAnsi="Arial Narrow"/>
                <w:b/>
                <w:bCs/>
                <w:sz w:val="20"/>
                <w:szCs w:val="20"/>
              </w:rPr>
            </w:pPr>
            <w:r w:rsidRPr="008C64FB">
              <w:rPr>
                <w:rFonts w:ascii="Arial Narrow" w:hAnsi="Arial Narrow"/>
                <w:b/>
                <w:bCs/>
                <w:sz w:val="20"/>
                <w:szCs w:val="20"/>
              </w:rPr>
              <w:t>Clinical criteria:</w:t>
            </w:r>
          </w:p>
        </w:tc>
      </w:tr>
      <w:tr w:rsidR="00E665F1" w:rsidRPr="00F34F7E" w14:paraId="1268CF4C" w14:textId="77777777">
        <w:tblPrEx>
          <w:tblCellMar>
            <w:top w:w="15" w:type="dxa"/>
            <w:bottom w:w="15" w:type="dxa"/>
          </w:tblCellMar>
          <w:tblLook w:val="04A0" w:firstRow="1" w:lastRow="0" w:firstColumn="1" w:lastColumn="0" w:noHBand="0" w:noVBand="1"/>
        </w:tblPrEx>
        <w:trPr>
          <w:cantSplit/>
          <w:trHeight w:val="20"/>
        </w:trPr>
        <w:tc>
          <w:tcPr>
            <w:tcW w:w="1271" w:type="dxa"/>
          </w:tcPr>
          <w:p w14:paraId="1247D009" w14:textId="6E75E5FA" w:rsidR="00E665F1" w:rsidRPr="00F34F7E" w:rsidRDefault="00E665F1">
            <w:pPr>
              <w:jc w:val="center"/>
              <w:rPr>
                <w:rStyle w:val="cf01"/>
                <w:rFonts w:ascii="Arial Narrow" w:hAnsi="Arial Narrow"/>
                <w:sz w:val="20"/>
                <w:szCs w:val="20"/>
              </w:rPr>
            </w:pPr>
          </w:p>
        </w:tc>
        <w:tc>
          <w:tcPr>
            <w:tcW w:w="7745" w:type="dxa"/>
            <w:gridSpan w:val="6"/>
            <w:vAlign w:val="center"/>
          </w:tcPr>
          <w:p w14:paraId="6804922E" w14:textId="77777777" w:rsidR="00E665F1" w:rsidRPr="00F34F7E" w:rsidRDefault="00E665F1">
            <w:pPr>
              <w:rPr>
                <w:rFonts w:ascii="Arial Narrow" w:hAnsi="Arial Narrow"/>
                <w:b/>
                <w:bCs/>
                <w:sz w:val="20"/>
                <w:szCs w:val="20"/>
              </w:rPr>
            </w:pPr>
            <w:r w:rsidRPr="008C64FB">
              <w:rPr>
                <w:rFonts w:ascii="Arial Narrow" w:hAnsi="Arial Narrow" w:cs="Arial Narrow"/>
                <w:iCs/>
                <w:sz w:val="20"/>
                <w:szCs w:val="20"/>
              </w:rPr>
              <w:t>Patient must have experienced on average over 1 week, 3 or more episodes per day of diarrhoea and/or flushing which persisted despite the use of anti-histamines, anti-serotonin agents and anti-diarrhoea agents</w:t>
            </w:r>
          </w:p>
        </w:tc>
      </w:tr>
      <w:tr w:rsidR="00E665F1" w:rsidRPr="00F34F7E" w14:paraId="1FF2809B" w14:textId="77777777">
        <w:tblPrEx>
          <w:tblCellMar>
            <w:top w:w="15" w:type="dxa"/>
            <w:bottom w:w="15" w:type="dxa"/>
          </w:tblCellMar>
          <w:tblLook w:val="04A0" w:firstRow="1" w:lastRow="0" w:firstColumn="1" w:lastColumn="0" w:noHBand="0" w:noVBand="1"/>
        </w:tblPrEx>
        <w:trPr>
          <w:cantSplit/>
          <w:trHeight w:val="20"/>
        </w:trPr>
        <w:tc>
          <w:tcPr>
            <w:tcW w:w="1271" w:type="dxa"/>
          </w:tcPr>
          <w:p w14:paraId="59E54F41" w14:textId="77777777" w:rsidR="00E665F1" w:rsidRPr="00F34F7E" w:rsidRDefault="00E665F1">
            <w:pPr>
              <w:jc w:val="center"/>
              <w:rPr>
                <w:rStyle w:val="cf01"/>
                <w:rFonts w:ascii="Arial Narrow" w:hAnsi="Arial Narrow"/>
                <w:sz w:val="20"/>
                <w:szCs w:val="20"/>
              </w:rPr>
            </w:pPr>
          </w:p>
        </w:tc>
        <w:tc>
          <w:tcPr>
            <w:tcW w:w="7745" w:type="dxa"/>
            <w:gridSpan w:val="6"/>
            <w:vAlign w:val="center"/>
          </w:tcPr>
          <w:p w14:paraId="4D1E56BD" w14:textId="77777777" w:rsidR="00E665F1" w:rsidRPr="00F34F7E" w:rsidRDefault="00E665F1">
            <w:pPr>
              <w:rPr>
                <w:rFonts w:ascii="Arial Narrow" w:hAnsi="Arial Narrow"/>
                <w:b/>
                <w:bCs/>
                <w:sz w:val="20"/>
                <w:szCs w:val="20"/>
              </w:rPr>
            </w:pPr>
            <w:r w:rsidRPr="00C87DB4">
              <w:rPr>
                <w:rFonts w:ascii="Arial Narrow" w:hAnsi="Arial Narrow"/>
                <w:b/>
                <w:bCs/>
                <w:color w:val="333333"/>
                <w:sz w:val="20"/>
                <w:szCs w:val="20"/>
              </w:rPr>
              <w:t>AND</w:t>
            </w:r>
          </w:p>
        </w:tc>
      </w:tr>
      <w:tr w:rsidR="00E665F1" w:rsidRPr="00F34F7E" w14:paraId="6D8DBBEA" w14:textId="77777777">
        <w:tblPrEx>
          <w:tblCellMar>
            <w:top w:w="15" w:type="dxa"/>
            <w:bottom w:w="15" w:type="dxa"/>
          </w:tblCellMar>
          <w:tblLook w:val="04A0" w:firstRow="1" w:lastRow="0" w:firstColumn="1" w:lastColumn="0" w:noHBand="0" w:noVBand="1"/>
        </w:tblPrEx>
        <w:trPr>
          <w:cantSplit/>
          <w:trHeight w:val="20"/>
        </w:trPr>
        <w:tc>
          <w:tcPr>
            <w:tcW w:w="1271" w:type="dxa"/>
          </w:tcPr>
          <w:p w14:paraId="353C7C06" w14:textId="69ADD026" w:rsidR="00E665F1" w:rsidRPr="00F34F7E" w:rsidRDefault="00E665F1">
            <w:pPr>
              <w:jc w:val="center"/>
              <w:rPr>
                <w:rStyle w:val="cf01"/>
                <w:rFonts w:ascii="Arial Narrow" w:hAnsi="Arial Narrow"/>
                <w:sz w:val="20"/>
                <w:szCs w:val="20"/>
              </w:rPr>
            </w:pPr>
          </w:p>
        </w:tc>
        <w:tc>
          <w:tcPr>
            <w:tcW w:w="7745" w:type="dxa"/>
            <w:gridSpan w:val="6"/>
            <w:vAlign w:val="center"/>
          </w:tcPr>
          <w:p w14:paraId="6C6EB11E" w14:textId="77777777" w:rsidR="00E665F1" w:rsidRPr="00F34F7E" w:rsidRDefault="00E665F1">
            <w:pPr>
              <w:rPr>
                <w:rFonts w:ascii="Arial Narrow" w:hAnsi="Arial Narrow"/>
                <w:b/>
                <w:bCs/>
                <w:sz w:val="20"/>
                <w:szCs w:val="20"/>
              </w:rPr>
            </w:pPr>
            <w:r w:rsidRPr="005B41E6">
              <w:rPr>
                <w:rFonts w:ascii="Arial Narrow" w:hAnsi="Arial Narrow"/>
                <w:b/>
                <w:bCs/>
                <w:sz w:val="20"/>
                <w:szCs w:val="20"/>
              </w:rPr>
              <w:t>Clinical criteria:</w:t>
            </w:r>
          </w:p>
        </w:tc>
      </w:tr>
      <w:tr w:rsidR="00E665F1" w:rsidRPr="00F34F7E" w14:paraId="58BA2625" w14:textId="77777777">
        <w:tblPrEx>
          <w:tblCellMar>
            <w:top w:w="15" w:type="dxa"/>
            <w:bottom w:w="15" w:type="dxa"/>
          </w:tblCellMar>
          <w:tblLook w:val="04A0" w:firstRow="1" w:lastRow="0" w:firstColumn="1" w:lastColumn="0" w:noHBand="0" w:noVBand="1"/>
        </w:tblPrEx>
        <w:trPr>
          <w:cantSplit/>
          <w:trHeight w:val="20"/>
        </w:trPr>
        <w:tc>
          <w:tcPr>
            <w:tcW w:w="1271" w:type="dxa"/>
          </w:tcPr>
          <w:p w14:paraId="716EEF20" w14:textId="5CA64E69" w:rsidR="00E665F1" w:rsidRPr="00F34F7E" w:rsidRDefault="00E665F1">
            <w:pPr>
              <w:jc w:val="center"/>
              <w:rPr>
                <w:rStyle w:val="cf01"/>
                <w:rFonts w:ascii="Arial Narrow" w:hAnsi="Arial Narrow"/>
                <w:sz w:val="20"/>
                <w:szCs w:val="20"/>
              </w:rPr>
            </w:pPr>
          </w:p>
        </w:tc>
        <w:tc>
          <w:tcPr>
            <w:tcW w:w="7745" w:type="dxa"/>
            <w:gridSpan w:val="6"/>
            <w:vAlign w:val="center"/>
          </w:tcPr>
          <w:p w14:paraId="47D886DA" w14:textId="77777777" w:rsidR="00E665F1" w:rsidRPr="00F34F7E" w:rsidRDefault="00E665F1">
            <w:pPr>
              <w:rPr>
                <w:rFonts w:ascii="Arial Narrow" w:hAnsi="Arial Narrow"/>
                <w:b/>
                <w:bCs/>
                <w:sz w:val="20"/>
                <w:szCs w:val="20"/>
              </w:rPr>
            </w:pPr>
            <w:r w:rsidRPr="005B41E6">
              <w:rPr>
                <w:rFonts w:ascii="Arial Narrow" w:hAnsi="Arial Narrow" w:cs="Arial Narrow"/>
                <w:iCs/>
                <w:sz w:val="20"/>
                <w:szCs w:val="20"/>
              </w:rPr>
              <w:t xml:space="preserve">Patient must be one in whom surgery or antineoplastic therapy has failed or is inappropriate </w:t>
            </w:r>
          </w:p>
        </w:tc>
      </w:tr>
      <w:tr w:rsidR="00E665F1" w:rsidRPr="00F34F7E" w14:paraId="4ED45FF9" w14:textId="77777777">
        <w:tblPrEx>
          <w:tblCellMar>
            <w:top w:w="15" w:type="dxa"/>
            <w:bottom w:w="15" w:type="dxa"/>
          </w:tblCellMar>
          <w:tblLook w:val="04A0" w:firstRow="1" w:lastRow="0" w:firstColumn="1" w:lastColumn="0" w:noHBand="0" w:noVBand="1"/>
        </w:tblPrEx>
        <w:trPr>
          <w:cantSplit/>
          <w:trHeight w:val="20"/>
        </w:trPr>
        <w:tc>
          <w:tcPr>
            <w:tcW w:w="1271" w:type="dxa"/>
          </w:tcPr>
          <w:p w14:paraId="7856482F" w14:textId="77777777" w:rsidR="00E665F1" w:rsidRPr="00F34F7E" w:rsidRDefault="00E665F1">
            <w:pPr>
              <w:jc w:val="center"/>
              <w:rPr>
                <w:rStyle w:val="cf01"/>
                <w:rFonts w:ascii="Arial Narrow" w:hAnsi="Arial Narrow"/>
                <w:sz w:val="20"/>
                <w:szCs w:val="20"/>
              </w:rPr>
            </w:pPr>
          </w:p>
        </w:tc>
        <w:tc>
          <w:tcPr>
            <w:tcW w:w="7745" w:type="dxa"/>
            <w:gridSpan w:val="6"/>
            <w:vAlign w:val="center"/>
          </w:tcPr>
          <w:p w14:paraId="211C1EC0" w14:textId="77777777" w:rsidR="00E665F1" w:rsidRPr="00F34F7E" w:rsidRDefault="00E665F1">
            <w:pPr>
              <w:rPr>
                <w:rFonts w:ascii="Arial Narrow" w:hAnsi="Arial Narrow"/>
                <w:b/>
                <w:bCs/>
                <w:sz w:val="20"/>
                <w:szCs w:val="20"/>
              </w:rPr>
            </w:pPr>
            <w:r w:rsidRPr="00C87DB4">
              <w:rPr>
                <w:rFonts w:ascii="Arial Narrow" w:hAnsi="Arial Narrow"/>
                <w:b/>
                <w:bCs/>
                <w:color w:val="333333"/>
                <w:sz w:val="20"/>
                <w:szCs w:val="20"/>
              </w:rPr>
              <w:t>AND</w:t>
            </w:r>
          </w:p>
        </w:tc>
      </w:tr>
      <w:tr w:rsidR="00E665F1" w:rsidRPr="00F34F7E" w14:paraId="208189C3" w14:textId="77777777">
        <w:tblPrEx>
          <w:tblCellMar>
            <w:top w:w="15" w:type="dxa"/>
            <w:bottom w:w="15" w:type="dxa"/>
          </w:tblCellMar>
          <w:tblLook w:val="04A0" w:firstRow="1" w:lastRow="0" w:firstColumn="1" w:lastColumn="0" w:noHBand="0" w:noVBand="1"/>
        </w:tblPrEx>
        <w:trPr>
          <w:cantSplit/>
          <w:trHeight w:val="20"/>
        </w:trPr>
        <w:tc>
          <w:tcPr>
            <w:tcW w:w="1271" w:type="dxa"/>
          </w:tcPr>
          <w:p w14:paraId="4472C473" w14:textId="05A82DB5" w:rsidR="00E665F1" w:rsidRPr="00F34F7E" w:rsidRDefault="00E665F1">
            <w:pPr>
              <w:jc w:val="center"/>
              <w:rPr>
                <w:rStyle w:val="cf01"/>
                <w:rFonts w:ascii="Arial Narrow" w:hAnsi="Arial Narrow"/>
                <w:sz w:val="20"/>
                <w:szCs w:val="20"/>
              </w:rPr>
            </w:pPr>
          </w:p>
        </w:tc>
        <w:tc>
          <w:tcPr>
            <w:tcW w:w="7745" w:type="dxa"/>
            <w:gridSpan w:val="6"/>
            <w:vAlign w:val="center"/>
          </w:tcPr>
          <w:p w14:paraId="01E74653" w14:textId="77777777" w:rsidR="00E665F1" w:rsidRPr="00F34F7E" w:rsidRDefault="00E665F1">
            <w:pPr>
              <w:rPr>
                <w:rFonts w:ascii="Arial Narrow" w:hAnsi="Arial Narrow"/>
                <w:b/>
                <w:bCs/>
                <w:sz w:val="20"/>
                <w:szCs w:val="20"/>
              </w:rPr>
            </w:pPr>
            <w:r w:rsidRPr="00AC019F">
              <w:rPr>
                <w:rFonts w:ascii="Arial Narrow" w:hAnsi="Arial Narrow"/>
                <w:b/>
                <w:bCs/>
                <w:sz w:val="20"/>
                <w:szCs w:val="20"/>
              </w:rPr>
              <w:t>Clinical criteria:</w:t>
            </w:r>
          </w:p>
        </w:tc>
      </w:tr>
      <w:tr w:rsidR="00E665F1" w:rsidRPr="00F34F7E" w14:paraId="6F536EC0" w14:textId="77777777">
        <w:tblPrEx>
          <w:tblCellMar>
            <w:top w:w="15" w:type="dxa"/>
            <w:bottom w:w="15" w:type="dxa"/>
          </w:tblCellMar>
          <w:tblLook w:val="04A0" w:firstRow="1" w:lastRow="0" w:firstColumn="1" w:lastColumn="0" w:noHBand="0" w:noVBand="1"/>
        </w:tblPrEx>
        <w:trPr>
          <w:cantSplit/>
          <w:trHeight w:val="20"/>
        </w:trPr>
        <w:tc>
          <w:tcPr>
            <w:tcW w:w="1271" w:type="dxa"/>
          </w:tcPr>
          <w:p w14:paraId="248ECCBE" w14:textId="4BF07BD5" w:rsidR="00E665F1" w:rsidRPr="00F34F7E" w:rsidRDefault="00E665F1">
            <w:pPr>
              <w:jc w:val="center"/>
              <w:rPr>
                <w:rStyle w:val="cf01"/>
                <w:rFonts w:ascii="Arial Narrow" w:hAnsi="Arial Narrow"/>
                <w:sz w:val="20"/>
                <w:szCs w:val="20"/>
              </w:rPr>
            </w:pPr>
          </w:p>
        </w:tc>
        <w:tc>
          <w:tcPr>
            <w:tcW w:w="7745" w:type="dxa"/>
            <w:gridSpan w:val="6"/>
            <w:vAlign w:val="center"/>
          </w:tcPr>
          <w:p w14:paraId="155169C5" w14:textId="77777777" w:rsidR="00E665F1" w:rsidRPr="00F34F7E" w:rsidRDefault="00E665F1">
            <w:pPr>
              <w:rPr>
                <w:rFonts w:ascii="Arial Narrow" w:hAnsi="Arial Narrow"/>
                <w:b/>
                <w:bCs/>
                <w:sz w:val="20"/>
                <w:szCs w:val="20"/>
              </w:rPr>
            </w:pPr>
            <w:r w:rsidRPr="00AC019F">
              <w:rPr>
                <w:rFonts w:ascii="Arial Narrow" w:hAnsi="Arial Narrow" w:cs="Arial Narrow"/>
                <w:iCs/>
                <w:sz w:val="20"/>
                <w:szCs w:val="20"/>
              </w:rPr>
              <w:t>The treatment must cease if there is failure to produce a clinically significant reduction in the frequency and severity of symptoms after 3 months’ therapy at a dose of 120 mg every 28 days</w:t>
            </w:r>
          </w:p>
        </w:tc>
      </w:tr>
      <w:tr w:rsidR="00E665F1" w:rsidRPr="00F34F7E" w14:paraId="0AD466FB" w14:textId="77777777">
        <w:tblPrEx>
          <w:tblCellMar>
            <w:top w:w="15" w:type="dxa"/>
            <w:bottom w:w="15" w:type="dxa"/>
          </w:tblCellMar>
          <w:tblLook w:val="04A0" w:firstRow="1" w:lastRow="0" w:firstColumn="1" w:lastColumn="0" w:noHBand="0" w:noVBand="1"/>
        </w:tblPrEx>
        <w:trPr>
          <w:cantSplit/>
          <w:trHeight w:val="20"/>
        </w:trPr>
        <w:tc>
          <w:tcPr>
            <w:tcW w:w="1271" w:type="dxa"/>
          </w:tcPr>
          <w:p w14:paraId="6ECCA0D3" w14:textId="77777777" w:rsidR="00E665F1" w:rsidRPr="00F34F7E" w:rsidRDefault="00E665F1">
            <w:pPr>
              <w:jc w:val="center"/>
              <w:rPr>
                <w:rStyle w:val="cf01"/>
                <w:rFonts w:ascii="Arial Narrow" w:hAnsi="Arial Narrow"/>
                <w:sz w:val="20"/>
                <w:szCs w:val="20"/>
              </w:rPr>
            </w:pPr>
          </w:p>
        </w:tc>
        <w:tc>
          <w:tcPr>
            <w:tcW w:w="7745" w:type="dxa"/>
            <w:gridSpan w:val="6"/>
            <w:vAlign w:val="center"/>
          </w:tcPr>
          <w:p w14:paraId="3B42C034" w14:textId="77777777" w:rsidR="00E665F1" w:rsidRPr="00F34F7E" w:rsidRDefault="00E665F1">
            <w:pPr>
              <w:rPr>
                <w:rFonts w:ascii="Arial Narrow" w:hAnsi="Arial Narrow"/>
                <w:b/>
                <w:bCs/>
                <w:sz w:val="20"/>
                <w:szCs w:val="20"/>
              </w:rPr>
            </w:pPr>
          </w:p>
        </w:tc>
      </w:tr>
      <w:tr w:rsidR="00E665F1" w:rsidRPr="00F34F7E" w14:paraId="2FFB0570" w14:textId="77777777">
        <w:tblPrEx>
          <w:tblCellMar>
            <w:top w:w="15" w:type="dxa"/>
            <w:bottom w:w="15" w:type="dxa"/>
          </w:tblCellMar>
          <w:tblLook w:val="04A0" w:firstRow="1" w:lastRow="0" w:firstColumn="1" w:lastColumn="0" w:noHBand="0" w:noVBand="1"/>
        </w:tblPrEx>
        <w:trPr>
          <w:cantSplit/>
          <w:trHeight w:val="20"/>
        </w:trPr>
        <w:tc>
          <w:tcPr>
            <w:tcW w:w="1271" w:type="dxa"/>
          </w:tcPr>
          <w:p w14:paraId="117F67BB" w14:textId="544E18A7" w:rsidR="00E665F1" w:rsidRPr="00F34F7E" w:rsidRDefault="00E665F1">
            <w:pPr>
              <w:jc w:val="center"/>
              <w:rPr>
                <w:rStyle w:val="cf01"/>
                <w:rFonts w:ascii="Arial Narrow" w:hAnsi="Arial Narrow"/>
                <w:sz w:val="20"/>
                <w:szCs w:val="20"/>
              </w:rPr>
            </w:pPr>
          </w:p>
        </w:tc>
        <w:tc>
          <w:tcPr>
            <w:tcW w:w="7745" w:type="dxa"/>
            <w:gridSpan w:val="6"/>
            <w:vAlign w:val="center"/>
          </w:tcPr>
          <w:p w14:paraId="5FBB1B6B" w14:textId="77777777" w:rsidR="00E665F1" w:rsidRPr="00F34F7E" w:rsidRDefault="00E665F1">
            <w:pPr>
              <w:rPr>
                <w:rFonts w:ascii="Arial Narrow" w:hAnsi="Arial Narrow"/>
                <w:sz w:val="20"/>
                <w:szCs w:val="20"/>
              </w:rPr>
            </w:pPr>
            <w:r w:rsidRPr="00F34F7E">
              <w:rPr>
                <w:rFonts w:ascii="Arial Narrow" w:hAnsi="Arial Narrow"/>
                <w:b/>
                <w:bCs/>
                <w:sz w:val="20"/>
                <w:szCs w:val="20"/>
              </w:rPr>
              <w:t xml:space="preserve">Prescribing Instructions: </w:t>
            </w:r>
          </w:p>
          <w:p w14:paraId="2817B156" w14:textId="77777777" w:rsidR="00E665F1" w:rsidRPr="00F34F7E" w:rsidRDefault="00E665F1">
            <w:pPr>
              <w:rPr>
                <w:rFonts w:ascii="Arial Narrow" w:hAnsi="Arial Narrow"/>
                <w:b/>
                <w:bCs/>
                <w:sz w:val="20"/>
                <w:szCs w:val="20"/>
              </w:rPr>
            </w:pPr>
            <w:r w:rsidRPr="00F34F7E">
              <w:rPr>
                <w:rFonts w:ascii="Arial Narrow" w:hAnsi="Arial Narrow" w:cs="Arial Narrow"/>
                <w:iCs/>
                <w:sz w:val="20"/>
                <w:szCs w:val="20"/>
              </w:rPr>
              <w:t xml:space="preserve">Dosage and tolerance to the drug should be assessed regularly and the dosage should be titrated slowly downwards to determine the minimum effective dose. </w:t>
            </w:r>
          </w:p>
        </w:tc>
      </w:tr>
    </w:tbl>
    <w:p w14:paraId="4C0C6152" w14:textId="77777777" w:rsidR="00E665F1" w:rsidRDefault="00E665F1" w:rsidP="00E665F1">
      <w:pPr>
        <w:rPr>
          <w:rFonts w:ascii="Arial Narrow" w:hAnsi="Arial Narrow"/>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1271"/>
        <w:gridCol w:w="2552"/>
        <w:gridCol w:w="1275"/>
        <w:gridCol w:w="709"/>
        <w:gridCol w:w="709"/>
        <w:gridCol w:w="669"/>
        <w:gridCol w:w="1831"/>
      </w:tblGrid>
      <w:tr w:rsidR="00E665F1" w:rsidRPr="00C87DB4" w14:paraId="5F52C39A" w14:textId="77777777">
        <w:trPr>
          <w:cantSplit/>
          <w:trHeight w:val="20"/>
        </w:trPr>
        <w:tc>
          <w:tcPr>
            <w:tcW w:w="3823" w:type="dxa"/>
            <w:gridSpan w:val="2"/>
            <w:vAlign w:val="center"/>
          </w:tcPr>
          <w:p w14:paraId="09AD5291" w14:textId="77777777" w:rsidR="00E665F1" w:rsidRPr="00C87DB4" w:rsidRDefault="00E665F1" w:rsidP="005179A3">
            <w:pPr>
              <w:keepNext/>
              <w:keepLines/>
              <w:rPr>
                <w:rFonts w:ascii="Arial Narrow" w:hAnsi="Arial Narrow" w:cs="Arial"/>
                <w:b/>
                <w:bCs/>
                <w:sz w:val="20"/>
                <w:szCs w:val="20"/>
              </w:rPr>
            </w:pPr>
            <w:r w:rsidRPr="00C87DB4">
              <w:rPr>
                <w:rFonts w:ascii="Arial Narrow" w:hAnsi="Arial Narrow" w:cs="Arial"/>
                <w:b/>
                <w:bCs/>
                <w:sz w:val="20"/>
                <w:szCs w:val="20"/>
              </w:rPr>
              <w:lastRenderedPageBreak/>
              <w:t>MEDICINAL PRODUCT</w:t>
            </w:r>
          </w:p>
          <w:p w14:paraId="59454304" w14:textId="77777777" w:rsidR="00E665F1" w:rsidRPr="00C87DB4" w:rsidRDefault="00E665F1" w:rsidP="005179A3">
            <w:pPr>
              <w:keepNext/>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1275" w:type="dxa"/>
            <w:vAlign w:val="center"/>
          </w:tcPr>
          <w:p w14:paraId="5128CF16" w14:textId="77777777" w:rsidR="00E665F1" w:rsidRPr="00C87DB4" w:rsidRDefault="00E665F1">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09" w:type="dxa"/>
            <w:vAlign w:val="center"/>
          </w:tcPr>
          <w:p w14:paraId="259D68A5" w14:textId="77777777" w:rsidR="00E665F1" w:rsidRPr="00C87DB4" w:rsidRDefault="00E665F1">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709" w:type="dxa"/>
            <w:vAlign w:val="center"/>
          </w:tcPr>
          <w:p w14:paraId="22C439C4" w14:textId="77777777" w:rsidR="00E665F1" w:rsidRPr="00C87DB4" w:rsidRDefault="00E665F1">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669" w:type="dxa"/>
            <w:vAlign w:val="center"/>
          </w:tcPr>
          <w:p w14:paraId="5CE8D40A" w14:textId="77777777" w:rsidR="00E665F1" w:rsidRPr="00C87DB4" w:rsidRDefault="00E665F1">
            <w:pPr>
              <w:keepLines/>
              <w:jc w:val="center"/>
              <w:rPr>
                <w:rFonts w:ascii="Arial Narrow" w:hAnsi="Arial Narrow" w:cs="Arial"/>
                <w:b/>
                <w:sz w:val="20"/>
                <w:szCs w:val="20"/>
              </w:rPr>
            </w:pPr>
            <w:r w:rsidRPr="00C87DB4">
              <w:rPr>
                <w:rFonts w:ascii="Arial Narrow" w:hAnsi="Arial Narrow" w:cs="Arial"/>
                <w:b/>
                <w:sz w:val="20"/>
                <w:szCs w:val="20"/>
              </w:rPr>
              <w:t>№.of</w:t>
            </w:r>
          </w:p>
          <w:p w14:paraId="6B1B7A8B" w14:textId="77777777" w:rsidR="00E665F1" w:rsidRPr="00C87DB4" w:rsidRDefault="00E665F1">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18390A74" w14:textId="77777777" w:rsidR="00E665F1" w:rsidRPr="00C87DB4" w:rsidRDefault="00E665F1">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E665F1" w:rsidRPr="00C87DB4" w14:paraId="403A8C6F" w14:textId="77777777">
        <w:trPr>
          <w:cantSplit/>
          <w:trHeight w:val="20"/>
        </w:trPr>
        <w:tc>
          <w:tcPr>
            <w:tcW w:w="9016" w:type="dxa"/>
            <w:gridSpan w:val="7"/>
            <w:vAlign w:val="center"/>
          </w:tcPr>
          <w:p w14:paraId="0526E562" w14:textId="77777777" w:rsidR="00E665F1" w:rsidRPr="0059641E" w:rsidRDefault="00E665F1" w:rsidP="005179A3">
            <w:pPr>
              <w:keepNext/>
              <w:keepLines/>
              <w:rPr>
                <w:rFonts w:ascii="Arial Narrow" w:hAnsi="Arial Narrow" w:cs="Arial"/>
                <w:sz w:val="20"/>
                <w:szCs w:val="20"/>
              </w:rPr>
            </w:pPr>
            <w:r w:rsidRPr="0059641E">
              <w:rPr>
                <w:rFonts w:ascii="Arial Narrow" w:hAnsi="Arial Narrow" w:cs="Arial"/>
                <w:sz w:val="20"/>
                <w:szCs w:val="20"/>
              </w:rPr>
              <w:t>LANREOTIDE</w:t>
            </w:r>
          </w:p>
        </w:tc>
      </w:tr>
      <w:tr w:rsidR="00E665F1" w:rsidRPr="00C87DB4" w14:paraId="79B98FC2" w14:textId="77777777">
        <w:trPr>
          <w:cantSplit/>
          <w:trHeight w:val="20"/>
        </w:trPr>
        <w:tc>
          <w:tcPr>
            <w:tcW w:w="3823" w:type="dxa"/>
            <w:gridSpan w:val="2"/>
            <w:vAlign w:val="center"/>
          </w:tcPr>
          <w:p w14:paraId="212A6222" w14:textId="77777777" w:rsidR="00E665F1" w:rsidRPr="0059641E" w:rsidRDefault="00E665F1" w:rsidP="00187B4F">
            <w:pPr>
              <w:keepNext/>
              <w:tabs>
                <w:tab w:val="left" w:pos="1077"/>
              </w:tabs>
              <w:rPr>
                <w:rFonts w:ascii="Arial Narrow" w:hAnsi="Arial Narrow" w:cs="Arial"/>
                <w:sz w:val="20"/>
                <w:szCs w:val="20"/>
              </w:rPr>
            </w:pPr>
            <w:r w:rsidRPr="0059641E">
              <w:rPr>
                <w:rFonts w:ascii="Arial Narrow" w:hAnsi="Arial Narrow" w:cs="Arial"/>
                <w:sz w:val="20"/>
                <w:szCs w:val="20"/>
              </w:rPr>
              <w:t>lanreotide 120 mg/0.5 mL injection, 0.5 mL syringe</w:t>
            </w:r>
          </w:p>
        </w:tc>
        <w:tc>
          <w:tcPr>
            <w:tcW w:w="1275" w:type="dxa"/>
            <w:vAlign w:val="center"/>
          </w:tcPr>
          <w:p w14:paraId="720363BA" w14:textId="77777777" w:rsidR="00E665F1" w:rsidRPr="0059641E" w:rsidRDefault="00E665F1">
            <w:pPr>
              <w:keepNext/>
              <w:jc w:val="center"/>
              <w:rPr>
                <w:rFonts w:ascii="Arial Narrow" w:hAnsi="Arial Narrow" w:cs="Arial"/>
                <w:sz w:val="20"/>
                <w:szCs w:val="20"/>
              </w:rPr>
            </w:pPr>
            <w:r w:rsidRPr="0059641E">
              <w:rPr>
                <w:rFonts w:ascii="Arial Narrow" w:hAnsi="Arial Narrow" w:cs="Arial"/>
                <w:sz w:val="20"/>
                <w:szCs w:val="20"/>
              </w:rPr>
              <w:t>11736Q</w:t>
            </w:r>
          </w:p>
        </w:tc>
        <w:tc>
          <w:tcPr>
            <w:tcW w:w="709" w:type="dxa"/>
            <w:vAlign w:val="center"/>
          </w:tcPr>
          <w:p w14:paraId="0715CB50" w14:textId="77777777" w:rsidR="00E665F1" w:rsidRPr="0059641E" w:rsidRDefault="00E665F1">
            <w:pPr>
              <w:keepNext/>
              <w:jc w:val="center"/>
              <w:rPr>
                <w:rFonts w:ascii="Arial Narrow" w:hAnsi="Arial Narrow" w:cs="Arial"/>
                <w:sz w:val="20"/>
                <w:szCs w:val="20"/>
              </w:rPr>
            </w:pPr>
            <w:r w:rsidRPr="0059641E">
              <w:rPr>
                <w:rFonts w:ascii="Arial Narrow" w:hAnsi="Arial Narrow" w:cs="Arial"/>
                <w:sz w:val="20"/>
                <w:szCs w:val="20"/>
              </w:rPr>
              <w:t>2</w:t>
            </w:r>
          </w:p>
        </w:tc>
        <w:tc>
          <w:tcPr>
            <w:tcW w:w="709" w:type="dxa"/>
            <w:vAlign w:val="center"/>
          </w:tcPr>
          <w:p w14:paraId="6A256F89" w14:textId="77777777" w:rsidR="00E665F1" w:rsidRPr="0059641E" w:rsidRDefault="00E665F1">
            <w:pPr>
              <w:keepNext/>
              <w:jc w:val="center"/>
              <w:rPr>
                <w:rFonts w:ascii="Arial Narrow" w:hAnsi="Arial Narrow" w:cs="Arial"/>
                <w:sz w:val="20"/>
                <w:szCs w:val="20"/>
              </w:rPr>
            </w:pPr>
            <w:r w:rsidRPr="0059641E">
              <w:rPr>
                <w:rFonts w:ascii="Arial Narrow" w:hAnsi="Arial Narrow" w:cs="Arial"/>
                <w:sz w:val="20"/>
                <w:szCs w:val="20"/>
              </w:rPr>
              <w:t>2</w:t>
            </w:r>
          </w:p>
        </w:tc>
        <w:tc>
          <w:tcPr>
            <w:tcW w:w="669" w:type="dxa"/>
            <w:vAlign w:val="center"/>
          </w:tcPr>
          <w:p w14:paraId="3934D2CE" w14:textId="77777777" w:rsidR="00E665F1" w:rsidRPr="0059641E" w:rsidRDefault="00E665F1">
            <w:pPr>
              <w:keepNext/>
              <w:jc w:val="center"/>
              <w:rPr>
                <w:rFonts w:ascii="Arial Narrow" w:hAnsi="Arial Narrow" w:cs="Arial"/>
                <w:sz w:val="20"/>
                <w:szCs w:val="20"/>
              </w:rPr>
            </w:pPr>
            <w:r w:rsidRPr="0059641E">
              <w:rPr>
                <w:rFonts w:ascii="Arial Narrow" w:hAnsi="Arial Narrow" w:cs="Arial"/>
                <w:sz w:val="20"/>
                <w:szCs w:val="20"/>
              </w:rPr>
              <w:t>5</w:t>
            </w:r>
          </w:p>
        </w:tc>
        <w:tc>
          <w:tcPr>
            <w:tcW w:w="1831" w:type="dxa"/>
            <w:vAlign w:val="center"/>
          </w:tcPr>
          <w:p w14:paraId="3A88023A" w14:textId="77777777" w:rsidR="00E665F1" w:rsidRDefault="00E665F1">
            <w:pPr>
              <w:keepNext/>
              <w:rPr>
                <w:rFonts w:ascii="Arial Narrow" w:hAnsi="Arial Narrow" w:cs="Arial"/>
                <w:sz w:val="20"/>
                <w:szCs w:val="20"/>
              </w:rPr>
            </w:pPr>
            <w:r>
              <w:rPr>
                <w:rFonts w:ascii="Arial Narrow" w:hAnsi="Arial Narrow" w:cs="Arial"/>
                <w:sz w:val="20"/>
                <w:szCs w:val="20"/>
              </w:rPr>
              <w:t>Somatuline Autogel</w:t>
            </w:r>
          </w:p>
          <w:p w14:paraId="0ECA394C" w14:textId="77777777" w:rsidR="00E665F1" w:rsidRDefault="00E665F1">
            <w:pPr>
              <w:keepNext/>
              <w:rPr>
                <w:rFonts w:ascii="Arial Narrow" w:hAnsi="Arial Narrow" w:cs="Arial"/>
                <w:sz w:val="20"/>
                <w:szCs w:val="20"/>
              </w:rPr>
            </w:pPr>
            <w:r>
              <w:rPr>
                <w:rFonts w:ascii="Arial Narrow" w:hAnsi="Arial Narrow" w:cs="Arial"/>
                <w:sz w:val="20"/>
                <w:szCs w:val="20"/>
              </w:rPr>
              <w:t xml:space="preserve">Mytolac </w:t>
            </w:r>
          </w:p>
          <w:p w14:paraId="7F04E45C" w14:textId="77777777" w:rsidR="00E665F1" w:rsidRPr="009B51DC" w:rsidRDefault="00E665F1">
            <w:pPr>
              <w:keepNext/>
              <w:rPr>
                <w:rFonts w:ascii="Arial Narrow" w:hAnsi="Arial Narrow" w:cs="Arial"/>
                <w:i/>
                <w:iCs/>
                <w:sz w:val="20"/>
                <w:szCs w:val="20"/>
              </w:rPr>
            </w:pPr>
            <w:r w:rsidRPr="009B51DC">
              <w:rPr>
                <w:rFonts w:ascii="Arial Narrow" w:hAnsi="Arial Narrow" w:cs="Arial"/>
                <w:i/>
                <w:iCs/>
                <w:color w:val="FF0000"/>
                <w:sz w:val="20"/>
                <w:szCs w:val="20"/>
              </w:rPr>
              <w:t>Lacreo</w:t>
            </w:r>
          </w:p>
        </w:tc>
      </w:tr>
      <w:tr w:rsidR="00E665F1" w:rsidRPr="00C87DB4" w14:paraId="7B73A98A"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ECD0CDF" w14:textId="77777777" w:rsidR="00E665F1" w:rsidRPr="00C87DB4" w:rsidRDefault="00E665F1">
            <w:pPr>
              <w:rPr>
                <w:rFonts w:ascii="Arial Narrow" w:hAnsi="Arial Narrow" w:cs="Arial"/>
                <w:sz w:val="20"/>
                <w:szCs w:val="20"/>
              </w:rPr>
            </w:pPr>
          </w:p>
        </w:tc>
      </w:tr>
      <w:tr w:rsidR="00E665F1" w:rsidRPr="00C87DB4" w14:paraId="4520C142"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1F3C0DDE" w14:textId="77777777" w:rsidR="00E665F1" w:rsidRPr="00A86F4B" w:rsidRDefault="00E665F1">
            <w:pPr>
              <w:jc w:val="center"/>
              <w:rPr>
                <w:rFonts w:ascii="Arial Narrow" w:hAnsi="Arial Narrow" w:cs="Arial"/>
                <w:sz w:val="20"/>
                <w:szCs w:val="20"/>
              </w:rPr>
            </w:pPr>
            <w:r w:rsidRPr="00A86F4B">
              <w:rPr>
                <w:rFonts w:ascii="Arial Narrow" w:hAnsi="Arial Narrow" w:cs="Arial"/>
                <w:b/>
                <w:sz w:val="20"/>
                <w:szCs w:val="20"/>
              </w:rPr>
              <w:t>Concept ID</w:t>
            </w:r>
          </w:p>
          <w:p w14:paraId="5DECC581" w14:textId="77777777" w:rsidR="00E665F1" w:rsidRPr="00A86F4B" w:rsidRDefault="00E665F1">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F61C71E" w14:textId="77777777" w:rsidR="00E665F1" w:rsidRPr="00A86F4B" w:rsidRDefault="00E665F1">
            <w:pPr>
              <w:keepLines/>
              <w:rPr>
                <w:rFonts w:ascii="Arial Narrow" w:hAnsi="Arial Narrow" w:cs="Arial"/>
                <w:sz w:val="20"/>
                <w:szCs w:val="20"/>
              </w:rPr>
            </w:pPr>
            <w:r w:rsidRPr="00A86F4B">
              <w:rPr>
                <w:rFonts w:ascii="Arial Narrow" w:hAnsi="Arial Narrow" w:cs="Arial"/>
                <w:b/>
                <w:sz w:val="20"/>
                <w:szCs w:val="20"/>
              </w:rPr>
              <w:t>Category / Program:</w:t>
            </w:r>
            <w:r w:rsidRPr="00A86F4B">
              <w:rPr>
                <w:rFonts w:ascii="Arial Narrow" w:hAnsi="Arial Narrow" w:cs="Arial"/>
                <w:sz w:val="20"/>
                <w:szCs w:val="20"/>
              </w:rPr>
              <w:t xml:space="preserve"> </w:t>
            </w:r>
            <w:r w:rsidRPr="00A86F4B">
              <w:rPr>
                <w:rFonts w:ascii="Arial Narrow" w:eastAsia="Calibri" w:hAnsi="Arial Narrow" w:cs="Arial"/>
                <w:sz w:val="20"/>
                <w:szCs w:val="20"/>
              </w:rPr>
              <w:fldChar w:fldCharType="begin">
                <w:ffData>
                  <w:name w:val=""/>
                  <w:enabled/>
                  <w:calcOnExit w:val="0"/>
                  <w:checkBox>
                    <w:sizeAuto/>
                    <w:default w:val="1"/>
                  </w:checkBox>
                </w:ffData>
              </w:fldChar>
            </w:r>
            <w:r w:rsidRPr="00A86F4B">
              <w:rPr>
                <w:rFonts w:ascii="Arial Narrow" w:eastAsia="Calibri" w:hAnsi="Arial Narrow" w:cs="Arial"/>
                <w:sz w:val="20"/>
                <w:szCs w:val="20"/>
              </w:rPr>
              <w:instrText xml:space="preserve"> FORMCHECKBOX </w:instrText>
            </w:r>
            <w:r w:rsidRPr="00A86F4B">
              <w:rPr>
                <w:rFonts w:ascii="Arial Narrow" w:eastAsia="Calibri" w:hAnsi="Arial Narrow" w:cs="Arial"/>
                <w:sz w:val="20"/>
                <w:szCs w:val="20"/>
              </w:rPr>
            </w:r>
            <w:r w:rsidRPr="00A86F4B">
              <w:rPr>
                <w:rFonts w:ascii="Arial Narrow" w:eastAsia="Calibri" w:hAnsi="Arial Narrow" w:cs="Arial"/>
                <w:sz w:val="20"/>
                <w:szCs w:val="20"/>
              </w:rPr>
              <w:fldChar w:fldCharType="separate"/>
            </w:r>
            <w:r w:rsidRPr="00A86F4B">
              <w:rPr>
                <w:rFonts w:ascii="Arial Narrow" w:eastAsia="Calibri" w:hAnsi="Arial Narrow" w:cs="Arial"/>
                <w:sz w:val="20"/>
                <w:szCs w:val="20"/>
              </w:rPr>
              <w:fldChar w:fldCharType="end"/>
            </w:r>
            <w:r w:rsidRPr="00A86F4B">
              <w:rPr>
                <w:rFonts w:ascii="Arial Narrow" w:eastAsia="Calibri" w:hAnsi="Arial Narrow" w:cs="Arial"/>
                <w:sz w:val="20"/>
                <w:szCs w:val="20"/>
              </w:rPr>
              <w:t xml:space="preserve"> Section 100 – Highly Specialised Drugs Program – </w:t>
            </w:r>
            <w:r>
              <w:rPr>
                <w:rFonts w:ascii="Arial Narrow" w:eastAsia="Calibri" w:hAnsi="Arial Narrow" w:cs="Arial"/>
                <w:sz w:val="20"/>
                <w:szCs w:val="20"/>
              </w:rPr>
              <w:t>Community Access (CA)</w:t>
            </w:r>
          </w:p>
        </w:tc>
      </w:tr>
      <w:tr w:rsidR="00E665F1" w:rsidRPr="00C87DB4" w14:paraId="13F6862F"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14A2E861" w14:textId="77777777" w:rsidR="00E665F1" w:rsidRPr="00A86F4B" w:rsidRDefault="00E665F1">
            <w:pPr>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8B99E30" w14:textId="77777777" w:rsidR="00E665F1" w:rsidRPr="00A86F4B" w:rsidRDefault="00E665F1">
            <w:pPr>
              <w:keepLines/>
              <w:rPr>
                <w:rFonts w:ascii="Arial Narrow" w:hAnsi="Arial Narrow" w:cs="Arial"/>
                <w:b/>
                <w:sz w:val="20"/>
                <w:szCs w:val="20"/>
              </w:rPr>
            </w:pPr>
            <w:r w:rsidRPr="00A86F4B">
              <w:rPr>
                <w:rFonts w:ascii="Arial Narrow" w:hAnsi="Arial Narrow" w:cs="Arial"/>
                <w:b/>
                <w:sz w:val="20"/>
                <w:szCs w:val="20"/>
              </w:rPr>
              <w:t xml:space="preserve">Prescriber type: </w:t>
            </w:r>
            <w:r w:rsidRPr="00A86F4B">
              <w:rPr>
                <w:rFonts w:ascii="Arial Narrow" w:hAnsi="Arial Narrow" w:cs="Arial"/>
                <w:sz w:val="20"/>
                <w:szCs w:val="20"/>
              </w:rPr>
              <w:fldChar w:fldCharType="begin">
                <w:ffData>
                  <w:name w:val=""/>
                  <w:enabled/>
                  <w:calcOnExit w:val="0"/>
                  <w:checkBox>
                    <w:sizeAuto/>
                    <w:default w:val="1"/>
                  </w:checkBox>
                </w:ffData>
              </w:fldChar>
            </w:r>
            <w:r w:rsidRPr="00A86F4B">
              <w:rPr>
                <w:rFonts w:ascii="Arial Narrow" w:hAnsi="Arial Narrow" w:cs="Arial"/>
                <w:sz w:val="20"/>
                <w:szCs w:val="20"/>
              </w:rPr>
              <w:instrText xml:space="preserve"> FORMCHECKBOX </w:instrText>
            </w:r>
            <w:r w:rsidRPr="00A86F4B">
              <w:rPr>
                <w:rFonts w:ascii="Arial Narrow" w:hAnsi="Arial Narrow" w:cs="Arial"/>
                <w:sz w:val="20"/>
                <w:szCs w:val="20"/>
              </w:rPr>
            </w:r>
            <w:r w:rsidRPr="00A86F4B">
              <w:rPr>
                <w:rFonts w:ascii="Arial Narrow" w:hAnsi="Arial Narrow" w:cs="Arial"/>
                <w:sz w:val="20"/>
                <w:szCs w:val="20"/>
              </w:rPr>
              <w:fldChar w:fldCharType="separate"/>
            </w:r>
            <w:r w:rsidRPr="00A86F4B">
              <w:rPr>
                <w:rFonts w:ascii="Arial Narrow" w:hAnsi="Arial Narrow" w:cs="Arial"/>
                <w:sz w:val="20"/>
                <w:szCs w:val="20"/>
              </w:rPr>
              <w:fldChar w:fldCharType="end"/>
            </w:r>
            <w:r w:rsidRPr="00A86F4B">
              <w:rPr>
                <w:rFonts w:ascii="Arial Narrow" w:hAnsi="Arial Narrow" w:cs="Arial"/>
                <w:sz w:val="20"/>
                <w:szCs w:val="20"/>
              </w:rPr>
              <w:t>Medical Practitioners</w:t>
            </w:r>
          </w:p>
        </w:tc>
      </w:tr>
      <w:tr w:rsidR="00E665F1" w:rsidRPr="00C87DB4" w14:paraId="0C2D5290"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73867E61" w14:textId="77777777" w:rsidR="00E665F1" w:rsidRPr="00A86F4B" w:rsidRDefault="00E665F1">
            <w:pPr>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9AB501E" w14:textId="77777777" w:rsidR="00E665F1" w:rsidRPr="00A86F4B" w:rsidRDefault="00E665F1">
            <w:pPr>
              <w:keepLines/>
              <w:rPr>
                <w:rFonts w:ascii="Arial Narrow" w:hAnsi="Arial Narrow" w:cs="Arial"/>
                <w:sz w:val="20"/>
                <w:szCs w:val="20"/>
              </w:rPr>
            </w:pPr>
            <w:r w:rsidRPr="00A86F4B">
              <w:rPr>
                <w:rFonts w:ascii="Arial Narrow" w:hAnsi="Arial Narrow" w:cs="Arial"/>
                <w:b/>
                <w:sz w:val="20"/>
                <w:szCs w:val="20"/>
              </w:rPr>
              <w:t xml:space="preserve">Benefit type: </w:t>
            </w:r>
            <w:r w:rsidRPr="00A86F4B">
              <w:rPr>
                <w:rFonts w:ascii="Arial Narrow" w:eastAsia="Calibri" w:hAnsi="Arial Narrow" w:cs="Arial"/>
                <w:sz w:val="20"/>
                <w:szCs w:val="20"/>
              </w:rPr>
              <w:fldChar w:fldCharType="begin">
                <w:ffData>
                  <w:name w:val=""/>
                  <w:enabled/>
                  <w:calcOnExit w:val="0"/>
                  <w:checkBox>
                    <w:sizeAuto/>
                    <w:default w:val="1"/>
                  </w:checkBox>
                </w:ffData>
              </w:fldChar>
            </w:r>
            <w:r w:rsidRPr="00A86F4B">
              <w:rPr>
                <w:rFonts w:ascii="Arial Narrow" w:eastAsia="Calibri" w:hAnsi="Arial Narrow" w:cs="Arial"/>
                <w:sz w:val="20"/>
                <w:szCs w:val="20"/>
              </w:rPr>
              <w:instrText xml:space="preserve"> FORMCHECKBOX </w:instrText>
            </w:r>
            <w:r w:rsidRPr="00A86F4B">
              <w:rPr>
                <w:rFonts w:ascii="Arial Narrow" w:eastAsia="Calibri" w:hAnsi="Arial Narrow" w:cs="Arial"/>
                <w:sz w:val="20"/>
                <w:szCs w:val="20"/>
              </w:rPr>
            </w:r>
            <w:r w:rsidRPr="00A86F4B">
              <w:rPr>
                <w:rFonts w:ascii="Arial Narrow" w:eastAsia="Calibri" w:hAnsi="Arial Narrow" w:cs="Arial"/>
                <w:sz w:val="20"/>
                <w:szCs w:val="20"/>
              </w:rPr>
              <w:fldChar w:fldCharType="separate"/>
            </w:r>
            <w:r w:rsidRPr="00A86F4B">
              <w:rPr>
                <w:rFonts w:ascii="Arial Narrow" w:eastAsia="Calibri" w:hAnsi="Arial Narrow" w:cs="Arial"/>
                <w:sz w:val="20"/>
                <w:szCs w:val="20"/>
              </w:rPr>
              <w:fldChar w:fldCharType="end"/>
            </w:r>
            <w:r w:rsidRPr="00A86F4B">
              <w:rPr>
                <w:rFonts w:ascii="Arial Narrow" w:eastAsia="Calibri" w:hAnsi="Arial Narrow" w:cs="Arial"/>
                <w:sz w:val="20"/>
                <w:szCs w:val="20"/>
              </w:rPr>
              <w:t xml:space="preserve">Authority Required (Streamlined) [new/existing code] </w:t>
            </w:r>
          </w:p>
        </w:tc>
      </w:tr>
      <w:tr w:rsidR="00E665F1" w:rsidRPr="00C87DB4" w14:paraId="6C6E3345"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41C5129D" w14:textId="77777777" w:rsidR="00E665F1" w:rsidRPr="00A86F4B" w:rsidRDefault="00E665F1">
            <w:pPr>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067E2A2" w14:textId="77777777" w:rsidR="00E665F1" w:rsidRPr="00A86F4B" w:rsidRDefault="00E665F1">
            <w:pPr>
              <w:keepLines/>
              <w:rPr>
                <w:rFonts w:ascii="Arial Narrow" w:eastAsia="Calibri" w:hAnsi="Arial Narrow" w:cs="Arial"/>
                <w:sz w:val="20"/>
                <w:szCs w:val="20"/>
              </w:rPr>
            </w:pPr>
            <w:r w:rsidRPr="00A86F4B">
              <w:rPr>
                <w:rFonts w:ascii="Arial Narrow" w:hAnsi="Arial Narrow" w:cs="Arial"/>
                <w:b/>
                <w:sz w:val="20"/>
                <w:szCs w:val="20"/>
              </w:rPr>
              <w:t xml:space="preserve">Authority type: </w:t>
            </w:r>
            <w:r w:rsidRPr="00A86F4B">
              <w:rPr>
                <w:rFonts w:ascii="Arial Narrow" w:eastAsia="Calibri" w:hAnsi="Arial Narrow" w:cs="Arial"/>
                <w:sz w:val="20"/>
                <w:szCs w:val="20"/>
              </w:rPr>
              <w:fldChar w:fldCharType="begin">
                <w:ffData>
                  <w:name w:val="Check1"/>
                  <w:enabled/>
                  <w:calcOnExit w:val="0"/>
                  <w:checkBox>
                    <w:sizeAuto/>
                    <w:default w:val="1"/>
                  </w:checkBox>
                </w:ffData>
              </w:fldChar>
            </w:r>
            <w:r w:rsidRPr="00A86F4B">
              <w:rPr>
                <w:rFonts w:ascii="Arial Narrow" w:eastAsia="Calibri" w:hAnsi="Arial Narrow" w:cs="Arial"/>
                <w:sz w:val="20"/>
                <w:szCs w:val="20"/>
              </w:rPr>
              <w:instrText xml:space="preserve"> FORMCHECKBOX </w:instrText>
            </w:r>
            <w:r w:rsidRPr="00A86F4B">
              <w:rPr>
                <w:rFonts w:ascii="Arial Narrow" w:eastAsia="Calibri" w:hAnsi="Arial Narrow" w:cs="Arial"/>
                <w:sz w:val="20"/>
                <w:szCs w:val="20"/>
              </w:rPr>
            </w:r>
            <w:r w:rsidRPr="00A86F4B">
              <w:rPr>
                <w:rFonts w:ascii="Arial Narrow" w:eastAsia="Calibri" w:hAnsi="Arial Narrow" w:cs="Arial"/>
                <w:sz w:val="20"/>
                <w:szCs w:val="20"/>
              </w:rPr>
              <w:fldChar w:fldCharType="separate"/>
            </w:r>
            <w:r w:rsidRPr="00A86F4B">
              <w:rPr>
                <w:rFonts w:ascii="Arial Narrow" w:eastAsia="Calibri" w:hAnsi="Arial Narrow" w:cs="Arial"/>
                <w:sz w:val="20"/>
                <w:szCs w:val="20"/>
              </w:rPr>
              <w:fldChar w:fldCharType="end"/>
            </w:r>
            <w:r w:rsidRPr="00A86F4B">
              <w:rPr>
                <w:rFonts w:ascii="Arial Narrow" w:eastAsia="Calibri" w:hAnsi="Arial Narrow" w:cs="Arial"/>
                <w:sz w:val="20"/>
                <w:szCs w:val="20"/>
              </w:rPr>
              <w:t xml:space="preserve"> Non-complex Authority Required (non-CAR)</w:t>
            </w:r>
          </w:p>
        </w:tc>
      </w:tr>
      <w:tr w:rsidR="00E665F1" w:rsidRPr="00C87DB4" w14:paraId="0B967727" w14:textId="77777777">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bottom w:val="single" w:sz="4" w:space="0" w:color="auto"/>
              <w:right w:val="single" w:sz="4" w:space="0" w:color="auto"/>
            </w:tcBorders>
          </w:tcPr>
          <w:p w14:paraId="73895BBE" w14:textId="430B908C" w:rsidR="00E665F1" w:rsidRPr="00CF23C4" w:rsidRDefault="00E665F1">
            <w:pPr>
              <w:jc w:val="cente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79184DA" w14:textId="77777777" w:rsidR="00E665F1" w:rsidRPr="00B271B5" w:rsidRDefault="00E665F1">
            <w:pPr>
              <w:rPr>
                <w:rFonts w:ascii="Arial Narrow" w:hAnsi="Arial Narrow"/>
                <w:sz w:val="20"/>
                <w:szCs w:val="20"/>
              </w:rPr>
            </w:pPr>
            <w:r w:rsidRPr="00B271B5">
              <w:rPr>
                <w:rFonts w:ascii="Arial Narrow" w:hAnsi="Arial Narrow"/>
                <w:b/>
                <w:bCs/>
                <w:sz w:val="20"/>
                <w:szCs w:val="20"/>
              </w:rPr>
              <w:t xml:space="preserve">Administrative Advice: </w:t>
            </w:r>
          </w:p>
          <w:p w14:paraId="24A290B7" w14:textId="77777777" w:rsidR="00E665F1" w:rsidRPr="00CF23C4" w:rsidRDefault="00E665F1">
            <w:pPr>
              <w:rPr>
                <w:rFonts w:ascii="Arial Narrow" w:hAnsi="Arial Narrow"/>
                <w:sz w:val="20"/>
                <w:szCs w:val="20"/>
              </w:rPr>
            </w:pPr>
            <w:r>
              <w:rPr>
                <w:rFonts w:ascii="Arial Narrow" w:hAnsi="Arial Narrow"/>
                <w:sz w:val="20"/>
                <w:szCs w:val="20"/>
              </w:rPr>
              <w:t>Somatuline Autogel</w:t>
            </w:r>
            <w:r w:rsidRPr="00495C62">
              <w:rPr>
                <w:rFonts w:ascii="Arial Narrow" w:hAnsi="Arial Narrow"/>
                <w:i/>
                <w:iCs/>
                <w:color w:val="FF0000"/>
                <w:sz w:val="20"/>
                <w:szCs w:val="20"/>
              </w:rPr>
              <w:t>,</w:t>
            </w:r>
            <w:r>
              <w:rPr>
                <w:rFonts w:ascii="Arial Narrow" w:hAnsi="Arial Narrow"/>
                <w:i/>
                <w:iCs/>
                <w:color w:val="FF0000"/>
                <w:sz w:val="20"/>
                <w:szCs w:val="20"/>
              </w:rPr>
              <w:t xml:space="preserve"> </w:t>
            </w:r>
            <w:r w:rsidRPr="00AE5A4D">
              <w:rPr>
                <w:rFonts w:ascii="Arial Narrow" w:hAnsi="Arial Narrow"/>
                <w:strike/>
                <w:color w:val="FF0000"/>
                <w:sz w:val="20"/>
                <w:szCs w:val="20"/>
              </w:rPr>
              <w:t>and</w:t>
            </w:r>
            <w:r>
              <w:rPr>
                <w:rFonts w:ascii="Arial Narrow" w:hAnsi="Arial Narrow"/>
                <w:sz w:val="20"/>
                <w:szCs w:val="20"/>
              </w:rPr>
              <w:t xml:space="preserve"> Mytolac </w:t>
            </w:r>
            <w:r w:rsidRPr="002C2A17">
              <w:rPr>
                <w:rFonts w:ascii="Arial Narrow" w:hAnsi="Arial Narrow"/>
                <w:color w:val="FF0000"/>
                <w:sz w:val="20"/>
                <w:szCs w:val="20"/>
              </w:rPr>
              <w:t xml:space="preserve">and </w:t>
            </w:r>
            <w:r w:rsidRPr="002C2A17">
              <w:rPr>
                <w:rFonts w:ascii="Arial Narrow" w:hAnsi="Arial Narrow"/>
                <w:i/>
                <w:iCs/>
                <w:color w:val="FF0000"/>
                <w:sz w:val="20"/>
                <w:szCs w:val="20"/>
              </w:rPr>
              <w:t>LACREO</w:t>
            </w:r>
            <w:r w:rsidRPr="002C2A17">
              <w:rPr>
                <w:rFonts w:ascii="Arial Narrow" w:hAnsi="Arial Narrow"/>
                <w:color w:val="FF0000"/>
                <w:sz w:val="20"/>
                <w:szCs w:val="20"/>
              </w:rPr>
              <w:t xml:space="preserve"> </w:t>
            </w:r>
            <w:r>
              <w:rPr>
                <w:rFonts w:ascii="Arial Narrow" w:hAnsi="Arial Narrow"/>
                <w:sz w:val="20"/>
                <w:szCs w:val="20"/>
              </w:rPr>
              <w:t>products are equivalent for the purpose of substitution. Pharmacists should ensure that patients are educated regarding the product differences upon dispensing.</w:t>
            </w:r>
          </w:p>
        </w:tc>
      </w:tr>
      <w:tr w:rsidR="00E665F1" w:rsidRPr="00C87DB4" w14:paraId="0AA20C25" w14:textId="77777777">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bottom w:val="single" w:sz="4" w:space="0" w:color="auto"/>
              <w:right w:val="single" w:sz="4" w:space="0" w:color="auto"/>
            </w:tcBorders>
          </w:tcPr>
          <w:p w14:paraId="2665CF43" w14:textId="22D8749D" w:rsidR="00E665F1" w:rsidRPr="00CF23C4" w:rsidRDefault="00E665F1">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ACD0ABE" w14:textId="77777777" w:rsidR="00E665F1" w:rsidRPr="00CF23C4" w:rsidRDefault="00E665F1">
            <w:pPr>
              <w:rPr>
                <w:rFonts w:ascii="Arial Narrow" w:hAnsi="Arial Narrow"/>
                <w:sz w:val="20"/>
                <w:szCs w:val="20"/>
              </w:rPr>
            </w:pPr>
            <w:r w:rsidRPr="00CF23C4">
              <w:rPr>
                <w:rFonts w:ascii="Arial Narrow" w:hAnsi="Arial Narrow"/>
                <w:b/>
                <w:bCs/>
                <w:sz w:val="20"/>
                <w:szCs w:val="20"/>
              </w:rPr>
              <w:t xml:space="preserve">Administrative Advice: </w:t>
            </w:r>
          </w:p>
          <w:p w14:paraId="1721E6DB" w14:textId="77777777" w:rsidR="00E665F1" w:rsidRPr="009878EA" w:rsidRDefault="00E665F1">
            <w:pPr>
              <w:rPr>
                <w:rFonts w:ascii="Arial Narrow" w:hAnsi="Arial Narrow"/>
                <w:sz w:val="20"/>
                <w:szCs w:val="20"/>
              </w:rPr>
            </w:pPr>
            <w:r>
              <w:rPr>
                <w:rFonts w:ascii="Arial Narrow" w:hAnsi="Arial Narrow"/>
                <w:sz w:val="20"/>
                <w:szCs w:val="20"/>
              </w:rPr>
              <w:t>No increase in the maximum quantity or number of units may be authorised</w:t>
            </w:r>
          </w:p>
        </w:tc>
      </w:tr>
      <w:tr w:rsidR="00E665F1" w:rsidRPr="00C87DB4" w14:paraId="60211219" w14:textId="77777777">
        <w:tblPrEx>
          <w:tblCellMar>
            <w:top w:w="15" w:type="dxa"/>
            <w:bottom w:w="15" w:type="dxa"/>
          </w:tblCellMar>
          <w:tblLook w:val="04A0" w:firstRow="1" w:lastRow="0" w:firstColumn="1" w:lastColumn="0" w:noHBand="0" w:noVBand="1"/>
        </w:tblPrEx>
        <w:trPr>
          <w:trHeight w:val="20"/>
        </w:trPr>
        <w:tc>
          <w:tcPr>
            <w:tcW w:w="1271" w:type="dxa"/>
            <w:tcBorders>
              <w:left w:val="single" w:sz="4" w:space="0" w:color="auto"/>
              <w:bottom w:val="single" w:sz="4" w:space="0" w:color="auto"/>
              <w:right w:val="single" w:sz="4" w:space="0" w:color="auto"/>
            </w:tcBorders>
          </w:tcPr>
          <w:p w14:paraId="05B89DD8" w14:textId="2E60FEEF" w:rsidR="00E665F1" w:rsidRPr="00CF23C4" w:rsidRDefault="00E665F1">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68C1601" w14:textId="77777777" w:rsidR="00E665F1" w:rsidRPr="00CF23C4" w:rsidRDefault="00E665F1">
            <w:pPr>
              <w:rPr>
                <w:rFonts w:ascii="Arial Narrow" w:hAnsi="Arial Narrow"/>
                <w:sz w:val="20"/>
                <w:szCs w:val="20"/>
              </w:rPr>
            </w:pPr>
            <w:r w:rsidRPr="00CF23C4">
              <w:rPr>
                <w:rFonts w:ascii="Arial Narrow" w:hAnsi="Arial Narrow"/>
                <w:b/>
                <w:bCs/>
                <w:sz w:val="20"/>
                <w:szCs w:val="20"/>
              </w:rPr>
              <w:t xml:space="preserve">Administrative Advice: </w:t>
            </w:r>
          </w:p>
          <w:p w14:paraId="1734D020" w14:textId="77777777" w:rsidR="00E665F1" w:rsidRPr="009878EA" w:rsidRDefault="00E665F1">
            <w:pPr>
              <w:rPr>
                <w:rFonts w:ascii="Arial Narrow" w:hAnsi="Arial Narrow"/>
                <w:sz w:val="20"/>
                <w:szCs w:val="20"/>
              </w:rPr>
            </w:pPr>
            <w:r>
              <w:rPr>
                <w:rFonts w:ascii="Arial Narrow" w:hAnsi="Arial Narrow"/>
                <w:sz w:val="20"/>
                <w:szCs w:val="20"/>
              </w:rPr>
              <w:t xml:space="preserve">No increase in the maximum number of repeats may be authorised </w:t>
            </w:r>
          </w:p>
        </w:tc>
      </w:tr>
      <w:tr w:rsidR="00E665F1" w:rsidRPr="00C87DB4" w14:paraId="3A5EF82B" w14:textId="77777777" w:rsidTr="005179A3">
        <w:tblPrEx>
          <w:tblCellMar>
            <w:top w:w="15" w:type="dxa"/>
            <w:bottom w:w="15" w:type="dxa"/>
          </w:tblCellMar>
        </w:tblPrEx>
        <w:trPr>
          <w:cantSplit/>
          <w:trHeight w:val="20"/>
        </w:trPr>
        <w:tc>
          <w:tcPr>
            <w:tcW w:w="1271" w:type="dxa"/>
          </w:tcPr>
          <w:p w14:paraId="51C99F8E" w14:textId="7A3AE228" w:rsidR="00E665F1" w:rsidRPr="00D57D9E" w:rsidRDefault="00E665F1">
            <w:pPr>
              <w:keepLines/>
              <w:jc w:val="center"/>
              <w:rPr>
                <w:rFonts w:ascii="Arial Narrow" w:hAnsi="Arial Narrow"/>
                <w:sz w:val="20"/>
                <w:szCs w:val="20"/>
              </w:rPr>
            </w:pPr>
          </w:p>
        </w:tc>
        <w:tc>
          <w:tcPr>
            <w:tcW w:w="7745" w:type="dxa"/>
            <w:gridSpan w:val="6"/>
            <w:vAlign w:val="center"/>
            <w:hideMark/>
          </w:tcPr>
          <w:p w14:paraId="3EFAE639" w14:textId="77777777" w:rsidR="00E665F1" w:rsidRPr="00D57D9E" w:rsidRDefault="00E665F1">
            <w:pPr>
              <w:keepLines/>
              <w:rPr>
                <w:rFonts w:ascii="Arial Narrow" w:hAnsi="Arial Narrow"/>
                <w:sz w:val="20"/>
                <w:szCs w:val="20"/>
              </w:rPr>
            </w:pPr>
            <w:r w:rsidRPr="00D57D9E">
              <w:rPr>
                <w:rFonts w:ascii="Arial Narrow" w:hAnsi="Arial Narrow"/>
                <w:b/>
                <w:bCs/>
                <w:sz w:val="20"/>
                <w:szCs w:val="20"/>
              </w:rPr>
              <w:t>Indication:</w:t>
            </w:r>
            <w:r w:rsidRPr="00D57D9E">
              <w:rPr>
                <w:rFonts w:ascii="Arial Narrow" w:hAnsi="Arial Narrow"/>
                <w:sz w:val="20"/>
                <w:szCs w:val="20"/>
              </w:rPr>
              <w:t xml:space="preserve"> </w:t>
            </w:r>
            <w:r>
              <w:rPr>
                <w:rFonts w:ascii="Arial Narrow" w:hAnsi="Arial Narrow"/>
                <w:sz w:val="20"/>
                <w:szCs w:val="20"/>
              </w:rPr>
              <w:t>Non-functional gastroenteropancreatic neuroendocrine tumour (GEP-NET)</w:t>
            </w:r>
          </w:p>
        </w:tc>
      </w:tr>
      <w:tr w:rsidR="00E665F1" w:rsidRPr="00C87DB4" w14:paraId="1844D78B" w14:textId="77777777">
        <w:tblPrEx>
          <w:tblCellMar>
            <w:top w:w="15" w:type="dxa"/>
            <w:bottom w:w="15" w:type="dxa"/>
          </w:tblCellMar>
          <w:tblLook w:val="04A0" w:firstRow="1" w:lastRow="0" w:firstColumn="1" w:lastColumn="0" w:noHBand="0" w:noVBand="1"/>
        </w:tblPrEx>
        <w:trPr>
          <w:cantSplit/>
          <w:trHeight w:val="20"/>
        </w:trPr>
        <w:tc>
          <w:tcPr>
            <w:tcW w:w="1271" w:type="dxa"/>
          </w:tcPr>
          <w:p w14:paraId="68634CD4" w14:textId="77777777" w:rsidR="00E665F1" w:rsidRDefault="00E665F1">
            <w:pPr>
              <w:jc w:val="center"/>
              <w:rPr>
                <w:rFonts w:ascii="Arial Narrow" w:hAnsi="Arial Narrow"/>
                <w:sz w:val="20"/>
                <w:szCs w:val="20"/>
              </w:rPr>
            </w:pPr>
          </w:p>
        </w:tc>
        <w:tc>
          <w:tcPr>
            <w:tcW w:w="7745" w:type="dxa"/>
            <w:gridSpan w:val="6"/>
            <w:vAlign w:val="center"/>
          </w:tcPr>
          <w:p w14:paraId="44875E98" w14:textId="77777777" w:rsidR="00E665F1" w:rsidRPr="0023180E" w:rsidRDefault="00E665F1">
            <w:pPr>
              <w:rPr>
                <w:rFonts w:ascii="Arial Narrow" w:hAnsi="Arial Narrow"/>
                <w:b/>
                <w:bCs/>
                <w:sz w:val="20"/>
                <w:szCs w:val="20"/>
              </w:rPr>
            </w:pPr>
            <w:r>
              <w:rPr>
                <w:rFonts w:ascii="Arial Narrow" w:hAnsi="Arial Narrow"/>
                <w:b/>
                <w:bCs/>
                <w:sz w:val="20"/>
                <w:szCs w:val="20"/>
              </w:rPr>
              <w:t xml:space="preserve">Treatment Phase: </w:t>
            </w:r>
            <w:r w:rsidRPr="00CD609A">
              <w:rPr>
                <w:rFonts w:ascii="Arial Narrow" w:hAnsi="Arial Narrow"/>
                <w:sz w:val="20"/>
                <w:szCs w:val="20"/>
              </w:rPr>
              <w:t>Initial treatment</w:t>
            </w:r>
          </w:p>
        </w:tc>
      </w:tr>
      <w:tr w:rsidR="00E665F1" w:rsidRPr="00C87DB4" w14:paraId="25FAC381" w14:textId="77777777">
        <w:tblPrEx>
          <w:tblCellMar>
            <w:top w:w="15" w:type="dxa"/>
            <w:bottom w:w="15" w:type="dxa"/>
          </w:tblCellMar>
          <w:tblLook w:val="04A0" w:firstRow="1" w:lastRow="0" w:firstColumn="1" w:lastColumn="0" w:noHBand="0" w:noVBand="1"/>
        </w:tblPrEx>
        <w:trPr>
          <w:cantSplit/>
          <w:trHeight w:val="20"/>
        </w:trPr>
        <w:tc>
          <w:tcPr>
            <w:tcW w:w="1271" w:type="dxa"/>
          </w:tcPr>
          <w:p w14:paraId="240DBFAC" w14:textId="3020AECF" w:rsidR="00E665F1" w:rsidRDefault="00E665F1">
            <w:pPr>
              <w:jc w:val="center"/>
              <w:rPr>
                <w:rFonts w:ascii="Arial Narrow" w:hAnsi="Arial Narrow"/>
                <w:sz w:val="20"/>
                <w:szCs w:val="20"/>
              </w:rPr>
            </w:pPr>
          </w:p>
        </w:tc>
        <w:tc>
          <w:tcPr>
            <w:tcW w:w="7745" w:type="dxa"/>
            <w:gridSpan w:val="6"/>
            <w:vAlign w:val="center"/>
          </w:tcPr>
          <w:p w14:paraId="3E7EEA99" w14:textId="77777777" w:rsidR="00E665F1" w:rsidRPr="0023180E" w:rsidRDefault="00E665F1">
            <w:pPr>
              <w:rPr>
                <w:rFonts w:ascii="Arial Narrow" w:hAnsi="Arial Narrow"/>
                <w:b/>
                <w:bCs/>
                <w:sz w:val="20"/>
                <w:szCs w:val="20"/>
              </w:rPr>
            </w:pPr>
            <w:r>
              <w:rPr>
                <w:rFonts w:ascii="Arial Narrow" w:hAnsi="Arial Narrow"/>
                <w:b/>
                <w:bCs/>
                <w:sz w:val="20"/>
                <w:szCs w:val="20"/>
              </w:rPr>
              <w:t>Treatment Criteria:</w:t>
            </w:r>
          </w:p>
        </w:tc>
      </w:tr>
      <w:tr w:rsidR="00E665F1" w:rsidRPr="00C87DB4" w14:paraId="10E6CAB2" w14:textId="77777777">
        <w:tblPrEx>
          <w:tblCellMar>
            <w:top w:w="15" w:type="dxa"/>
            <w:bottom w:w="15" w:type="dxa"/>
          </w:tblCellMar>
          <w:tblLook w:val="04A0" w:firstRow="1" w:lastRow="0" w:firstColumn="1" w:lastColumn="0" w:noHBand="0" w:noVBand="1"/>
        </w:tblPrEx>
        <w:trPr>
          <w:cantSplit/>
          <w:trHeight w:val="20"/>
        </w:trPr>
        <w:tc>
          <w:tcPr>
            <w:tcW w:w="1271" w:type="dxa"/>
          </w:tcPr>
          <w:p w14:paraId="202AF020" w14:textId="1D3B8174" w:rsidR="00E665F1" w:rsidRDefault="00E665F1">
            <w:pPr>
              <w:jc w:val="center"/>
              <w:rPr>
                <w:rFonts w:ascii="Arial Narrow" w:hAnsi="Arial Narrow"/>
                <w:sz w:val="20"/>
                <w:szCs w:val="20"/>
              </w:rPr>
            </w:pPr>
          </w:p>
        </w:tc>
        <w:tc>
          <w:tcPr>
            <w:tcW w:w="7745" w:type="dxa"/>
            <w:gridSpan w:val="6"/>
            <w:vAlign w:val="center"/>
          </w:tcPr>
          <w:p w14:paraId="2A4AC14F" w14:textId="77777777" w:rsidR="00E665F1" w:rsidRPr="00AB2103" w:rsidRDefault="00E665F1">
            <w:pPr>
              <w:rPr>
                <w:rFonts w:ascii="Arial Narrow" w:hAnsi="Arial Narrow"/>
                <w:sz w:val="20"/>
                <w:szCs w:val="20"/>
              </w:rPr>
            </w:pPr>
            <w:r>
              <w:rPr>
                <w:rFonts w:ascii="Arial Narrow" w:hAnsi="Arial Narrow"/>
                <w:sz w:val="20"/>
                <w:szCs w:val="20"/>
              </w:rPr>
              <w:t xml:space="preserve">Must be treated by a specialist practicing in a hospital who is either: (i) an endocrinologist, (ii) an oncologist; or </w:t>
            </w:r>
          </w:p>
        </w:tc>
      </w:tr>
      <w:tr w:rsidR="00E665F1" w:rsidRPr="00C87DB4" w14:paraId="5EAD2797" w14:textId="77777777">
        <w:tblPrEx>
          <w:tblCellMar>
            <w:top w:w="15" w:type="dxa"/>
            <w:bottom w:w="15" w:type="dxa"/>
          </w:tblCellMar>
          <w:tblLook w:val="04A0" w:firstRow="1" w:lastRow="0" w:firstColumn="1" w:lastColumn="0" w:noHBand="0" w:noVBand="1"/>
        </w:tblPrEx>
        <w:trPr>
          <w:cantSplit/>
          <w:trHeight w:val="20"/>
        </w:trPr>
        <w:tc>
          <w:tcPr>
            <w:tcW w:w="1271" w:type="dxa"/>
          </w:tcPr>
          <w:p w14:paraId="00FABDB9" w14:textId="68AEAFFD" w:rsidR="00E665F1" w:rsidRDefault="00E665F1">
            <w:pPr>
              <w:jc w:val="center"/>
              <w:rPr>
                <w:rFonts w:ascii="Arial Narrow" w:hAnsi="Arial Narrow"/>
                <w:sz w:val="20"/>
                <w:szCs w:val="20"/>
              </w:rPr>
            </w:pPr>
          </w:p>
        </w:tc>
        <w:tc>
          <w:tcPr>
            <w:tcW w:w="7745" w:type="dxa"/>
            <w:gridSpan w:val="6"/>
            <w:vAlign w:val="center"/>
          </w:tcPr>
          <w:p w14:paraId="2E4D1862" w14:textId="77777777" w:rsidR="00E665F1" w:rsidRPr="00AB2103" w:rsidRDefault="00E665F1">
            <w:pPr>
              <w:rPr>
                <w:rFonts w:ascii="Arial Narrow" w:hAnsi="Arial Narrow"/>
                <w:sz w:val="20"/>
                <w:szCs w:val="20"/>
              </w:rPr>
            </w:pPr>
            <w:r>
              <w:rPr>
                <w:rFonts w:ascii="Arial Narrow" w:hAnsi="Arial Narrow"/>
                <w:sz w:val="20"/>
                <w:szCs w:val="20"/>
              </w:rPr>
              <w:t xml:space="preserve">Must be treated by a medical practitioner working under the direct supervision of one of the above mentioned specialist types within a hospital setting </w:t>
            </w:r>
          </w:p>
        </w:tc>
      </w:tr>
      <w:tr w:rsidR="00E665F1" w:rsidRPr="00C87DB4" w14:paraId="7434A301" w14:textId="77777777">
        <w:tblPrEx>
          <w:tblCellMar>
            <w:top w:w="15" w:type="dxa"/>
            <w:bottom w:w="15" w:type="dxa"/>
          </w:tblCellMar>
          <w:tblLook w:val="04A0" w:firstRow="1" w:lastRow="0" w:firstColumn="1" w:lastColumn="0" w:noHBand="0" w:noVBand="1"/>
        </w:tblPrEx>
        <w:trPr>
          <w:cantSplit/>
          <w:trHeight w:val="20"/>
        </w:trPr>
        <w:tc>
          <w:tcPr>
            <w:tcW w:w="1271" w:type="dxa"/>
          </w:tcPr>
          <w:p w14:paraId="33D4B5D8" w14:textId="77777777" w:rsidR="00E665F1" w:rsidRDefault="00E665F1">
            <w:pPr>
              <w:jc w:val="center"/>
              <w:rPr>
                <w:rFonts w:ascii="Arial Narrow" w:hAnsi="Arial Narrow"/>
                <w:sz w:val="20"/>
                <w:szCs w:val="20"/>
              </w:rPr>
            </w:pPr>
          </w:p>
        </w:tc>
        <w:tc>
          <w:tcPr>
            <w:tcW w:w="7745" w:type="dxa"/>
            <w:gridSpan w:val="6"/>
            <w:vAlign w:val="center"/>
          </w:tcPr>
          <w:p w14:paraId="0250E382" w14:textId="77777777" w:rsidR="00E665F1" w:rsidRPr="0023180E" w:rsidRDefault="00E665F1">
            <w:pPr>
              <w:rPr>
                <w:rFonts w:ascii="Arial Narrow" w:hAnsi="Arial Narrow"/>
                <w:b/>
                <w:bCs/>
                <w:sz w:val="20"/>
                <w:szCs w:val="20"/>
              </w:rPr>
            </w:pPr>
            <w:r w:rsidRPr="00C87DB4">
              <w:rPr>
                <w:rFonts w:ascii="Arial Narrow" w:hAnsi="Arial Narrow"/>
                <w:b/>
                <w:bCs/>
                <w:color w:val="333333"/>
                <w:sz w:val="20"/>
                <w:szCs w:val="20"/>
              </w:rPr>
              <w:t>AND</w:t>
            </w:r>
          </w:p>
        </w:tc>
      </w:tr>
      <w:tr w:rsidR="00E665F1" w:rsidRPr="00C87DB4" w14:paraId="4CBF28FC" w14:textId="77777777" w:rsidTr="005179A3">
        <w:tblPrEx>
          <w:tblCellMar>
            <w:top w:w="15" w:type="dxa"/>
            <w:bottom w:w="15" w:type="dxa"/>
          </w:tblCellMar>
        </w:tblPrEx>
        <w:trPr>
          <w:cantSplit/>
          <w:trHeight w:val="20"/>
        </w:trPr>
        <w:tc>
          <w:tcPr>
            <w:tcW w:w="1271" w:type="dxa"/>
          </w:tcPr>
          <w:p w14:paraId="225E40B9" w14:textId="63C90819" w:rsidR="00E665F1" w:rsidRPr="0023180E" w:rsidRDefault="00E665F1">
            <w:pPr>
              <w:jc w:val="center"/>
              <w:rPr>
                <w:rFonts w:ascii="Arial Narrow" w:hAnsi="Arial Narrow"/>
                <w:sz w:val="20"/>
                <w:szCs w:val="20"/>
              </w:rPr>
            </w:pPr>
          </w:p>
        </w:tc>
        <w:tc>
          <w:tcPr>
            <w:tcW w:w="7745" w:type="dxa"/>
            <w:gridSpan w:val="6"/>
            <w:vAlign w:val="center"/>
            <w:hideMark/>
          </w:tcPr>
          <w:p w14:paraId="14E5BE38" w14:textId="77777777" w:rsidR="00E665F1" w:rsidRPr="0023180E" w:rsidRDefault="00E665F1">
            <w:pPr>
              <w:rPr>
                <w:rFonts w:ascii="Arial Narrow" w:hAnsi="Arial Narrow"/>
                <w:sz w:val="20"/>
                <w:szCs w:val="20"/>
              </w:rPr>
            </w:pPr>
            <w:r w:rsidRPr="0023180E">
              <w:rPr>
                <w:rFonts w:ascii="Arial Narrow" w:hAnsi="Arial Narrow"/>
                <w:b/>
                <w:bCs/>
                <w:sz w:val="20"/>
                <w:szCs w:val="20"/>
              </w:rPr>
              <w:t xml:space="preserve">Clinical criteria: </w:t>
            </w:r>
          </w:p>
        </w:tc>
      </w:tr>
      <w:tr w:rsidR="00E665F1" w:rsidRPr="00C87DB4" w14:paraId="7CB58EE9" w14:textId="77777777" w:rsidTr="005179A3">
        <w:tblPrEx>
          <w:tblCellMar>
            <w:top w:w="15" w:type="dxa"/>
            <w:bottom w:w="15" w:type="dxa"/>
          </w:tblCellMar>
        </w:tblPrEx>
        <w:trPr>
          <w:cantSplit/>
          <w:trHeight w:val="20"/>
        </w:trPr>
        <w:tc>
          <w:tcPr>
            <w:tcW w:w="1271" w:type="dxa"/>
          </w:tcPr>
          <w:p w14:paraId="5C941FB1" w14:textId="5EDCE461" w:rsidR="00E665F1" w:rsidRPr="0023180E" w:rsidRDefault="00E665F1">
            <w:pPr>
              <w:jc w:val="center"/>
              <w:rPr>
                <w:rFonts w:ascii="Arial Narrow" w:hAnsi="Arial Narrow"/>
                <w:sz w:val="20"/>
                <w:szCs w:val="20"/>
              </w:rPr>
            </w:pPr>
          </w:p>
        </w:tc>
        <w:tc>
          <w:tcPr>
            <w:tcW w:w="7745" w:type="dxa"/>
            <w:gridSpan w:val="6"/>
            <w:vAlign w:val="center"/>
            <w:hideMark/>
          </w:tcPr>
          <w:p w14:paraId="3990A277" w14:textId="77777777" w:rsidR="00E665F1" w:rsidRPr="0023180E" w:rsidRDefault="00E665F1">
            <w:pPr>
              <w:rPr>
                <w:rFonts w:ascii="Arial Narrow" w:hAnsi="Arial Narrow"/>
                <w:sz w:val="20"/>
                <w:szCs w:val="20"/>
              </w:rPr>
            </w:pPr>
            <w:r>
              <w:rPr>
                <w:rFonts w:ascii="Arial Narrow" w:hAnsi="Arial Narrow" w:cs="Arial Narrow"/>
                <w:iCs/>
                <w:sz w:val="20"/>
                <w:szCs w:val="20"/>
              </w:rPr>
              <w:t xml:space="preserve">The condition must be unresectable locally advanced disease or metastatic disease </w:t>
            </w:r>
          </w:p>
        </w:tc>
      </w:tr>
      <w:tr w:rsidR="00E665F1" w:rsidRPr="00C87DB4" w14:paraId="6BE568C4" w14:textId="77777777" w:rsidTr="005179A3">
        <w:tblPrEx>
          <w:tblCellMar>
            <w:top w:w="15" w:type="dxa"/>
            <w:bottom w:w="15" w:type="dxa"/>
          </w:tblCellMar>
        </w:tblPrEx>
        <w:trPr>
          <w:cantSplit/>
          <w:trHeight w:val="20"/>
        </w:trPr>
        <w:tc>
          <w:tcPr>
            <w:tcW w:w="1271" w:type="dxa"/>
          </w:tcPr>
          <w:p w14:paraId="5C387F1F" w14:textId="77777777" w:rsidR="00E665F1" w:rsidRPr="00C87DB4" w:rsidRDefault="00E665F1">
            <w:pPr>
              <w:jc w:val="center"/>
              <w:rPr>
                <w:rFonts w:ascii="Arial Narrow" w:hAnsi="Arial Narrow"/>
                <w:color w:val="333333"/>
                <w:sz w:val="20"/>
                <w:szCs w:val="20"/>
              </w:rPr>
            </w:pPr>
          </w:p>
        </w:tc>
        <w:tc>
          <w:tcPr>
            <w:tcW w:w="7745" w:type="dxa"/>
            <w:gridSpan w:val="6"/>
            <w:vAlign w:val="center"/>
            <w:hideMark/>
          </w:tcPr>
          <w:p w14:paraId="7E71B97A" w14:textId="77777777" w:rsidR="00E665F1" w:rsidRPr="00C87DB4" w:rsidRDefault="00E665F1">
            <w:pPr>
              <w:rPr>
                <w:rFonts w:ascii="Arial Narrow" w:hAnsi="Arial Narrow"/>
                <w:color w:val="333333"/>
                <w:sz w:val="20"/>
                <w:szCs w:val="20"/>
              </w:rPr>
            </w:pPr>
            <w:r w:rsidRPr="00C87DB4">
              <w:rPr>
                <w:rFonts w:ascii="Arial Narrow" w:hAnsi="Arial Narrow"/>
                <w:b/>
                <w:bCs/>
                <w:color w:val="333333"/>
                <w:sz w:val="20"/>
                <w:szCs w:val="20"/>
              </w:rPr>
              <w:t>AND</w:t>
            </w:r>
          </w:p>
        </w:tc>
      </w:tr>
      <w:tr w:rsidR="00E665F1" w:rsidRPr="00C87DB4" w14:paraId="44284AB4" w14:textId="77777777">
        <w:tblPrEx>
          <w:tblCellMar>
            <w:top w:w="15" w:type="dxa"/>
            <w:bottom w:w="15" w:type="dxa"/>
          </w:tblCellMar>
          <w:tblLook w:val="04A0" w:firstRow="1" w:lastRow="0" w:firstColumn="1" w:lastColumn="0" w:noHBand="0" w:noVBand="1"/>
        </w:tblPrEx>
        <w:trPr>
          <w:cantSplit/>
          <w:trHeight w:val="20"/>
        </w:trPr>
        <w:tc>
          <w:tcPr>
            <w:tcW w:w="1271" w:type="dxa"/>
          </w:tcPr>
          <w:p w14:paraId="5AF11353" w14:textId="0852850F" w:rsidR="00E665F1" w:rsidRPr="00492B1D" w:rsidRDefault="00E665F1">
            <w:pPr>
              <w:jc w:val="center"/>
              <w:rPr>
                <w:rFonts w:ascii="Arial Narrow" w:hAnsi="Arial Narrow"/>
                <w:sz w:val="20"/>
                <w:szCs w:val="20"/>
              </w:rPr>
            </w:pPr>
          </w:p>
        </w:tc>
        <w:tc>
          <w:tcPr>
            <w:tcW w:w="7745" w:type="dxa"/>
            <w:gridSpan w:val="6"/>
            <w:vAlign w:val="center"/>
            <w:hideMark/>
          </w:tcPr>
          <w:p w14:paraId="6D7F352F" w14:textId="77777777" w:rsidR="00E665F1" w:rsidRPr="00492B1D" w:rsidRDefault="00E665F1">
            <w:pPr>
              <w:rPr>
                <w:rFonts w:ascii="Arial Narrow" w:hAnsi="Arial Narrow"/>
                <w:sz w:val="20"/>
                <w:szCs w:val="20"/>
              </w:rPr>
            </w:pPr>
            <w:r w:rsidRPr="00492B1D">
              <w:rPr>
                <w:rFonts w:ascii="Arial Narrow" w:hAnsi="Arial Narrow"/>
                <w:b/>
                <w:bCs/>
                <w:sz w:val="20"/>
                <w:szCs w:val="20"/>
              </w:rPr>
              <w:t>Clinical criteria:</w:t>
            </w:r>
          </w:p>
        </w:tc>
      </w:tr>
      <w:tr w:rsidR="00E665F1" w:rsidRPr="00C87DB4" w14:paraId="705D7082" w14:textId="77777777">
        <w:tblPrEx>
          <w:tblCellMar>
            <w:top w:w="15" w:type="dxa"/>
            <w:bottom w:w="15" w:type="dxa"/>
          </w:tblCellMar>
          <w:tblLook w:val="04A0" w:firstRow="1" w:lastRow="0" w:firstColumn="1" w:lastColumn="0" w:noHBand="0" w:noVBand="1"/>
        </w:tblPrEx>
        <w:trPr>
          <w:cantSplit/>
          <w:trHeight w:val="20"/>
        </w:trPr>
        <w:tc>
          <w:tcPr>
            <w:tcW w:w="1271" w:type="dxa"/>
          </w:tcPr>
          <w:p w14:paraId="58C6B454" w14:textId="59FA55BD" w:rsidR="00E665F1" w:rsidRPr="00492B1D" w:rsidRDefault="00E665F1">
            <w:pPr>
              <w:jc w:val="center"/>
              <w:rPr>
                <w:rFonts w:ascii="Arial Narrow" w:hAnsi="Arial Narrow"/>
                <w:sz w:val="20"/>
                <w:szCs w:val="20"/>
              </w:rPr>
            </w:pPr>
          </w:p>
        </w:tc>
        <w:tc>
          <w:tcPr>
            <w:tcW w:w="7745" w:type="dxa"/>
            <w:gridSpan w:val="6"/>
            <w:vAlign w:val="center"/>
          </w:tcPr>
          <w:p w14:paraId="5A00EBA8" w14:textId="77777777" w:rsidR="00E665F1" w:rsidRPr="00492B1D" w:rsidRDefault="00E665F1">
            <w:pPr>
              <w:rPr>
                <w:rFonts w:ascii="Arial Narrow" w:hAnsi="Arial Narrow"/>
                <w:sz w:val="20"/>
                <w:szCs w:val="20"/>
              </w:rPr>
            </w:pPr>
            <w:r>
              <w:rPr>
                <w:rFonts w:ascii="Arial Narrow" w:hAnsi="Arial Narrow" w:cs="Arial Narrow"/>
                <w:iCs/>
                <w:sz w:val="20"/>
                <w:szCs w:val="20"/>
              </w:rPr>
              <w:t>The condition must be World Health Organisation (WHO) grade 1 or 2</w:t>
            </w:r>
          </w:p>
        </w:tc>
      </w:tr>
      <w:tr w:rsidR="00E665F1" w:rsidRPr="00C87DB4" w14:paraId="3EB7EDC0" w14:textId="77777777">
        <w:tblPrEx>
          <w:tblCellMar>
            <w:top w:w="15" w:type="dxa"/>
            <w:bottom w:w="15" w:type="dxa"/>
          </w:tblCellMar>
          <w:tblLook w:val="04A0" w:firstRow="1" w:lastRow="0" w:firstColumn="1" w:lastColumn="0" w:noHBand="0" w:noVBand="1"/>
        </w:tblPrEx>
        <w:trPr>
          <w:cantSplit/>
          <w:trHeight w:val="20"/>
        </w:trPr>
        <w:tc>
          <w:tcPr>
            <w:tcW w:w="1271" w:type="dxa"/>
          </w:tcPr>
          <w:p w14:paraId="4BB21B52" w14:textId="77777777" w:rsidR="00E665F1" w:rsidRPr="00E310DC" w:rsidRDefault="00E665F1">
            <w:pPr>
              <w:jc w:val="center"/>
              <w:rPr>
                <w:rFonts w:ascii="Arial Narrow" w:hAnsi="Arial Narrow"/>
                <w:sz w:val="20"/>
                <w:szCs w:val="20"/>
              </w:rPr>
            </w:pPr>
          </w:p>
        </w:tc>
        <w:tc>
          <w:tcPr>
            <w:tcW w:w="7745" w:type="dxa"/>
            <w:gridSpan w:val="6"/>
            <w:vAlign w:val="center"/>
            <w:hideMark/>
          </w:tcPr>
          <w:p w14:paraId="0ACEE871" w14:textId="77777777" w:rsidR="00E665F1" w:rsidRPr="00E310DC" w:rsidRDefault="00E665F1">
            <w:pPr>
              <w:rPr>
                <w:rFonts w:ascii="Arial Narrow" w:hAnsi="Arial Narrow"/>
                <w:sz w:val="20"/>
                <w:szCs w:val="20"/>
              </w:rPr>
            </w:pPr>
            <w:r w:rsidRPr="00E310DC">
              <w:rPr>
                <w:rFonts w:ascii="Arial Narrow" w:hAnsi="Arial Narrow"/>
                <w:b/>
                <w:bCs/>
                <w:sz w:val="20"/>
                <w:szCs w:val="20"/>
              </w:rPr>
              <w:t>AND</w:t>
            </w:r>
          </w:p>
        </w:tc>
      </w:tr>
      <w:tr w:rsidR="00E665F1" w:rsidRPr="00C87DB4" w14:paraId="6E14C0F4" w14:textId="77777777">
        <w:tblPrEx>
          <w:tblCellMar>
            <w:top w:w="15" w:type="dxa"/>
            <w:bottom w:w="15" w:type="dxa"/>
          </w:tblCellMar>
          <w:tblLook w:val="04A0" w:firstRow="1" w:lastRow="0" w:firstColumn="1" w:lastColumn="0" w:noHBand="0" w:noVBand="1"/>
        </w:tblPrEx>
        <w:trPr>
          <w:cantSplit/>
          <w:trHeight w:val="20"/>
        </w:trPr>
        <w:tc>
          <w:tcPr>
            <w:tcW w:w="1271" w:type="dxa"/>
          </w:tcPr>
          <w:p w14:paraId="3128A928" w14:textId="364B6B3D" w:rsidR="00E665F1" w:rsidRPr="00E310DC" w:rsidRDefault="00E665F1">
            <w:pPr>
              <w:jc w:val="center"/>
              <w:rPr>
                <w:rFonts w:ascii="Arial Narrow" w:hAnsi="Arial Narrow"/>
                <w:sz w:val="20"/>
                <w:szCs w:val="20"/>
              </w:rPr>
            </w:pPr>
          </w:p>
        </w:tc>
        <w:tc>
          <w:tcPr>
            <w:tcW w:w="7745" w:type="dxa"/>
            <w:gridSpan w:val="6"/>
            <w:vAlign w:val="center"/>
            <w:hideMark/>
          </w:tcPr>
          <w:p w14:paraId="7FEE252A" w14:textId="77777777" w:rsidR="00E665F1" w:rsidRPr="00E310DC" w:rsidRDefault="00E665F1">
            <w:pPr>
              <w:rPr>
                <w:rFonts w:ascii="Arial Narrow" w:hAnsi="Arial Narrow"/>
                <w:sz w:val="20"/>
                <w:szCs w:val="20"/>
              </w:rPr>
            </w:pPr>
            <w:r w:rsidRPr="00E310DC">
              <w:rPr>
                <w:rFonts w:ascii="Arial Narrow" w:hAnsi="Arial Narrow"/>
                <w:b/>
                <w:bCs/>
                <w:sz w:val="20"/>
                <w:szCs w:val="20"/>
              </w:rPr>
              <w:t>Clinical criteria:</w:t>
            </w:r>
          </w:p>
        </w:tc>
      </w:tr>
      <w:tr w:rsidR="00E665F1" w:rsidRPr="00C87DB4" w14:paraId="413F2FD5" w14:textId="77777777">
        <w:tblPrEx>
          <w:tblCellMar>
            <w:top w:w="15" w:type="dxa"/>
            <w:bottom w:w="15" w:type="dxa"/>
          </w:tblCellMar>
          <w:tblLook w:val="04A0" w:firstRow="1" w:lastRow="0" w:firstColumn="1" w:lastColumn="0" w:noHBand="0" w:noVBand="1"/>
        </w:tblPrEx>
        <w:trPr>
          <w:cantSplit/>
          <w:trHeight w:val="20"/>
        </w:trPr>
        <w:tc>
          <w:tcPr>
            <w:tcW w:w="1271" w:type="dxa"/>
          </w:tcPr>
          <w:p w14:paraId="2D3B44DB" w14:textId="72C4055D" w:rsidR="00E665F1" w:rsidRPr="00E310DC" w:rsidRDefault="00E665F1">
            <w:pPr>
              <w:jc w:val="center"/>
              <w:rPr>
                <w:rFonts w:ascii="Arial Narrow" w:hAnsi="Arial Narrow"/>
                <w:sz w:val="20"/>
                <w:szCs w:val="20"/>
              </w:rPr>
            </w:pPr>
          </w:p>
        </w:tc>
        <w:tc>
          <w:tcPr>
            <w:tcW w:w="7745" w:type="dxa"/>
            <w:gridSpan w:val="6"/>
            <w:vAlign w:val="center"/>
            <w:hideMark/>
          </w:tcPr>
          <w:p w14:paraId="55CD54E8" w14:textId="77777777" w:rsidR="00E665F1" w:rsidRPr="00E310DC" w:rsidRDefault="00E665F1">
            <w:pPr>
              <w:rPr>
                <w:rFonts w:ascii="Arial Narrow" w:hAnsi="Arial Narrow"/>
                <w:sz w:val="20"/>
                <w:szCs w:val="20"/>
              </w:rPr>
            </w:pPr>
            <w:r>
              <w:rPr>
                <w:rFonts w:ascii="Arial Narrow" w:hAnsi="Arial Narrow"/>
                <w:sz w:val="20"/>
                <w:szCs w:val="20"/>
              </w:rPr>
              <w:t>The treatment must be either: (i) as monotherapy, (ii) in combination with cabozantinib</w:t>
            </w:r>
          </w:p>
        </w:tc>
      </w:tr>
      <w:tr w:rsidR="00E665F1" w:rsidRPr="00C87DB4" w14:paraId="5E2B734F" w14:textId="77777777">
        <w:tblPrEx>
          <w:tblCellMar>
            <w:top w:w="15" w:type="dxa"/>
            <w:bottom w:w="15" w:type="dxa"/>
          </w:tblCellMar>
          <w:tblLook w:val="04A0" w:firstRow="1" w:lastRow="0" w:firstColumn="1" w:lastColumn="0" w:noHBand="0" w:noVBand="1"/>
        </w:tblPrEx>
        <w:trPr>
          <w:cantSplit/>
          <w:trHeight w:val="20"/>
        </w:trPr>
        <w:tc>
          <w:tcPr>
            <w:tcW w:w="1271" w:type="dxa"/>
          </w:tcPr>
          <w:p w14:paraId="301AD945" w14:textId="77777777" w:rsidR="00E665F1" w:rsidRDefault="00E665F1">
            <w:pPr>
              <w:jc w:val="center"/>
              <w:rPr>
                <w:rFonts w:ascii="Arial Narrow" w:hAnsi="Arial Narrow"/>
                <w:color w:val="FF0000"/>
                <w:sz w:val="20"/>
                <w:szCs w:val="20"/>
              </w:rPr>
            </w:pPr>
          </w:p>
        </w:tc>
        <w:tc>
          <w:tcPr>
            <w:tcW w:w="7745" w:type="dxa"/>
            <w:gridSpan w:val="6"/>
            <w:vAlign w:val="center"/>
          </w:tcPr>
          <w:p w14:paraId="110DEC35" w14:textId="77777777" w:rsidR="00E665F1" w:rsidRPr="00C87DB4" w:rsidRDefault="00E665F1">
            <w:pPr>
              <w:rPr>
                <w:rFonts w:ascii="Arial Narrow" w:hAnsi="Arial Narrow"/>
                <w:color w:val="FF0000"/>
                <w:sz w:val="20"/>
                <w:szCs w:val="20"/>
              </w:rPr>
            </w:pPr>
            <w:r w:rsidRPr="00C87DB4">
              <w:rPr>
                <w:rFonts w:ascii="Arial Narrow" w:hAnsi="Arial Narrow"/>
                <w:b/>
                <w:bCs/>
                <w:color w:val="333333"/>
                <w:sz w:val="20"/>
                <w:szCs w:val="20"/>
              </w:rPr>
              <w:t>AND</w:t>
            </w:r>
          </w:p>
        </w:tc>
      </w:tr>
      <w:tr w:rsidR="00E665F1" w:rsidRPr="00C87DB4" w14:paraId="40A6E98A" w14:textId="77777777">
        <w:tblPrEx>
          <w:tblCellMar>
            <w:top w:w="15" w:type="dxa"/>
            <w:bottom w:w="15" w:type="dxa"/>
          </w:tblCellMar>
          <w:tblLook w:val="04A0" w:firstRow="1" w:lastRow="0" w:firstColumn="1" w:lastColumn="0" w:noHBand="0" w:noVBand="1"/>
        </w:tblPrEx>
        <w:trPr>
          <w:cantSplit/>
          <w:trHeight w:val="20"/>
        </w:trPr>
        <w:tc>
          <w:tcPr>
            <w:tcW w:w="1271" w:type="dxa"/>
          </w:tcPr>
          <w:p w14:paraId="43F39788" w14:textId="456EA636" w:rsidR="00E665F1" w:rsidRPr="005E4C7F" w:rsidRDefault="00E665F1">
            <w:pPr>
              <w:jc w:val="center"/>
              <w:rPr>
                <w:rFonts w:ascii="Arial Narrow" w:hAnsi="Arial Narrow"/>
                <w:sz w:val="20"/>
                <w:szCs w:val="20"/>
              </w:rPr>
            </w:pPr>
          </w:p>
        </w:tc>
        <w:tc>
          <w:tcPr>
            <w:tcW w:w="7745" w:type="dxa"/>
            <w:gridSpan w:val="6"/>
            <w:vAlign w:val="center"/>
          </w:tcPr>
          <w:p w14:paraId="73092394" w14:textId="77777777" w:rsidR="00E665F1" w:rsidRPr="005E4C7F" w:rsidRDefault="00E665F1">
            <w:pPr>
              <w:rPr>
                <w:rFonts w:ascii="Arial Narrow" w:hAnsi="Arial Narrow"/>
                <w:sz w:val="20"/>
                <w:szCs w:val="20"/>
              </w:rPr>
            </w:pPr>
            <w:r>
              <w:rPr>
                <w:rFonts w:ascii="Arial Narrow" w:hAnsi="Arial Narrow"/>
                <w:b/>
                <w:bCs/>
                <w:sz w:val="20"/>
                <w:szCs w:val="20"/>
              </w:rPr>
              <w:t>Population</w:t>
            </w:r>
            <w:r w:rsidRPr="005E4C7F">
              <w:rPr>
                <w:rFonts w:ascii="Arial Narrow" w:hAnsi="Arial Narrow"/>
                <w:b/>
                <w:bCs/>
                <w:sz w:val="20"/>
                <w:szCs w:val="20"/>
              </w:rPr>
              <w:t xml:space="preserve"> criteria:</w:t>
            </w:r>
          </w:p>
        </w:tc>
      </w:tr>
      <w:tr w:rsidR="00E665F1" w:rsidRPr="00C87DB4" w14:paraId="1DE890D1" w14:textId="77777777">
        <w:tblPrEx>
          <w:tblCellMar>
            <w:top w:w="15" w:type="dxa"/>
            <w:bottom w:w="15" w:type="dxa"/>
          </w:tblCellMar>
          <w:tblLook w:val="04A0" w:firstRow="1" w:lastRow="0" w:firstColumn="1" w:lastColumn="0" w:noHBand="0" w:noVBand="1"/>
        </w:tblPrEx>
        <w:trPr>
          <w:cantSplit/>
          <w:trHeight w:val="20"/>
        </w:trPr>
        <w:tc>
          <w:tcPr>
            <w:tcW w:w="1271" w:type="dxa"/>
          </w:tcPr>
          <w:p w14:paraId="5E5A27E0" w14:textId="5E5AD114" w:rsidR="00E665F1" w:rsidRPr="005E4C7F" w:rsidRDefault="00E665F1">
            <w:pPr>
              <w:jc w:val="center"/>
              <w:rPr>
                <w:rFonts w:ascii="Arial Narrow" w:hAnsi="Arial Narrow"/>
                <w:sz w:val="20"/>
                <w:szCs w:val="20"/>
              </w:rPr>
            </w:pPr>
          </w:p>
        </w:tc>
        <w:tc>
          <w:tcPr>
            <w:tcW w:w="7745" w:type="dxa"/>
            <w:gridSpan w:val="6"/>
            <w:vAlign w:val="center"/>
          </w:tcPr>
          <w:p w14:paraId="43B8A6EC" w14:textId="77777777" w:rsidR="00E665F1" w:rsidRPr="005E4C7F" w:rsidRDefault="00E665F1">
            <w:pPr>
              <w:rPr>
                <w:rFonts w:ascii="Arial Narrow" w:hAnsi="Arial Narrow"/>
                <w:sz w:val="20"/>
                <w:szCs w:val="20"/>
              </w:rPr>
            </w:pPr>
            <w:r>
              <w:rPr>
                <w:rFonts w:ascii="Arial Narrow" w:hAnsi="Arial Narrow"/>
                <w:sz w:val="20"/>
                <w:szCs w:val="20"/>
              </w:rPr>
              <w:t>Patient must be at least 18 years of age</w:t>
            </w:r>
          </w:p>
        </w:tc>
      </w:tr>
      <w:tr w:rsidR="00E665F1" w:rsidRPr="00C87DB4" w14:paraId="7EF2ADF5" w14:textId="77777777">
        <w:tblPrEx>
          <w:tblCellMar>
            <w:top w:w="15" w:type="dxa"/>
            <w:bottom w:w="15" w:type="dxa"/>
          </w:tblCellMar>
          <w:tblLook w:val="04A0" w:firstRow="1" w:lastRow="0" w:firstColumn="1" w:lastColumn="0" w:noHBand="0" w:noVBand="1"/>
        </w:tblPrEx>
        <w:trPr>
          <w:cantSplit/>
          <w:trHeight w:val="20"/>
        </w:trPr>
        <w:tc>
          <w:tcPr>
            <w:tcW w:w="1271" w:type="dxa"/>
          </w:tcPr>
          <w:p w14:paraId="7E0856AC" w14:textId="77777777" w:rsidR="00E665F1" w:rsidRPr="00C87DB4" w:rsidRDefault="00E665F1">
            <w:pPr>
              <w:jc w:val="center"/>
              <w:rPr>
                <w:rFonts w:ascii="Arial Narrow" w:hAnsi="Arial Narrow"/>
                <w:color w:val="333333"/>
                <w:sz w:val="20"/>
                <w:szCs w:val="20"/>
              </w:rPr>
            </w:pPr>
          </w:p>
        </w:tc>
        <w:tc>
          <w:tcPr>
            <w:tcW w:w="7745" w:type="dxa"/>
            <w:gridSpan w:val="6"/>
            <w:vAlign w:val="center"/>
          </w:tcPr>
          <w:p w14:paraId="20F1FFE5" w14:textId="77777777" w:rsidR="00E665F1" w:rsidRPr="00C87DB4" w:rsidRDefault="00E665F1">
            <w:pPr>
              <w:rPr>
                <w:rFonts w:ascii="Arial Narrow" w:hAnsi="Arial Narrow"/>
                <w:color w:val="333333"/>
                <w:sz w:val="20"/>
                <w:szCs w:val="20"/>
              </w:rPr>
            </w:pPr>
          </w:p>
        </w:tc>
      </w:tr>
      <w:tr w:rsidR="00E665F1" w:rsidRPr="00C87DB4" w14:paraId="42187D15" w14:textId="77777777" w:rsidTr="005179A3">
        <w:tblPrEx>
          <w:tblCellMar>
            <w:top w:w="15" w:type="dxa"/>
            <w:bottom w:w="15" w:type="dxa"/>
          </w:tblCellMar>
        </w:tblPrEx>
        <w:trPr>
          <w:cantSplit/>
          <w:trHeight w:val="20"/>
        </w:trPr>
        <w:tc>
          <w:tcPr>
            <w:tcW w:w="1271" w:type="dxa"/>
          </w:tcPr>
          <w:p w14:paraId="3F0891EE" w14:textId="11D7A6C1" w:rsidR="00E665F1" w:rsidRPr="00735982" w:rsidRDefault="00E665F1">
            <w:pPr>
              <w:jc w:val="center"/>
              <w:rPr>
                <w:rFonts w:ascii="Arial Narrow" w:hAnsi="Arial Narrow"/>
                <w:sz w:val="20"/>
                <w:szCs w:val="20"/>
              </w:rPr>
            </w:pPr>
          </w:p>
        </w:tc>
        <w:tc>
          <w:tcPr>
            <w:tcW w:w="7745" w:type="dxa"/>
            <w:gridSpan w:val="6"/>
            <w:vAlign w:val="center"/>
            <w:hideMark/>
          </w:tcPr>
          <w:p w14:paraId="46D3301A" w14:textId="77777777" w:rsidR="00E665F1" w:rsidRPr="00735982" w:rsidRDefault="00E665F1">
            <w:pPr>
              <w:rPr>
                <w:rFonts w:ascii="Arial Narrow" w:hAnsi="Arial Narrow"/>
                <w:sz w:val="20"/>
                <w:szCs w:val="20"/>
              </w:rPr>
            </w:pPr>
            <w:r w:rsidRPr="00735982">
              <w:rPr>
                <w:rFonts w:ascii="Arial Narrow" w:hAnsi="Arial Narrow"/>
                <w:b/>
                <w:bCs/>
                <w:sz w:val="20"/>
                <w:szCs w:val="20"/>
              </w:rPr>
              <w:t xml:space="preserve">Prescribing Instructions: </w:t>
            </w:r>
          </w:p>
          <w:p w14:paraId="2EE92AB7" w14:textId="77777777" w:rsidR="00E665F1" w:rsidRPr="00735982" w:rsidRDefault="00E665F1">
            <w:pPr>
              <w:rPr>
                <w:rFonts w:ascii="Arial Narrow" w:hAnsi="Arial Narrow"/>
                <w:sz w:val="20"/>
                <w:szCs w:val="20"/>
              </w:rPr>
            </w:pPr>
            <w:r w:rsidRPr="00735982">
              <w:rPr>
                <w:rFonts w:ascii="Arial Narrow" w:hAnsi="Arial Narrow"/>
                <w:sz w:val="20"/>
                <w:szCs w:val="20"/>
              </w:rPr>
              <w:t xml:space="preserve">WHO grade 1 of GEP-NET is defined at a mitotic count (10HPF) of less than 2 and Ki-67 index (%) of less than or equal to 2. </w:t>
            </w:r>
          </w:p>
        </w:tc>
      </w:tr>
      <w:tr w:rsidR="00E665F1" w:rsidRPr="00C87DB4" w14:paraId="7636664A" w14:textId="77777777">
        <w:tblPrEx>
          <w:tblCellMar>
            <w:top w:w="15" w:type="dxa"/>
            <w:bottom w:w="15" w:type="dxa"/>
          </w:tblCellMar>
          <w:tblLook w:val="04A0" w:firstRow="1" w:lastRow="0" w:firstColumn="1" w:lastColumn="0" w:noHBand="0" w:noVBand="1"/>
        </w:tblPrEx>
        <w:trPr>
          <w:cantSplit/>
          <w:trHeight w:val="20"/>
        </w:trPr>
        <w:tc>
          <w:tcPr>
            <w:tcW w:w="1271" w:type="dxa"/>
          </w:tcPr>
          <w:p w14:paraId="408356DC" w14:textId="597DA769" w:rsidR="00E665F1" w:rsidRPr="00735982" w:rsidRDefault="00E665F1">
            <w:pPr>
              <w:jc w:val="center"/>
              <w:rPr>
                <w:rStyle w:val="cf01"/>
                <w:rFonts w:ascii="Arial Narrow" w:hAnsi="Arial Narrow"/>
                <w:sz w:val="20"/>
                <w:szCs w:val="20"/>
              </w:rPr>
            </w:pPr>
          </w:p>
        </w:tc>
        <w:tc>
          <w:tcPr>
            <w:tcW w:w="7745" w:type="dxa"/>
            <w:gridSpan w:val="6"/>
            <w:vAlign w:val="center"/>
          </w:tcPr>
          <w:p w14:paraId="09A813A9" w14:textId="77777777" w:rsidR="00E665F1" w:rsidRPr="00735982" w:rsidRDefault="00E665F1">
            <w:pPr>
              <w:rPr>
                <w:rFonts w:ascii="Arial Narrow" w:hAnsi="Arial Narrow"/>
                <w:sz w:val="20"/>
                <w:szCs w:val="20"/>
              </w:rPr>
            </w:pPr>
            <w:r w:rsidRPr="00735982">
              <w:rPr>
                <w:rFonts w:ascii="Arial Narrow" w:hAnsi="Arial Narrow"/>
                <w:b/>
                <w:bCs/>
                <w:sz w:val="20"/>
                <w:szCs w:val="20"/>
              </w:rPr>
              <w:t xml:space="preserve">Prescribing Instructions: </w:t>
            </w:r>
          </w:p>
          <w:p w14:paraId="1006F6CA" w14:textId="77777777" w:rsidR="00E665F1" w:rsidRPr="00735982" w:rsidRDefault="00E665F1">
            <w:pPr>
              <w:rPr>
                <w:rFonts w:ascii="Arial Narrow" w:hAnsi="Arial Narrow"/>
                <w:sz w:val="20"/>
                <w:szCs w:val="20"/>
              </w:rPr>
            </w:pPr>
            <w:r w:rsidRPr="00735982">
              <w:rPr>
                <w:rFonts w:ascii="Arial Narrow" w:hAnsi="Arial Narrow"/>
                <w:sz w:val="20"/>
                <w:szCs w:val="20"/>
              </w:rPr>
              <w:t>WHO grade 2 of GEP-NET is defined as a mitotic count (10HPF) of 2-20 and Ki-67 index (%) of 3-20</w:t>
            </w:r>
          </w:p>
        </w:tc>
      </w:tr>
      <w:tr w:rsidR="00E665F1" w:rsidRPr="00C87DB4" w14:paraId="1B6C6116" w14:textId="77777777">
        <w:tblPrEx>
          <w:tblCellMar>
            <w:top w:w="15" w:type="dxa"/>
            <w:bottom w:w="15" w:type="dxa"/>
          </w:tblCellMar>
          <w:tblLook w:val="04A0" w:firstRow="1" w:lastRow="0" w:firstColumn="1" w:lastColumn="0" w:noHBand="0" w:noVBand="1"/>
        </w:tblPrEx>
        <w:trPr>
          <w:cantSplit/>
          <w:trHeight w:val="20"/>
        </w:trPr>
        <w:tc>
          <w:tcPr>
            <w:tcW w:w="9016" w:type="dxa"/>
            <w:gridSpan w:val="7"/>
          </w:tcPr>
          <w:p w14:paraId="1FFF2CF4" w14:textId="77777777" w:rsidR="00E665F1" w:rsidRPr="00735982" w:rsidRDefault="00E665F1">
            <w:pPr>
              <w:rPr>
                <w:rFonts w:ascii="Arial Narrow" w:hAnsi="Arial Narrow"/>
                <w:b/>
                <w:bCs/>
                <w:sz w:val="20"/>
                <w:szCs w:val="20"/>
              </w:rPr>
            </w:pPr>
          </w:p>
        </w:tc>
      </w:tr>
      <w:tr w:rsidR="00E665F1" w:rsidRPr="00C87DB4" w14:paraId="3E910A52" w14:textId="77777777">
        <w:tblPrEx>
          <w:tblCellMar>
            <w:top w:w="15" w:type="dxa"/>
            <w:bottom w:w="15" w:type="dxa"/>
          </w:tblCellMar>
          <w:tblLook w:val="04A0" w:firstRow="1" w:lastRow="0" w:firstColumn="1" w:lastColumn="0" w:noHBand="0" w:noVBand="1"/>
        </w:tblPrEx>
        <w:trPr>
          <w:cantSplit/>
          <w:trHeight w:val="20"/>
        </w:trPr>
        <w:tc>
          <w:tcPr>
            <w:tcW w:w="9016" w:type="dxa"/>
            <w:gridSpan w:val="7"/>
          </w:tcPr>
          <w:p w14:paraId="27D557AB" w14:textId="77777777" w:rsidR="00E665F1" w:rsidRPr="00735982" w:rsidRDefault="00E665F1">
            <w:pPr>
              <w:rPr>
                <w:rFonts w:ascii="Arial Narrow" w:hAnsi="Arial Narrow"/>
                <w:b/>
                <w:bCs/>
                <w:sz w:val="20"/>
                <w:szCs w:val="20"/>
              </w:rPr>
            </w:pPr>
          </w:p>
        </w:tc>
      </w:tr>
      <w:tr w:rsidR="00E665F1" w:rsidRPr="00C87DB4" w14:paraId="61D0579C" w14:textId="77777777">
        <w:tblPrEx>
          <w:tblCellMar>
            <w:top w:w="15" w:type="dxa"/>
            <w:bottom w:w="15" w:type="dxa"/>
          </w:tblCellMar>
          <w:tblLook w:val="04A0" w:firstRow="1" w:lastRow="0" w:firstColumn="1" w:lastColumn="0" w:noHBand="0" w:noVBand="1"/>
        </w:tblPrEx>
        <w:trPr>
          <w:cantSplit/>
          <w:trHeight w:val="20"/>
        </w:trPr>
        <w:tc>
          <w:tcPr>
            <w:tcW w:w="1271" w:type="dxa"/>
          </w:tcPr>
          <w:p w14:paraId="5D45C567" w14:textId="77777777" w:rsidR="00E665F1" w:rsidRPr="00735982" w:rsidRDefault="00E665F1">
            <w:pPr>
              <w:jc w:val="center"/>
              <w:rPr>
                <w:rStyle w:val="cf01"/>
                <w:rFonts w:ascii="Arial Narrow" w:hAnsi="Arial Narrow"/>
                <w:sz w:val="20"/>
                <w:szCs w:val="20"/>
              </w:rPr>
            </w:pPr>
          </w:p>
        </w:tc>
        <w:tc>
          <w:tcPr>
            <w:tcW w:w="7745" w:type="dxa"/>
            <w:gridSpan w:val="6"/>
            <w:vAlign w:val="center"/>
          </w:tcPr>
          <w:p w14:paraId="58B2E38C" w14:textId="77777777" w:rsidR="00E665F1" w:rsidRPr="00735982" w:rsidRDefault="00E665F1">
            <w:pPr>
              <w:rPr>
                <w:rFonts w:ascii="Arial Narrow" w:hAnsi="Arial Narrow"/>
                <w:b/>
                <w:bCs/>
                <w:sz w:val="20"/>
                <w:szCs w:val="20"/>
              </w:rPr>
            </w:pPr>
            <w:r w:rsidRPr="007F4D17">
              <w:rPr>
                <w:rFonts w:ascii="Arial Narrow" w:hAnsi="Arial Narrow"/>
                <w:b/>
                <w:sz w:val="20"/>
                <w:szCs w:val="20"/>
              </w:rPr>
              <w:t xml:space="preserve">Restriction Summary </w:t>
            </w:r>
            <w:r>
              <w:rPr>
                <w:rFonts w:ascii="Arial Narrow" w:hAnsi="Arial Narrow"/>
                <w:b/>
                <w:sz w:val="20"/>
                <w:szCs w:val="20"/>
              </w:rPr>
              <w:t xml:space="preserve">17658 </w:t>
            </w:r>
            <w:r w:rsidRPr="007F4D17">
              <w:rPr>
                <w:rFonts w:ascii="Arial Narrow" w:hAnsi="Arial Narrow"/>
                <w:b/>
                <w:sz w:val="20"/>
                <w:szCs w:val="20"/>
              </w:rPr>
              <w:t xml:space="preserve">/ Treatment of Concept: </w:t>
            </w:r>
            <w:r>
              <w:rPr>
                <w:rFonts w:ascii="Arial Narrow" w:hAnsi="Arial Narrow"/>
                <w:b/>
                <w:sz w:val="20"/>
                <w:szCs w:val="20"/>
              </w:rPr>
              <w:t>17696</w:t>
            </w:r>
          </w:p>
        </w:tc>
      </w:tr>
      <w:tr w:rsidR="00E665F1" w:rsidRPr="00C87DB4" w14:paraId="4F515E56" w14:textId="77777777">
        <w:tblPrEx>
          <w:tblCellMar>
            <w:top w:w="15" w:type="dxa"/>
            <w:bottom w:w="15" w:type="dxa"/>
          </w:tblCellMar>
          <w:tblLook w:val="04A0" w:firstRow="1" w:lastRow="0" w:firstColumn="1" w:lastColumn="0" w:noHBand="0" w:noVBand="1"/>
        </w:tblPrEx>
        <w:trPr>
          <w:cantSplit/>
          <w:trHeight w:val="20"/>
        </w:trPr>
        <w:tc>
          <w:tcPr>
            <w:tcW w:w="1271" w:type="dxa"/>
          </w:tcPr>
          <w:p w14:paraId="10BDEF24" w14:textId="40D2BBD7" w:rsidR="00E665F1" w:rsidRPr="00735982" w:rsidRDefault="00E665F1">
            <w:pPr>
              <w:jc w:val="center"/>
              <w:rPr>
                <w:rStyle w:val="cf01"/>
                <w:rFonts w:ascii="Arial Narrow" w:hAnsi="Arial Narrow"/>
                <w:sz w:val="20"/>
                <w:szCs w:val="20"/>
              </w:rPr>
            </w:pPr>
          </w:p>
        </w:tc>
        <w:tc>
          <w:tcPr>
            <w:tcW w:w="7745" w:type="dxa"/>
            <w:gridSpan w:val="6"/>
            <w:vAlign w:val="center"/>
          </w:tcPr>
          <w:p w14:paraId="618BE808" w14:textId="77777777" w:rsidR="00E665F1" w:rsidRPr="00735982" w:rsidRDefault="00E665F1">
            <w:pPr>
              <w:rPr>
                <w:rFonts w:ascii="Arial Narrow" w:hAnsi="Arial Narrow"/>
                <w:b/>
                <w:bCs/>
                <w:sz w:val="20"/>
                <w:szCs w:val="20"/>
              </w:rPr>
            </w:pPr>
            <w:r w:rsidRPr="00D57D9E">
              <w:rPr>
                <w:rFonts w:ascii="Arial Narrow" w:hAnsi="Arial Narrow"/>
                <w:b/>
                <w:bCs/>
                <w:sz w:val="20"/>
                <w:szCs w:val="20"/>
              </w:rPr>
              <w:t>Indication:</w:t>
            </w:r>
            <w:r w:rsidRPr="00D57D9E">
              <w:rPr>
                <w:rFonts w:ascii="Arial Narrow" w:hAnsi="Arial Narrow"/>
                <w:sz w:val="20"/>
                <w:szCs w:val="20"/>
              </w:rPr>
              <w:t xml:space="preserve"> </w:t>
            </w:r>
            <w:r>
              <w:rPr>
                <w:rFonts w:ascii="Arial Narrow" w:hAnsi="Arial Narrow"/>
                <w:sz w:val="20"/>
                <w:szCs w:val="20"/>
              </w:rPr>
              <w:t>Non-functional gastroenteropancreatic neuroendocrine tumour (GEP-NET)</w:t>
            </w:r>
          </w:p>
        </w:tc>
      </w:tr>
      <w:tr w:rsidR="00E665F1" w:rsidRPr="00C87DB4" w14:paraId="608E355C" w14:textId="77777777">
        <w:tblPrEx>
          <w:tblCellMar>
            <w:top w:w="15" w:type="dxa"/>
            <w:bottom w:w="15" w:type="dxa"/>
          </w:tblCellMar>
          <w:tblLook w:val="04A0" w:firstRow="1" w:lastRow="0" w:firstColumn="1" w:lastColumn="0" w:noHBand="0" w:noVBand="1"/>
        </w:tblPrEx>
        <w:trPr>
          <w:cantSplit/>
          <w:trHeight w:val="20"/>
        </w:trPr>
        <w:tc>
          <w:tcPr>
            <w:tcW w:w="1271" w:type="dxa"/>
          </w:tcPr>
          <w:p w14:paraId="7F9CE480" w14:textId="77777777" w:rsidR="00E665F1" w:rsidRPr="00735982" w:rsidRDefault="00E665F1">
            <w:pPr>
              <w:jc w:val="center"/>
              <w:rPr>
                <w:rStyle w:val="cf01"/>
                <w:rFonts w:ascii="Arial Narrow" w:hAnsi="Arial Narrow"/>
                <w:sz w:val="20"/>
                <w:szCs w:val="20"/>
              </w:rPr>
            </w:pPr>
          </w:p>
        </w:tc>
        <w:tc>
          <w:tcPr>
            <w:tcW w:w="7745" w:type="dxa"/>
            <w:gridSpan w:val="6"/>
            <w:vAlign w:val="center"/>
          </w:tcPr>
          <w:p w14:paraId="40F70BD8" w14:textId="77777777" w:rsidR="00E665F1" w:rsidRPr="00735982" w:rsidRDefault="00E665F1">
            <w:pPr>
              <w:rPr>
                <w:rFonts w:ascii="Arial Narrow" w:hAnsi="Arial Narrow"/>
                <w:b/>
                <w:bCs/>
                <w:sz w:val="20"/>
                <w:szCs w:val="20"/>
              </w:rPr>
            </w:pPr>
            <w:r>
              <w:rPr>
                <w:rFonts w:ascii="Arial Narrow" w:hAnsi="Arial Narrow"/>
                <w:b/>
                <w:bCs/>
                <w:sz w:val="20"/>
                <w:szCs w:val="20"/>
              </w:rPr>
              <w:t xml:space="preserve">Treatment Phase: </w:t>
            </w:r>
            <w:r>
              <w:rPr>
                <w:rFonts w:ascii="Arial Narrow" w:hAnsi="Arial Narrow"/>
                <w:sz w:val="20"/>
                <w:szCs w:val="20"/>
              </w:rPr>
              <w:t>Continuing</w:t>
            </w:r>
            <w:r w:rsidRPr="00CD609A">
              <w:rPr>
                <w:rFonts w:ascii="Arial Narrow" w:hAnsi="Arial Narrow"/>
                <w:sz w:val="20"/>
                <w:szCs w:val="20"/>
              </w:rPr>
              <w:t xml:space="preserve"> treatment</w:t>
            </w:r>
          </w:p>
        </w:tc>
      </w:tr>
      <w:tr w:rsidR="00E665F1" w:rsidRPr="00C87DB4" w14:paraId="4886E2DF" w14:textId="77777777">
        <w:tblPrEx>
          <w:tblCellMar>
            <w:top w:w="15" w:type="dxa"/>
            <w:bottom w:w="15" w:type="dxa"/>
          </w:tblCellMar>
          <w:tblLook w:val="04A0" w:firstRow="1" w:lastRow="0" w:firstColumn="1" w:lastColumn="0" w:noHBand="0" w:noVBand="1"/>
        </w:tblPrEx>
        <w:trPr>
          <w:cantSplit/>
          <w:trHeight w:val="20"/>
        </w:trPr>
        <w:tc>
          <w:tcPr>
            <w:tcW w:w="1271" w:type="dxa"/>
          </w:tcPr>
          <w:p w14:paraId="4AA1E6BC" w14:textId="10FBD805" w:rsidR="00E665F1" w:rsidRDefault="00E665F1">
            <w:pPr>
              <w:jc w:val="center"/>
              <w:rPr>
                <w:rFonts w:ascii="Arial Narrow" w:hAnsi="Arial Narrow"/>
                <w:sz w:val="20"/>
                <w:szCs w:val="20"/>
              </w:rPr>
            </w:pPr>
          </w:p>
        </w:tc>
        <w:tc>
          <w:tcPr>
            <w:tcW w:w="7745" w:type="dxa"/>
            <w:gridSpan w:val="6"/>
            <w:vAlign w:val="center"/>
          </w:tcPr>
          <w:p w14:paraId="401D8BBF" w14:textId="77777777" w:rsidR="00E665F1" w:rsidRPr="0023180E" w:rsidRDefault="00E665F1">
            <w:pPr>
              <w:rPr>
                <w:rFonts w:ascii="Arial Narrow" w:hAnsi="Arial Narrow"/>
                <w:b/>
                <w:bCs/>
                <w:sz w:val="20"/>
                <w:szCs w:val="20"/>
              </w:rPr>
            </w:pPr>
            <w:r w:rsidRPr="00E310DC">
              <w:rPr>
                <w:rFonts w:ascii="Arial Narrow" w:hAnsi="Arial Narrow"/>
                <w:b/>
                <w:bCs/>
                <w:sz w:val="20"/>
                <w:szCs w:val="20"/>
              </w:rPr>
              <w:t>Clinical criteria:</w:t>
            </w:r>
          </w:p>
        </w:tc>
      </w:tr>
      <w:tr w:rsidR="00E665F1" w:rsidRPr="00C87DB4" w14:paraId="56961AF2" w14:textId="77777777">
        <w:tblPrEx>
          <w:tblCellMar>
            <w:top w:w="15" w:type="dxa"/>
            <w:bottom w:w="15" w:type="dxa"/>
          </w:tblCellMar>
          <w:tblLook w:val="04A0" w:firstRow="1" w:lastRow="0" w:firstColumn="1" w:lastColumn="0" w:noHBand="0" w:noVBand="1"/>
        </w:tblPrEx>
        <w:trPr>
          <w:cantSplit/>
          <w:trHeight w:val="20"/>
        </w:trPr>
        <w:tc>
          <w:tcPr>
            <w:tcW w:w="1271" w:type="dxa"/>
          </w:tcPr>
          <w:p w14:paraId="79BA5F99" w14:textId="3DD32AA8" w:rsidR="00E665F1" w:rsidRDefault="00E665F1">
            <w:pPr>
              <w:jc w:val="center"/>
              <w:rPr>
                <w:rFonts w:ascii="Arial Narrow" w:hAnsi="Arial Narrow"/>
                <w:sz w:val="20"/>
                <w:szCs w:val="20"/>
              </w:rPr>
            </w:pPr>
          </w:p>
        </w:tc>
        <w:tc>
          <w:tcPr>
            <w:tcW w:w="7745" w:type="dxa"/>
            <w:gridSpan w:val="6"/>
            <w:vAlign w:val="center"/>
          </w:tcPr>
          <w:p w14:paraId="7DF26192" w14:textId="77777777" w:rsidR="00E665F1" w:rsidRPr="0007443F" w:rsidRDefault="00E665F1">
            <w:pPr>
              <w:rPr>
                <w:rFonts w:ascii="Arial Narrow" w:hAnsi="Arial Narrow"/>
                <w:sz w:val="20"/>
                <w:szCs w:val="20"/>
              </w:rPr>
            </w:pPr>
            <w:r>
              <w:rPr>
                <w:rFonts w:ascii="Arial Narrow" w:hAnsi="Arial Narrow"/>
                <w:sz w:val="20"/>
                <w:szCs w:val="20"/>
              </w:rPr>
              <w:t>Patient must have previously received PBS-subsidised treatment with this drug for this condition</w:t>
            </w:r>
          </w:p>
        </w:tc>
      </w:tr>
      <w:tr w:rsidR="00E665F1" w:rsidRPr="00C87DB4" w14:paraId="00FEE3C9" w14:textId="77777777">
        <w:tblPrEx>
          <w:tblCellMar>
            <w:top w:w="15" w:type="dxa"/>
            <w:bottom w:w="15" w:type="dxa"/>
          </w:tblCellMar>
          <w:tblLook w:val="04A0" w:firstRow="1" w:lastRow="0" w:firstColumn="1" w:lastColumn="0" w:noHBand="0" w:noVBand="1"/>
        </w:tblPrEx>
        <w:trPr>
          <w:cantSplit/>
          <w:trHeight w:val="20"/>
        </w:trPr>
        <w:tc>
          <w:tcPr>
            <w:tcW w:w="1271" w:type="dxa"/>
          </w:tcPr>
          <w:p w14:paraId="579487F6" w14:textId="77777777" w:rsidR="00E665F1" w:rsidRDefault="00E665F1">
            <w:pPr>
              <w:jc w:val="center"/>
              <w:rPr>
                <w:rFonts w:ascii="Arial Narrow" w:hAnsi="Arial Narrow"/>
                <w:sz w:val="20"/>
                <w:szCs w:val="20"/>
              </w:rPr>
            </w:pPr>
          </w:p>
        </w:tc>
        <w:tc>
          <w:tcPr>
            <w:tcW w:w="7745" w:type="dxa"/>
            <w:gridSpan w:val="6"/>
            <w:vAlign w:val="center"/>
          </w:tcPr>
          <w:p w14:paraId="7830BE3B" w14:textId="77777777" w:rsidR="00E665F1" w:rsidRPr="0023180E" w:rsidRDefault="00E665F1">
            <w:pPr>
              <w:rPr>
                <w:rFonts w:ascii="Arial Narrow" w:hAnsi="Arial Narrow"/>
                <w:b/>
                <w:bCs/>
                <w:sz w:val="20"/>
                <w:szCs w:val="20"/>
              </w:rPr>
            </w:pPr>
            <w:r w:rsidRPr="00C87DB4">
              <w:rPr>
                <w:rFonts w:ascii="Arial Narrow" w:hAnsi="Arial Narrow"/>
                <w:b/>
                <w:bCs/>
                <w:color w:val="333333"/>
                <w:sz w:val="20"/>
                <w:szCs w:val="20"/>
              </w:rPr>
              <w:t>AND</w:t>
            </w:r>
          </w:p>
        </w:tc>
      </w:tr>
      <w:tr w:rsidR="00E665F1" w:rsidRPr="00C87DB4" w14:paraId="46600DC4" w14:textId="77777777">
        <w:tblPrEx>
          <w:tblCellMar>
            <w:top w:w="15" w:type="dxa"/>
            <w:bottom w:w="15" w:type="dxa"/>
          </w:tblCellMar>
          <w:tblLook w:val="04A0" w:firstRow="1" w:lastRow="0" w:firstColumn="1" w:lastColumn="0" w:noHBand="0" w:noVBand="1"/>
        </w:tblPrEx>
        <w:trPr>
          <w:cantSplit/>
          <w:trHeight w:val="20"/>
        </w:trPr>
        <w:tc>
          <w:tcPr>
            <w:tcW w:w="1271" w:type="dxa"/>
          </w:tcPr>
          <w:p w14:paraId="4D753D5B" w14:textId="058EAFBB" w:rsidR="00E665F1" w:rsidRPr="00735982" w:rsidRDefault="00E665F1">
            <w:pPr>
              <w:jc w:val="center"/>
              <w:rPr>
                <w:rStyle w:val="cf01"/>
                <w:rFonts w:ascii="Arial Narrow" w:hAnsi="Arial Narrow"/>
                <w:sz w:val="20"/>
                <w:szCs w:val="20"/>
              </w:rPr>
            </w:pPr>
          </w:p>
        </w:tc>
        <w:tc>
          <w:tcPr>
            <w:tcW w:w="7745" w:type="dxa"/>
            <w:gridSpan w:val="6"/>
            <w:vAlign w:val="center"/>
          </w:tcPr>
          <w:p w14:paraId="25BFB3C3" w14:textId="77777777" w:rsidR="00E665F1" w:rsidRPr="00735982" w:rsidRDefault="00E665F1">
            <w:pPr>
              <w:rPr>
                <w:rFonts w:ascii="Arial Narrow" w:hAnsi="Arial Narrow"/>
                <w:b/>
                <w:bCs/>
                <w:sz w:val="20"/>
                <w:szCs w:val="20"/>
              </w:rPr>
            </w:pPr>
            <w:r w:rsidRPr="0023180E">
              <w:rPr>
                <w:rFonts w:ascii="Arial Narrow" w:hAnsi="Arial Narrow"/>
                <w:b/>
                <w:bCs/>
                <w:sz w:val="20"/>
                <w:szCs w:val="20"/>
              </w:rPr>
              <w:t xml:space="preserve">Clinical criteria: </w:t>
            </w:r>
          </w:p>
        </w:tc>
      </w:tr>
      <w:tr w:rsidR="00E665F1" w:rsidRPr="00C87DB4" w14:paraId="1021DBE9" w14:textId="77777777">
        <w:tblPrEx>
          <w:tblCellMar>
            <w:top w:w="15" w:type="dxa"/>
            <w:bottom w:w="15" w:type="dxa"/>
          </w:tblCellMar>
          <w:tblLook w:val="04A0" w:firstRow="1" w:lastRow="0" w:firstColumn="1" w:lastColumn="0" w:noHBand="0" w:noVBand="1"/>
        </w:tblPrEx>
        <w:trPr>
          <w:cantSplit/>
          <w:trHeight w:val="20"/>
        </w:trPr>
        <w:tc>
          <w:tcPr>
            <w:tcW w:w="1271" w:type="dxa"/>
          </w:tcPr>
          <w:p w14:paraId="6DFCEE71" w14:textId="5AF8092B" w:rsidR="00E665F1" w:rsidRPr="00735982" w:rsidRDefault="00E665F1">
            <w:pPr>
              <w:jc w:val="center"/>
              <w:rPr>
                <w:rStyle w:val="cf01"/>
                <w:rFonts w:ascii="Arial Narrow" w:hAnsi="Arial Narrow"/>
                <w:sz w:val="20"/>
                <w:szCs w:val="20"/>
              </w:rPr>
            </w:pPr>
          </w:p>
        </w:tc>
        <w:tc>
          <w:tcPr>
            <w:tcW w:w="7745" w:type="dxa"/>
            <w:gridSpan w:val="6"/>
            <w:vAlign w:val="center"/>
          </w:tcPr>
          <w:p w14:paraId="1B5467E1" w14:textId="77777777" w:rsidR="00E665F1" w:rsidRPr="00735982" w:rsidRDefault="00E665F1">
            <w:pPr>
              <w:rPr>
                <w:rFonts w:ascii="Arial Narrow" w:hAnsi="Arial Narrow"/>
                <w:b/>
                <w:bCs/>
                <w:sz w:val="20"/>
                <w:szCs w:val="20"/>
              </w:rPr>
            </w:pPr>
            <w:r>
              <w:rPr>
                <w:rFonts w:ascii="Arial Narrow" w:hAnsi="Arial Narrow" w:cs="Arial Narrow"/>
                <w:iCs/>
                <w:sz w:val="20"/>
                <w:szCs w:val="20"/>
              </w:rPr>
              <w:t xml:space="preserve">The condition must be unresectable locally advanced disease or metastatic disease </w:t>
            </w:r>
          </w:p>
        </w:tc>
      </w:tr>
      <w:tr w:rsidR="00E665F1" w:rsidRPr="00C87DB4" w14:paraId="342E3229" w14:textId="77777777">
        <w:tblPrEx>
          <w:tblCellMar>
            <w:top w:w="15" w:type="dxa"/>
            <w:bottom w:w="15" w:type="dxa"/>
          </w:tblCellMar>
          <w:tblLook w:val="04A0" w:firstRow="1" w:lastRow="0" w:firstColumn="1" w:lastColumn="0" w:noHBand="0" w:noVBand="1"/>
        </w:tblPrEx>
        <w:trPr>
          <w:cantSplit/>
          <w:trHeight w:val="20"/>
        </w:trPr>
        <w:tc>
          <w:tcPr>
            <w:tcW w:w="1271" w:type="dxa"/>
          </w:tcPr>
          <w:p w14:paraId="7DFE43D2" w14:textId="77777777" w:rsidR="00E665F1" w:rsidRPr="00735982" w:rsidRDefault="00E665F1">
            <w:pPr>
              <w:jc w:val="center"/>
              <w:rPr>
                <w:rStyle w:val="cf01"/>
                <w:rFonts w:ascii="Arial Narrow" w:hAnsi="Arial Narrow"/>
                <w:sz w:val="20"/>
                <w:szCs w:val="20"/>
              </w:rPr>
            </w:pPr>
          </w:p>
        </w:tc>
        <w:tc>
          <w:tcPr>
            <w:tcW w:w="7745" w:type="dxa"/>
            <w:gridSpan w:val="6"/>
            <w:vAlign w:val="center"/>
          </w:tcPr>
          <w:p w14:paraId="1E7CC8C0" w14:textId="77777777" w:rsidR="00E665F1" w:rsidRPr="00735982" w:rsidRDefault="00E665F1">
            <w:pPr>
              <w:rPr>
                <w:rFonts w:ascii="Arial Narrow" w:hAnsi="Arial Narrow"/>
                <w:b/>
                <w:bCs/>
                <w:sz w:val="20"/>
                <w:szCs w:val="20"/>
              </w:rPr>
            </w:pPr>
            <w:r w:rsidRPr="00C87DB4">
              <w:rPr>
                <w:rFonts w:ascii="Arial Narrow" w:hAnsi="Arial Narrow"/>
                <w:b/>
                <w:bCs/>
                <w:color w:val="333333"/>
                <w:sz w:val="20"/>
                <w:szCs w:val="20"/>
              </w:rPr>
              <w:t>AND</w:t>
            </w:r>
          </w:p>
        </w:tc>
      </w:tr>
      <w:tr w:rsidR="00E665F1" w:rsidRPr="00C87DB4" w14:paraId="6935FFA2" w14:textId="77777777">
        <w:tblPrEx>
          <w:tblCellMar>
            <w:top w:w="15" w:type="dxa"/>
            <w:bottom w:w="15" w:type="dxa"/>
          </w:tblCellMar>
          <w:tblLook w:val="04A0" w:firstRow="1" w:lastRow="0" w:firstColumn="1" w:lastColumn="0" w:noHBand="0" w:noVBand="1"/>
        </w:tblPrEx>
        <w:trPr>
          <w:cantSplit/>
          <w:trHeight w:val="20"/>
        </w:trPr>
        <w:tc>
          <w:tcPr>
            <w:tcW w:w="1271" w:type="dxa"/>
          </w:tcPr>
          <w:p w14:paraId="6B472283" w14:textId="1F3BF504" w:rsidR="00E665F1" w:rsidRPr="00735982" w:rsidRDefault="00E665F1">
            <w:pPr>
              <w:jc w:val="center"/>
              <w:rPr>
                <w:rStyle w:val="cf01"/>
                <w:rFonts w:ascii="Arial Narrow" w:hAnsi="Arial Narrow"/>
                <w:sz w:val="20"/>
                <w:szCs w:val="20"/>
              </w:rPr>
            </w:pPr>
          </w:p>
        </w:tc>
        <w:tc>
          <w:tcPr>
            <w:tcW w:w="7745" w:type="dxa"/>
            <w:gridSpan w:val="6"/>
            <w:vAlign w:val="center"/>
          </w:tcPr>
          <w:p w14:paraId="2303F0B4" w14:textId="77777777" w:rsidR="00E665F1" w:rsidRPr="00735982" w:rsidRDefault="00E665F1">
            <w:pPr>
              <w:rPr>
                <w:rFonts w:ascii="Arial Narrow" w:hAnsi="Arial Narrow"/>
                <w:b/>
                <w:bCs/>
                <w:sz w:val="20"/>
                <w:szCs w:val="20"/>
              </w:rPr>
            </w:pPr>
            <w:r w:rsidRPr="00492B1D">
              <w:rPr>
                <w:rFonts w:ascii="Arial Narrow" w:hAnsi="Arial Narrow"/>
                <w:b/>
                <w:bCs/>
                <w:sz w:val="20"/>
                <w:szCs w:val="20"/>
              </w:rPr>
              <w:t>Clinical criteria:</w:t>
            </w:r>
          </w:p>
        </w:tc>
      </w:tr>
      <w:tr w:rsidR="00E665F1" w:rsidRPr="00C87DB4" w14:paraId="66135A05" w14:textId="77777777">
        <w:tblPrEx>
          <w:tblCellMar>
            <w:top w:w="15" w:type="dxa"/>
            <w:bottom w:w="15" w:type="dxa"/>
          </w:tblCellMar>
          <w:tblLook w:val="04A0" w:firstRow="1" w:lastRow="0" w:firstColumn="1" w:lastColumn="0" w:noHBand="0" w:noVBand="1"/>
        </w:tblPrEx>
        <w:trPr>
          <w:cantSplit/>
          <w:trHeight w:val="20"/>
        </w:trPr>
        <w:tc>
          <w:tcPr>
            <w:tcW w:w="1271" w:type="dxa"/>
          </w:tcPr>
          <w:p w14:paraId="579CC650" w14:textId="302479A3" w:rsidR="00E665F1" w:rsidRPr="00735982" w:rsidRDefault="00E665F1">
            <w:pPr>
              <w:jc w:val="center"/>
              <w:rPr>
                <w:rStyle w:val="cf01"/>
                <w:rFonts w:ascii="Arial Narrow" w:hAnsi="Arial Narrow"/>
                <w:sz w:val="20"/>
                <w:szCs w:val="20"/>
              </w:rPr>
            </w:pPr>
          </w:p>
        </w:tc>
        <w:tc>
          <w:tcPr>
            <w:tcW w:w="7745" w:type="dxa"/>
            <w:gridSpan w:val="6"/>
            <w:vAlign w:val="center"/>
          </w:tcPr>
          <w:p w14:paraId="3470CA72" w14:textId="77777777" w:rsidR="00E665F1" w:rsidRPr="00735982" w:rsidRDefault="00E665F1">
            <w:pPr>
              <w:rPr>
                <w:rFonts w:ascii="Arial Narrow" w:hAnsi="Arial Narrow"/>
                <w:b/>
                <w:bCs/>
                <w:sz w:val="20"/>
                <w:szCs w:val="20"/>
              </w:rPr>
            </w:pPr>
            <w:r>
              <w:rPr>
                <w:rFonts w:ascii="Arial Narrow" w:hAnsi="Arial Narrow" w:cs="Arial Narrow"/>
                <w:iCs/>
                <w:sz w:val="20"/>
                <w:szCs w:val="20"/>
              </w:rPr>
              <w:t>The condition must be World Health Organisation (WHO) grade 1 or 2</w:t>
            </w:r>
          </w:p>
        </w:tc>
      </w:tr>
      <w:tr w:rsidR="00E665F1" w:rsidRPr="00C87DB4" w14:paraId="727C4197" w14:textId="77777777">
        <w:tblPrEx>
          <w:tblCellMar>
            <w:top w:w="15" w:type="dxa"/>
            <w:bottom w:w="15" w:type="dxa"/>
          </w:tblCellMar>
          <w:tblLook w:val="04A0" w:firstRow="1" w:lastRow="0" w:firstColumn="1" w:lastColumn="0" w:noHBand="0" w:noVBand="1"/>
        </w:tblPrEx>
        <w:trPr>
          <w:cantSplit/>
          <w:trHeight w:val="20"/>
        </w:trPr>
        <w:tc>
          <w:tcPr>
            <w:tcW w:w="1271" w:type="dxa"/>
          </w:tcPr>
          <w:p w14:paraId="0F714D28" w14:textId="77777777" w:rsidR="00E665F1" w:rsidRPr="00735982" w:rsidRDefault="00E665F1">
            <w:pPr>
              <w:jc w:val="center"/>
              <w:rPr>
                <w:rStyle w:val="cf01"/>
                <w:rFonts w:ascii="Arial Narrow" w:hAnsi="Arial Narrow"/>
                <w:sz w:val="20"/>
                <w:szCs w:val="20"/>
              </w:rPr>
            </w:pPr>
          </w:p>
        </w:tc>
        <w:tc>
          <w:tcPr>
            <w:tcW w:w="7745" w:type="dxa"/>
            <w:gridSpan w:val="6"/>
            <w:vAlign w:val="center"/>
          </w:tcPr>
          <w:p w14:paraId="08A9BB1F" w14:textId="77777777" w:rsidR="00E665F1" w:rsidRPr="00735982" w:rsidRDefault="00E665F1">
            <w:pPr>
              <w:rPr>
                <w:rFonts w:ascii="Arial Narrow" w:hAnsi="Arial Narrow"/>
                <w:b/>
                <w:bCs/>
                <w:sz w:val="20"/>
                <w:szCs w:val="20"/>
              </w:rPr>
            </w:pPr>
            <w:r w:rsidRPr="00E310DC">
              <w:rPr>
                <w:rFonts w:ascii="Arial Narrow" w:hAnsi="Arial Narrow"/>
                <w:b/>
                <w:bCs/>
                <w:sz w:val="20"/>
                <w:szCs w:val="20"/>
              </w:rPr>
              <w:t>AND</w:t>
            </w:r>
          </w:p>
        </w:tc>
      </w:tr>
      <w:tr w:rsidR="00E665F1" w:rsidRPr="00C87DB4" w14:paraId="18FB99AB" w14:textId="77777777">
        <w:tblPrEx>
          <w:tblCellMar>
            <w:top w:w="15" w:type="dxa"/>
            <w:bottom w:w="15" w:type="dxa"/>
          </w:tblCellMar>
          <w:tblLook w:val="04A0" w:firstRow="1" w:lastRow="0" w:firstColumn="1" w:lastColumn="0" w:noHBand="0" w:noVBand="1"/>
        </w:tblPrEx>
        <w:trPr>
          <w:cantSplit/>
          <w:trHeight w:val="20"/>
        </w:trPr>
        <w:tc>
          <w:tcPr>
            <w:tcW w:w="1271" w:type="dxa"/>
          </w:tcPr>
          <w:p w14:paraId="23ED39F0" w14:textId="28772E13" w:rsidR="00E665F1" w:rsidRPr="00735982" w:rsidRDefault="00E665F1">
            <w:pPr>
              <w:jc w:val="center"/>
              <w:rPr>
                <w:rStyle w:val="cf01"/>
                <w:rFonts w:ascii="Arial Narrow" w:hAnsi="Arial Narrow"/>
                <w:sz w:val="20"/>
                <w:szCs w:val="20"/>
              </w:rPr>
            </w:pPr>
          </w:p>
        </w:tc>
        <w:tc>
          <w:tcPr>
            <w:tcW w:w="7745" w:type="dxa"/>
            <w:gridSpan w:val="6"/>
            <w:vAlign w:val="center"/>
          </w:tcPr>
          <w:p w14:paraId="5ED47E3C" w14:textId="77777777" w:rsidR="00E665F1" w:rsidRPr="00735982" w:rsidRDefault="00E665F1">
            <w:pPr>
              <w:rPr>
                <w:rFonts w:ascii="Arial Narrow" w:hAnsi="Arial Narrow"/>
                <w:b/>
                <w:bCs/>
                <w:sz w:val="20"/>
                <w:szCs w:val="20"/>
              </w:rPr>
            </w:pPr>
            <w:r w:rsidRPr="00E310DC">
              <w:rPr>
                <w:rFonts w:ascii="Arial Narrow" w:hAnsi="Arial Narrow"/>
                <w:b/>
                <w:bCs/>
                <w:sz w:val="20"/>
                <w:szCs w:val="20"/>
              </w:rPr>
              <w:t>Clinical criteria:</w:t>
            </w:r>
          </w:p>
        </w:tc>
      </w:tr>
      <w:tr w:rsidR="00E665F1" w:rsidRPr="00C87DB4" w14:paraId="48CB0D09" w14:textId="77777777">
        <w:tblPrEx>
          <w:tblCellMar>
            <w:top w:w="15" w:type="dxa"/>
            <w:bottom w:w="15" w:type="dxa"/>
          </w:tblCellMar>
          <w:tblLook w:val="04A0" w:firstRow="1" w:lastRow="0" w:firstColumn="1" w:lastColumn="0" w:noHBand="0" w:noVBand="1"/>
        </w:tblPrEx>
        <w:trPr>
          <w:cantSplit/>
          <w:trHeight w:val="20"/>
        </w:trPr>
        <w:tc>
          <w:tcPr>
            <w:tcW w:w="1271" w:type="dxa"/>
          </w:tcPr>
          <w:p w14:paraId="0742EEBF" w14:textId="646F5FF1" w:rsidR="00E665F1" w:rsidRPr="00735982" w:rsidRDefault="00E665F1">
            <w:pPr>
              <w:jc w:val="center"/>
              <w:rPr>
                <w:rStyle w:val="cf01"/>
                <w:rFonts w:ascii="Arial Narrow" w:hAnsi="Arial Narrow"/>
                <w:sz w:val="20"/>
                <w:szCs w:val="20"/>
              </w:rPr>
            </w:pPr>
          </w:p>
        </w:tc>
        <w:tc>
          <w:tcPr>
            <w:tcW w:w="7745" w:type="dxa"/>
            <w:gridSpan w:val="6"/>
            <w:vAlign w:val="center"/>
          </w:tcPr>
          <w:p w14:paraId="2DCDBCA7" w14:textId="77777777" w:rsidR="00E665F1" w:rsidRPr="00735982" w:rsidRDefault="00E665F1">
            <w:pPr>
              <w:rPr>
                <w:rFonts w:ascii="Arial Narrow" w:hAnsi="Arial Narrow"/>
                <w:b/>
                <w:bCs/>
                <w:sz w:val="20"/>
                <w:szCs w:val="20"/>
              </w:rPr>
            </w:pPr>
            <w:r>
              <w:rPr>
                <w:rFonts w:ascii="Arial Narrow" w:hAnsi="Arial Narrow"/>
                <w:sz w:val="20"/>
                <w:szCs w:val="20"/>
              </w:rPr>
              <w:t>The treatment must be either: (i) as monotherapy, (ii) in combination with cabozantinib</w:t>
            </w:r>
          </w:p>
        </w:tc>
      </w:tr>
      <w:tr w:rsidR="00E665F1" w:rsidRPr="00C87DB4" w14:paraId="5ADD14FA" w14:textId="77777777">
        <w:tblPrEx>
          <w:tblCellMar>
            <w:top w:w="15" w:type="dxa"/>
            <w:bottom w:w="15" w:type="dxa"/>
          </w:tblCellMar>
          <w:tblLook w:val="04A0" w:firstRow="1" w:lastRow="0" w:firstColumn="1" w:lastColumn="0" w:noHBand="0" w:noVBand="1"/>
        </w:tblPrEx>
        <w:trPr>
          <w:cantSplit/>
          <w:trHeight w:val="20"/>
        </w:trPr>
        <w:tc>
          <w:tcPr>
            <w:tcW w:w="1271" w:type="dxa"/>
          </w:tcPr>
          <w:p w14:paraId="30BFFF37" w14:textId="77777777" w:rsidR="00E665F1" w:rsidRPr="00735982" w:rsidRDefault="00E665F1">
            <w:pPr>
              <w:jc w:val="center"/>
              <w:rPr>
                <w:rStyle w:val="cf01"/>
                <w:rFonts w:ascii="Arial Narrow" w:hAnsi="Arial Narrow"/>
                <w:sz w:val="20"/>
                <w:szCs w:val="20"/>
              </w:rPr>
            </w:pPr>
          </w:p>
        </w:tc>
        <w:tc>
          <w:tcPr>
            <w:tcW w:w="7745" w:type="dxa"/>
            <w:gridSpan w:val="6"/>
            <w:vAlign w:val="center"/>
          </w:tcPr>
          <w:p w14:paraId="50AEBEDD" w14:textId="77777777" w:rsidR="00E665F1" w:rsidRPr="00735982" w:rsidRDefault="00E665F1">
            <w:pPr>
              <w:rPr>
                <w:rFonts w:ascii="Arial Narrow" w:hAnsi="Arial Narrow"/>
                <w:b/>
                <w:bCs/>
                <w:sz w:val="20"/>
                <w:szCs w:val="20"/>
              </w:rPr>
            </w:pPr>
            <w:r w:rsidRPr="00C87DB4">
              <w:rPr>
                <w:rFonts w:ascii="Arial Narrow" w:hAnsi="Arial Narrow"/>
                <w:b/>
                <w:bCs/>
                <w:color w:val="333333"/>
                <w:sz w:val="20"/>
                <w:szCs w:val="20"/>
              </w:rPr>
              <w:t>AND</w:t>
            </w:r>
          </w:p>
        </w:tc>
      </w:tr>
      <w:tr w:rsidR="00E665F1" w:rsidRPr="00C87DB4" w14:paraId="2552C039" w14:textId="77777777">
        <w:tblPrEx>
          <w:tblCellMar>
            <w:top w:w="15" w:type="dxa"/>
            <w:bottom w:w="15" w:type="dxa"/>
          </w:tblCellMar>
          <w:tblLook w:val="04A0" w:firstRow="1" w:lastRow="0" w:firstColumn="1" w:lastColumn="0" w:noHBand="0" w:noVBand="1"/>
        </w:tblPrEx>
        <w:trPr>
          <w:cantSplit/>
          <w:trHeight w:val="20"/>
        </w:trPr>
        <w:tc>
          <w:tcPr>
            <w:tcW w:w="1271" w:type="dxa"/>
          </w:tcPr>
          <w:p w14:paraId="6E7A9BDA" w14:textId="766FC5C3" w:rsidR="00E665F1" w:rsidRPr="00735982" w:rsidRDefault="00E665F1">
            <w:pPr>
              <w:jc w:val="center"/>
              <w:rPr>
                <w:rStyle w:val="cf01"/>
                <w:rFonts w:ascii="Arial Narrow" w:hAnsi="Arial Narrow"/>
                <w:sz w:val="20"/>
                <w:szCs w:val="20"/>
              </w:rPr>
            </w:pPr>
          </w:p>
        </w:tc>
        <w:tc>
          <w:tcPr>
            <w:tcW w:w="7745" w:type="dxa"/>
            <w:gridSpan w:val="6"/>
            <w:vAlign w:val="center"/>
          </w:tcPr>
          <w:p w14:paraId="70B9DCA6" w14:textId="77777777" w:rsidR="00E665F1" w:rsidRPr="00735982" w:rsidRDefault="00E665F1">
            <w:pPr>
              <w:rPr>
                <w:rFonts w:ascii="Arial Narrow" w:hAnsi="Arial Narrow"/>
                <w:b/>
                <w:bCs/>
                <w:sz w:val="20"/>
                <w:szCs w:val="20"/>
              </w:rPr>
            </w:pPr>
            <w:r>
              <w:rPr>
                <w:rFonts w:ascii="Arial Narrow" w:hAnsi="Arial Narrow"/>
                <w:b/>
                <w:bCs/>
                <w:sz w:val="20"/>
                <w:szCs w:val="20"/>
              </w:rPr>
              <w:t>Population</w:t>
            </w:r>
            <w:r w:rsidRPr="005E4C7F">
              <w:rPr>
                <w:rFonts w:ascii="Arial Narrow" w:hAnsi="Arial Narrow"/>
                <w:b/>
                <w:bCs/>
                <w:sz w:val="20"/>
                <w:szCs w:val="20"/>
              </w:rPr>
              <w:t xml:space="preserve"> criteria:</w:t>
            </w:r>
          </w:p>
        </w:tc>
      </w:tr>
      <w:tr w:rsidR="00E665F1" w:rsidRPr="00C87DB4" w14:paraId="3919D2ED" w14:textId="77777777">
        <w:tblPrEx>
          <w:tblCellMar>
            <w:top w:w="15" w:type="dxa"/>
            <w:bottom w:w="15" w:type="dxa"/>
          </w:tblCellMar>
          <w:tblLook w:val="04A0" w:firstRow="1" w:lastRow="0" w:firstColumn="1" w:lastColumn="0" w:noHBand="0" w:noVBand="1"/>
        </w:tblPrEx>
        <w:trPr>
          <w:cantSplit/>
          <w:trHeight w:val="20"/>
        </w:trPr>
        <w:tc>
          <w:tcPr>
            <w:tcW w:w="1271" w:type="dxa"/>
          </w:tcPr>
          <w:p w14:paraId="72A4FE2E" w14:textId="2D649800" w:rsidR="00E665F1" w:rsidRDefault="00E665F1">
            <w:pPr>
              <w:jc w:val="center"/>
              <w:rPr>
                <w:rFonts w:ascii="Arial Narrow" w:hAnsi="Arial Narrow"/>
                <w:sz w:val="20"/>
                <w:szCs w:val="20"/>
              </w:rPr>
            </w:pPr>
          </w:p>
        </w:tc>
        <w:tc>
          <w:tcPr>
            <w:tcW w:w="7745" w:type="dxa"/>
            <w:gridSpan w:val="6"/>
            <w:vAlign w:val="center"/>
          </w:tcPr>
          <w:p w14:paraId="3EB822BF" w14:textId="77777777" w:rsidR="00E665F1" w:rsidRDefault="00E665F1">
            <w:pPr>
              <w:rPr>
                <w:rFonts w:ascii="Arial Narrow" w:hAnsi="Arial Narrow"/>
                <w:b/>
                <w:bCs/>
                <w:sz w:val="20"/>
                <w:szCs w:val="20"/>
              </w:rPr>
            </w:pPr>
            <w:r>
              <w:rPr>
                <w:rFonts w:ascii="Arial Narrow" w:hAnsi="Arial Narrow"/>
                <w:sz w:val="20"/>
                <w:szCs w:val="20"/>
              </w:rPr>
              <w:t>Patient must be at least 18 years of age</w:t>
            </w:r>
          </w:p>
        </w:tc>
      </w:tr>
      <w:tr w:rsidR="00E665F1" w:rsidRPr="00C87DB4" w14:paraId="64506AEC" w14:textId="77777777">
        <w:tblPrEx>
          <w:tblCellMar>
            <w:top w:w="15" w:type="dxa"/>
            <w:bottom w:w="15" w:type="dxa"/>
          </w:tblCellMar>
          <w:tblLook w:val="04A0" w:firstRow="1" w:lastRow="0" w:firstColumn="1" w:lastColumn="0" w:noHBand="0" w:noVBand="1"/>
        </w:tblPrEx>
        <w:trPr>
          <w:cantSplit/>
          <w:trHeight w:val="20"/>
        </w:trPr>
        <w:tc>
          <w:tcPr>
            <w:tcW w:w="1271" w:type="dxa"/>
          </w:tcPr>
          <w:p w14:paraId="2EBDAA43" w14:textId="77777777" w:rsidR="00E665F1" w:rsidRPr="005E4C7F" w:rsidRDefault="00E665F1">
            <w:pPr>
              <w:jc w:val="center"/>
              <w:rPr>
                <w:rFonts w:ascii="Arial Narrow" w:hAnsi="Arial Narrow"/>
                <w:sz w:val="20"/>
                <w:szCs w:val="20"/>
              </w:rPr>
            </w:pPr>
          </w:p>
        </w:tc>
        <w:tc>
          <w:tcPr>
            <w:tcW w:w="7745" w:type="dxa"/>
            <w:gridSpan w:val="6"/>
            <w:vAlign w:val="center"/>
          </w:tcPr>
          <w:p w14:paraId="3D398FDA" w14:textId="77777777" w:rsidR="00E665F1" w:rsidRDefault="00E665F1">
            <w:pPr>
              <w:rPr>
                <w:rFonts w:ascii="Arial Narrow" w:hAnsi="Arial Narrow"/>
                <w:sz w:val="20"/>
                <w:szCs w:val="20"/>
              </w:rPr>
            </w:pPr>
          </w:p>
        </w:tc>
      </w:tr>
      <w:tr w:rsidR="00E665F1" w:rsidRPr="00C87DB4" w14:paraId="3C047337" w14:textId="77777777">
        <w:tblPrEx>
          <w:tblCellMar>
            <w:top w:w="15" w:type="dxa"/>
            <w:bottom w:w="15" w:type="dxa"/>
          </w:tblCellMar>
          <w:tblLook w:val="04A0" w:firstRow="1" w:lastRow="0" w:firstColumn="1" w:lastColumn="0" w:noHBand="0" w:noVBand="1"/>
        </w:tblPrEx>
        <w:trPr>
          <w:cantSplit/>
          <w:trHeight w:val="20"/>
        </w:trPr>
        <w:tc>
          <w:tcPr>
            <w:tcW w:w="1271" w:type="dxa"/>
          </w:tcPr>
          <w:p w14:paraId="7C22B992" w14:textId="402ADAB8" w:rsidR="00E665F1" w:rsidRPr="005E4C7F" w:rsidRDefault="00E665F1">
            <w:pPr>
              <w:jc w:val="center"/>
              <w:rPr>
                <w:rFonts w:ascii="Arial Narrow" w:hAnsi="Arial Narrow"/>
                <w:sz w:val="20"/>
                <w:szCs w:val="20"/>
              </w:rPr>
            </w:pPr>
          </w:p>
        </w:tc>
        <w:tc>
          <w:tcPr>
            <w:tcW w:w="7745" w:type="dxa"/>
            <w:gridSpan w:val="6"/>
            <w:vAlign w:val="center"/>
          </w:tcPr>
          <w:p w14:paraId="5B360E13" w14:textId="77777777" w:rsidR="00E665F1" w:rsidRPr="00735982" w:rsidRDefault="00E665F1">
            <w:pPr>
              <w:rPr>
                <w:rFonts w:ascii="Arial Narrow" w:hAnsi="Arial Narrow"/>
                <w:sz w:val="20"/>
                <w:szCs w:val="20"/>
              </w:rPr>
            </w:pPr>
            <w:r w:rsidRPr="00735982">
              <w:rPr>
                <w:rFonts w:ascii="Arial Narrow" w:hAnsi="Arial Narrow"/>
                <w:b/>
                <w:bCs/>
                <w:sz w:val="20"/>
                <w:szCs w:val="20"/>
              </w:rPr>
              <w:t xml:space="preserve">Prescribing Instructions: </w:t>
            </w:r>
          </w:p>
          <w:p w14:paraId="43C6C871" w14:textId="77777777" w:rsidR="00E665F1" w:rsidRDefault="00E665F1">
            <w:pPr>
              <w:rPr>
                <w:rFonts w:ascii="Arial Narrow" w:hAnsi="Arial Narrow"/>
                <w:sz w:val="20"/>
                <w:szCs w:val="20"/>
              </w:rPr>
            </w:pPr>
            <w:r w:rsidRPr="00735982">
              <w:rPr>
                <w:rFonts w:ascii="Arial Narrow" w:hAnsi="Arial Narrow"/>
                <w:sz w:val="20"/>
                <w:szCs w:val="20"/>
              </w:rPr>
              <w:t xml:space="preserve">WHO grade 1 of GEP-NET is defined at a mitotic count (10HPF) of less than 2 and Ki-67 index (%) of less than or equal to 2. </w:t>
            </w:r>
          </w:p>
        </w:tc>
      </w:tr>
      <w:tr w:rsidR="00E665F1" w:rsidRPr="00C87DB4" w14:paraId="255A4947" w14:textId="77777777">
        <w:tblPrEx>
          <w:tblCellMar>
            <w:top w:w="15" w:type="dxa"/>
            <w:bottom w:w="15" w:type="dxa"/>
          </w:tblCellMar>
          <w:tblLook w:val="04A0" w:firstRow="1" w:lastRow="0" w:firstColumn="1" w:lastColumn="0" w:noHBand="0" w:noVBand="1"/>
        </w:tblPrEx>
        <w:trPr>
          <w:cantSplit/>
          <w:trHeight w:val="20"/>
        </w:trPr>
        <w:tc>
          <w:tcPr>
            <w:tcW w:w="1271" w:type="dxa"/>
          </w:tcPr>
          <w:p w14:paraId="11C4C87E" w14:textId="141EC858" w:rsidR="00E665F1" w:rsidRPr="00735982" w:rsidRDefault="00E665F1">
            <w:pPr>
              <w:jc w:val="center"/>
              <w:rPr>
                <w:rStyle w:val="cf01"/>
                <w:rFonts w:ascii="Arial Narrow" w:hAnsi="Arial Narrow"/>
                <w:sz w:val="20"/>
                <w:szCs w:val="20"/>
              </w:rPr>
            </w:pPr>
          </w:p>
        </w:tc>
        <w:tc>
          <w:tcPr>
            <w:tcW w:w="7745" w:type="dxa"/>
            <w:gridSpan w:val="6"/>
            <w:vAlign w:val="center"/>
          </w:tcPr>
          <w:p w14:paraId="454C5680" w14:textId="77777777" w:rsidR="00E665F1" w:rsidRPr="00735982" w:rsidRDefault="00E665F1">
            <w:pPr>
              <w:rPr>
                <w:rFonts w:ascii="Arial Narrow" w:hAnsi="Arial Narrow"/>
                <w:sz w:val="20"/>
                <w:szCs w:val="20"/>
              </w:rPr>
            </w:pPr>
            <w:r w:rsidRPr="00735982">
              <w:rPr>
                <w:rFonts w:ascii="Arial Narrow" w:hAnsi="Arial Narrow"/>
                <w:b/>
                <w:bCs/>
                <w:sz w:val="20"/>
                <w:szCs w:val="20"/>
              </w:rPr>
              <w:t xml:space="preserve">Prescribing Instructions: </w:t>
            </w:r>
          </w:p>
          <w:p w14:paraId="1C9F4657" w14:textId="77777777" w:rsidR="00E665F1" w:rsidRPr="00735982" w:rsidRDefault="00E665F1">
            <w:pPr>
              <w:rPr>
                <w:rFonts w:ascii="Arial Narrow" w:hAnsi="Arial Narrow"/>
                <w:b/>
                <w:bCs/>
                <w:sz w:val="20"/>
                <w:szCs w:val="20"/>
              </w:rPr>
            </w:pPr>
            <w:r w:rsidRPr="00735982">
              <w:rPr>
                <w:rFonts w:ascii="Arial Narrow" w:hAnsi="Arial Narrow"/>
                <w:sz w:val="20"/>
                <w:szCs w:val="20"/>
              </w:rPr>
              <w:t>WHO grade 2 of GEP-NET is defined as a mitotic count (10HPF) of 2-20 and Ki-67 index (%) of 3-20</w:t>
            </w:r>
          </w:p>
        </w:tc>
      </w:tr>
    </w:tbl>
    <w:p w14:paraId="097A708D" w14:textId="77777777" w:rsidR="00E665F1" w:rsidRDefault="00E665F1" w:rsidP="002D18BD">
      <w:pPr>
        <w:rPr>
          <w:i/>
        </w:rPr>
      </w:pPr>
    </w:p>
    <w:p w14:paraId="6259C125" w14:textId="728262FB" w:rsidR="009E38B4" w:rsidRDefault="009E38B4" w:rsidP="002D18BD">
      <w:pPr>
        <w:rPr>
          <w:i/>
        </w:rPr>
      </w:pPr>
      <w:r>
        <w:rPr>
          <w:i/>
          <w:iCs/>
        </w:rPr>
        <w:t>Flow-on</w:t>
      </w:r>
      <w:r w:rsidR="0008630B">
        <w:rPr>
          <w:i/>
          <w:iCs/>
        </w:rPr>
        <w:t>s:</w:t>
      </w:r>
    </w:p>
    <w:p w14:paraId="3BF913D0" w14:textId="4964D54A" w:rsidR="007E252C" w:rsidRDefault="00C77686" w:rsidP="007E252C">
      <w:pPr>
        <w:rPr>
          <w:i/>
          <w:iCs/>
        </w:rPr>
      </w:pPr>
      <w:r>
        <w:rPr>
          <w:i/>
          <w:iCs/>
        </w:rPr>
        <w:t xml:space="preserve">As a result of the PBAC’s recommended listing for lanreotide (LACREO) </w:t>
      </w:r>
      <w:r w:rsidR="00C05969">
        <w:rPr>
          <w:i/>
          <w:iCs/>
        </w:rPr>
        <w:t xml:space="preserve">as a s100 HSD </w:t>
      </w:r>
      <w:r w:rsidR="009D00CB">
        <w:rPr>
          <w:i/>
          <w:iCs/>
        </w:rPr>
        <w:t xml:space="preserve">Program </w:t>
      </w:r>
      <w:r w:rsidR="00C05969">
        <w:rPr>
          <w:i/>
          <w:iCs/>
        </w:rPr>
        <w:t xml:space="preserve">Community Access listing, the </w:t>
      </w:r>
      <w:r w:rsidR="00CA66BA">
        <w:rPr>
          <w:i/>
          <w:iCs/>
        </w:rPr>
        <w:t xml:space="preserve">s100 HSD </w:t>
      </w:r>
      <w:r w:rsidR="00B3668D">
        <w:rPr>
          <w:i/>
          <w:iCs/>
        </w:rPr>
        <w:t xml:space="preserve">Program </w:t>
      </w:r>
      <w:r w:rsidR="00CA66BA">
        <w:rPr>
          <w:i/>
          <w:iCs/>
        </w:rPr>
        <w:t xml:space="preserve">Public and Private hospital listings for lanreotide </w:t>
      </w:r>
      <w:r w:rsidR="00ED0DE8">
        <w:rPr>
          <w:i/>
          <w:iCs/>
        </w:rPr>
        <w:t xml:space="preserve">(all brands/forms) </w:t>
      </w:r>
      <w:r w:rsidR="00CA66BA">
        <w:rPr>
          <w:i/>
          <w:iCs/>
        </w:rPr>
        <w:t>will be removed.</w:t>
      </w:r>
      <w:r w:rsidR="007E252C">
        <w:rPr>
          <w:i/>
          <w:iCs/>
        </w:rPr>
        <w:t xml:space="preserve"> The PBS item codes affected are as follows:</w:t>
      </w:r>
    </w:p>
    <w:p w14:paraId="5D79DBEA" w14:textId="77777777" w:rsidR="007E252C" w:rsidRDefault="007E252C" w:rsidP="007E252C">
      <w:pPr>
        <w:pStyle w:val="ListParagraph"/>
        <w:numPr>
          <w:ilvl w:val="0"/>
          <w:numId w:val="10"/>
        </w:numPr>
        <w:spacing w:before="0" w:after="0"/>
        <w:contextualSpacing/>
        <w:rPr>
          <w:i/>
          <w:iCs/>
        </w:rPr>
      </w:pPr>
      <w:r>
        <w:rPr>
          <w:i/>
          <w:iCs/>
        </w:rPr>
        <w:t>5779E</w:t>
      </w:r>
    </w:p>
    <w:p w14:paraId="26F6998B" w14:textId="77777777" w:rsidR="007E252C" w:rsidRDefault="007E252C" w:rsidP="007E252C">
      <w:pPr>
        <w:pStyle w:val="ListParagraph"/>
        <w:numPr>
          <w:ilvl w:val="0"/>
          <w:numId w:val="10"/>
        </w:numPr>
        <w:spacing w:before="0" w:after="0"/>
        <w:contextualSpacing/>
        <w:rPr>
          <w:i/>
          <w:iCs/>
        </w:rPr>
      </w:pPr>
      <w:r>
        <w:rPr>
          <w:i/>
          <w:iCs/>
        </w:rPr>
        <w:t>6425E</w:t>
      </w:r>
    </w:p>
    <w:p w14:paraId="5D6D34CC" w14:textId="77777777" w:rsidR="007E252C" w:rsidRDefault="007E252C" w:rsidP="007E252C">
      <w:pPr>
        <w:pStyle w:val="ListParagraph"/>
        <w:numPr>
          <w:ilvl w:val="0"/>
          <w:numId w:val="10"/>
        </w:numPr>
        <w:spacing w:before="0" w:after="0"/>
        <w:contextualSpacing/>
        <w:rPr>
          <w:i/>
          <w:iCs/>
        </w:rPr>
      </w:pPr>
      <w:r>
        <w:rPr>
          <w:i/>
          <w:iCs/>
        </w:rPr>
        <w:t>11513Y</w:t>
      </w:r>
    </w:p>
    <w:p w14:paraId="418F6501" w14:textId="77777777" w:rsidR="007E252C" w:rsidRDefault="007E252C" w:rsidP="007E252C">
      <w:pPr>
        <w:pStyle w:val="ListParagraph"/>
        <w:numPr>
          <w:ilvl w:val="0"/>
          <w:numId w:val="10"/>
        </w:numPr>
        <w:spacing w:before="0" w:after="0"/>
        <w:contextualSpacing/>
        <w:rPr>
          <w:i/>
          <w:iCs/>
        </w:rPr>
      </w:pPr>
      <w:r>
        <w:rPr>
          <w:i/>
          <w:iCs/>
        </w:rPr>
        <w:t>11527Q</w:t>
      </w:r>
    </w:p>
    <w:p w14:paraId="3522AA9C" w14:textId="77777777" w:rsidR="007E252C" w:rsidRDefault="007E252C" w:rsidP="007E252C">
      <w:pPr>
        <w:pStyle w:val="ListParagraph"/>
        <w:numPr>
          <w:ilvl w:val="0"/>
          <w:numId w:val="10"/>
        </w:numPr>
        <w:spacing w:before="0" w:after="0"/>
        <w:contextualSpacing/>
        <w:rPr>
          <w:i/>
          <w:iCs/>
        </w:rPr>
      </w:pPr>
      <w:r>
        <w:rPr>
          <w:i/>
          <w:iCs/>
        </w:rPr>
        <w:t>5777C</w:t>
      </w:r>
    </w:p>
    <w:p w14:paraId="0DF7F4F2" w14:textId="77777777" w:rsidR="007E252C" w:rsidRDefault="007E252C" w:rsidP="007E252C">
      <w:pPr>
        <w:pStyle w:val="ListParagraph"/>
        <w:numPr>
          <w:ilvl w:val="0"/>
          <w:numId w:val="10"/>
        </w:numPr>
        <w:spacing w:before="0" w:after="0"/>
        <w:contextualSpacing/>
        <w:rPr>
          <w:i/>
          <w:iCs/>
        </w:rPr>
      </w:pPr>
      <w:r>
        <w:rPr>
          <w:i/>
          <w:iCs/>
        </w:rPr>
        <w:t>6423C</w:t>
      </w:r>
    </w:p>
    <w:p w14:paraId="7C7CAC52" w14:textId="77777777" w:rsidR="007E252C" w:rsidRDefault="007E252C" w:rsidP="007E252C">
      <w:pPr>
        <w:pStyle w:val="ListParagraph"/>
        <w:numPr>
          <w:ilvl w:val="0"/>
          <w:numId w:val="10"/>
        </w:numPr>
        <w:spacing w:before="0" w:after="0"/>
        <w:contextualSpacing/>
        <w:rPr>
          <w:i/>
          <w:iCs/>
        </w:rPr>
      </w:pPr>
      <w:r>
        <w:rPr>
          <w:i/>
          <w:iCs/>
        </w:rPr>
        <w:t>5778D</w:t>
      </w:r>
    </w:p>
    <w:p w14:paraId="091AFD8D" w14:textId="2823DD3E" w:rsidR="0008630B" w:rsidRPr="007E252C" w:rsidRDefault="007E252C" w:rsidP="002D18BD">
      <w:pPr>
        <w:pStyle w:val="ListParagraph"/>
        <w:numPr>
          <w:ilvl w:val="0"/>
          <w:numId w:val="10"/>
        </w:numPr>
        <w:spacing w:before="0" w:after="0"/>
        <w:contextualSpacing/>
        <w:rPr>
          <w:i/>
          <w:iCs/>
        </w:rPr>
      </w:pPr>
      <w:r>
        <w:rPr>
          <w:i/>
          <w:iCs/>
        </w:rPr>
        <w:t>6424D</w:t>
      </w:r>
    </w:p>
    <w:p w14:paraId="5950E422" w14:textId="77777777" w:rsidR="000209EE" w:rsidRDefault="000209EE" w:rsidP="002D18BD"/>
    <w:p w14:paraId="0557CAAB" w14:textId="000285F1" w:rsidR="0015277A" w:rsidRPr="00EA69CD" w:rsidRDefault="0015277A" w:rsidP="0015277A">
      <w:pPr>
        <w:rPr>
          <w:rFonts w:asciiTheme="minorHAnsi" w:hAnsiTheme="minorHAnsi" w:cs="Arial"/>
          <w:b/>
          <w:i/>
          <w:iCs/>
          <w:snapToGrid w:val="0"/>
        </w:rPr>
      </w:pPr>
      <w:r w:rsidRPr="00EA69CD">
        <w:rPr>
          <w:rFonts w:asciiTheme="minorHAnsi" w:hAnsiTheme="minorHAnsi" w:cs="Arial"/>
          <w:b/>
          <w:i/>
          <w:iCs/>
          <w:snapToGrid w:val="0"/>
        </w:rPr>
        <w:t>Th</w:t>
      </w:r>
      <w:r w:rsidR="00EA69CD" w:rsidRPr="00EA69CD">
        <w:rPr>
          <w:rFonts w:asciiTheme="minorHAnsi" w:hAnsiTheme="minorHAnsi" w:cs="Arial"/>
          <w:b/>
          <w:i/>
          <w:iCs/>
          <w:snapToGrid w:val="0"/>
        </w:rPr>
        <w:t>ese</w:t>
      </w:r>
      <w:r w:rsidRPr="00EA69CD">
        <w:rPr>
          <w:rFonts w:asciiTheme="minorHAnsi" w:hAnsiTheme="minorHAnsi" w:cs="Arial"/>
          <w:b/>
          <w:i/>
          <w:iCs/>
          <w:snapToGrid w:val="0"/>
        </w:rPr>
        <w:t xml:space="preserve"> restriction</w:t>
      </w:r>
      <w:r w:rsidR="00EA69CD" w:rsidRPr="00EA69CD">
        <w:rPr>
          <w:rFonts w:asciiTheme="minorHAnsi" w:hAnsiTheme="minorHAnsi" w:cs="Arial"/>
          <w:b/>
          <w:i/>
          <w:iCs/>
          <w:snapToGrid w:val="0"/>
        </w:rPr>
        <w:t>s</w:t>
      </w:r>
      <w:r w:rsidRPr="00EA69CD">
        <w:rPr>
          <w:rFonts w:asciiTheme="minorHAnsi" w:hAnsiTheme="minorHAnsi" w:cs="Arial"/>
          <w:b/>
          <w:i/>
          <w:iCs/>
          <w:snapToGrid w:val="0"/>
        </w:rPr>
        <w:t xml:space="preserve"> may be subject to further review. Should there be any changes made to the restriction the sponsor will be informed.</w:t>
      </w:r>
    </w:p>
    <w:p w14:paraId="5D92D051" w14:textId="5FFC5CBD" w:rsidR="007777F8" w:rsidRPr="00061CBE" w:rsidRDefault="007777F8" w:rsidP="007777F8">
      <w:pPr>
        <w:pStyle w:val="2-SectionHeading"/>
        <w:numPr>
          <w:ilvl w:val="0"/>
          <w:numId w:val="0"/>
        </w:numPr>
        <w:ind w:left="720" w:hanging="720"/>
        <w:rPr>
          <w:lang w:val="en-GB"/>
        </w:rPr>
      </w:pPr>
      <w:r>
        <w:t>8</w:t>
      </w:r>
      <w:r w:rsidRPr="00061CBE">
        <w:tab/>
        <w:t>Context for Decision</w:t>
      </w:r>
    </w:p>
    <w:p w14:paraId="644EAC22" w14:textId="77777777" w:rsidR="007777F8" w:rsidRPr="00061CBE" w:rsidRDefault="007777F8" w:rsidP="007777F8">
      <w:pPr>
        <w:ind w:left="720"/>
        <w:rPr>
          <w:bCs/>
          <w:lang w:val="en-GB"/>
        </w:rPr>
      </w:pPr>
      <w:r w:rsidRPr="00061CBE">
        <w:rPr>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061CBE">
        <w:rPr>
          <w:bCs/>
          <w:lang w:val="en-GB"/>
        </w:rPr>
        <w:lastRenderedPageBreak/>
        <w:t>through the PBS. The PBAC welcomes applications containing new information at any time.</w:t>
      </w:r>
    </w:p>
    <w:p w14:paraId="392E8618" w14:textId="5BD61A01" w:rsidR="007777F8" w:rsidRPr="00061CBE" w:rsidRDefault="007777F8" w:rsidP="007777F8">
      <w:pPr>
        <w:pStyle w:val="2-SectionHeading"/>
        <w:numPr>
          <w:ilvl w:val="0"/>
          <w:numId w:val="0"/>
        </w:numPr>
        <w:ind w:left="720" w:hanging="720"/>
      </w:pPr>
      <w:r>
        <w:t>9</w:t>
      </w:r>
      <w:r w:rsidRPr="00061CBE">
        <w:tab/>
        <w:t>Sponsor’s Comment</w:t>
      </w:r>
    </w:p>
    <w:p w14:paraId="0223972B" w14:textId="17F03179" w:rsidR="000B2296" w:rsidRPr="002E3C4D" w:rsidRDefault="007777F8" w:rsidP="005179A3">
      <w:pPr>
        <w:pStyle w:val="3-BodyText"/>
        <w:numPr>
          <w:ilvl w:val="0"/>
          <w:numId w:val="0"/>
        </w:numPr>
        <w:ind w:firstLine="720"/>
      </w:pPr>
      <w:r w:rsidRPr="00061CBE">
        <w:rPr>
          <w:bCs/>
        </w:rPr>
        <w:t>The sponsor had no comment.</w:t>
      </w:r>
    </w:p>
    <w:sectPr w:rsidR="000B2296" w:rsidRPr="002E3C4D"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6295A" w14:textId="77777777" w:rsidR="000B2EC1" w:rsidRDefault="000B2EC1">
      <w:r>
        <w:separator/>
      </w:r>
    </w:p>
    <w:p w14:paraId="06FD3D43" w14:textId="77777777" w:rsidR="000B2EC1" w:rsidRDefault="000B2EC1"/>
  </w:endnote>
  <w:endnote w:type="continuationSeparator" w:id="0">
    <w:p w14:paraId="4826F3ED" w14:textId="77777777" w:rsidR="000B2EC1" w:rsidRDefault="000B2EC1">
      <w:r>
        <w:continuationSeparator/>
      </w:r>
    </w:p>
    <w:p w14:paraId="1968A1F1" w14:textId="77777777" w:rsidR="000B2EC1" w:rsidRDefault="000B2EC1"/>
  </w:endnote>
  <w:endnote w:type="continuationNotice" w:id="1">
    <w:p w14:paraId="0ED2B1B0" w14:textId="77777777" w:rsidR="000B2EC1" w:rsidRDefault="000B2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2CE75CF3" w:rsidR="009C26AA" w:rsidRPr="005A3173" w:rsidRDefault="001B5721"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4" behindDoc="0" locked="0" layoutInCell="1" allowOverlap="1" wp14:anchorId="42E59584" wp14:editId="136470C6">
                    <wp:simplePos x="635" y="635"/>
                    <wp:positionH relativeFrom="page">
                      <wp:align>center</wp:align>
                    </wp:positionH>
                    <wp:positionV relativeFrom="page">
                      <wp:align>bottom</wp:align>
                    </wp:positionV>
                    <wp:extent cx="622300" cy="376555"/>
                    <wp:effectExtent l="0" t="0" r="6350" b="0"/>
                    <wp:wrapNone/>
                    <wp:docPr id="10152072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FEF233D" w14:textId="1427E45B" w:rsidR="001B5721" w:rsidRPr="001B5721" w:rsidRDefault="001B5721" w:rsidP="001B5721">
                                <w:pPr>
                                  <w:rPr>
                                    <w:rFonts w:ascii="Aptos" w:eastAsia="Aptos" w:hAnsi="Aptos" w:cs="Aptos"/>
                                    <w:noProof/>
                                    <w:color w:val="FF0000"/>
                                  </w:rPr>
                                </w:pPr>
                                <w:r w:rsidRPr="001B572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E59584"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7FEF233D" w14:textId="1427E45B" w:rsidR="001B5721" w:rsidRPr="001B5721" w:rsidRDefault="001B5721" w:rsidP="001B5721">
                          <w:pPr>
                            <w:rPr>
                              <w:rFonts w:ascii="Aptos" w:eastAsia="Aptos" w:hAnsi="Aptos" w:cs="Aptos"/>
                              <w:noProof/>
                              <w:color w:val="FF0000"/>
                            </w:rPr>
                          </w:pPr>
                          <w:r w:rsidRPr="001B5721">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379672E1" w:rsidR="009C26AA" w:rsidRPr="00D429EC" w:rsidRDefault="001B5721"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58245" behindDoc="0" locked="0" layoutInCell="1" allowOverlap="1" wp14:anchorId="21C20013" wp14:editId="3115F878">
              <wp:simplePos x="635" y="635"/>
              <wp:positionH relativeFrom="page">
                <wp:align>center</wp:align>
              </wp:positionH>
              <wp:positionV relativeFrom="page">
                <wp:align>bottom</wp:align>
              </wp:positionV>
              <wp:extent cx="622300" cy="376555"/>
              <wp:effectExtent l="0" t="0" r="6350" b="0"/>
              <wp:wrapNone/>
              <wp:docPr id="4908030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DCC2983" w14:textId="1C6191A9" w:rsidR="001B5721" w:rsidRPr="001B5721" w:rsidRDefault="001B5721" w:rsidP="001B5721">
                          <w:pPr>
                            <w:rPr>
                              <w:rFonts w:ascii="Aptos" w:eastAsia="Aptos" w:hAnsi="Aptos" w:cs="Aptos"/>
                              <w:noProof/>
                              <w:color w:val="FF0000"/>
                            </w:rPr>
                          </w:pPr>
                          <w:r w:rsidRPr="001B572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C20013"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DCC2983" w14:textId="1C6191A9" w:rsidR="001B5721" w:rsidRPr="001B5721" w:rsidRDefault="001B5721" w:rsidP="001B5721">
                    <w:pPr>
                      <w:rPr>
                        <w:rFonts w:ascii="Aptos" w:eastAsia="Aptos" w:hAnsi="Aptos" w:cs="Aptos"/>
                        <w:noProof/>
                        <w:color w:val="FF0000"/>
                      </w:rPr>
                    </w:pPr>
                    <w:r w:rsidRPr="001B5721">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2864" w14:textId="29FD9BBB" w:rsidR="00272DE5" w:rsidRDefault="001B5721">
    <w:pPr>
      <w:pStyle w:val="Footer"/>
    </w:pPr>
    <w:r>
      <w:rPr>
        <w:noProof/>
      </w:rPr>
      <mc:AlternateContent>
        <mc:Choice Requires="wps">
          <w:drawing>
            <wp:anchor distT="0" distB="0" distL="0" distR="0" simplePos="0" relativeHeight="251658243" behindDoc="0" locked="0" layoutInCell="1" allowOverlap="1" wp14:anchorId="014C14C7" wp14:editId="2D916A05">
              <wp:simplePos x="635" y="635"/>
              <wp:positionH relativeFrom="page">
                <wp:align>center</wp:align>
              </wp:positionH>
              <wp:positionV relativeFrom="page">
                <wp:align>bottom</wp:align>
              </wp:positionV>
              <wp:extent cx="622300" cy="376555"/>
              <wp:effectExtent l="0" t="0" r="6350" b="0"/>
              <wp:wrapNone/>
              <wp:docPr id="19131785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375EC46" w14:textId="3DF62A92" w:rsidR="001B5721" w:rsidRPr="001B5721" w:rsidRDefault="001B5721" w:rsidP="001B5721">
                          <w:pPr>
                            <w:rPr>
                              <w:rFonts w:ascii="Aptos" w:eastAsia="Aptos" w:hAnsi="Aptos" w:cs="Aptos"/>
                              <w:noProof/>
                              <w:color w:val="FF0000"/>
                            </w:rPr>
                          </w:pPr>
                          <w:r w:rsidRPr="001B572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4C14C7"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6375EC46" w14:textId="3DF62A92" w:rsidR="001B5721" w:rsidRPr="001B5721" w:rsidRDefault="001B5721" w:rsidP="001B5721">
                    <w:pPr>
                      <w:rPr>
                        <w:rFonts w:ascii="Aptos" w:eastAsia="Aptos" w:hAnsi="Aptos" w:cs="Aptos"/>
                        <w:noProof/>
                        <w:color w:val="FF0000"/>
                      </w:rPr>
                    </w:pPr>
                    <w:r w:rsidRPr="001B5721">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1B30" w14:textId="77777777" w:rsidR="000B2EC1" w:rsidRDefault="000B2EC1">
      <w:r>
        <w:separator/>
      </w:r>
    </w:p>
    <w:p w14:paraId="7501DB06" w14:textId="77777777" w:rsidR="000B2EC1" w:rsidRDefault="000B2EC1"/>
  </w:footnote>
  <w:footnote w:type="continuationSeparator" w:id="0">
    <w:p w14:paraId="1F287C87" w14:textId="77777777" w:rsidR="000B2EC1" w:rsidRDefault="000B2EC1">
      <w:r>
        <w:continuationSeparator/>
      </w:r>
    </w:p>
    <w:p w14:paraId="6F3E1903" w14:textId="77777777" w:rsidR="000B2EC1" w:rsidRDefault="000B2EC1"/>
  </w:footnote>
  <w:footnote w:type="continuationNotice" w:id="1">
    <w:p w14:paraId="439FC9E0" w14:textId="77777777" w:rsidR="000B2EC1" w:rsidRDefault="000B2E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431470F3" w:rsidR="009C26AA" w:rsidRPr="00A06225" w:rsidRDefault="001B5721">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023DE762" wp14:editId="1B06FDED">
                    <wp:simplePos x="635" y="635"/>
                    <wp:positionH relativeFrom="page">
                      <wp:align>center</wp:align>
                    </wp:positionH>
                    <wp:positionV relativeFrom="page">
                      <wp:align>top</wp:align>
                    </wp:positionV>
                    <wp:extent cx="622300" cy="376555"/>
                    <wp:effectExtent l="0" t="0" r="6350" b="4445"/>
                    <wp:wrapNone/>
                    <wp:docPr id="8460537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3530D04" w14:textId="342744B8" w:rsidR="001B5721" w:rsidRPr="001B5721" w:rsidRDefault="001B5721" w:rsidP="001B5721">
                                <w:pPr>
                                  <w:rPr>
                                    <w:rFonts w:ascii="Aptos" w:eastAsia="Aptos" w:hAnsi="Aptos" w:cs="Aptos"/>
                                    <w:noProof/>
                                    <w:color w:val="FF0000"/>
                                  </w:rPr>
                                </w:pPr>
                                <w:r w:rsidRPr="001B572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3DE762"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3530D04" w14:textId="342744B8" w:rsidR="001B5721" w:rsidRPr="001B5721" w:rsidRDefault="001B5721" w:rsidP="001B5721">
                          <w:pPr>
                            <w:rPr>
                              <w:rFonts w:ascii="Aptos" w:eastAsia="Aptos" w:hAnsi="Aptos" w:cs="Aptos"/>
                              <w:noProof/>
                              <w:color w:val="FF0000"/>
                            </w:rPr>
                          </w:pPr>
                          <w:r w:rsidRPr="001B5721">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519DB924" w:rsidR="00C56D78" w:rsidRPr="00C56D78" w:rsidRDefault="001B5721"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mc:AlternateContent>
        <mc:Choice Requires="wps">
          <w:drawing>
            <wp:anchor distT="0" distB="0" distL="0" distR="0" simplePos="0" relativeHeight="251658242" behindDoc="0" locked="0" layoutInCell="1" allowOverlap="1" wp14:anchorId="63EAE05B" wp14:editId="7DFA7231">
              <wp:simplePos x="635" y="635"/>
              <wp:positionH relativeFrom="page">
                <wp:align>center</wp:align>
              </wp:positionH>
              <wp:positionV relativeFrom="page">
                <wp:align>top</wp:align>
              </wp:positionV>
              <wp:extent cx="622300" cy="376555"/>
              <wp:effectExtent l="0" t="0" r="6350" b="4445"/>
              <wp:wrapNone/>
              <wp:docPr id="483993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D3C9282" w14:textId="77CD7B29" w:rsidR="001B5721" w:rsidRPr="001B5721" w:rsidRDefault="001B5721" w:rsidP="001B5721">
                          <w:pPr>
                            <w:rPr>
                              <w:rFonts w:ascii="Aptos" w:eastAsia="Aptos" w:hAnsi="Aptos" w:cs="Aptos"/>
                              <w:noProof/>
                              <w:color w:val="FF0000"/>
                            </w:rPr>
                          </w:pPr>
                          <w:r w:rsidRPr="001B572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EAE05B"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5D3C9282" w14:textId="77CD7B29" w:rsidR="001B5721" w:rsidRPr="001B5721" w:rsidRDefault="001B5721" w:rsidP="001B5721">
                    <w:pPr>
                      <w:rPr>
                        <w:rFonts w:ascii="Aptos" w:eastAsia="Aptos" w:hAnsi="Aptos" w:cs="Aptos"/>
                        <w:noProof/>
                        <w:color w:val="FF0000"/>
                      </w:rPr>
                    </w:pPr>
                    <w:r w:rsidRPr="001B5721">
                      <w:rPr>
                        <w:rFonts w:ascii="Aptos" w:eastAsia="Aptos" w:hAnsi="Aptos" w:cs="Aptos"/>
                        <w:noProof/>
                        <w:color w:val="FF0000"/>
                      </w:rPr>
                      <w:t>OFFICIAL</w:t>
                    </w:r>
                  </w:p>
                </w:txbxContent>
              </v:textbox>
              <w10:wrap anchorx="page" anchory="page"/>
            </v:shape>
          </w:pict>
        </mc:Fallback>
      </mc:AlternateContent>
    </w:r>
    <w:r w:rsidR="005316F3">
      <w:rPr>
        <w:rFonts w:asciiTheme="minorHAnsi" w:eastAsiaTheme="minorEastAsia" w:hAnsiTheme="minorHAnsi" w:cstheme="minorHAnsi"/>
        <w:i/>
        <w:noProof/>
        <w:color w:val="808080"/>
      </w:rPr>
      <w:t>Public Summary Document</w:t>
    </w:r>
    <w:r w:rsidR="00CC2224">
      <w:rPr>
        <w:rFonts w:asciiTheme="minorHAnsi" w:eastAsiaTheme="minorEastAsia" w:hAnsiTheme="minorHAnsi" w:cstheme="minorHAnsi"/>
        <w:i/>
        <w:color w:val="808080"/>
      </w:rPr>
      <w:t xml:space="preserve"> –</w:t>
    </w:r>
    <w:r w:rsidR="00B330E0">
      <w:rPr>
        <w:rFonts w:asciiTheme="minorHAnsi" w:eastAsiaTheme="minorEastAsia" w:hAnsiTheme="minorHAnsi" w:cstheme="minorHAnsi"/>
        <w:i/>
        <w:color w:val="808080"/>
      </w:rPr>
      <w:t xml:space="preserve"> March</w:t>
    </w:r>
    <w:r w:rsidR="00C56D78">
      <w:rPr>
        <w:rFonts w:asciiTheme="minorHAnsi" w:eastAsiaTheme="minorEastAsia" w:hAnsiTheme="minorHAnsi" w:cstheme="minorHAnsi"/>
        <w:i/>
        <w:color w:val="808080"/>
      </w:rPr>
      <w:t xml:space="preserve"> 202</w:t>
    </w:r>
    <w:r w:rsidR="00B330E0">
      <w:rPr>
        <w:rFonts w:asciiTheme="minorHAnsi" w:eastAsiaTheme="minorEastAsia" w:hAnsiTheme="minorHAnsi" w:cstheme="minorHAnsi"/>
        <w:i/>
        <w:color w:val="808080"/>
      </w:rPr>
      <w:t>6</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D2EE" w14:textId="329C0F07" w:rsidR="00272DE5" w:rsidRDefault="001B5721">
    <w:pPr>
      <w:pStyle w:val="Header"/>
    </w:pPr>
    <w:r>
      <w:rPr>
        <w:noProof/>
      </w:rPr>
      <mc:AlternateContent>
        <mc:Choice Requires="wps">
          <w:drawing>
            <wp:anchor distT="0" distB="0" distL="0" distR="0" simplePos="0" relativeHeight="251658240" behindDoc="0" locked="0" layoutInCell="1" allowOverlap="1" wp14:anchorId="27F93DE3" wp14:editId="0A8D070E">
              <wp:simplePos x="635" y="635"/>
              <wp:positionH relativeFrom="page">
                <wp:align>center</wp:align>
              </wp:positionH>
              <wp:positionV relativeFrom="page">
                <wp:align>top</wp:align>
              </wp:positionV>
              <wp:extent cx="622300" cy="376555"/>
              <wp:effectExtent l="0" t="0" r="6350" b="4445"/>
              <wp:wrapNone/>
              <wp:docPr id="10397883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C546F2" w14:textId="753F9019" w:rsidR="001B5721" w:rsidRPr="001B5721" w:rsidRDefault="001B5721" w:rsidP="001B5721">
                          <w:pPr>
                            <w:rPr>
                              <w:rFonts w:ascii="Aptos" w:eastAsia="Aptos" w:hAnsi="Aptos" w:cs="Aptos"/>
                              <w:noProof/>
                              <w:color w:val="FF0000"/>
                            </w:rPr>
                          </w:pPr>
                          <w:r w:rsidRPr="001B572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F93DE3"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52C546F2" w14:textId="753F9019" w:rsidR="001B5721" w:rsidRPr="001B5721" w:rsidRDefault="001B5721" w:rsidP="001B5721">
                    <w:pPr>
                      <w:rPr>
                        <w:rFonts w:ascii="Aptos" w:eastAsia="Aptos" w:hAnsi="Aptos" w:cs="Aptos"/>
                        <w:noProof/>
                        <w:color w:val="FF0000"/>
                      </w:rPr>
                    </w:pPr>
                    <w:r w:rsidRPr="001B5721">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837B33"/>
    <w:multiLevelType w:val="hybridMultilevel"/>
    <w:tmpl w:val="6C906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4" w15:restartNumberingAfterBreak="0">
    <w:nsid w:val="463E70B1"/>
    <w:multiLevelType w:val="hybridMultilevel"/>
    <w:tmpl w:val="026E6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8EE6ED9"/>
    <w:multiLevelType w:val="hybridMultilevel"/>
    <w:tmpl w:val="A5A8CB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9B4861"/>
    <w:multiLevelType w:val="hybridMultilevel"/>
    <w:tmpl w:val="E6BC53E0"/>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957570559">
    <w:abstractNumId w:val="7"/>
  </w:num>
  <w:num w:numId="2" w16cid:durableId="1159004663">
    <w:abstractNumId w:val="6"/>
  </w:num>
  <w:num w:numId="3" w16cid:durableId="495537779">
    <w:abstractNumId w:val="3"/>
  </w:num>
  <w:num w:numId="4" w16cid:durableId="1468400811">
    <w:abstractNumId w:val="0"/>
  </w:num>
  <w:num w:numId="5" w16cid:durableId="1103570019">
    <w:abstractNumId w:val="2"/>
  </w:num>
  <w:num w:numId="6" w16cid:durableId="2041346921">
    <w:abstractNumId w:val="7"/>
  </w:num>
  <w:num w:numId="7" w16cid:durableId="1286504221">
    <w:abstractNumId w:val="5"/>
  </w:num>
  <w:num w:numId="8" w16cid:durableId="116070544">
    <w:abstractNumId w:val="8"/>
  </w:num>
  <w:num w:numId="9" w16cid:durableId="182987042">
    <w:abstractNumId w:val="4"/>
  </w:num>
  <w:num w:numId="10" w16cid:durableId="92001776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167E"/>
    <w:rsid w:val="000025AD"/>
    <w:rsid w:val="0000335D"/>
    <w:rsid w:val="00003EC5"/>
    <w:rsid w:val="00006537"/>
    <w:rsid w:val="00006782"/>
    <w:rsid w:val="0001179A"/>
    <w:rsid w:val="00011A59"/>
    <w:rsid w:val="000138E9"/>
    <w:rsid w:val="00014D69"/>
    <w:rsid w:val="00016A41"/>
    <w:rsid w:val="000209EE"/>
    <w:rsid w:val="000214D1"/>
    <w:rsid w:val="00021530"/>
    <w:rsid w:val="00021F20"/>
    <w:rsid w:val="00023025"/>
    <w:rsid w:val="00023D51"/>
    <w:rsid w:val="000240A7"/>
    <w:rsid w:val="0002464A"/>
    <w:rsid w:val="00025A04"/>
    <w:rsid w:val="0002693D"/>
    <w:rsid w:val="00026FAD"/>
    <w:rsid w:val="00027A58"/>
    <w:rsid w:val="00027F31"/>
    <w:rsid w:val="0003050E"/>
    <w:rsid w:val="00030B46"/>
    <w:rsid w:val="0003106B"/>
    <w:rsid w:val="0003269B"/>
    <w:rsid w:val="000335B9"/>
    <w:rsid w:val="00034905"/>
    <w:rsid w:val="00037906"/>
    <w:rsid w:val="0004005D"/>
    <w:rsid w:val="00040A30"/>
    <w:rsid w:val="000414C9"/>
    <w:rsid w:val="00041780"/>
    <w:rsid w:val="000421A1"/>
    <w:rsid w:val="0004240E"/>
    <w:rsid w:val="000425A2"/>
    <w:rsid w:val="00042CB7"/>
    <w:rsid w:val="00044E52"/>
    <w:rsid w:val="00044EC4"/>
    <w:rsid w:val="00044FAB"/>
    <w:rsid w:val="00045E26"/>
    <w:rsid w:val="00046205"/>
    <w:rsid w:val="00046903"/>
    <w:rsid w:val="00047247"/>
    <w:rsid w:val="000500AD"/>
    <w:rsid w:val="000514B5"/>
    <w:rsid w:val="000521ED"/>
    <w:rsid w:val="000529EF"/>
    <w:rsid w:val="0005322E"/>
    <w:rsid w:val="000546CF"/>
    <w:rsid w:val="00054E2B"/>
    <w:rsid w:val="00055A8E"/>
    <w:rsid w:val="00060E64"/>
    <w:rsid w:val="000621AB"/>
    <w:rsid w:val="00062C03"/>
    <w:rsid w:val="00062CD0"/>
    <w:rsid w:val="00062E88"/>
    <w:rsid w:val="000659F9"/>
    <w:rsid w:val="00066193"/>
    <w:rsid w:val="00066755"/>
    <w:rsid w:val="00067EC2"/>
    <w:rsid w:val="0007127A"/>
    <w:rsid w:val="00071A5B"/>
    <w:rsid w:val="00072730"/>
    <w:rsid w:val="00072932"/>
    <w:rsid w:val="0007337F"/>
    <w:rsid w:val="00073C50"/>
    <w:rsid w:val="000742F6"/>
    <w:rsid w:val="00074320"/>
    <w:rsid w:val="000763D5"/>
    <w:rsid w:val="00076C38"/>
    <w:rsid w:val="00076C67"/>
    <w:rsid w:val="00077143"/>
    <w:rsid w:val="00077887"/>
    <w:rsid w:val="00077DF7"/>
    <w:rsid w:val="0008050C"/>
    <w:rsid w:val="00080ADF"/>
    <w:rsid w:val="00082169"/>
    <w:rsid w:val="00082422"/>
    <w:rsid w:val="000834BE"/>
    <w:rsid w:val="00083F01"/>
    <w:rsid w:val="0008630B"/>
    <w:rsid w:val="000865EF"/>
    <w:rsid w:val="00087C4C"/>
    <w:rsid w:val="00087E0C"/>
    <w:rsid w:val="00087E15"/>
    <w:rsid w:val="0009079C"/>
    <w:rsid w:val="000911CD"/>
    <w:rsid w:val="0009150F"/>
    <w:rsid w:val="000918CB"/>
    <w:rsid w:val="00091B06"/>
    <w:rsid w:val="000921CA"/>
    <w:rsid w:val="000951C4"/>
    <w:rsid w:val="00095ADA"/>
    <w:rsid w:val="00095F3A"/>
    <w:rsid w:val="000969AD"/>
    <w:rsid w:val="00096E1D"/>
    <w:rsid w:val="0009745C"/>
    <w:rsid w:val="000975FB"/>
    <w:rsid w:val="000A02F8"/>
    <w:rsid w:val="000A3AA2"/>
    <w:rsid w:val="000A42EF"/>
    <w:rsid w:val="000A44B2"/>
    <w:rsid w:val="000A52F6"/>
    <w:rsid w:val="000A58B8"/>
    <w:rsid w:val="000A678A"/>
    <w:rsid w:val="000A7187"/>
    <w:rsid w:val="000A78B8"/>
    <w:rsid w:val="000B2128"/>
    <w:rsid w:val="000B2296"/>
    <w:rsid w:val="000B2EC1"/>
    <w:rsid w:val="000B3E21"/>
    <w:rsid w:val="000B4148"/>
    <w:rsid w:val="000B44C3"/>
    <w:rsid w:val="000B4C8D"/>
    <w:rsid w:val="000B4DC6"/>
    <w:rsid w:val="000B558D"/>
    <w:rsid w:val="000B5A89"/>
    <w:rsid w:val="000B65F6"/>
    <w:rsid w:val="000B7767"/>
    <w:rsid w:val="000C1AFF"/>
    <w:rsid w:val="000C270D"/>
    <w:rsid w:val="000C4E9F"/>
    <w:rsid w:val="000C5740"/>
    <w:rsid w:val="000C5F95"/>
    <w:rsid w:val="000C6996"/>
    <w:rsid w:val="000C7BAE"/>
    <w:rsid w:val="000C7C46"/>
    <w:rsid w:val="000D09E9"/>
    <w:rsid w:val="000D0F21"/>
    <w:rsid w:val="000D113F"/>
    <w:rsid w:val="000D1582"/>
    <w:rsid w:val="000D23BA"/>
    <w:rsid w:val="000D3730"/>
    <w:rsid w:val="000D39AC"/>
    <w:rsid w:val="000D4909"/>
    <w:rsid w:val="000D4F18"/>
    <w:rsid w:val="000D5DFB"/>
    <w:rsid w:val="000D7379"/>
    <w:rsid w:val="000E0C09"/>
    <w:rsid w:val="000E19B7"/>
    <w:rsid w:val="000E20FC"/>
    <w:rsid w:val="000E245D"/>
    <w:rsid w:val="000E3168"/>
    <w:rsid w:val="000E3C1D"/>
    <w:rsid w:val="000E3DFB"/>
    <w:rsid w:val="000E5963"/>
    <w:rsid w:val="000E5EA1"/>
    <w:rsid w:val="000E681E"/>
    <w:rsid w:val="000E696B"/>
    <w:rsid w:val="000E776A"/>
    <w:rsid w:val="000E7E52"/>
    <w:rsid w:val="000E7E90"/>
    <w:rsid w:val="000EE1C7"/>
    <w:rsid w:val="000F0003"/>
    <w:rsid w:val="000F21BA"/>
    <w:rsid w:val="000F2788"/>
    <w:rsid w:val="000F2CD4"/>
    <w:rsid w:val="000F3384"/>
    <w:rsid w:val="000F3438"/>
    <w:rsid w:val="000F4E6A"/>
    <w:rsid w:val="000F6ABB"/>
    <w:rsid w:val="000F6FF0"/>
    <w:rsid w:val="000F7354"/>
    <w:rsid w:val="000F7689"/>
    <w:rsid w:val="000F7C27"/>
    <w:rsid w:val="0010048F"/>
    <w:rsid w:val="00101ABE"/>
    <w:rsid w:val="00102202"/>
    <w:rsid w:val="00102700"/>
    <w:rsid w:val="00102A78"/>
    <w:rsid w:val="00103118"/>
    <w:rsid w:val="00103F1B"/>
    <w:rsid w:val="00104227"/>
    <w:rsid w:val="0010455A"/>
    <w:rsid w:val="001053D5"/>
    <w:rsid w:val="00106BC3"/>
    <w:rsid w:val="00107409"/>
    <w:rsid w:val="001107BF"/>
    <w:rsid w:val="00110AD5"/>
    <w:rsid w:val="00111F92"/>
    <w:rsid w:val="00113649"/>
    <w:rsid w:val="00113D5C"/>
    <w:rsid w:val="00115F49"/>
    <w:rsid w:val="00116B03"/>
    <w:rsid w:val="00117CA9"/>
    <w:rsid w:val="00120AA6"/>
    <w:rsid w:val="0012216E"/>
    <w:rsid w:val="001239DB"/>
    <w:rsid w:val="00123AEB"/>
    <w:rsid w:val="0012417C"/>
    <w:rsid w:val="00124BF2"/>
    <w:rsid w:val="00125837"/>
    <w:rsid w:val="0012597F"/>
    <w:rsid w:val="001266D3"/>
    <w:rsid w:val="00126B19"/>
    <w:rsid w:val="00126D3A"/>
    <w:rsid w:val="0012749D"/>
    <w:rsid w:val="00127A23"/>
    <w:rsid w:val="001306A5"/>
    <w:rsid w:val="001307BE"/>
    <w:rsid w:val="00130918"/>
    <w:rsid w:val="00130D51"/>
    <w:rsid w:val="00130D5B"/>
    <w:rsid w:val="001311AE"/>
    <w:rsid w:val="00132C76"/>
    <w:rsid w:val="00134330"/>
    <w:rsid w:val="00134662"/>
    <w:rsid w:val="001347FE"/>
    <w:rsid w:val="00134994"/>
    <w:rsid w:val="0013563D"/>
    <w:rsid w:val="001366C2"/>
    <w:rsid w:val="00136C17"/>
    <w:rsid w:val="001409A8"/>
    <w:rsid w:val="00140B74"/>
    <w:rsid w:val="00140CFC"/>
    <w:rsid w:val="00140D94"/>
    <w:rsid w:val="00141C77"/>
    <w:rsid w:val="00142395"/>
    <w:rsid w:val="0014250D"/>
    <w:rsid w:val="00142714"/>
    <w:rsid w:val="00144D09"/>
    <w:rsid w:val="00144E06"/>
    <w:rsid w:val="001452ED"/>
    <w:rsid w:val="00147D84"/>
    <w:rsid w:val="00151CBD"/>
    <w:rsid w:val="0015277A"/>
    <w:rsid w:val="00153009"/>
    <w:rsid w:val="001531DE"/>
    <w:rsid w:val="0015338F"/>
    <w:rsid w:val="001533C3"/>
    <w:rsid w:val="001549C1"/>
    <w:rsid w:val="00156C8D"/>
    <w:rsid w:val="00156FEC"/>
    <w:rsid w:val="00160F4D"/>
    <w:rsid w:val="00162BDD"/>
    <w:rsid w:val="00162D4E"/>
    <w:rsid w:val="00163329"/>
    <w:rsid w:val="00164623"/>
    <w:rsid w:val="00164E54"/>
    <w:rsid w:val="001652DE"/>
    <w:rsid w:val="001653EC"/>
    <w:rsid w:val="00165B64"/>
    <w:rsid w:val="001661F3"/>
    <w:rsid w:val="00166243"/>
    <w:rsid w:val="00166A1F"/>
    <w:rsid w:val="00167117"/>
    <w:rsid w:val="00167C39"/>
    <w:rsid w:val="00170C4D"/>
    <w:rsid w:val="00174EB8"/>
    <w:rsid w:val="001756CB"/>
    <w:rsid w:val="00175787"/>
    <w:rsid w:val="00176B9D"/>
    <w:rsid w:val="00177933"/>
    <w:rsid w:val="00180713"/>
    <w:rsid w:val="00180720"/>
    <w:rsid w:val="001830CE"/>
    <w:rsid w:val="001836E3"/>
    <w:rsid w:val="00183787"/>
    <w:rsid w:val="00184659"/>
    <w:rsid w:val="001860E5"/>
    <w:rsid w:val="0018643B"/>
    <w:rsid w:val="00186687"/>
    <w:rsid w:val="00187B4F"/>
    <w:rsid w:val="001938B2"/>
    <w:rsid w:val="00193E3B"/>
    <w:rsid w:val="00196307"/>
    <w:rsid w:val="00197C70"/>
    <w:rsid w:val="00197F03"/>
    <w:rsid w:val="001A0D10"/>
    <w:rsid w:val="001A24F9"/>
    <w:rsid w:val="001A33EA"/>
    <w:rsid w:val="001A3615"/>
    <w:rsid w:val="001A4413"/>
    <w:rsid w:val="001A4C4F"/>
    <w:rsid w:val="001A4DF5"/>
    <w:rsid w:val="001A5A2B"/>
    <w:rsid w:val="001A5F37"/>
    <w:rsid w:val="001A66BC"/>
    <w:rsid w:val="001A7481"/>
    <w:rsid w:val="001A76FB"/>
    <w:rsid w:val="001B017F"/>
    <w:rsid w:val="001B0B79"/>
    <w:rsid w:val="001B19EA"/>
    <w:rsid w:val="001B2BBC"/>
    <w:rsid w:val="001B2BCD"/>
    <w:rsid w:val="001B346B"/>
    <w:rsid w:val="001B3A40"/>
    <w:rsid w:val="001B3FFE"/>
    <w:rsid w:val="001B5129"/>
    <w:rsid w:val="001B5721"/>
    <w:rsid w:val="001B6177"/>
    <w:rsid w:val="001B638D"/>
    <w:rsid w:val="001C0B4C"/>
    <w:rsid w:val="001C0EC4"/>
    <w:rsid w:val="001C1195"/>
    <w:rsid w:val="001C12AE"/>
    <w:rsid w:val="001C1E84"/>
    <w:rsid w:val="001C20E1"/>
    <w:rsid w:val="001C2A0F"/>
    <w:rsid w:val="001C2E42"/>
    <w:rsid w:val="001C4152"/>
    <w:rsid w:val="001C6D1F"/>
    <w:rsid w:val="001C7150"/>
    <w:rsid w:val="001D1F5F"/>
    <w:rsid w:val="001D3ED5"/>
    <w:rsid w:val="001D595B"/>
    <w:rsid w:val="001D5A22"/>
    <w:rsid w:val="001E06D2"/>
    <w:rsid w:val="001E17C4"/>
    <w:rsid w:val="001E1A35"/>
    <w:rsid w:val="001E1FC9"/>
    <w:rsid w:val="001E203D"/>
    <w:rsid w:val="001E2A47"/>
    <w:rsid w:val="001E2D65"/>
    <w:rsid w:val="001E300E"/>
    <w:rsid w:val="001E37E0"/>
    <w:rsid w:val="001E3FAE"/>
    <w:rsid w:val="001E4ACC"/>
    <w:rsid w:val="001E69D6"/>
    <w:rsid w:val="001E6BF8"/>
    <w:rsid w:val="001F005B"/>
    <w:rsid w:val="001F0266"/>
    <w:rsid w:val="001F1850"/>
    <w:rsid w:val="001F1FBF"/>
    <w:rsid w:val="001F2311"/>
    <w:rsid w:val="001F2B80"/>
    <w:rsid w:val="001F2CE8"/>
    <w:rsid w:val="001F2F1C"/>
    <w:rsid w:val="001F3189"/>
    <w:rsid w:val="001F636F"/>
    <w:rsid w:val="00200BEA"/>
    <w:rsid w:val="0020103E"/>
    <w:rsid w:val="00201FB8"/>
    <w:rsid w:val="00203FAC"/>
    <w:rsid w:val="00205810"/>
    <w:rsid w:val="00206232"/>
    <w:rsid w:val="00207427"/>
    <w:rsid w:val="0021040B"/>
    <w:rsid w:val="002125C4"/>
    <w:rsid w:val="002133FB"/>
    <w:rsid w:val="00213CFB"/>
    <w:rsid w:val="0021553C"/>
    <w:rsid w:val="0021557B"/>
    <w:rsid w:val="0021562A"/>
    <w:rsid w:val="00216B87"/>
    <w:rsid w:val="002174FD"/>
    <w:rsid w:val="00217BE1"/>
    <w:rsid w:val="002206D5"/>
    <w:rsid w:val="00221361"/>
    <w:rsid w:val="002214B9"/>
    <w:rsid w:val="00222680"/>
    <w:rsid w:val="00223370"/>
    <w:rsid w:val="00224D1E"/>
    <w:rsid w:val="00224D56"/>
    <w:rsid w:val="00226611"/>
    <w:rsid w:val="00226F2E"/>
    <w:rsid w:val="00227BC5"/>
    <w:rsid w:val="00230F63"/>
    <w:rsid w:val="002331BC"/>
    <w:rsid w:val="00234252"/>
    <w:rsid w:val="0023466E"/>
    <w:rsid w:val="00234CDE"/>
    <w:rsid w:val="00236372"/>
    <w:rsid w:val="00237AC6"/>
    <w:rsid w:val="002418D5"/>
    <w:rsid w:val="00242B64"/>
    <w:rsid w:val="00242BFD"/>
    <w:rsid w:val="00244139"/>
    <w:rsid w:val="002441E6"/>
    <w:rsid w:val="00244490"/>
    <w:rsid w:val="00244BEC"/>
    <w:rsid w:val="00244C0B"/>
    <w:rsid w:val="00245444"/>
    <w:rsid w:val="00245B9C"/>
    <w:rsid w:val="0024755F"/>
    <w:rsid w:val="00250874"/>
    <w:rsid w:val="00251B85"/>
    <w:rsid w:val="00251E5A"/>
    <w:rsid w:val="00252587"/>
    <w:rsid w:val="00253499"/>
    <w:rsid w:val="002551A4"/>
    <w:rsid w:val="002554F4"/>
    <w:rsid w:val="00257664"/>
    <w:rsid w:val="00257D6F"/>
    <w:rsid w:val="00260165"/>
    <w:rsid w:val="002620DC"/>
    <w:rsid w:val="00262721"/>
    <w:rsid w:val="00265151"/>
    <w:rsid w:val="00265C2C"/>
    <w:rsid w:val="00266509"/>
    <w:rsid w:val="00267098"/>
    <w:rsid w:val="002713C3"/>
    <w:rsid w:val="00271BA1"/>
    <w:rsid w:val="002724EC"/>
    <w:rsid w:val="00272BEA"/>
    <w:rsid w:val="00272DE5"/>
    <w:rsid w:val="00273A46"/>
    <w:rsid w:val="00273AC5"/>
    <w:rsid w:val="002762FA"/>
    <w:rsid w:val="00276BE3"/>
    <w:rsid w:val="00277505"/>
    <w:rsid w:val="00277873"/>
    <w:rsid w:val="00277AE0"/>
    <w:rsid w:val="00277C96"/>
    <w:rsid w:val="00277FB0"/>
    <w:rsid w:val="0028158C"/>
    <w:rsid w:val="002823B6"/>
    <w:rsid w:val="00283D14"/>
    <w:rsid w:val="002844E6"/>
    <w:rsid w:val="002851D8"/>
    <w:rsid w:val="00286327"/>
    <w:rsid w:val="00287FB1"/>
    <w:rsid w:val="00290C03"/>
    <w:rsid w:val="00290D15"/>
    <w:rsid w:val="00292392"/>
    <w:rsid w:val="00292E3B"/>
    <w:rsid w:val="002933A8"/>
    <w:rsid w:val="00294274"/>
    <w:rsid w:val="0029458F"/>
    <w:rsid w:val="002951A2"/>
    <w:rsid w:val="00295D04"/>
    <w:rsid w:val="002960F3"/>
    <w:rsid w:val="002962B3"/>
    <w:rsid w:val="00297A63"/>
    <w:rsid w:val="002A0013"/>
    <w:rsid w:val="002A018F"/>
    <w:rsid w:val="002A0E04"/>
    <w:rsid w:val="002A104C"/>
    <w:rsid w:val="002A1EF7"/>
    <w:rsid w:val="002A2B7B"/>
    <w:rsid w:val="002A494D"/>
    <w:rsid w:val="002A4960"/>
    <w:rsid w:val="002A636A"/>
    <w:rsid w:val="002A6699"/>
    <w:rsid w:val="002A755F"/>
    <w:rsid w:val="002B0AE0"/>
    <w:rsid w:val="002B0B2B"/>
    <w:rsid w:val="002B1AE6"/>
    <w:rsid w:val="002B1B45"/>
    <w:rsid w:val="002B1D51"/>
    <w:rsid w:val="002B2DE8"/>
    <w:rsid w:val="002B30F8"/>
    <w:rsid w:val="002B388A"/>
    <w:rsid w:val="002B3BFE"/>
    <w:rsid w:val="002B3C1A"/>
    <w:rsid w:val="002B4C2A"/>
    <w:rsid w:val="002B5596"/>
    <w:rsid w:val="002B74D4"/>
    <w:rsid w:val="002B77D7"/>
    <w:rsid w:val="002C010C"/>
    <w:rsid w:val="002C0763"/>
    <w:rsid w:val="002C212F"/>
    <w:rsid w:val="002C2F35"/>
    <w:rsid w:val="002C3A0A"/>
    <w:rsid w:val="002C3F82"/>
    <w:rsid w:val="002C4678"/>
    <w:rsid w:val="002C5850"/>
    <w:rsid w:val="002C66FB"/>
    <w:rsid w:val="002C6AA9"/>
    <w:rsid w:val="002C6D48"/>
    <w:rsid w:val="002C7485"/>
    <w:rsid w:val="002D18BD"/>
    <w:rsid w:val="002D2641"/>
    <w:rsid w:val="002D283A"/>
    <w:rsid w:val="002D3733"/>
    <w:rsid w:val="002D4184"/>
    <w:rsid w:val="002D4543"/>
    <w:rsid w:val="002D459B"/>
    <w:rsid w:val="002D5A41"/>
    <w:rsid w:val="002D5D69"/>
    <w:rsid w:val="002D715F"/>
    <w:rsid w:val="002D7276"/>
    <w:rsid w:val="002E022A"/>
    <w:rsid w:val="002E3153"/>
    <w:rsid w:val="002E33DB"/>
    <w:rsid w:val="002E3C4D"/>
    <w:rsid w:val="002E3FD4"/>
    <w:rsid w:val="002E4A02"/>
    <w:rsid w:val="002E4AD8"/>
    <w:rsid w:val="002E5292"/>
    <w:rsid w:val="002E66AD"/>
    <w:rsid w:val="002E72CA"/>
    <w:rsid w:val="002E755A"/>
    <w:rsid w:val="002E75DD"/>
    <w:rsid w:val="002E7722"/>
    <w:rsid w:val="002E782D"/>
    <w:rsid w:val="002E7CF7"/>
    <w:rsid w:val="002F1D07"/>
    <w:rsid w:val="002F5C5B"/>
    <w:rsid w:val="002F600D"/>
    <w:rsid w:val="002F6F0F"/>
    <w:rsid w:val="002F6FA3"/>
    <w:rsid w:val="002F7E47"/>
    <w:rsid w:val="00300AD6"/>
    <w:rsid w:val="00300B1B"/>
    <w:rsid w:val="003019D0"/>
    <w:rsid w:val="003019DE"/>
    <w:rsid w:val="0030311E"/>
    <w:rsid w:val="00303CFE"/>
    <w:rsid w:val="003064AF"/>
    <w:rsid w:val="00307AAF"/>
    <w:rsid w:val="00307DC6"/>
    <w:rsid w:val="00310606"/>
    <w:rsid w:val="00310661"/>
    <w:rsid w:val="00310A8B"/>
    <w:rsid w:val="00310B68"/>
    <w:rsid w:val="00312640"/>
    <w:rsid w:val="003160D2"/>
    <w:rsid w:val="00316C76"/>
    <w:rsid w:val="003173FC"/>
    <w:rsid w:val="00317C6C"/>
    <w:rsid w:val="00320B80"/>
    <w:rsid w:val="00320CD3"/>
    <w:rsid w:val="003211E9"/>
    <w:rsid w:val="003215FF"/>
    <w:rsid w:val="003216CF"/>
    <w:rsid w:val="00322667"/>
    <w:rsid w:val="00322834"/>
    <w:rsid w:val="0032288E"/>
    <w:rsid w:val="00324826"/>
    <w:rsid w:val="0032607C"/>
    <w:rsid w:val="0032636A"/>
    <w:rsid w:val="00326E79"/>
    <w:rsid w:val="0032748A"/>
    <w:rsid w:val="00327A5F"/>
    <w:rsid w:val="003301B1"/>
    <w:rsid w:val="00330CEE"/>
    <w:rsid w:val="00331189"/>
    <w:rsid w:val="003321FB"/>
    <w:rsid w:val="0033263D"/>
    <w:rsid w:val="00332BE6"/>
    <w:rsid w:val="00334E69"/>
    <w:rsid w:val="0033518A"/>
    <w:rsid w:val="00335535"/>
    <w:rsid w:val="003367EF"/>
    <w:rsid w:val="003405EF"/>
    <w:rsid w:val="00341AE4"/>
    <w:rsid w:val="003425CA"/>
    <w:rsid w:val="00343FB7"/>
    <w:rsid w:val="003476EE"/>
    <w:rsid w:val="0035182E"/>
    <w:rsid w:val="003522B4"/>
    <w:rsid w:val="003541DD"/>
    <w:rsid w:val="00354215"/>
    <w:rsid w:val="00356E5B"/>
    <w:rsid w:val="00360887"/>
    <w:rsid w:val="0036228D"/>
    <w:rsid w:val="0036249F"/>
    <w:rsid w:val="0036483C"/>
    <w:rsid w:val="0036651A"/>
    <w:rsid w:val="00366FD8"/>
    <w:rsid w:val="0036718C"/>
    <w:rsid w:val="00367BE9"/>
    <w:rsid w:val="00371246"/>
    <w:rsid w:val="00371AB4"/>
    <w:rsid w:val="003736C9"/>
    <w:rsid w:val="0037771E"/>
    <w:rsid w:val="00380995"/>
    <w:rsid w:val="00380D4F"/>
    <w:rsid w:val="00380F4F"/>
    <w:rsid w:val="00383530"/>
    <w:rsid w:val="00383B77"/>
    <w:rsid w:val="00384988"/>
    <w:rsid w:val="003872CF"/>
    <w:rsid w:val="003874CB"/>
    <w:rsid w:val="0038769A"/>
    <w:rsid w:val="0038777F"/>
    <w:rsid w:val="00392170"/>
    <w:rsid w:val="0039266C"/>
    <w:rsid w:val="0039561F"/>
    <w:rsid w:val="003958FE"/>
    <w:rsid w:val="00396483"/>
    <w:rsid w:val="00396E08"/>
    <w:rsid w:val="003970DD"/>
    <w:rsid w:val="0039782C"/>
    <w:rsid w:val="00397F98"/>
    <w:rsid w:val="003A0AEA"/>
    <w:rsid w:val="003A13A6"/>
    <w:rsid w:val="003A1E79"/>
    <w:rsid w:val="003A2165"/>
    <w:rsid w:val="003A2C1A"/>
    <w:rsid w:val="003A3AF3"/>
    <w:rsid w:val="003A3FD4"/>
    <w:rsid w:val="003A586A"/>
    <w:rsid w:val="003A5B4A"/>
    <w:rsid w:val="003A5D95"/>
    <w:rsid w:val="003A6510"/>
    <w:rsid w:val="003A74E2"/>
    <w:rsid w:val="003B0D3A"/>
    <w:rsid w:val="003B2302"/>
    <w:rsid w:val="003B23C5"/>
    <w:rsid w:val="003B2A75"/>
    <w:rsid w:val="003B49B2"/>
    <w:rsid w:val="003B6124"/>
    <w:rsid w:val="003B7960"/>
    <w:rsid w:val="003C054D"/>
    <w:rsid w:val="003C0908"/>
    <w:rsid w:val="003C093A"/>
    <w:rsid w:val="003C0B0E"/>
    <w:rsid w:val="003C1ECF"/>
    <w:rsid w:val="003C2FB5"/>
    <w:rsid w:val="003C3FFB"/>
    <w:rsid w:val="003C4A87"/>
    <w:rsid w:val="003D24C5"/>
    <w:rsid w:val="003D3871"/>
    <w:rsid w:val="003D3DA0"/>
    <w:rsid w:val="003D4197"/>
    <w:rsid w:val="003D4594"/>
    <w:rsid w:val="003D4AC4"/>
    <w:rsid w:val="003D4B45"/>
    <w:rsid w:val="003D5017"/>
    <w:rsid w:val="003D5433"/>
    <w:rsid w:val="003D5D6E"/>
    <w:rsid w:val="003D63B7"/>
    <w:rsid w:val="003D6C42"/>
    <w:rsid w:val="003D74C5"/>
    <w:rsid w:val="003D76B7"/>
    <w:rsid w:val="003D7AAB"/>
    <w:rsid w:val="003E0C96"/>
    <w:rsid w:val="003E372F"/>
    <w:rsid w:val="003E4374"/>
    <w:rsid w:val="003E468B"/>
    <w:rsid w:val="003E50AB"/>
    <w:rsid w:val="003E62BD"/>
    <w:rsid w:val="003E658D"/>
    <w:rsid w:val="003E68F0"/>
    <w:rsid w:val="003F02E3"/>
    <w:rsid w:val="003F044F"/>
    <w:rsid w:val="003F0C3A"/>
    <w:rsid w:val="003F15F0"/>
    <w:rsid w:val="003F2AD9"/>
    <w:rsid w:val="003F3228"/>
    <w:rsid w:val="003F3E82"/>
    <w:rsid w:val="003F413A"/>
    <w:rsid w:val="003F5C8C"/>
    <w:rsid w:val="003F5F5C"/>
    <w:rsid w:val="003F63CE"/>
    <w:rsid w:val="003F775A"/>
    <w:rsid w:val="00400042"/>
    <w:rsid w:val="00400E55"/>
    <w:rsid w:val="0040128E"/>
    <w:rsid w:val="00401640"/>
    <w:rsid w:val="0040216B"/>
    <w:rsid w:val="00404852"/>
    <w:rsid w:val="00405299"/>
    <w:rsid w:val="0040590E"/>
    <w:rsid w:val="00406DA4"/>
    <w:rsid w:val="004077E6"/>
    <w:rsid w:val="00407CC8"/>
    <w:rsid w:val="00410ED6"/>
    <w:rsid w:val="00411D3A"/>
    <w:rsid w:val="00412DAA"/>
    <w:rsid w:val="00413CA0"/>
    <w:rsid w:val="00414F0C"/>
    <w:rsid w:val="00417703"/>
    <w:rsid w:val="00420400"/>
    <w:rsid w:val="00421E27"/>
    <w:rsid w:val="00423E78"/>
    <w:rsid w:val="00424598"/>
    <w:rsid w:val="004249FC"/>
    <w:rsid w:val="004252EC"/>
    <w:rsid w:val="00430D39"/>
    <w:rsid w:val="00432EBF"/>
    <w:rsid w:val="00435879"/>
    <w:rsid w:val="00435C35"/>
    <w:rsid w:val="004379AD"/>
    <w:rsid w:val="00442301"/>
    <w:rsid w:val="00442C91"/>
    <w:rsid w:val="00444E9D"/>
    <w:rsid w:val="004465BD"/>
    <w:rsid w:val="00446938"/>
    <w:rsid w:val="00447D02"/>
    <w:rsid w:val="00450C1C"/>
    <w:rsid w:val="00451FC9"/>
    <w:rsid w:val="0045275E"/>
    <w:rsid w:val="004528FA"/>
    <w:rsid w:val="00452A6C"/>
    <w:rsid w:val="00461A44"/>
    <w:rsid w:val="00462D26"/>
    <w:rsid w:val="0046368B"/>
    <w:rsid w:val="0046385A"/>
    <w:rsid w:val="00464039"/>
    <w:rsid w:val="00465C8F"/>
    <w:rsid w:val="00466ADA"/>
    <w:rsid w:val="0046737B"/>
    <w:rsid w:val="004702BB"/>
    <w:rsid w:val="00471AC6"/>
    <w:rsid w:val="0047211D"/>
    <w:rsid w:val="0047494B"/>
    <w:rsid w:val="00476245"/>
    <w:rsid w:val="004773C4"/>
    <w:rsid w:val="00477A9B"/>
    <w:rsid w:val="00480CFA"/>
    <w:rsid w:val="00481B83"/>
    <w:rsid w:val="004823D8"/>
    <w:rsid w:val="00482AE4"/>
    <w:rsid w:val="00483035"/>
    <w:rsid w:val="0048329D"/>
    <w:rsid w:val="00484B6B"/>
    <w:rsid w:val="00485940"/>
    <w:rsid w:val="00486ADC"/>
    <w:rsid w:val="00486C95"/>
    <w:rsid w:val="004877C2"/>
    <w:rsid w:val="004904B9"/>
    <w:rsid w:val="00491EDC"/>
    <w:rsid w:val="004928E1"/>
    <w:rsid w:val="00492D8D"/>
    <w:rsid w:val="00496662"/>
    <w:rsid w:val="004A1431"/>
    <w:rsid w:val="004A2484"/>
    <w:rsid w:val="004A2D3E"/>
    <w:rsid w:val="004A378E"/>
    <w:rsid w:val="004A5A85"/>
    <w:rsid w:val="004A71D1"/>
    <w:rsid w:val="004A7C5B"/>
    <w:rsid w:val="004A7F4E"/>
    <w:rsid w:val="004B0336"/>
    <w:rsid w:val="004B056D"/>
    <w:rsid w:val="004B1224"/>
    <w:rsid w:val="004B1845"/>
    <w:rsid w:val="004B1D28"/>
    <w:rsid w:val="004B228F"/>
    <w:rsid w:val="004B2348"/>
    <w:rsid w:val="004B2E01"/>
    <w:rsid w:val="004B2E98"/>
    <w:rsid w:val="004B3541"/>
    <w:rsid w:val="004B5640"/>
    <w:rsid w:val="004B59A4"/>
    <w:rsid w:val="004B5EB3"/>
    <w:rsid w:val="004B6084"/>
    <w:rsid w:val="004B65ED"/>
    <w:rsid w:val="004B6D0D"/>
    <w:rsid w:val="004BCF29"/>
    <w:rsid w:val="004C0206"/>
    <w:rsid w:val="004C03D0"/>
    <w:rsid w:val="004C1BD7"/>
    <w:rsid w:val="004C1BF2"/>
    <w:rsid w:val="004C239C"/>
    <w:rsid w:val="004C31FE"/>
    <w:rsid w:val="004C524C"/>
    <w:rsid w:val="004C5EDD"/>
    <w:rsid w:val="004C5FFA"/>
    <w:rsid w:val="004C691D"/>
    <w:rsid w:val="004C6C07"/>
    <w:rsid w:val="004C7852"/>
    <w:rsid w:val="004C7E15"/>
    <w:rsid w:val="004C7EC6"/>
    <w:rsid w:val="004D07B6"/>
    <w:rsid w:val="004D0FEC"/>
    <w:rsid w:val="004D2CD1"/>
    <w:rsid w:val="004D365C"/>
    <w:rsid w:val="004D4FF6"/>
    <w:rsid w:val="004D5ADD"/>
    <w:rsid w:val="004D6169"/>
    <w:rsid w:val="004E0CC3"/>
    <w:rsid w:val="004E24AD"/>
    <w:rsid w:val="004E692D"/>
    <w:rsid w:val="004E7230"/>
    <w:rsid w:val="004E7D87"/>
    <w:rsid w:val="004F000D"/>
    <w:rsid w:val="004F1501"/>
    <w:rsid w:val="004F2553"/>
    <w:rsid w:val="004F2CC8"/>
    <w:rsid w:val="004F306A"/>
    <w:rsid w:val="004F3589"/>
    <w:rsid w:val="004F38F6"/>
    <w:rsid w:val="004F570F"/>
    <w:rsid w:val="00501554"/>
    <w:rsid w:val="0050182C"/>
    <w:rsid w:val="00501CE1"/>
    <w:rsid w:val="005029C3"/>
    <w:rsid w:val="00502AFE"/>
    <w:rsid w:val="00502E64"/>
    <w:rsid w:val="00503AD7"/>
    <w:rsid w:val="00503E89"/>
    <w:rsid w:val="00504B89"/>
    <w:rsid w:val="00504E0C"/>
    <w:rsid w:val="00504E13"/>
    <w:rsid w:val="00505582"/>
    <w:rsid w:val="00505ACA"/>
    <w:rsid w:val="005109D4"/>
    <w:rsid w:val="005110E2"/>
    <w:rsid w:val="00511632"/>
    <w:rsid w:val="00511730"/>
    <w:rsid w:val="0051230A"/>
    <w:rsid w:val="00512FAE"/>
    <w:rsid w:val="00514CD7"/>
    <w:rsid w:val="005167EC"/>
    <w:rsid w:val="00516C7B"/>
    <w:rsid w:val="005170DA"/>
    <w:rsid w:val="005179A3"/>
    <w:rsid w:val="00520D6A"/>
    <w:rsid w:val="00522DB6"/>
    <w:rsid w:val="00525649"/>
    <w:rsid w:val="0052604B"/>
    <w:rsid w:val="005260B4"/>
    <w:rsid w:val="005264A7"/>
    <w:rsid w:val="0052792D"/>
    <w:rsid w:val="00527C6E"/>
    <w:rsid w:val="005316F3"/>
    <w:rsid w:val="005319B2"/>
    <w:rsid w:val="00532126"/>
    <w:rsid w:val="0053221C"/>
    <w:rsid w:val="00532402"/>
    <w:rsid w:val="00532943"/>
    <w:rsid w:val="00532C74"/>
    <w:rsid w:val="0053319E"/>
    <w:rsid w:val="00533239"/>
    <w:rsid w:val="005342A4"/>
    <w:rsid w:val="00534AEA"/>
    <w:rsid w:val="00534B12"/>
    <w:rsid w:val="00534E2E"/>
    <w:rsid w:val="00535133"/>
    <w:rsid w:val="005353A2"/>
    <w:rsid w:val="005356C7"/>
    <w:rsid w:val="00536AC9"/>
    <w:rsid w:val="0054064C"/>
    <w:rsid w:val="00542BBA"/>
    <w:rsid w:val="00544552"/>
    <w:rsid w:val="00545130"/>
    <w:rsid w:val="00546B36"/>
    <w:rsid w:val="00546F0E"/>
    <w:rsid w:val="0055286A"/>
    <w:rsid w:val="00553B3A"/>
    <w:rsid w:val="00555745"/>
    <w:rsid w:val="00557D4F"/>
    <w:rsid w:val="0056122E"/>
    <w:rsid w:val="00562128"/>
    <w:rsid w:val="00562422"/>
    <w:rsid w:val="00562C9C"/>
    <w:rsid w:val="00563352"/>
    <w:rsid w:val="0056484E"/>
    <w:rsid w:val="00564DFE"/>
    <w:rsid w:val="00565999"/>
    <w:rsid w:val="00567D8A"/>
    <w:rsid w:val="00570231"/>
    <w:rsid w:val="005714B7"/>
    <w:rsid w:val="00571878"/>
    <w:rsid w:val="005719D9"/>
    <w:rsid w:val="005750E9"/>
    <w:rsid w:val="00575CC2"/>
    <w:rsid w:val="00575F30"/>
    <w:rsid w:val="00576230"/>
    <w:rsid w:val="005764CD"/>
    <w:rsid w:val="0057703E"/>
    <w:rsid w:val="00577C4D"/>
    <w:rsid w:val="00577E20"/>
    <w:rsid w:val="00580532"/>
    <w:rsid w:val="00581932"/>
    <w:rsid w:val="00582EFB"/>
    <w:rsid w:val="00583002"/>
    <w:rsid w:val="00583B99"/>
    <w:rsid w:val="00584AD3"/>
    <w:rsid w:val="00584CEA"/>
    <w:rsid w:val="005856E2"/>
    <w:rsid w:val="00586A96"/>
    <w:rsid w:val="00590069"/>
    <w:rsid w:val="005903BB"/>
    <w:rsid w:val="00590DC7"/>
    <w:rsid w:val="00593893"/>
    <w:rsid w:val="0059420D"/>
    <w:rsid w:val="005963BB"/>
    <w:rsid w:val="0059645C"/>
    <w:rsid w:val="00596D37"/>
    <w:rsid w:val="005A08FA"/>
    <w:rsid w:val="005A15D2"/>
    <w:rsid w:val="005A3173"/>
    <w:rsid w:val="005A3223"/>
    <w:rsid w:val="005A3DA3"/>
    <w:rsid w:val="005A4CDE"/>
    <w:rsid w:val="005A52C4"/>
    <w:rsid w:val="005A5F23"/>
    <w:rsid w:val="005A63A1"/>
    <w:rsid w:val="005A7ADF"/>
    <w:rsid w:val="005A7C97"/>
    <w:rsid w:val="005B0486"/>
    <w:rsid w:val="005B1032"/>
    <w:rsid w:val="005B1473"/>
    <w:rsid w:val="005B36FA"/>
    <w:rsid w:val="005B4497"/>
    <w:rsid w:val="005B60C3"/>
    <w:rsid w:val="005C4F73"/>
    <w:rsid w:val="005C58AE"/>
    <w:rsid w:val="005C7394"/>
    <w:rsid w:val="005D03AB"/>
    <w:rsid w:val="005D401D"/>
    <w:rsid w:val="005D5017"/>
    <w:rsid w:val="005D5708"/>
    <w:rsid w:val="005D63FA"/>
    <w:rsid w:val="005D643D"/>
    <w:rsid w:val="005D73C7"/>
    <w:rsid w:val="005D75F5"/>
    <w:rsid w:val="005E0050"/>
    <w:rsid w:val="005E0297"/>
    <w:rsid w:val="005E0C2D"/>
    <w:rsid w:val="005E0D82"/>
    <w:rsid w:val="005E0F59"/>
    <w:rsid w:val="005E1333"/>
    <w:rsid w:val="005E3136"/>
    <w:rsid w:val="005E3CDA"/>
    <w:rsid w:val="005E507D"/>
    <w:rsid w:val="005F0AD0"/>
    <w:rsid w:val="005F0C3F"/>
    <w:rsid w:val="005F25A4"/>
    <w:rsid w:val="005F3BC8"/>
    <w:rsid w:val="005F5C4D"/>
    <w:rsid w:val="005F6A91"/>
    <w:rsid w:val="00600A18"/>
    <w:rsid w:val="00601A91"/>
    <w:rsid w:val="00602063"/>
    <w:rsid w:val="00602BA3"/>
    <w:rsid w:val="00604357"/>
    <w:rsid w:val="006053FC"/>
    <w:rsid w:val="00605B63"/>
    <w:rsid w:val="00605F9A"/>
    <w:rsid w:val="00606442"/>
    <w:rsid w:val="00606A7B"/>
    <w:rsid w:val="00606EED"/>
    <w:rsid w:val="006076C9"/>
    <w:rsid w:val="00607DDB"/>
    <w:rsid w:val="00610A50"/>
    <w:rsid w:val="00612A95"/>
    <w:rsid w:val="00612E34"/>
    <w:rsid w:val="006133F3"/>
    <w:rsid w:val="00614159"/>
    <w:rsid w:val="006158A3"/>
    <w:rsid w:val="00616C5F"/>
    <w:rsid w:val="00616DAC"/>
    <w:rsid w:val="00617725"/>
    <w:rsid w:val="00617C00"/>
    <w:rsid w:val="0062141B"/>
    <w:rsid w:val="0062316F"/>
    <w:rsid w:val="0062365C"/>
    <w:rsid w:val="00623975"/>
    <w:rsid w:val="00624574"/>
    <w:rsid w:val="006256B9"/>
    <w:rsid w:val="006263BF"/>
    <w:rsid w:val="0062748A"/>
    <w:rsid w:val="00627C0B"/>
    <w:rsid w:val="00630546"/>
    <w:rsid w:val="00630A2C"/>
    <w:rsid w:val="00632180"/>
    <w:rsid w:val="00634A75"/>
    <w:rsid w:val="006362A1"/>
    <w:rsid w:val="00636680"/>
    <w:rsid w:val="0063682E"/>
    <w:rsid w:val="00636AE5"/>
    <w:rsid w:val="00636D93"/>
    <w:rsid w:val="00636E5A"/>
    <w:rsid w:val="00640088"/>
    <w:rsid w:val="00640D16"/>
    <w:rsid w:val="00642672"/>
    <w:rsid w:val="00642DA8"/>
    <w:rsid w:val="006432D5"/>
    <w:rsid w:val="006436CD"/>
    <w:rsid w:val="006452D0"/>
    <w:rsid w:val="00646DEE"/>
    <w:rsid w:val="00650976"/>
    <w:rsid w:val="00651169"/>
    <w:rsid w:val="0065265E"/>
    <w:rsid w:val="00653D69"/>
    <w:rsid w:val="006552E6"/>
    <w:rsid w:val="00655659"/>
    <w:rsid w:val="00655794"/>
    <w:rsid w:val="00655DEA"/>
    <w:rsid w:val="006561B7"/>
    <w:rsid w:val="00656855"/>
    <w:rsid w:val="00656F2F"/>
    <w:rsid w:val="00657C63"/>
    <w:rsid w:val="006600B1"/>
    <w:rsid w:val="00661B66"/>
    <w:rsid w:val="00661CBC"/>
    <w:rsid w:val="00662B85"/>
    <w:rsid w:val="00663EE9"/>
    <w:rsid w:val="00664987"/>
    <w:rsid w:val="006652CE"/>
    <w:rsid w:val="00666BDB"/>
    <w:rsid w:val="006670B3"/>
    <w:rsid w:val="006670BE"/>
    <w:rsid w:val="0066760D"/>
    <w:rsid w:val="00670A76"/>
    <w:rsid w:val="006711AA"/>
    <w:rsid w:val="0067291C"/>
    <w:rsid w:val="00672B57"/>
    <w:rsid w:val="0067321B"/>
    <w:rsid w:val="006732DC"/>
    <w:rsid w:val="00673F1F"/>
    <w:rsid w:val="006755B8"/>
    <w:rsid w:val="00675622"/>
    <w:rsid w:val="00675DEB"/>
    <w:rsid w:val="0067608D"/>
    <w:rsid w:val="0067747D"/>
    <w:rsid w:val="00680F2D"/>
    <w:rsid w:val="00681494"/>
    <w:rsid w:val="006818D5"/>
    <w:rsid w:val="00681A1A"/>
    <w:rsid w:val="00681CA4"/>
    <w:rsid w:val="00682108"/>
    <w:rsid w:val="00683B7D"/>
    <w:rsid w:val="00686559"/>
    <w:rsid w:val="0069039D"/>
    <w:rsid w:val="006906DB"/>
    <w:rsid w:val="00691900"/>
    <w:rsid w:val="00691A2C"/>
    <w:rsid w:val="00691E6C"/>
    <w:rsid w:val="00693425"/>
    <w:rsid w:val="0069342D"/>
    <w:rsid w:val="00693DFB"/>
    <w:rsid w:val="00694FD5"/>
    <w:rsid w:val="0069501D"/>
    <w:rsid w:val="00696129"/>
    <w:rsid w:val="00696C6C"/>
    <w:rsid w:val="00697AEA"/>
    <w:rsid w:val="00697CF2"/>
    <w:rsid w:val="006A12A5"/>
    <w:rsid w:val="006A2515"/>
    <w:rsid w:val="006A32DD"/>
    <w:rsid w:val="006A40B5"/>
    <w:rsid w:val="006A45DB"/>
    <w:rsid w:val="006A4B02"/>
    <w:rsid w:val="006A572D"/>
    <w:rsid w:val="006A5E20"/>
    <w:rsid w:val="006B0D94"/>
    <w:rsid w:val="006B16B6"/>
    <w:rsid w:val="006B2664"/>
    <w:rsid w:val="006B485D"/>
    <w:rsid w:val="006B52BA"/>
    <w:rsid w:val="006B7A20"/>
    <w:rsid w:val="006B7DDA"/>
    <w:rsid w:val="006C0C45"/>
    <w:rsid w:val="006C2806"/>
    <w:rsid w:val="006C2B28"/>
    <w:rsid w:val="006C334C"/>
    <w:rsid w:val="006C3F56"/>
    <w:rsid w:val="006C5F92"/>
    <w:rsid w:val="006C6C10"/>
    <w:rsid w:val="006C708E"/>
    <w:rsid w:val="006D14E7"/>
    <w:rsid w:val="006D1725"/>
    <w:rsid w:val="006D401B"/>
    <w:rsid w:val="006D4444"/>
    <w:rsid w:val="006D4B7B"/>
    <w:rsid w:val="006D6493"/>
    <w:rsid w:val="006D6EC7"/>
    <w:rsid w:val="006D7B05"/>
    <w:rsid w:val="006D7E45"/>
    <w:rsid w:val="006E003E"/>
    <w:rsid w:val="006E1143"/>
    <w:rsid w:val="006E1BCD"/>
    <w:rsid w:val="006E1F7E"/>
    <w:rsid w:val="006E2732"/>
    <w:rsid w:val="006E2E40"/>
    <w:rsid w:val="006E43FD"/>
    <w:rsid w:val="006E59CD"/>
    <w:rsid w:val="006E6732"/>
    <w:rsid w:val="006F00ED"/>
    <w:rsid w:val="006F026F"/>
    <w:rsid w:val="006F0A71"/>
    <w:rsid w:val="006F154D"/>
    <w:rsid w:val="006F1C6B"/>
    <w:rsid w:val="006F2ECE"/>
    <w:rsid w:val="006F40C2"/>
    <w:rsid w:val="006F4EB6"/>
    <w:rsid w:val="006F5125"/>
    <w:rsid w:val="006F51A8"/>
    <w:rsid w:val="006F531B"/>
    <w:rsid w:val="006F6D41"/>
    <w:rsid w:val="006F733D"/>
    <w:rsid w:val="006F74E2"/>
    <w:rsid w:val="00700765"/>
    <w:rsid w:val="007017C8"/>
    <w:rsid w:val="00702959"/>
    <w:rsid w:val="00702B6F"/>
    <w:rsid w:val="007030B4"/>
    <w:rsid w:val="00703A7C"/>
    <w:rsid w:val="00703B86"/>
    <w:rsid w:val="00704069"/>
    <w:rsid w:val="00704513"/>
    <w:rsid w:val="007047DF"/>
    <w:rsid w:val="00706A2F"/>
    <w:rsid w:val="0070718E"/>
    <w:rsid w:val="00707E52"/>
    <w:rsid w:val="00710259"/>
    <w:rsid w:val="0071031F"/>
    <w:rsid w:val="00710737"/>
    <w:rsid w:val="00712ADF"/>
    <w:rsid w:val="0071340B"/>
    <w:rsid w:val="00713C50"/>
    <w:rsid w:val="0071436D"/>
    <w:rsid w:val="0071508D"/>
    <w:rsid w:val="0071586D"/>
    <w:rsid w:val="00715BBB"/>
    <w:rsid w:val="007174BB"/>
    <w:rsid w:val="0072025D"/>
    <w:rsid w:val="00720DBC"/>
    <w:rsid w:val="007210B2"/>
    <w:rsid w:val="007216D1"/>
    <w:rsid w:val="00723328"/>
    <w:rsid w:val="007237DE"/>
    <w:rsid w:val="00723F54"/>
    <w:rsid w:val="0072502E"/>
    <w:rsid w:val="00725102"/>
    <w:rsid w:val="0072600B"/>
    <w:rsid w:val="00727C9A"/>
    <w:rsid w:val="0073137C"/>
    <w:rsid w:val="00733274"/>
    <w:rsid w:val="00733370"/>
    <w:rsid w:val="007338F3"/>
    <w:rsid w:val="007340B9"/>
    <w:rsid w:val="007353D3"/>
    <w:rsid w:val="00736555"/>
    <w:rsid w:val="007368C7"/>
    <w:rsid w:val="0073736F"/>
    <w:rsid w:val="007378D4"/>
    <w:rsid w:val="0074156B"/>
    <w:rsid w:val="00741619"/>
    <w:rsid w:val="00742885"/>
    <w:rsid w:val="0074408F"/>
    <w:rsid w:val="00744763"/>
    <w:rsid w:val="00746142"/>
    <w:rsid w:val="00747092"/>
    <w:rsid w:val="007477FF"/>
    <w:rsid w:val="007514D3"/>
    <w:rsid w:val="007518F6"/>
    <w:rsid w:val="007526E6"/>
    <w:rsid w:val="00754C18"/>
    <w:rsid w:val="00754DF9"/>
    <w:rsid w:val="00754E60"/>
    <w:rsid w:val="007555E8"/>
    <w:rsid w:val="00755CC5"/>
    <w:rsid w:val="00755D07"/>
    <w:rsid w:val="00762597"/>
    <w:rsid w:val="00762862"/>
    <w:rsid w:val="0076420C"/>
    <w:rsid w:val="00764428"/>
    <w:rsid w:val="00767E2A"/>
    <w:rsid w:val="00771D07"/>
    <w:rsid w:val="00772649"/>
    <w:rsid w:val="00772F5D"/>
    <w:rsid w:val="00773BE3"/>
    <w:rsid w:val="007743DD"/>
    <w:rsid w:val="00774575"/>
    <w:rsid w:val="00774E2C"/>
    <w:rsid w:val="0077503C"/>
    <w:rsid w:val="0077518D"/>
    <w:rsid w:val="007753C2"/>
    <w:rsid w:val="00776068"/>
    <w:rsid w:val="00776338"/>
    <w:rsid w:val="007777F8"/>
    <w:rsid w:val="00777EFC"/>
    <w:rsid w:val="00781181"/>
    <w:rsid w:val="007814F6"/>
    <w:rsid w:val="007821C4"/>
    <w:rsid w:val="007838B8"/>
    <w:rsid w:val="00785779"/>
    <w:rsid w:val="0078717B"/>
    <w:rsid w:val="00787A06"/>
    <w:rsid w:val="00787FD8"/>
    <w:rsid w:val="007908C1"/>
    <w:rsid w:val="00790C42"/>
    <w:rsid w:val="007915BA"/>
    <w:rsid w:val="00791844"/>
    <w:rsid w:val="00791DEA"/>
    <w:rsid w:val="0079250E"/>
    <w:rsid w:val="00793BCF"/>
    <w:rsid w:val="00793CE9"/>
    <w:rsid w:val="00795C02"/>
    <w:rsid w:val="00796667"/>
    <w:rsid w:val="00797068"/>
    <w:rsid w:val="007979BD"/>
    <w:rsid w:val="007A3D8E"/>
    <w:rsid w:val="007A5895"/>
    <w:rsid w:val="007A5C0B"/>
    <w:rsid w:val="007A5C88"/>
    <w:rsid w:val="007A6A2F"/>
    <w:rsid w:val="007B024E"/>
    <w:rsid w:val="007B1083"/>
    <w:rsid w:val="007B17C7"/>
    <w:rsid w:val="007B346C"/>
    <w:rsid w:val="007B3BAF"/>
    <w:rsid w:val="007B3DDC"/>
    <w:rsid w:val="007B72A6"/>
    <w:rsid w:val="007C06D2"/>
    <w:rsid w:val="007C08E0"/>
    <w:rsid w:val="007C0F57"/>
    <w:rsid w:val="007C11B6"/>
    <w:rsid w:val="007C1CA9"/>
    <w:rsid w:val="007C2DF0"/>
    <w:rsid w:val="007C2F4B"/>
    <w:rsid w:val="007C40B6"/>
    <w:rsid w:val="007C4FAF"/>
    <w:rsid w:val="007C5975"/>
    <w:rsid w:val="007C729F"/>
    <w:rsid w:val="007C72AD"/>
    <w:rsid w:val="007D053A"/>
    <w:rsid w:val="007D0ABF"/>
    <w:rsid w:val="007D1A6F"/>
    <w:rsid w:val="007D34BA"/>
    <w:rsid w:val="007D503D"/>
    <w:rsid w:val="007D59E7"/>
    <w:rsid w:val="007D5F2A"/>
    <w:rsid w:val="007E07AC"/>
    <w:rsid w:val="007E0D3E"/>
    <w:rsid w:val="007E0D44"/>
    <w:rsid w:val="007E1014"/>
    <w:rsid w:val="007E12F8"/>
    <w:rsid w:val="007E14EB"/>
    <w:rsid w:val="007E1673"/>
    <w:rsid w:val="007E1D28"/>
    <w:rsid w:val="007E252C"/>
    <w:rsid w:val="007E4564"/>
    <w:rsid w:val="007E490F"/>
    <w:rsid w:val="007E6533"/>
    <w:rsid w:val="007E6BDA"/>
    <w:rsid w:val="007E77E7"/>
    <w:rsid w:val="007F0021"/>
    <w:rsid w:val="007F1007"/>
    <w:rsid w:val="007F2641"/>
    <w:rsid w:val="007F2D45"/>
    <w:rsid w:val="007F39B5"/>
    <w:rsid w:val="007F50A6"/>
    <w:rsid w:val="007F67D7"/>
    <w:rsid w:val="007F7C36"/>
    <w:rsid w:val="007F7F45"/>
    <w:rsid w:val="0080001F"/>
    <w:rsid w:val="00801958"/>
    <w:rsid w:val="008055AF"/>
    <w:rsid w:val="008057CD"/>
    <w:rsid w:val="008066B8"/>
    <w:rsid w:val="00806796"/>
    <w:rsid w:val="00810167"/>
    <w:rsid w:val="008104D0"/>
    <w:rsid w:val="00810F37"/>
    <w:rsid w:val="00811CC0"/>
    <w:rsid w:val="0081218E"/>
    <w:rsid w:val="00814276"/>
    <w:rsid w:val="008151D6"/>
    <w:rsid w:val="00816322"/>
    <w:rsid w:val="00820803"/>
    <w:rsid w:val="00821527"/>
    <w:rsid w:val="00821C30"/>
    <w:rsid w:val="00822162"/>
    <w:rsid w:val="008225CE"/>
    <w:rsid w:val="00822696"/>
    <w:rsid w:val="00823AB5"/>
    <w:rsid w:val="00825A6C"/>
    <w:rsid w:val="0082617E"/>
    <w:rsid w:val="008265EB"/>
    <w:rsid w:val="008268BB"/>
    <w:rsid w:val="00826F6D"/>
    <w:rsid w:val="00827097"/>
    <w:rsid w:val="00827C64"/>
    <w:rsid w:val="008306F3"/>
    <w:rsid w:val="00830E40"/>
    <w:rsid w:val="00831B88"/>
    <w:rsid w:val="00831BF0"/>
    <w:rsid w:val="00832510"/>
    <w:rsid w:val="008329F3"/>
    <w:rsid w:val="00832D9A"/>
    <w:rsid w:val="00835C62"/>
    <w:rsid w:val="008368A1"/>
    <w:rsid w:val="00837B7F"/>
    <w:rsid w:val="00837FB1"/>
    <w:rsid w:val="00840325"/>
    <w:rsid w:val="00840EF7"/>
    <w:rsid w:val="00842513"/>
    <w:rsid w:val="008428C8"/>
    <w:rsid w:val="00843871"/>
    <w:rsid w:val="00844C0A"/>
    <w:rsid w:val="00844FD0"/>
    <w:rsid w:val="00846056"/>
    <w:rsid w:val="0084681F"/>
    <w:rsid w:val="00847D08"/>
    <w:rsid w:val="00847EC0"/>
    <w:rsid w:val="0085037E"/>
    <w:rsid w:val="00854506"/>
    <w:rsid w:val="00855FD6"/>
    <w:rsid w:val="00856DDD"/>
    <w:rsid w:val="00860233"/>
    <w:rsid w:val="00860E97"/>
    <w:rsid w:val="00862481"/>
    <w:rsid w:val="00863E68"/>
    <w:rsid w:val="008647B5"/>
    <w:rsid w:val="00864A11"/>
    <w:rsid w:val="008665DF"/>
    <w:rsid w:val="00867D64"/>
    <w:rsid w:val="00867D85"/>
    <w:rsid w:val="00872E8F"/>
    <w:rsid w:val="008749B1"/>
    <w:rsid w:val="00875DCB"/>
    <w:rsid w:val="00876190"/>
    <w:rsid w:val="00876FBF"/>
    <w:rsid w:val="0087755A"/>
    <w:rsid w:val="00881887"/>
    <w:rsid w:val="00882085"/>
    <w:rsid w:val="00883188"/>
    <w:rsid w:val="00884A0C"/>
    <w:rsid w:val="00884CDF"/>
    <w:rsid w:val="008852AB"/>
    <w:rsid w:val="008857D1"/>
    <w:rsid w:val="00886946"/>
    <w:rsid w:val="00886ACA"/>
    <w:rsid w:val="00886B01"/>
    <w:rsid w:val="00890083"/>
    <w:rsid w:val="0089031E"/>
    <w:rsid w:val="0089109A"/>
    <w:rsid w:val="00893D5C"/>
    <w:rsid w:val="0089460B"/>
    <w:rsid w:val="00897D58"/>
    <w:rsid w:val="00897F22"/>
    <w:rsid w:val="008A0B39"/>
    <w:rsid w:val="008A110D"/>
    <w:rsid w:val="008A146E"/>
    <w:rsid w:val="008A17A3"/>
    <w:rsid w:val="008A1956"/>
    <w:rsid w:val="008A1E85"/>
    <w:rsid w:val="008A2419"/>
    <w:rsid w:val="008A34BD"/>
    <w:rsid w:val="008A43AF"/>
    <w:rsid w:val="008A4937"/>
    <w:rsid w:val="008A50F1"/>
    <w:rsid w:val="008A59D9"/>
    <w:rsid w:val="008A643E"/>
    <w:rsid w:val="008A6819"/>
    <w:rsid w:val="008A700F"/>
    <w:rsid w:val="008B007A"/>
    <w:rsid w:val="008B0C61"/>
    <w:rsid w:val="008B2EC0"/>
    <w:rsid w:val="008B3A9F"/>
    <w:rsid w:val="008B6315"/>
    <w:rsid w:val="008B6DCF"/>
    <w:rsid w:val="008B78BB"/>
    <w:rsid w:val="008C1DBB"/>
    <w:rsid w:val="008C4D49"/>
    <w:rsid w:val="008C65E6"/>
    <w:rsid w:val="008D0531"/>
    <w:rsid w:val="008D0945"/>
    <w:rsid w:val="008D1409"/>
    <w:rsid w:val="008D15CC"/>
    <w:rsid w:val="008D1729"/>
    <w:rsid w:val="008D1B5C"/>
    <w:rsid w:val="008D1CC6"/>
    <w:rsid w:val="008D3104"/>
    <w:rsid w:val="008D3C82"/>
    <w:rsid w:val="008D447E"/>
    <w:rsid w:val="008D6ACF"/>
    <w:rsid w:val="008D7A41"/>
    <w:rsid w:val="008E039B"/>
    <w:rsid w:val="008E0FE2"/>
    <w:rsid w:val="008E2C72"/>
    <w:rsid w:val="008E3680"/>
    <w:rsid w:val="008E4668"/>
    <w:rsid w:val="008E4F87"/>
    <w:rsid w:val="008E5870"/>
    <w:rsid w:val="008E77E4"/>
    <w:rsid w:val="008F0213"/>
    <w:rsid w:val="008F07ED"/>
    <w:rsid w:val="008F08D5"/>
    <w:rsid w:val="008F11F8"/>
    <w:rsid w:val="008F1434"/>
    <w:rsid w:val="008F2BB9"/>
    <w:rsid w:val="008F306D"/>
    <w:rsid w:val="008F3D6A"/>
    <w:rsid w:val="008F3E2B"/>
    <w:rsid w:val="008F54C3"/>
    <w:rsid w:val="008F7355"/>
    <w:rsid w:val="008F7E2C"/>
    <w:rsid w:val="009023DC"/>
    <w:rsid w:val="009027C5"/>
    <w:rsid w:val="00904413"/>
    <w:rsid w:val="009045E3"/>
    <w:rsid w:val="009051EE"/>
    <w:rsid w:val="009067B7"/>
    <w:rsid w:val="00906E7A"/>
    <w:rsid w:val="00906E7F"/>
    <w:rsid w:val="009070F2"/>
    <w:rsid w:val="0090775A"/>
    <w:rsid w:val="00907DFD"/>
    <w:rsid w:val="00911280"/>
    <w:rsid w:val="00912658"/>
    <w:rsid w:val="0091273E"/>
    <w:rsid w:val="00913281"/>
    <w:rsid w:val="00913C99"/>
    <w:rsid w:val="00914BDA"/>
    <w:rsid w:val="009154BA"/>
    <w:rsid w:val="00917D69"/>
    <w:rsid w:val="00920722"/>
    <w:rsid w:val="00920B6D"/>
    <w:rsid w:val="00922739"/>
    <w:rsid w:val="00922CD0"/>
    <w:rsid w:val="00926560"/>
    <w:rsid w:val="00926B15"/>
    <w:rsid w:val="00927F26"/>
    <w:rsid w:val="00930291"/>
    <w:rsid w:val="00930937"/>
    <w:rsid w:val="00930E41"/>
    <w:rsid w:val="009319D7"/>
    <w:rsid w:val="009324A6"/>
    <w:rsid w:val="00932B10"/>
    <w:rsid w:val="00933907"/>
    <w:rsid w:val="00933B7D"/>
    <w:rsid w:val="00933E6C"/>
    <w:rsid w:val="00934CFC"/>
    <w:rsid w:val="00935A6E"/>
    <w:rsid w:val="00936DF9"/>
    <w:rsid w:val="00937958"/>
    <w:rsid w:val="009402D9"/>
    <w:rsid w:val="00940529"/>
    <w:rsid w:val="009406E5"/>
    <w:rsid w:val="00941602"/>
    <w:rsid w:val="00942160"/>
    <w:rsid w:val="0094471C"/>
    <w:rsid w:val="009448AE"/>
    <w:rsid w:val="00946921"/>
    <w:rsid w:val="00947343"/>
    <w:rsid w:val="0095025B"/>
    <w:rsid w:val="0095146F"/>
    <w:rsid w:val="00951F2D"/>
    <w:rsid w:val="00952839"/>
    <w:rsid w:val="00952B6A"/>
    <w:rsid w:val="0095344C"/>
    <w:rsid w:val="009534C7"/>
    <w:rsid w:val="009539BA"/>
    <w:rsid w:val="00953BD3"/>
    <w:rsid w:val="00957944"/>
    <w:rsid w:val="009602C5"/>
    <w:rsid w:val="0096103A"/>
    <w:rsid w:val="00962223"/>
    <w:rsid w:val="0096252B"/>
    <w:rsid w:val="009644D9"/>
    <w:rsid w:val="00964A9F"/>
    <w:rsid w:val="00965887"/>
    <w:rsid w:val="00966D0D"/>
    <w:rsid w:val="00967732"/>
    <w:rsid w:val="0096783C"/>
    <w:rsid w:val="00970023"/>
    <w:rsid w:val="009715D1"/>
    <w:rsid w:val="009722B3"/>
    <w:rsid w:val="00973E24"/>
    <w:rsid w:val="009745FA"/>
    <w:rsid w:val="00974C21"/>
    <w:rsid w:val="00974D5F"/>
    <w:rsid w:val="00975948"/>
    <w:rsid w:val="009772FD"/>
    <w:rsid w:val="009773DD"/>
    <w:rsid w:val="00977BF3"/>
    <w:rsid w:val="009803E4"/>
    <w:rsid w:val="00980B0E"/>
    <w:rsid w:val="00982B39"/>
    <w:rsid w:val="009836A3"/>
    <w:rsid w:val="00984C58"/>
    <w:rsid w:val="009855A8"/>
    <w:rsid w:val="00985A55"/>
    <w:rsid w:val="00985CBE"/>
    <w:rsid w:val="00985D1A"/>
    <w:rsid w:val="00990CF8"/>
    <w:rsid w:val="009913F4"/>
    <w:rsid w:val="00991782"/>
    <w:rsid w:val="009937F7"/>
    <w:rsid w:val="0099465B"/>
    <w:rsid w:val="009951A1"/>
    <w:rsid w:val="00996ACF"/>
    <w:rsid w:val="00997A44"/>
    <w:rsid w:val="009A0CDD"/>
    <w:rsid w:val="009A10D1"/>
    <w:rsid w:val="009A3168"/>
    <w:rsid w:val="009A3628"/>
    <w:rsid w:val="009A4377"/>
    <w:rsid w:val="009A4621"/>
    <w:rsid w:val="009A47C7"/>
    <w:rsid w:val="009A4BDF"/>
    <w:rsid w:val="009A5D04"/>
    <w:rsid w:val="009A61CA"/>
    <w:rsid w:val="009B0062"/>
    <w:rsid w:val="009B0245"/>
    <w:rsid w:val="009B0C64"/>
    <w:rsid w:val="009B0F67"/>
    <w:rsid w:val="009B208A"/>
    <w:rsid w:val="009B2756"/>
    <w:rsid w:val="009B2C75"/>
    <w:rsid w:val="009B393A"/>
    <w:rsid w:val="009B3D56"/>
    <w:rsid w:val="009B3F8C"/>
    <w:rsid w:val="009B533B"/>
    <w:rsid w:val="009B546B"/>
    <w:rsid w:val="009B5925"/>
    <w:rsid w:val="009B6630"/>
    <w:rsid w:val="009B7B98"/>
    <w:rsid w:val="009C26AA"/>
    <w:rsid w:val="009C3EE6"/>
    <w:rsid w:val="009C428C"/>
    <w:rsid w:val="009C6C3F"/>
    <w:rsid w:val="009C703C"/>
    <w:rsid w:val="009C73F5"/>
    <w:rsid w:val="009D00CB"/>
    <w:rsid w:val="009D0A23"/>
    <w:rsid w:val="009D0C29"/>
    <w:rsid w:val="009D1376"/>
    <w:rsid w:val="009D174A"/>
    <w:rsid w:val="009D206E"/>
    <w:rsid w:val="009D2995"/>
    <w:rsid w:val="009D3CAA"/>
    <w:rsid w:val="009D4315"/>
    <w:rsid w:val="009D472C"/>
    <w:rsid w:val="009D507A"/>
    <w:rsid w:val="009D6532"/>
    <w:rsid w:val="009D71FD"/>
    <w:rsid w:val="009E06F0"/>
    <w:rsid w:val="009E0755"/>
    <w:rsid w:val="009E10AD"/>
    <w:rsid w:val="009E18F3"/>
    <w:rsid w:val="009E2588"/>
    <w:rsid w:val="009E2E8E"/>
    <w:rsid w:val="009E38B4"/>
    <w:rsid w:val="009E40E1"/>
    <w:rsid w:val="009E4DE6"/>
    <w:rsid w:val="009E5A04"/>
    <w:rsid w:val="009E5E6D"/>
    <w:rsid w:val="009E6CE0"/>
    <w:rsid w:val="009F0EFA"/>
    <w:rsid w:val="009F0FC6"/>
    <w:rsid w:val="009F3013"/>
    <w:rsid w:val="009F486B"/>
    <w:rsid w:val="009F4E46"/>
    <w:rsid w:val="009F52BA"/>
    <w:rsid w:val="009F5B65"/>
    <w:rsid w:val="009F5F2E"/>
    <w:rsid w:val="009F6483"/>
    <w:rsid w:val="009F6F29"/>
    <w:rsid w:val="009F778C"/>
    <w:rsid w:val="00A01432"/>
    <w:rsid w:val="00A0167A"/>
    <w:rsid w:val="00A01980"/>
    <w:rsid w:val="00A0609B"/>
    <w:rsid w:val="00A06225"/>
    <w:rsid w:val="00A066E6"/>
    <w:rsid w:val="00A07109"/>
    <w:rsid w:val="00A10F58"/>
    <w:rsid w:val="00A110D1"/>
    <w:rsid w:val="00A11646"/>
    <w:rsid w:val="00A11AEA"/>
    <w:rsid w:val="00A12587"/>
    <w:rsid w:val="00A128E6"/>
    <w:rsid w:val="00A144D3"/>
    <w:rsid w:val="00A15DAB"/>
    <w:rsid w:val="00A17EA7"/>
    <w:rsid w:val="00A21D7D"/>
    <w:rsid w:val="00A22AC3"/>
    <w:rsid w:val="00A2351E"/>
    <w:rsid w:val="00A23F3F"/>
    <w:rsid w:val="00A24067"/>
    <w:rsid w:val="00A24A4B"/>
    <w:rsid w:val="00A251EC"/>
    <w:rsid w:val="00A2744D"/>
    <w:rsid w:val="00A301BA"/>
    <w:rsid w:val="00A306F6"/>
    <w:rsid w:val="00A30D16"/>
    <w:rsid w:val="00A33279"/>
    <w:rsid w:val="00A33EB7"/>
    <w:rsid w:val="00A34944"/>
    <w:rsid w:val="00A34B0A"/>
    <w:rsid w:val="00A34E6C"/>
    <w:rsid w:val="00A34FD0"/>
    <w:rsid w:val="00A361EA"/>
    <w:rsid w:val="00A36398"/>
    <w:rsid w:val="00A36CC1"/>
    <w:rsid w:val="00A37C8D"/>
    <w:rsid w:val="00A4020E"/>
    <w:rsid w:val="00A40493"/>
    <w:rsid w:val="00A408E8"/>
    <w:rsid w:val="00A40AA9"/>
    <w:rsid w:val="00A40FB5"/>
    <w:rsid w:val="00A41443"/>
    <w:rsid w:val="00A41995"/>
    <w:rsid w:val="00A42826"/>
    <w:rsid w:val="00A429B3"/>
    <w:rsid w:val="00A44EC1"/>
    <w:rsid w:val="00A510E4"/>
    <w:rsid w:val="00A51F8C"/>
    <w:rsid w:val="00A526F7"/>
    <w:rsid w:val="00A5273B"/>
    <w:rsid w:val="00A53A9D"/>
    <w:rsid w:val="00A54DB8"/>
    <w:rsid w:val="00A55C00"/>
    <w:rsid w:val="00A55FEE"/>
    <w:rsid w:val="00A56304"/>
    <w:rsid w:val="00A57422"/>
    <w:rsid w:val="00A623BE"/>
    <w:rsid w:val="00A62C1A"/>
    <w:rsid w:val="00A62FD4"/>
    <w:rsid w:val="00A63CA2"/>
    <w:rsid w:val="00A6426D"/>
    <w:rsid w:val="00A6439B"/>
    <w:rsid w:val="00A665C1"/>
    <w:rsid w:val="00A673A4"/>
    <w:rsid w:val="00A7001A"/>
    <w:rsid w:val="00A70622"/>
    <w:rsid w:val="00A70977"/>
    <w:rsid w:val="00A70D58"/>
    <w:rsid w:val="00A71DC6"/>
    <w:rsid w:val="00A74170"/>
    <w:rsid w:val="00A744F9"/>
    <w:rsid w:val="00A75270"/>
    <w:rsid w:val="00A753A1"/>
    <w:rsid w:val="00A77613"/>
    <w:rsid w:val="00A77B87"/>
    <w:rsid w:val="00A77E01"/>
    <w:rsid w:val="00A801AD"/>
    <w:rsid w:val="00A81851"/>
    <w:rsid w:val="00A833F6"/>
    <w:rsid w:val="00A8390C"/>
    <w:rsid w:val="00A86869"/>
    <w:rsid w:val="00A86AE0"/>
    <w:rsid w:val="00A87E06"/>
    <w:rsid w:val="00A901FB"/>
    <w:rsid w:val="00A912B0"/>
    <w:rsid w:val="00A91362"/>
    <w:rsid w:val="00A9151C"/>
    <w:rsid w:val="00A91523"/>
    <w:rsid w:val="00A919C6"/>
    <w:rsid w:val="00A928BD"/>
    <w:rsid w:val="00A92D61"/>
    <w:rsid w:val="00A936B6"/>
    <w:rsid w:val="00A93AA2"/>
    <w:rsid w:val="00A97DE9"/>
    <w:rsid w:val="00AA0D61"/>
    <w:rsid w:val="00AA12CD"/>
    <w:rsid w:val="00AA24E9"/>
    <w:rsid w:val="00AA2BD9"/>
    <w:rsid w:val="00AA4D1C"/>
    <w:rsid w:val="00AA52FD"/>
    <w:rsid w:val="00AA5D40"/>
    <w:rsid w:val="00AA7006"/>
    <w:rsid w:val="00AB0974"/>
    <w:rsid w:val="00AB2F8A"/>
    <w:rsid w:val="00AB3138"/>
    <w:rsid w:val="00AB4684"/>
    <w:rsid w:val="00AB5856"/>
    <w:rsid w:val="00AB6A80"/>
    <w:rsid w:val="00AC0186"/>
    <w:rsid w:val="00AC081D"/>
    <w:rsid w:val="00AC0C6F"/>
    <w:rsid w:val="00AC0CC4"/>
    <w:rsid w:val="00AC1266"/>
    <w:rsid w:val="00AC193C"/>
    <w:rsid w:val="00AC1FC7"/>
    <w:rsid w:val="00AC2DFD"/>
    <w:rsid w:val="00AC2F10"/>
    <w:rsid w:val="00AC30C1"/>
    <w:rsid w:val="00AC4DE5"/>
    <w:rsid w:val="00AC5206"/>
    <w:rsid w:val="00AC6B25"/>
    <w:rsid w:val="00AC748E"/>
    <w:rsid w:val="00AC76E0"/>
    <w:rsid w:val="00AD095B"/>
    <w:rsid w:val="00AD30E7"/>
    <w:rsid w:val="00AD3106"/>
    <w:rsid w:val="00AD4322"/>
    <w:rsid w:val="00AD5AD3"/>
    <w:rsid w:val="00AD6719"/>
    <w:rsid w:val="00AD699A"/>
    <w:rsid w:val="00AE11A5"/>
    <w:rsid w:val="00AE13E2"/>
    <w:rsid w:val="00AE1BE4"/>
    <w:rsid w:val="00AE22D3"/>
    <w:rsid w:val="00AE43B8"/>
    <w:rsid w:val="00AE5987"/>
    <w:rsid w:val="00AE5A49"/>
    <w:rsid w:val="00AE6C65"/>
    <w:rsid w:val="00AE7955"/>
    <w:rsid w:val="00AF03E6"/>
    <w:rsid w:val="00AF11D8"/>
    <w:rsid w:val="00AF1BEB"/>
    <w:rsid w:val="00AF1E29"/>
    <w:rsid w:val="00AF3135"/>
    <w:rsid w:val="00AF5867"/>
    <w:rsid w:val="00AF5C6A"/>
    <w:rsid w:val="00AF62DF"/>
    <w:rsid w:val="00AF68CC"/>
    <w:rsid w:val="00AF70D7"/>
    <w:rsid w:val="00AF728E"/>
    <w:rsid w:val="00B00086"/>
    <w:rsid w:val="00B00B9C"/>
    <w:rsid w:val="00B00CD0"/>
    <w:rsid w:val="00B00E7F"/>
    <w:rsid w:val="00B01FF4"/>
    <w:rsid w:val="00B0326D"/>
    <w:rsid w:val="00B042A3"/>
    <w:rsid w:val="00B04CFC"/>
    <w:rsid w:val="00B05ADE"/>
    <w:rsid w:val="00B05FAF"/>
    <w:rsid w:val="00B06037"/>
    <w:rsid w:val="00B06478"/>
    <w:rsid w:val="00B0658B"/>
    <w:rsid w:val="00B0663F"/>
    <w:rsid w:val="00B06F5E"/>
    <w:rsid w:val="00B07533"/>
    <w:rsid w:val="00B07CFB"/>
    <w:rsid w:val="00B07E6E"/>
    <w:rsid w:val="00B1059E"/>
    <w:rsid w:val="00B11681"/>
    <w:rsid w:val="00B133AD"/>
    <w:rsid w:val="00B13AD1"/>
    <w:rsid w:val="00B149BA"/>
    <w:rsid w:val="00B14A36"/>
    <w:rsid w:val="00B16273"/>
    <w:rsid w:val="00B164B4"/>
    <w:rsid w:val="00B16840"/>
    <w:rsid w:val="00B170A5"/>
    <w:rsid w:val="00B170D6"/>
    <w:rsid w:val="00B1725F"/>
    <w:rsid w:val="00B176C8"/>
    <w:rsid w:val="00B17EE5"/>
    <w:rsid w:val="00B203D6"/>
    <w:rsid w:val="00B205AA"/>
    <w:rsid w:val="00B2100A"/>
    <w:rsid w:val="00B21261"/>
    <w:rsid w:val="00B21738"/>
    <w:rsid w:val="00B21A91"/>
    <w:rsid w:val="00B22C09"/>
    <w:rsid w:val="00B22E84"/>
    <w:rsid w:val="00B233AD"/>
    <w:rsid w:val="00B23E25"/>
    <w:rsid w:val="00B2481B"/>
    <w:rsid w:val="00B25F75"/>
    <w:rsid w:val="00B26B3F"/>
    <w:rsid w:val="00B2778F"/>
    <w:rsid w:val="00B3231F"/>
    <w:rsid w:val="00B327E2"/>
    <w:rsid w:val="00B330E0"/>
    <w:rsid w:val="00B33635"/>
    <w:rsid w:val="00B3668D"/>
    <w:rsid w:val="00B37A23"/>
    <w:rsid w:val="00B37CF8"/>
    <w:rsid w:val="00B37DA8"/>
    <w:rsid w:val="00B40EDA"/>
    <w:rsid w:val="00B42AF4"/>
    <w:rsid w:val="00B43E90"/>
    <w:rsid w:val="00B44308"/>
    <w:rsid w:val="00B45722"/>
    <w:rsid w:val="00B45970"/>
    <w:rsid w:val="00B46015"/>
    <w:rsid w:val="00B460F4"/>
    <w:rsid w:val="00B467DC"/>
    <w:rsid w:val="00B46E7D"/>
    <w:rsid w:val="00B47A88"/>
    <w:rsid w:val="00B50548"/>
    <w:rsid w:val="00B51E09"/>
    <w:rsid w:val="00B52303"/>
    <w:rsid w:val="00B52408"/>
    <w:rsid w:val="00B5392A"/>
    <w:rsid w:val="00B539EF"/>
    <w:rsid w:val="00B54A37"/>
    <w:rsid w:val="00B55923"/>
    <w:rsid w:val="00B56118"/>
    <w:rsid w:val="00B566E1"/>
    <w:rsid w:val="00B56AFB"/>
    <w:rsid w:val="00B572BE"/>
    <w:rsid w:val="00B57F8E"/>
    <w:rsid w:val="00B602F6"/>
    <w:rsid w:val="00B60C82"/>
    <w:rsid w:val="00B60ED3"/>
    <w:rsid w:val="00B6178F"/>
    <w:rsid w:val="00B61C8B"/>
    <w:rsid w:val="00B62EC1"/>
    <w:rsid w:val="00B63251"/>
    <w:rsid w:val="00B64A96"/>
    <w:rsid w:val="00B6533B"/>
    <w:rsid w:val="00B6773F"/>
    <w:rsid w:val="00B70735"/>
    <w:rsid w:val="00B70978"/>
    <w:rsid w:val="00B70EB3"/>
    <w:rsid w:val="00B72906"/>
    <w:rsid w:val="00B74529"/>
    <w:rsid w:val="00B74F48"/>
    <w:rsid w:val="00B7525E"/>
    <w:rsid w:val="00B75433"/>
    <w:rsid w:val="00B755C3"/>
    <w:rsid w:val="00B75F70"/>
    <w:rsid w:val="00B760FB"/>
    <w:rsid w:val="00B76765"/>
    <w:rsid w:val="00B767AB"/>
    <w:rsid w:val="00B801BA"/>
    <w:rsid w:val="00B80D50"/>
    <w:rsid w:val="00B812D6"/>
    <w:rsid w:val="00B8247E"/>
    <w:rsid w:val="00B846E6"/>
    <w:rsid w:val="00B84D5C"/>
    <w:rsid w:val="00B85AF6"/>
    <w:rsid w:val="00B92E46"/>
    <w:rsid w:val="00B941ED"/>
    <w:rsid w:val="00B956ED"/>
    <w:rsid w:val="00BA2DA8"/>
    <w:rsid w:val="00BA347C"/>
    <w:rsid w:val="00BA494B"/>
    <w:rsid w:val="00BA4C79"/>
    <w:rsid w:val="00BA4D84"/>
    <w:rsid w:val="00BA5017"/>
    <w:rsid w:val="00BB120A"/>
    <w:rsid w:val="00BB298A"/>
    <w:rsid w:val="00BB3469"/>
    <w:rsid w:val="00BB5C49"/>
    <w:rsid w:val="00BB6240"/>
    <w:rsid w:val="00BB6285"/>
    <w:rsid w:val="00BB69F5"/>
    <w:rsid w:val="00BB6E48"/>
    <w:rsid w:val="00BB7EC3"/>
    <w:rsid w:val="00BC04B1"/>
    <w:rsid w:val="00BC205B"/>
    <w:rsid w:val="00BC4707"/>
    <w:rsid w:val="00BC470E"/>
    <w:rsid w:val="00BC4B9A"/>
    <w:rsid w:val="00BC5A75"/>
    <w:rsid w:val="00BC788A"/>
    <w:rsid w:val="00BC7B93"/>
    <w:rsid w:val="00BD02C3"/>
    <w:rsid w:val="00BD110A"/>
    <w:rsid w:val="00BD1623"/>
    <w:rsid w:val="00BD1C3D"/>
    <w:rsid w:val="00BD218A"/>
    <w:rsid w:val="00BD293C"/>
    <w:rsid w:val="00BD3119"/>
    <w:rsid w:val="00BD4377"/>
    <w:rsid w:val="00BD60F6"/>
    <w:rsid w:val="00BD7483"/>
    <w:rsid w:val="00BD784C"/>
    <w:rsid w:val="00BE020A"/>
    <w:rsid w:val="00BE13DF"/>
    <w:rsid w:val="00BE1EF0"/>
    <w:rsid w:val="00BE20AB"/>
    <w:rsid w:val="00BE25D7"/>
    <w:rsid w:val="00BE5218"/>
    <w:rsid w:val="00BF092C"/>
    <w:rsid w:val="00BF21D1"/>
    <w:rsid w:val="00BF27A0"/>
    <w:rsid w:val="00BF40E6"/>
    <w:rsid w:val="00BF4CB6"/>
    <w:rsid w:val="00BF51E1"/>
    <w:rsid w:val="00BF5A09"/>
    <w:rsid w:val="00BF5D23"/>
    <w:rsid w:val="00BF6165"/>
    <w:rsid w:val="00BF6CBD"/>
    <w:rsid w:val="00C00CBB"/>
    <w:rsid w:val="00C00DA7"/>
    <w:rsid w:val="00C03098"/>
    <w:rsid w:val="00C034FB"/>
    <w:rsid w:val="00C04CDE"/>
    <w:rsid w:val="00C05969"/>
    <w:rsid w:val="00C059D5"/>
    <w:rsid w:val="00C064E2"/>
    <w:rsid w:val="00C065A1"/>
    <w:rsid w:val="00C068A6"/>
    <w:rsid w:val="00C06E55"/>
    <w:rsid w:val="00C11A50"/>
    <w:rsid w:val="00C11DEA"/>
    <w:rsid w:val="00C12175"/>
    <w:rsid w:val="00C12768"/>
    <w:rsid w:val="00C12D70"/>
    <w:rsid w:val="00C13D0B"/>
    <w:rsid w:val="00C14C60"/>
    <w:rsid w:val="00C16724"/>
    <w:rsid w:val="00C20C81"/>
    <w:rsid w:val="00C21B09"/>
    <w:rsid w:val="00C23628"/>
    <w:rsid w:val="00C25EFF"/>
    <w:rsid w:val="00C2673A"/>
    <w:rsid w:val="00C276F8"/>
    <w:rsid w:val="00C278CD"/>
    <w:rsid w:val="00C27B58"/>
    <w:rsid w:val="00C27C1C"/>
    <w:rsid w:val="00C3166C"/>
    <w:rsid w:val="00C327A8"/>
    <w:rsid w:val="00C33186"/>
    <w:rsid w:val="00C33301"/>
    <w:rsid w:val="00C35996"/>
    <w:rsid w:val="00C3641D"/>
    <w:rsid w:val="00C3643F"/>
    <w:rsid w:val="00C3730E"/>
    <w:rsid w:val="00C4136F"/>
    <w:rsid w:val="00C42101"/>
    <w:rsid w:val="00C42BCD"/>
    <w:rsid w:val="00C42D92"/>
    <w:rsid w:val="00C438A3"/>
    <w:rsid w:val="00C4485F"/>
    <w:rsid w:val="00C44DED"/>
    <w:rsid w:val="00C46C13"/>
    <w:rsid w:val="00C46DC8"/>
    <w:rsid w:val="00C4747E"/>
    <w:rsid w:val="00C5151E"/>
    <w:rsid w:val="00C51B0B"/>
    <w:rsid w:val="00C52256"/>
    <w:rsid w:val="00C5342C"/>
    <w:rsid w:val="00C53B2B"/>
    <w:rsid w:val="00C547F5"/>
    <w:rsid w:val="00C54F3F"/>
    <w:rsid w:val="00C56D78"/>
    <w:rsid w:val="00C57465"/>
    <w:rsid w:val="00C60272"/>
    <w:rsid w:val="00C603D4"/>
    <w:rsid w:val="00C6256A"/>
    <w:rsid w:val="00C62F51"/>
    <w:rsid w:val="00C63FDA"/>
    <w:rsid w:val="00C64462"/>
    <w:rsid w:val="00C64651"/>
    <w:rsid w:val="00C64EBC"/>
    <w:rsid w:val="00C664D2"/>
    <w:rsid w:val="00C6768E"/>
    <w:rsid w:val="00C677E1"/>
    <w:rsid w:val="00C7060B"/>
    <w:rsid w:val="00C70BD1"/>
    <w:rsid w:val="00C70E6E"/>
    <w:rsid w:val="00C710E2"/>
    <w:rsid w:val="00C71C3F"/>
    <w:rsid w:val="00C72CD4"/>
    <w:rsid w:val="00C7409E"/>
    <w:rsid w:val="00C74D6D"/>
    <w:rsid w:val="00C76C35"/>
    <w:rsid w:val="00C76E76"/>
    <w:rsid w:val="00C77686"/>
    <w:rsid w:val="00C77891"/>
    <w:rsid w:val="00C77B74"/>
    <w:rsid w:val="00C81804"/>
    <w:rsid w:val="00C81919"/>
    <w:rsid w:val="00C82062"/>
    <w:rsid w:val="00C8231E"/>
    <w:rsid w:val="00C829A9"/>
    <w:rsid w:val="00C8377F"/>
    <w:rsid w:val="00C86429"/>
    <w:rsid w:val="00C86FB5"/>
    <w:rsid w:val="00C87B80"/>
    <w:rsid w:val="00C90330"/>
    <w:rsid w:val="00C91449"/>
    <w:rsid w:val="00C92D10"/>
    <w:rsid w:val="00C92F79"/>
    <w:rsid w:val="00C95200"/>
    <w:rsid w:val="00C95C5B"/>
    <w:rsid w:val="00C95F47"/>
    <w:rsid w:val="00C96EC0"/>
    <w:rsid w:val="00CA06F9"/>
    <w:rsid w:val="00CA14BB"/>
    <w:rsid w:val="00CA1D9B"/>
    <w:rsid w:val="00CA230C"/>
    <w:rsid w:val="00CA28A6"/>
    <w:rsid w:val="00CA42BB"/>
    <w:rsid w:val="00CA48D9"/>
    <w:rsid w:val="00CA64AA"/>
    <w:rsid w:val="00CA66BA"/>
    <w:rsid w:val="00CA7C63"/>
    <w:rsid w:val="00CA7E7D"/>
    <w:rsid w:val="00CB1193"/>
    <w:rsid w:val="00CB16F3"/>
    <w:rsid w:val="00CB1CB6"/>
    <w:rsid w:val="00CB358A"/>
    <w:rsid w:val="00CB4767"/>
    <w:rsid w:val="00CB493D"/>
    <w:rsid w:val="00CB6C81"/>
    <w:rsid w:val="00CC0D5E"/>
    <w:rsid w:val="00CC1D2E"/>
    <w:rsid w:val="00CC2224"/>
    <w:rsid w:val="00CC3B97"/>
    <w:rsid w:val="00CD0AF7"/>
    <w:rsid w:val="00CD321D"/>
    <w:rsid w:val="00CD36A6"/>
    <w:rsid w:val="00CD3C14"/>
    <w:rsid w:val="00CD4A8C"/>
    <w:rsid w:val="00CD4D34"/>
    <w:rsid w:val="00CD6257"/>
    <w:rsid w:val="00CD703A"/>
    <w:rsid w:val="00CD72FB"/>
    <w:rsid w:val="00CD7C0B"/>
    <w:rsid w:val="00CE00BE"/>
    <w:rsid w:val="00CE10C4"/>
    <w:rsid w:val="00CE2343"/>
    <w:rsid w:val="00CE27B5"/>
    <w:rsid w:val="00CE2BDF"/>
    <w:rsid w:val="00CE4544"/>
    <w:rsid w:val="00CE5F88"/>
    <w:rsid w:val="00CE6D24"/>
    <w:rsid w:val="00CE6DAF"/>
    <w:rsid w:val="00CF06BF"/>
    <w:rsid w:val="00CF08BB"/>
    <w:rsid w:val="00CF24FB"/>
    <w:rsid w:val="00CF410A"/>
    <w:rsid w:val="00CF4503"/>
    <w:rsid w:val="00CF47B8"/>
    <w:rsid w:val="00CF664D"/>
    <w:rsid w:val="00CF7528"/>
    <w:rsid w:val="00CF7FDE"/>
    <w:rsid w:val="00D012AF"/>
    <w:rsid w:val="00D012D2"/>
    <w:rsid w:val="00D022D5"/>
    <w:rsid w:val="00D0321E"/>
    <w:rsid w:val="00D032AC"/>
    <w:rsid w:val="00D04C2F"/>
    <w:rsid w:val="00D05457"/>
    <w:rsid w:val="00D069EB"/>
    <w:rsid w:val="00D07A8A"/>
    <w:rsid w:val="00D10E31"/>
    <w:rsid w:val="00D10F37"/>
    <w:rsid w:val="00D11199"/>
    <w:rsid w:val="00D118F3"/>
    <w:rsid w:val="00D13621"/>
    <w:rsid w:val="00D1455A"/>
    <w:rsid w:val="00D14573"/>
    <w:rsid w:val="00D14A70"/>
    <w:rsid w:val="00D17F0A"/>
    <w:rsid w:val="00D207EA"/>
    <w:rsid w:val="00D211FB"/>
    <w:rsid w:val="00D22093"/>
    <w:rsid w:val="00D22DC3"/>
    <w:rsid w:val="00D232C2"/>
    <w:rsid w:val="00D30106"/>
    <w:rsid w:val="00D30C0D"/>
    <w:rsid w:val="00D31150"/>
    <w:rsid w:val="00D3138B"/>
    <w:rsid w:val="00D31FCE"/>
    <w:rsid w:val="00D3231D"/>
    <w:rsid w:val="00D3280C"/>
    <w:rsid w:val="00D3406A"/>
    <w:rsid w:val="00D3492C"/>
    <w:rsid w:val="00D34D24"/>
    <w:rsid w:val="00D36F29"/>
    <w:rsid w:val="00D379CE"/>
    <w:rsid w:val="00D40B11"/>
    <w:rsid w:val="00D41863"/>
    <w:rsid w:val="00D42864"/>
    <w:rsid w:val="00D429EC"/>
    <w:rsid w:val="00D441F1"/>
    <w:rsid w:val="00D45577"/>
    <w:rsid w:val="00D4572C"/>
    <w:rsid w:val="00D45FD9"/>
    <w:rsid w:val="00D469B2"/>
    <w:rsid w:val="00D51F2E"/>
    <w:rsid w:val="00D52B24"/>
    <w:rsid w:val="00D52EAA"/>
    <w:rsid w:val="00D52ECF"/>
    <w:rsid w:val="00D53F0C"/>
    <w:rsid w:val="00D5411A"/>
    <w:rsid w:val="00D54B09"/>
    <w:rsid w:val="00D55D5F"/>
    <w:rsid w:val="00D5608E"/>
    <w:rsid w:val="00D56403"/>
    <w:rsid w:val="00D60426"/>
    <w:rsid w:val="00D6243E"/>
    <w:rsid w:val="00D65658"/>
    <w:rsid w:val="00D65F95"/>
    <w:rsid w:val="00D67EB2"/>
    <w:rsid w:val="00D70349"/>
    <w:rsid w:val="00D70A61"/>
    <w:rsid w:val="00D7113E"/>
    <w:rsid w:val="00D72B6F"/>
    <w:rsid w:val="00D741EB"/>
    <w:rsid w:val="00D74471"/>
    <w:rsid w:val="00D74CEA"/>
    <w:rsid w:val="00D74D1B"/>
    <w:rsid w:val="00D7679C"/>
    <w:rsid w:val="00D8033B"/>
    <w:rsid w:val="00D80A0B"/>
    <w:rsid w:val="00D817A9"/>
    <w:rsid w:val="00D820F3"/>
    <w:rsid w:val="00D83605"/>
    <w:rsid w:val="00D84838"/>
    <w:rsid w:val="00D84906"/>
    <w:rsid w:val="00D84934"/>
    <w:rsid w:val="00D84F07"/>
    <w:rsid w:val="00D85C65"/>
    <w:rsid w:val="00D866EB"/>
    <w:rsid w:val="00D86C52"/>
    <w:rsid w:val="00D87D1A"/>
    <w:rsid w:val="00D906DA"/>
    <w:rsid w:val="00D91271"/>
    <w:rsid w:val="00D914B0"/>
    <w:rsid w:val="00D919F5"/>
    <w:rsid w:val="00D945F6"/>
    <w:rsid w:val="00D94BEA"/>
    <w:rsid w:val="00D94F03"/>
    <w:rsid w:val="00D95161"/>
    <w:rsid w:val="00D95382"/>
    <w:rsid w:val="00D95C23"/>
    <w:rsid w:val="00D96D15"/>
    <w:rsid w:val="00D970AA"/>
    <w:rsid w:val="00DA0A82"/>
    <w:rsid w:val="00DA0D14"/>
    <w:rsid w:val="00DA1FC9"/>
    <w:rsid w:val="00DA2CB5"/>
    <w:rsid w:val="00DA32AE"/>
    <w:rsid w:val="00DA358F"/>
    <w:rsid w:val="00DA383E"/>
    <w:rsid w:val="00DA3BC5"/>
    <w:rsid w:val="00DA4658"/>
    <w:rsid w:val="00DA4BAC"/>
    <w:rsid w:val="00DA5B04"/>
    <w:rsid w:val="00DA6486"/>
    <w:rsid w:val="00DA6ED8"/>
    <w:rsid w:val="00DA722E"/>
    <w:rsid w:val="00DA792A"/>
    <w:rsid w:val="00DB0151"/>
    <w:rsid w:val="00DB0160"/>
    <w:rsid w:val="00DB04D7"/>
    <w:rsid w:val="00DB191B"/>
    <w:rsid w:val="00DB50E1"/>
    <w:rsid w:val="00DB6451"/>
    <w:rsid w:val="00DB7111"/>
    <w:rsid w:val="00DC0566"/>
    <w:rsid w:val="00DC05E1"/>
    <w:rsid w:val="00DC1499"/>
    <w:rsid w:val="00DC16CF"/>
    <w:rsid w:val="00DC2C3E"/>
    <w:rsid w:val="00DC3137"/>
    <w:rsid w:val="00DC3A71"/>
    <w:rsid w:val="00DC4827"/>
    <w:rsid w:val="00DC4880"/>
    <w:rsid w:val="00DC581F"/>
    <w:rsid w:val="00DC5E90"/>
    <w:rsid w:val="00DC6EC3"/>
    <w:rsid w:val="00DC732A"/>
    <w:rsid w:val="00DD04D7"/>
    <w:rsid w:val="00DD0BE9"/>
    <w:rsid w:val="00DD26F9"/>
    <w:rsid w:val="00DD350E"/>
    <w:rsid w:val="00DD3DE3"/>
    <w:rsid w:val="00DD42AB"/>
    <w:rsid w:val="00DD74AD"/>
    <w:rsid w:val="00DD7951"/>
    <w:rsid w:val="00DE06AF"/>
    <w:rsid w:val="00DE34BA"/>
    <w:rsid w:val="00DE6D27"/>
    <w:rsid w:val="00DE76EA"/>
    <w:rsid w:val="00DE78CA"/>
    <w:rsid w:val="00DF01F8"/>
    <w:rsid w:val="00DF021D"/>
    <w:rsid w:val="00DF14C7"/>
    <w:rsid w:val="00DF14EE"/>
    <w:rsid w:val="00DF217D"/>
    <w:rsid w:val="00DF26A7"/>
    <w:rsid w:val="00DF3277"/>
    <w:rsid w:val="00DF3E78"/>
    <w:rsid w:val="00DF3ED5"/>
    <w:rsid w:val="00DF6A31"/>
    <w:rsid w:val="00DF6E01"/>
    <w:rsid w:val="00DF7407"/>
    <w:rsid w:val="00DF77A1"/>
    <w:rsid w:val="00DF7919"/>
    <w:rsid w:val="00E00F79"/>
    <w:rsid w:val="00E0207E"/>
    <w:rsid w:val="00E02AE6"/>
    <w:rsid w:val="00E03912"/>
    <w:rsid w:val="00E03A6B"/>
    <w:rsid w:val="00E04748"/>
    <w:rsid w:val="00E04CB8"/>
    <w:rsid w:val="00E04D18"/>
    <w:rsid w:val="00E054F7"/>
    <w:rsid w:val="00E05CA5"/>
    <w:rsid w:val="00E060AF"/>
    <w:rsid w:val="00E0652E"/>
    <w:rsid w:val="00E07588"/>
    <w:rsid w:val="00E078D9"/>
    <w:rsid w:val="00E10293"/>
    <w:rsid w:val="00E103A0"/>
    <w:rsid w:val="00E1043F"/>
    <w:rsid w:val="00E1157E"/>
    <w:rsid w:val="00E11F44"/>
    <w:rsid w:val="00E13455"/>
    <w:rsid w:val="00E134FA"/>
    <w:rsid w:val="00E13E60"/>
    <w:rsid w:val="00E15627"/>
    <w:rsid w:val="00E15EFA"/>
    <w:rsid w:val="00E1612B"/>
    <w:rsid w:val="00E164B3"/>
    <w:rsid w:val="00E16910"/>
    <w:rsid w:val="00E21164"/>
    <w:rsid w:val="00E232A3"/>
    <w:rsid w:val="00E239E2"/>
    <w:rsid w:val="00E24E09"/>
    <w:rsid w:val="00E25B81"/>
    <w:rsid w:val="00E27234"/>
    <w:rsid w:val="00E27EDC"/>
    <w:rsid w:val="00E301FF"/>
    <w:rsid w:val="00E31CC4"/>
    <w:rsid w:val="00E325EC"/>
    <w:rsid w:val="00E3495C"/>
    <w:rsid w:val="00E34B5A"/>
    <w:rsid w:val="00E3677F"/>
    <w:rsid w:val="00E4023E"/>
    <w:rsid w:val="00E41560"/>
    <w:rsid w:val="00E42BDB"/>
    <w:rsid w:val="00E45975"/>
    <w:rsid w:val="00E50201"/>
    <w:rsid w:val="00E50F18"/>
    <w:rsid w:val="00E522C4"/>
    <w:rsid w:val="00E524A9"/>
    <w:rsid w:val="00E53F1A"/>
    <w:rsid w:val="00E54309"/>
    <w:rsid w:val="00E5726D"/>
    <w:rsid w:val="00E57EEB"/>
    <w:rsid w:val="00E605F3"/>
    <w:rsid w:val="00E61AE9"/>
    <w:rsid w:val="00E62D94"/>
    <w:rsid w:val="00E62ECC"/>
    <w:rsid w:val="00E63F78"/>
    <w:rsid w:val="00E64F37"/>
    <w:rsid w:val="00E65091"/>
    <w:rsid w:val="00E65393"/>
    <w:rsid w:val="00E65E54"/>
    <w:rsid w:val="00E661C7"/>
    <w:rsid w:val="00E6630E"/>
    <w:rsid w:val="00E665F1"/>
    <w:rsid w:val="00E66679"/>
    <w:rsid w:val="00E711B3"/>
    <w:rsid w:val="00E732C4"/>
    <w:rsid w:val="00E74E41"/>
    <w:rsid w:val="00E75151"/>
    <w:rsid w:val="00E7745E"/>
    <w:rsid w:val="00E80155"/>
    <w:rsid w:val="00E80CBB"/>
    <w:rsid w:val="00E8134B"/>
    <w:rsid w:val="00E81E0D"/>
    <w:rsid w:val="00E81F28"/>
    <w:rsid w:val="00E82089"/>
    <w:rsid w:val="00E848C0"/>
    <w:rsid w:val="00E84BB8"/>
    <w:rsid w:val="00E85C07"/>
    <w:rsid w:val="00E86F92"/>
    <w:rsid w:val="00E90025"/>
    <w:rsid w:val="00E90FA1"/>
    <w:rsid w:val="00E91B96"/>
    <w:rsid w:val="00E92F2E"/>
    <w:rsid w:val="00E935DA"/>
    <w:rsid w:val="00E93D1E"/>
    <w:rsid w:val="00E941A1"/>
    <w:rsid w:val="00E951C2"/>
    <w:rsid w:val="00E95CE3"/>
    <w:rsid w:val="00E95F9A"/>
    <w:rsid w:val="00E96E99"/>
    <w:rsid w:val="00E9717F"/>
    <w:rsid w:val="00EA0856"/>
    <w:rsid w:val="00EA1DC4"/>
    <w:rsid w:val="00EA2246"/>
    <w:rsid w:val="00EA252F"/>
    <w:rsid w:val="00EA2825"/>
    <w:rsid w:val="00EA3D7E"/>
    <w:rsid w:val="00EA5027"/>
    <w:rsid w:val="00EA64C2"/>
    <w:rsid w:val="00EA6518"/>
    <w:rsid w:val="00EA69CD"/>
    <w:rsid w:val="00EA6B75"/>
    <w:rsid w:val="00EA6C24"/>
    <w:rsid w:val="00EA71A2"/>
    <w:rsid w:val="00EA7466"/>
    <w:rsid w:val="00EA7EDE"/>
    <w:rsid w:val="00EB08D4"/>
    <w:rsid w:val="00EB0B63"/>
    <w:rsid w:val="00EB0EB5"/>
    <w:rsid w:val="00EB1936"/>
    <w:rsid w:val="00EB3545"/>
    <w:rsid w:val="00EB37BE"/>
    <w:rsid w:val="00EB4BAE"/>
    <w:rsid w:val="00EB4F92"/>
    <w:rsid w:val="00EB5088"/>
    <w:rsid w:val="00EB50D2"/>
    <w:rsid w:val="00EB7210"/>
    <w:rsid w:val="00EC2726"/>
    <w:rsid w:val="00EC575E"/>
    <w:rsid w:val="00EC681C"/>
    <w:rsid w:val="00EC7B87"/>
    <w:rsid w:val="00ED0DE8"/>
    <w:rsid w:val="00ED1644"/>
    <w:rsid w:val="00ED2593"/>
    <w:rsid w:val="00ED3709"/>
    <w:rsid w:val="00ED432F"/>
    <w:rsid w:val="00ED60DC"/>
    <w:rsid w:val="00ED6E34"/>
    <w:rsid w:val="00ED7D55"/>
    <w:rsid w:val="00ED7D9C"/>
    <w:rsid w:val="00EE00A7"/>
    <w:rsid w:val="00EE25FC"/>
    <w:rsid w:val="00EE2ABD"/>
    <w:rsid w:val="00EE2F77"/>
    <w:rsid w:val="00EE3158"/>
    <w:rsid w:val="00EE31A2"/>
    <w:rsid w:val="00EE3D24"/>
    <w:rsid w:val="00EE4329"/>
    <w:rsid w:val="00EE46AE"/>
    <w:rsid w:val="00EE6203"/>
    <w:rsid w:val="00EE6479"/>
    <w:rsid w:val="00EE7014"/>
    <w:rsid w:val="00EF0069"/>
    <w:rsid w:val="00EF04DB"/>
    <w:rsid w:val="00EF229C"/>
    <w:rsid w:val="00EF37EE"/>
    <w:rsid w:val="00EF3C52"/>
    <w:rsid w:val="00EF44A0"/>
    <w:rsid w:val="00EF4580"/>
    <w:rsid w:val="00EF4FED"/>
    <w:rsid w:val="00EF5F45"/>
    <w:rsid w:val="00EF669B"/>
    <w:rsid w:val="00EF6843"/>
    <w:rsid w:val="00EF6941"/>
    <w:rsid w:val="00EF6FB3"/>
    <w:rsid w:val="00F0068B"/>
    <w:rsid w:val="00F007C6"/>
    <w:rsid w:val="00F0172E"/>
    <w:rsid w:val="00F019F9"/>
    <w:rsid w:val="00F04B69"/>
    <w:rsid w:val="00F050BD"/>
    <w:rsid w:val="00F05352"/>
    <w:rsid w:val="00F05657"/>
    <w:rsid w:val="00F05727"/>
    <w:rsid w:val="00F05AB0"/>
    <w:rsid w:val="00F07117"/>
    <w:rsid w:val="00F07F3C"/>
    <w:rsid w:val="00F12C74"/>
    <w:rsid w:val="00F13214"/>
    <w:rsid w:val="00F150A4"/>
    <w:rsid w:val="00F1559A"/>
    <w:rsid w:val="00F17746"/>
    <w:rsid w:val="00F17ED6"/>
    <w:rsid w:val="00F20013"/>
    <w:rsid w:val="00F20676"/>
    <w:rsid w:val="00F2092B"/>
    <w:rsid w:val="00F209E2"/>
    <w:rsid w:val="00F20CDB"/>
    <w:rsid w:val="00F214FC"/>
    <w:rsid w:val="00F2398F"/>
    <w:rsid w:val="00F239D1"/>
    <w:rsid w:val="00F244E0"/>
    <w:rsid w:val="00F24B92"/>
    <w:rsid w:val="00F25578"/>
    <w:rsid w:val="00F25707"/>
    <w:rsid w:val="00F258E5"/>
    <w:rsid w:val="00F25B9C"/>
    <w:rsid w:val="00F2672C"/>
    <w:rsid w:val="00F2675A"/>
    <w:rsid w:val="00F26CC6"/>
    <w:rsid w:val="00F26D80"/>
    <w:rsid w:val="00F300BC"/>
    <w:rsid w:val="00F305FA"/>
    <w:rsid w:val="00F3263C"/>
    <w:rsid w:val="00F32CAD"/>
    <w:rsid w:val="00F32EF5"/>
    <w:rsid w:val="00F3334E"/>
    <w:rsid w:val="00F3336E"/>
    <w:rsid w:val="00F33662"/>
    <w:rsid w:val="00F33902"/>
    <w:rsid w:val="00F342E6"/>
    <w:rsid w:val="00F3573A"/>
    <w:rsid w:val="00F36CCB"/>
    <w:rsid w:val="00F374E5"/>
    <w:rsid w:val="00F37B93"/>
    <w:rsid w:val="00F37BAD"/>
    <w:rsid w:val="00F37E71"/>
    <w:rsid w:val="00F37ECA"/>
    <w:rsid w:val="00F37FF9"/>
    <w:rsid w:val="00F40A1C"/>
    <w:rsid w:val="00F42826"/>
    <w:rsid w:val="00F43AF2"/>
    <w:rsid w:val="00F44638"/>
    <w:rsid w:val="00F45216"/>
    <w:rsid w:val="00F45A6D"/>
    <w:rsid w:val="00F46A28"/>
    <w:rsid w:val="00F5007E"/>
    <w:rsid w:val="00F508F6"/>
    <w:rsid w:val="00F50EC4"/>
    <w:rsid w:val="00F52232"/>
    <w:rsid w:val="00F527B1"/>
    <w:rsid w:val="00F52DC2"/>
    <w:rsid w:val="00F54AF9"/>
    <w:rsid w:val="00F550CF"/>
    <w:rsid w:val="00F553D2"/>
    <w:rsid w:val="00F55859"/>
    <w:rsid w:val="00F56449"/>
    <w:rsid w:val="00F56A2D"/>
    <w:rsid w:val="00F57A6D"/>
    <w:rsid w:val="00F6044B"/>
    <w:rsid w:val="00F62F19"/>
    <w:rsid w:val="00F638CC"/>
    <w:rsid w:val="00F64C9E"/>
    <w:rsid w:val="00F64CC1"/>
    <w:rsid w:val="00F64FC8"/>
    <w:rsid w:val="00F6586F"/>
    <w:rsid w:val="00F670BE"/>
    <w:rsid w:val="00F67732"/>
    <w:rsid w:val="00F67742"/>
    <w:rsid w:val="00F708B1"/>
    <w:rsid w:val="00F717BC"/>
    <w:rsid w:val="00F72317"/>
    <w:rsid w:val="00F73DC1"/>
    <w:rsid w:val="00F749FD"/>
    <w:rsid w:val="00F7533D"/>
    <w:rsid w:val="00F75BB8"/>
    <w:rsid w:val="00F77714"/>
    <w:rsid w:val="00F800B5"/>
    <w:rsid w:val="00F80475"/>
    <w:rsid w:val="00F80929"/>
    <w:rsid w:val="00F80E6E"/>
    <w:rsid w:val="00F81390"/>
    <w:rsid w:val="00F8156A"/>
    <w:rsid w:val="00F81F0F"/>
    <w:rsid w:val="00F81F7A"/>
    <w:rsid w:val="00F8247A"/>
    <w:rsid w:val="00F82C6E"/>
    <w:rsid w:val="00F82E5C"/>
    <w:rsid w:val="00F83E86"/>
    <w:rsid w:val="00F83F58"/>
    <w:rsid w:val="00F85206"/>
    <w:rsid w:val="00F87C7A"/>
    <w:rsid w:val="00F87CEA"/>
    <w:rsid w:val="00F920C3"/>
    <w:rsid w:val="00F9265D"/>
    <w:rsid w:val="00F9346C"/>
    <w:rsid w:val="00F938D9"/>
    <w:rsid w:val="00F93E8F"/>
    <w:rsid w:val="00F944E2"/>
    <w:rsid w:val="00F949C2"/>
    <w:rsid w:val="00F9629A"/>
    <w:rsid w:val="00F969CF"/>
    <w:rsid w:val="00F97C59"/>
    <w:rsid w:val="00F97EFC"/>
    <w:rsid w:val="00FA0B04"/>
    <w:rsid w:val="00FA0C7C"/>
    <w:rsid w:val="00FA0CCE"/>
    <w:rsid w:val="00FA0CD2"/>
    <w:rsid w:val="00FA1BDD"/>
    <w:rsid w:val="00FA2D4C"/>
    <w:rsid w:val="00FA305C"/>
    <w:rsid w:val="00FA4161"/>
    <w:rsid w:val="00FA462E"/>
    <w:rsid w:val="00FA4DD5"/>
    <w:rsid w:val="00FA51D7"/>
    <w:rsid w:val="00FA5883"/>
    <w:rsid w:val="00FA6055"/>
    <w:rsid w:val="00FA6446"/>
    <w:rsid w:val="00FA6ED7"/>
    <w:rsid w:val="00FB0B39"/>
    <w:rsid w:val="00FB322F"/>
    <w:rsid w:val="00FB3401"/>
    <w:rsid w:val="00FB3669"/>
    <w:rsid w:val="00FB442F"/>
    <w:rsid w:val="00FB4DD1"/>
    <w:rsid w:val="00FB59F4"/>
    <w:rsid w:val="00FB71CA"/>
    <w:rsid w:val="00FC042A"/>
    <w:rsid w:val="00FC118C"/>
    <w:rsid w:val="00FC1929"/>
    <w:rsid w:val="00FC3D9F"/>
    <w:rsid w:val="00FC5B46"/>
    <w:rsid w:val="00FC6D48"/>
    <w:rsid w:val="00FD015D"/>
    <w:rsid w:val="00FD1D4F"/>
    <w:rsid w:val="00FD2304"/>
    <w:rsid w:val="00FD24BF"/>
    <w:rsid w:val="00FD37F6"/>
    <w:rsid w:val="00FD3B6E"/>
    <w:rsid w:val="00FD4001"/>
    <w:rsid w:val="00FD4140"/>
    <w:rsid w:val="00FD46BD"/>
    <w:rsid w:val="00FD57EB"/>
    <w:rsid w:val="00FD6D8E"/>
    <w:rsid w:val="00FE0663"/>
    <w:rsid w:val="00FE076F"/>
    <w:rsid w:val="00FE0A0D"/>
    <w:rsid w:val="00FE0E94"/>
    <w:rsid w:val="00FE0FD2"/>
    <w:rsid w:val="00FE369C"/>
    <w:rsid w:val="00FE3CD9"/>
    <w:rsid w:val="00FE63A2"/>
    <w:rsid w:val="00FE798E"/>
    <w:rsid w:val="00FF00BD"/>
    <w:rsid w:val="00FF067C"/>
    <w:rsid w:val="00FF0AFD"/>
    <w:rsid w:val="00FF0B13"/>
    <w:rsid w:val="00FF1672"/>
    <w:rsid w:val="00FF1ED4"/>
    <w:rsid w:val="00FF2801"/>
    <w:rsid w:val="00FF31E4"/>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5A09AF"/>
    <w:rsid w:val="3EDC23CB"/>
    <w:rsid w:val="40771079"/>
    <w:rsid w:val="40930EF5"/>
    <w:rsid w:val="4110CDB4"/>
    <w:rsid w:val="42691D0F"/>
    <w:rsid w:val="4372D6C2"/>
    <w:rsid w:val="443448FB"/>
    <w:rsid w:val="44505BFC"/>
    <w:rsid w:val="450F5A46"/>
    <w:rsid w:val="450FCA3B"/>
    <w:rsid w:val="456C4AA2"/>
    <w:rsid w:val="4641A0D0"/>
    <w:rsid w:val="483DA525"/>
    <w:rsid w:val="4873567A"/>
    <w:rsid w:val="48F582C0"/>
    <w:rsid w:val="495D9BBE"/>
    <w:rsid w:val="49B7B512"/>
    <w:rsid w:val="4AC03A44"/>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4AC614"/>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
    <w:link w:val="ListParagraphChar"/>
    <w:uiPriority w:val="72"/>
    <w:qFormat/>
    <w:rsid w:val="00D86C52"/>
    <w:pPr>
      <w:numPr>
        <w:numId w:val="5"/>
      </w:numPr>
      <w:spacing w:before="120" w:after="120"/>
      <w:ind w:left="1077" w:hanging="357"/>
      <w:jc w:val="both"/>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72"/>
    <w:qFormat/>
    <w:rsid w:val="00D86C52"/>
    <w:rPr>
      <w:rFonts w:asciiTheme="minorHAnsi" w:hAnsiTheme="minorHAnsi" w:cs="Arial"/>
      <w:snapToGrid w:val="0"/>
      <w:sz w:val="24"/>
      <w:szCs w:val="24"/>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B205AA"/>
    <w:rPr>
      <w:sz w:val="24"/>
      <w:szCs w:val="24"/>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Tabellengitternetz 9pt,PBAC table,HTAtableplain,new sty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character" w:customStyle="1" w:styleId="TabletextChar">
    <w:name w:val="Table text Char"/>
    <w:link w:val="Tabletext"/>
    <w:rsid w:val="00C7409E"/>
    <w:rPr>
      <w:rFonts w:ascii="Arial" w:hAnsi="Arial"/>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paragraph" w:customStyle="1" w:styleId="Lists">
    <w:name w:val="Lists"/>
    <w:basedOn w:val="3Bodytext"/>
    <w:link w:val="ListsChar"/>
    <w:rsid w:val="000A44B2"/>
    <w:pPr>
      <w:numPr>
        <w:numId w:val="2"/>
      </w:numPr>
    </w:p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character" w:styleId="FollowedHyperlink">
    <w:name w:val="FollowedHyperlink"/>
    <w:basedOn w:val="DefaultParagraphFont"/>
    <w:semiHidden/>
    <w:unhideWhenUsed/>
    <w:rsid w:val="00FA4DD5"/>
    <w:rPr>
      <w:color w:val="800080" w:themeColor="followedHyperlink"/>
      <w:u w:val="single"/>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3"/>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6"/>
      </w:numPr>
      <w:spacing w:before="240" w:after="120"/>
      <w:outlineLvl w:val="0"/>
    </w:pPr>
    <w:rPr>
      <w:rFonts w:asciiTheme="minorHAnsi" w:hAnsiTheme="minorHAnsi" w:cs="Arial"/>
      <w:b/>
      <w:snapToGrid w:val="0"/>
      <w:sz w:val="32"/>
      <w:szCs w:val="32"/>
    </w:rPr>
  </w:style>
  <w:style w:type="paragraph" w:customStyle="1" w:styleId="3-BodyText">
    <w:name w:val="3-Body Text"/>
    <w:link w:val="3-BodyTextChar"/>
    <w:qFormat/>
    <w:rsid w:val="00D53F0C"/>
    <w:pPr>
      <w:numPr>
        <w:ilvl w:val="1"/>
        <w:numId w:val="6"/>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4"/>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styleId="Mention">
    <w:name w:val="Mention"/>
    <w:basedOn w:val="DefaultParagraphFont"/>
    <w:uiPriority w:val="99"/>
    <w:unhideWhenUsed/>
    <w:rsid w:val="007D0ABF"/>
    <w:rPr>
      <w:color w:val="2B579A"/>
      <w:shd w:val="clear" w:color="auto" w:fill="E1DFDD"/>
    </w:rPr>
  </w:style>
  <w:style w:type="paragraph" w:customStyle="1" w:styleId="pf1">
    <w:name w:val="pf1"/>
    <w:basedOn w:val="Normal"/>
    <w:rsid w:val="00E665F1"/>
    <w:pPr>
      <w:spacing w:before="100" w:beforeAutospacing="1" w:after="100" w:afterAutospacing="1"/>
      <w:jc w:val="left"/>
    </w:pPr>
    <w:rPr>
      <w:rFonts w:ascii="Times New Roman" w:hAnsi="Times New Roman"/>
    </w:rPr>
  </w:style>
  <w:style w:type="paragraph" w:customStyle="1" w:styleId="pf0">
    <w:name w:val="pf0"/>
    <w:basedOn w:val="Normal"/>
    <w:rsid w:val="00E665F1"/>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8C1EF-35C4-4C83-A55A-3380EFFA0583}">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AA6CC0D5-038B-4EA0-B183-9EB4D09FDB2D}">
  <ds:schemaRefs>
    <ds:schemaRef ds:uri="http://schemas.microsoft.com/sharepoint/v3/contenttype/forms"/>
  </ds:schemaRefs>
</ds:datastoreItem>
</file>

<file path=customXml/itemProps3.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4.xml><?xml version="1.0" encoding="utf-8"?>
<ds:datastoreItem xmlns:ds="http://schemas.openxmlformats.org/officeDocument/2006/customXml" ds:itemID="{6587AF97-7D8F-4986-A350-EB8FA84F3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3346</Words>
  <Characters>18877</Characters>
  <Application>Microsoft Office Word</Application>
  <DocSecurity>0</DocSecurity>
  <Lines>858</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2026-07-07T01:25:00Z</dcterms:created>
  <dcterms:modified xsi:type="dcterms:W3CDTF">2026-07-07T01:25:00Z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3df9e96c,326dc15d,2e283fc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7208c999,3c82d56d,1d410f7b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2026-04-01T01:02:57Z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15899dc6-7792-461e-ba85-5efd7203e6e2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ies>
</file>