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46DC" w14:textId="603F9F3E" w:rsidR="00FB6E77" w:rsidRPr="00D27683" w:rsidRDefault="00197F07" w:rsidP="00135EE0">
      <w:pPr>
        <w:pStyle w:val="1-MainHeading"/>
      </w:pPr>
      <w:bookmarkStart w:id="0" w:name="_Toc219884805"/>
      <w:bookmarkStart w:id="1" w:name="_Toc341702043"/>
      <w:bookmarkStart w:id="2" w:name="_Toc380742621"/>
      <w:bookmarkStart w:id="3" w:name="_Toc380746188"/>
      <w:bookmarkStart w:id="4" w:name="_Toc380746314"/>
      <w:bookmarkStart w:id="5" w:name="_Toc380746595"/>
      <w:r w:rsidRPr="00D27683">
        <w:t>6.08</w:t>
      </w:r>
      <w:r w:rsidR="00FB6E77" w:rsidRPr="00D27683">
        <w:tab/>
        <w:t>MEPOLIZUMAB,</w:t>
      </w:r>
      <w:r w:rsidR="00FB6E77" w:rsidRPr="00D27683">
        <w:br/>
        <w:t>Injection 100 mg in 1 mL single dose pre-filled pen,</w:t>
      </w:r>
      <w:r w:rsidR="00FB6E77" w:rsidRPr="00D27683">
        <w:br/>
        <w:t>Nucala</w:t>
      </w:r>
      <w:r w:rsidR="00FB6E77" w:rsidRPr="00D27683">
        <w:rPr>
          <w:vertAlign w:val="superscript"/>
        </w:rPr>
        <w:t>®</w:t>
      </w:r>
      <w:r w:rsidR="00FB6E77" w:rsidRPr="00D27683">
        <w:t>,</w:t>
      </w:r>
      <w:r w:rsidR="00FB6E77" w:rsidRPr="00D27683">
        <w:br/>
        <w:t>GlaxoSmithKline Australia Pty Ltd.</w:t>
      </w:r>
      <w:bookmarkEnd w:id="0"/>
      <w:r w:rsidR="00FB6E77" w:rsidRPr="00D27683">
        <w:t xml:space="preserve"> </w:t>
      </w:r>
    </w:p>
    <w:p w14:paraId="2EFEA56F" w14:textId="77777777" w:rsidR="008531AE" w:rsidRPr="00D27683" w:rsidRDefault="008531AE" w:rsidP="00135EE0">
      <w:pPr>
        <w:pStyle w:val="2-SectionHeading"/>
        <w:numPr>
          <w:ilvl w:val="0"/>
          <w:numId w:val="1"/>
        </w:numPr>
      </w:pPr>
      <w:bookmarkStart w:id="6" w:name="_Toc216174083"/>
      <w:bookmarkStart w:id="7" w:name="_Toc216697627"/>
      <w:bookmarkStart w:id="8" w:name="_Toc217392658"/>
      <w:bookmarkStart w:id="9" w:name="_Toc219030859"/>
      <w:bookmarkStart w:id="10" w:name="_Toc219064624"/>
      <w:bookmarkStart w:id="11" w:name="_Toc219884808"/>
      <w:bookmarkStart w:id="12" w:name="_Toc22897645"/>
      <w:r w:rsidRPr="00D27683">
        <w:t>Purpose of submission</w:t>
      </w:r>
      <w:bookmarkEnd w:id="6"/>
      <w:bookmarkEnd w:id="7"/>
      <w:bookmarkEnd w:id="8"/>
      <w:bookmarkEnd w:id="9"/>
      <w:bookmarkEnd w:id="10"/>
      <w:bookmarkEnd w:id="11"/>
    </w:p>
    <w:p w14:paraId="7A1D57CE" w14:textId="7A45B365" w:rsidR="008531AE" w:rsidRPr="00D27683" w:rsidRDefault="008531AE" w:rsidP="00135EE0">
      <w:pPr>
        <w:pStyle w:val="3-BodyText"/>
        <w:numPr>
          <w:ilvl w:val="1"/>
          <w:numId w:val="1"/>
        </w:numPr>
      </w:pPr>
      <w:r w:rsidRPr="00D27683">
        <w:t xml:space="preserve">The submission requested a Section 100 </w:t>
      </w:r>
      <w:r w:rsidRPr="00D27683">
        <w:rPr>
          <w:rFonts w:cs="Calibri"/>
        </w:rPr>
        <w:t>Highly Specialised Drugs Program</w:t>
      </w:r>
      <w:r w:rsidRPr="00D27683">
        <w:t xml:space="preserve">, Authority Required (written restriction for initiation criteria, and a telephone/online restriction for the continuation criteria) listing for mepolizumab as add-on maintenance treatment for adults with uncontrolled chronic obstructive pulmonary disease (COPD) with an eosinophilic phenotype (defined by the submission as blood eosinophil count (BEC) ≥ 300 cells/µL), and on a stable combination of an inhaled corticosteroid (ICS), a long-acting beta-2 agonist (LABA), and a long-acting muscarinic agonist (LAMA). </w:t>
      </w:r>
    </w:p>
    <w:p w14:paraId="70796215" w14:textId="3F453D10" w:rsidR="008531AE" w:rsidRPr="00D27683" w:rsidRDefault="008531AE" w:rsidP="00135EE0">
      <w:pPr>
        <w:pStyle w:val="3-BodyText"/>
        <w:numPr>
          <w:ilvl w:val="1"/>
          <w:numId w:val="1"/>
        </w:numPr>
        <w:rPr>
          <w:rStyle w:val="CommentReference"/>
          <w:rFonts w:asciiTheme="minorHAnsi" w:hAnsiTheme="minorHAnsi"/>
          <w:b w:val="0"/>
          <w:sz w:val="24"/>
          <w:szCs w:val="22"/>
        </w:rPr>
      </w:pPr>
      <w:r w:rsidRPr="00D27683">
        <w:t xml:space="preserve">Listing was requested </w:t>
      </w:r>
      <w:proofErr w:type="gramStart"/>
      <w:r w:rsidRPr="00D27683">
        <w:t>on the basis of</w:t>
      </w:r>
      <w:proofErr w:type="gramEnd"/>
      <w:r w:rsidRPr="00D27683">
        <w:t xml:space="preserve"> a cost-effectiveness analysis versus triple inhaled therapy (LABA + LAMA + ICS) alone. The components of the overall clinical claim addressed by the submission are summarised in </w:t>
      </w:r>
      <w:r w:rsidRPr="00D27683">
        <w:fldChar w:fldCharType="begin"/>
      </w:r>
      <w:r w:rsidRPr="00D27683">
        <w:instrText xml:space="preserve"> REF _Ref217407512 \h  \* MERGEFORMAT </w:instrText>
      </w:r>
      <w:r w:rsidRPr="00D27683">
        <w:fldChar w:fldCharType="separate"/>
      </w:r>
      <w:r w:rsidR="00FA28CE" w:rsidRPr="00D27683">
        <w:t xml:space="preserve">Table </w:t>
      </w:r>
      <w:r w:rsidR="00FA28CE">
        <w:rPr>
          <w:noProof/>
        </w:rPr>
        <w:t>1</w:t>
      </w:r>
      <w:r w:rsidRPr="00D27683">
        <w:fldChar w:fldCharType="end"/>
      </w:r>
      <w:r w:rsidRPr="00D27683">
        <w:t>.</w:t>
      </w:r>
    </w:p>
    <w:p w14:paraId="7BB4C380" w14:textId="354B957B" w:rsidR="008531AE" w:rsidRPr="00D27683" w:rsidRDefault="008531AE" w:rsidP="00135EE0">
      <w:pPr>
        <w:pStyle w:val="TableFigureHeading"/>
      </w:pPr>
      <w:bookmarkStart w:id="13" w:name="_Ref217407512"/>
      <w:r w:rsidRPr="00D27683">
        <w:t xml:space="preserve">Table </w:t>
      </w:r>
      <w:fldSimple w:instr=" SEQ Table \* ARABIC ">
        <w:r w:rsidR="00FA28CE">
          <w:rPr>
            <w:noProof/>
          </w:rPr>
          <w:t>1</w:t>
        </w:r>
      </w:fldSimple>
      <w:bookmarkEnd w:id="13"/>
      <w:r w:rsidRPr="00D27683">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43"/>
        <w:gridCol w:w="7374"/>
      </w:tblGrid>
      <w:tr w:rsidR="00057197" w:rsidRPr="00D27683" w14:paraId="30C09C91" w14:textId="77777777" w:rsidTr="008531AE">
        <w:tc>
          <w:tcPr>
            <w:tcW w:w="911" w:type="pct"/>
            <w:vAlign w:val="center"/>
          </w:tcPr>
          <w:p w14:paraId="60BCF9B6" w14:textId="77777777" w:rsidR="008531AE" w:rsidRPr="00D27683" w:rsidRDefault="008531AE" w:rsidP="00135EE0">
            <w:pPr>
              <w:pStyle w:val="In-tableHeading"/>
              <w:rPr>
                <w:lang w:val="en-AU"/>
              </w:rPr>
            </w:pPr>
            <w:r w:rsidRPr="00D27683">
              <w:rPr>
                <w:lang w:val="en-AU"/>
              </w:rPr>
              <w:t>Component</w:t>
            </w:r>
          </w:p>
        </w:tc>
        <w:tc>
          <w:tcPr>
            <w:tcW w:w="4089" w:type="pct"/>
            <w:vAlign w:val="center"/>
          </w:tcPr>
          <w:p w14:paraId="4CC4B0D4" w14:textId="77777777" w:rsidR="008531AE" w:rsidRPr="00D27683" w:rsidRDefault="008531AE" w:rsidP="00135EE0">
            <w:pPr>
              <w:pStyle w:val="In-tableHeading"/>
              <w:rPr>
                <w:lang w:val="en-AU"/>
              </w:rPr>
            </w:pPr>
            <w:r w:rsidRPr="00D27683">
              <w:rPr>
                <w:lang w:val="en-AU"/>
              </w:rPr>
              <w:t>Description</w:t>
            </w:r>
          </w:p>
        </w:tc>
      </w:tr>
      <w:tr w:rsidR="00F75BF5" w:rsidRPr="00D27683" w14:paraId="179972FD" w14:textId="77777777" w:rsidTr="008531AE">
        <w:tc>
          <w:tcPr>
            <w:tcW w:w="911" w:type="pct"/>
          </w:tcPr>
          <w:p w14:paraId="68434190" w14:textId="77777777" w:rsidR="008531AE" w:rsidRPr="00D27683" w:rsidRDefault="008531AE" w:rsidP="00135EE0">
            <w:pPr>
              <w:pStyle w:val="TableText0"/>
            </w:pPr>
            <w:r w:rsidRPr="00D27683">
              <w:t>Population</w:t>
            </w:r>
          </w:p>
        </w:tc>
        <w:tc>
          <w:tcPr>
            <w:tcW w:w="4089" w:type="pct"/>
          </w:tcPr>
          <w:p w14:paraId="773717D0" w14:textId="77777777" w:rsidR="008531AE" w:rsidRPr="00D27683" w:rsidRDefault="008531AE" w:rsidP="00135EE0">
            <w:pPr>
              <w:pStyle w:val="TableText0"/>
            </w:pPr>
            <w:r w:rsidRPr="00D27683">
              <w:t xml:space="preserve">Patients with uncontrolled </w:t>
            </w:r>
            <w:proofErr w:type="spellStart"/>
            <w:r w:rsidRPr="00D27683">
              <w:t>COPD</w:t>
            </w:r>
            <w:r w:rsidRPr="00D27683">
              <w:rPr>
                <w:vertAlign w:val="superscript"/>
              </w:rPr>
              <w:t>a</w:t>
            </w:r>
            <w:proofErr w:type="spellEnd"/>
            <w:r w:rsidRPr="00D27683">
              <w:t xml:space="preserve"> characterised by an eosinophilic phenotype (BEC ≥ 300 cells/µL in the last 12 months) who continue to experience exacerbations (≥ 2 </w:t>
            </w:r>
            <w:proofErr w:type="spellStart"/>
            <w:r w:rsidRPr="00D27683">
              <w:t>moderate</w:t>
            </w:r>
            <w:r w:rsidRPr="00D27683">
              <w:rPr>
                <w:vertAlign w:val="superscript"/>
              </w:rPr>
              <w:t>b</w:t>
            </w:r>
            <w:proofErr w:type="spellEnd"/>
            <w:r w:rsidRPr="00D27683">
              <w:t xml:space="preserve"> or ≥ 1 </w:t>
            </w:r>
            <w:proofErr w:type="spellStart"/>
            <w:r w:rsidRPr="00D27683">
              <w:t>severe</w:t>
            </w:r>
            <w:r w:rsidRPr="00D27683">
              <w:rPr>
                <w:vertAlign w:val="superscript"/>
              </w:rPr>
              <w:t>c</w:t>
            </w:r>
            <w:proofErr w:type="spellEnd"/>
            <w:r w:rsidRPr="00D27683">
              <w:t xml:space="preserve"> exacerbation over 12 months) despite being optimised on triple inhaled therapy.</w:t>
            </w:r>
          </w:p>
        </w:tc>
      </w:tr>
      <w:tr w:rsidR="00F75BF5" w:rsidRPr="00D27683" w14:paraId="0895B1F1" w14:textId="77777777" w:rsidTr="008531AE">
        <w:tc>
          <w:tcPr>
            <w:tcW w:w="911" w:type="pct"/>
          </w:tcPr>
          <w:p w14:paraId="74DD0117" w14:textId="77777777" w:rsidR="008531AE" w:rsidRPr="00D27683" w:rsidRDefault="008531AE" w:rsidP="00135EE0">
            <w:pPr>
              <w:pStyle w:val="TableText0"/>
            </w:pPr>
            <w:r w:rsidRPr="00D27683">
              <w:t>Intervention</w:t>
            </w:r>
          </w:p>
        </w:tc>
        <w:tc>
          <w:tcPr>
            <w:tcW w:w="4089" w:type="pct"/>
          </w:tcPr>
          <w:p w14:paraId="5D7FBD80" w14:textId="1E79F002" w:rsidR="008531AE" w:rsidRPr="00D27683" w:rsidRDefault="00F55545" w:rsidP="00135EE0">
            <w:pPr>
              <w:pStyle w:val="TableText0"/>
            </w:pPr>
            <w:r w:rsidRPr="00D27683">
              <w:t>Mepolizumab</w:t>
            </w:r>
            <w:r w:rsidR="008531AE" w:rsidRPr="00D27683">
              <w:t xml:space="preserve"> (100 mg administered SC once every four weeks) as add-on to triple inhaled therapy (ICS/LABA/LAMA)</w:t>
            </w:r>
          </w:p>
        </w:tc>
      </w:tr>
      <w:tr w:rsidR="00F75BF5" w:rsidRPr="00D27683" w14:paraId="4CBD2BFF" w14:textId="77777777" w:rsidTr="008531AE">
        <w:tc>
          <w:tcPr>
            <w:tcW w:w="911" w:type="pct"/>
          </w:tcPr>
          <w:p w14:paraId="71D8273D" w14:textId="77777777" w:rsidR="008531AE" w:rsidRPr="00D27683" w:rsidRDefault="008531AE" w:rsidP="00135EE0">
            <w:pPr>
              <w:pStyle w:val="TableText0"/>
            </w:pPr>
            <w:r w:rsidRPr="00D27683">
              <w:t>Comparator</w:t>
            </w:r>
          </w:p>
        </w:tc>
        <w:tc>
          <w:tcPr>
            <w:tcW w:w="4089" w:type="pct"/>
          </w:tcPr>
          <w:p w14:paraId="0C665450" w14:textId="77777777" w:rsidR="008531AE" w:rsidRPr="00D27683" w:rsidRDefault="008531AE" w:rsidP="00135EE0">
            <w:pPr>
              <w:pStyle w:val="TableText0"/>
            </w:pPr>
            <w:r w:rsidRPr="00D27683">
              <w:t>Triple inhaled therapy alone (ICS/LABA/LAMA)</w:t>
            </w:r>
          </w:p>
        </w:tc>
      </w:tr>
      <w:tr w:rsidR="00F75BF5" w:rsidRPr="00D27683" w14:paraId="5D5D2580" w14:textId="77777777" w:rsidTr="008531AE">
        <w:tc>
          <w:tcPr>
            <w:tcW w:w="911" w:type="pct"/>
          </w:tcPr>
          <w:p w14:paraId="104DB28D" w14:textId="77777777" w:rsidR="008531AE" w:rsidRPr="00D27683" w:rsidRDefault="008531AE" w:rsidP="00135EE0">
            <w:pPr>
              <w:pStyle w:val="TableText0"/>
            </w:pPr>
            <w:r w:rsidRPr="00D27683">
              <w:t>Outcomes</w:t>
            </w:r>
          </w:p>
        </w:tc>
        <w:tc>
          <w:tcPr>
            <w:tcW w:w="4089" w:type="pct"/>
          </w:tcPr>
          <w:p w14:paraId="0FC787B1" w14:textId="77777777" w:rsidR="008531AE" w:rsidRPr="00D27683" w:rsidRDefault="008531AE" w:rsidP="00135EE0">
            <w:pPr>
              <w:contextualSpacing/>
              <w:rPr>
                <w:rFonts w:ascii="Arial Narrow" w:hAnsi="Arial Narrow"/>
                <w:sz w:val="20"/>
                <w:szCs w:val="20"/>
              </w:rPr>
            </w:pPr>
            <w:r w:rsidRPr="00D27683">
              <w:rPr>
                <w:rFonts w:ascii="Arial Narrow" w:hAnsi="Arial Narrow"/>
                <w:sz w:val="20"/>
                <w:szCs w:val="20"/>
              </w:rPr>
              <w:t xml:space="preserve">Primary: annualised rate of moderate/severe exacerbations </w:t>
            </w:r>
          </w:p>
          <w:p w14:paraId="74AD5B2D" w14:textId="77777777" w:rsidR="008531AE" w:rsidRPr="00D27683" w:rsidRDefault="008531AE" w:rsidP="00135EE0">
            <w:pPr>
              <w:spacing w:before="60"/>
              <w:contextualSpacing/>
              <w:rPr>
                <w:rFonts w:ascii="Arial Narrow" w:hAnsi="Arial Narrow"/>
                <w:sz w:val="20"/>
                <w:szCs w:val="20"/>
              </w:rPr>
            </w:pPr>
            <w:r w:rsidRPr="00D27683">
              <w:rPr>
                <w:rFonts w:ascii="Arial Narrow" w:hAnsi="Arial Narrow"/>
                <w:sz w:val="20"/>
                <w:szCs w:val="20"/>
              </w:rPr>
              <w:t xml:space="preserve">Patient-relevant secondary: exacerbations requiring ED visit and/or hospitalisation </w:t>
            </w:r>
          </w:p>
          <w:p w14:paraId="398FD14C" w14:textId="77777777" w:rsidR="008531AE" w:rsidRPr="00D27683" w:rsidRDefault="008531AE" w:rsidP="00135EE0">
            <w:pPr>
              <w:pStyle w:val="SanofiTableText"/>
            </w:pPr>
            <w:r w:rsidRPr="00D27683">
              <w:rPr>
                <w:szCs w:val="20"/>
              </w:rPr>
              <w:t>Safety: Rates of adverse events (AEs) and serious AEs (fatal and non-fatal)</w:t>
            </w:r>
          </w:p>
        </w:tc>
      </w:tr>
      <w:tr w:rsidR="00F75BF5" w:rsidRPr="00D27683" w14:paraId="6FE0B53A" w14:textId="77777777" w:rsidTr="008531AE">
        <w:tc>
          <w:tcPr>
            <w:tcW w:w="911" w:type="pct"/>
          </w:tcPr>
          <w:p w14:paraId="597497FC" w14:textId="77777777" w:rsidR="008531AE" w:rsidRPr="00D27683" w:rsidRDefault="008531AE" w:rsidP="00135EE0">
            <w:pPr>
              <w:pStyle w:val="TableText0"/>
            </w:pPr>
            <w:r w:rsidRPr="00D27683">
              <w:t>Clinical claim</w:t>
            </w:r>
          </w:p>
        </w:tc>
        <w:tc>
          <w:tcPr>
            <w:tcW w:w="4089" w:type="pct"/>
          </w:tcPr>
          <w:p w14:paraId="68F77B61" w14:textId="5790752D" w:rsidR="008531AE" w:rsidRPr="00D27683" w:rsidRDefault="00F55545" w:rsidP="00135EE0">
            <w:pPr>
              <w:rPr>
                <w:rFonts w:ascii="Arial Narrow" w:eastAsia="Arial Narrow" w:hAnsi="Arial Narrow" w:cs="Arial Narrow"/>
                <w:sz w:val="20"/>
                <w:szCs w:val="20"/>
              </w:rPr>
            </w:pPr>
            <w:r w:rsidRPr="00D27683">
              <w:rPr>
                <w:rFonts w:ascii="Arial Narrow" w:eastAsia="Arial Narrow" w:hAnsi="Arial Narrow" w:cs="Arial Narrow"/>
                <w:sz w:val="20"/>
                <w:szCs w:val="20"/>
              </w:rPr>
              <w:t>Mepolizumab</w:t>
            </w:r>
            <w:r w:rsidR="008531AE" w:rsidRPr="00D27683">
              <w:rPr>
                <w:rFonts w:ascii="Arial Narrow" w:eastAsia="Arial Narrow" w:hAnsi="Arial Narrow" w:cs="Arial Narrow"/>
                <w:sz w:val="20"/>
                <w:szCs w:val="20"/>
              </w:rPr>
              <w:t xml:space="preserve"> is superior in terms of effectiveness compared to PBO as add-on treatment to triple inhaled therapy</w:t>
            </w:r>
            <w:r w:rsidR="00E569D8">
              <w:rPr>
                <w:rFonts w:ascii="Arial Narrow" w:eastAsia="Arial Narrow" w:hAnsi="Arial Narrow" w:cs="Arial Narrow"/>
                <w:sz w:val="20"/>
                <w:szCs w:val="20"/>
              </w:rPr>
              <w:t>.</w:t>
            </w:r>
          </w:p>
          <w:p w14:paraId="79453A76" w14:textId="5BEC1D02" w:rsidR="008531AE" w:rsidRPr="00D27683" w:rsidRDefault="00F525FE" w:rsidP="00135EE0">
            <w:pPr>
              <w:pStyle w:val="TableText0"/>
            </w:pPr>
            <w:r w:rsidRPr="00D27683">
              <w:rPr>
                <w:rFonts w:eastAsia="Arial Narrow"/>
              </w:rPr>
              <w:t>M</w:t>
            </w:r>
            <w:r w:rsidR="00F55545" w:rsidRPr="00D27683">
              <w:rPr>
                <w:rFonts w:eastAsia="Arial Narrow"/>
              </w:rPr>
              <w:t>epolizumab</w:t>
            </w:r>
            <w:r w:rsidR="008531AE" w:rsidRPr="00D27683">
              <w:rPr>
                <w:rFonts w:eastAsia="Arial Narrow"/>
              </w:rPr>
              <w:t xml:space="preserve"> is non-inferior in terms of safety compared to PBO as add-on treatment to triple inhaled therapy</w:t>
            </w:r>
            <w:r w:rsidR="00E569D8">
              <w:rPr>
                <w:rFonts w:eastAsia="Arial Narrow"/>
              </w:rPr>
              <w:t>.</w:t>
            </w:r>
          </w:p>
        </w:tc>
      </w:tr>
    </w:tbl>
    <w:p w14:paraId="5797D4C1" w14:textId="77777777" w:rsidR="008531AE" w:rsidRPr="00D27683" w:rsidRDefault="008531AE" w:rsidP="003338A0">
      <w:pPr>
        <w:pStyle w:val="TableFigureFooter"/>
      </w:pPr>
      <w:r w:rsidRPr="00D27683">
        <w:t xml:space="preserve">Source: Table 1-1 p19 of the submission. </w:t>
      </w:r>
    </w:p>
    <w:p w14:paraId="72D1F33A" w14:textId="4A77776E" w:rsidR="008531AE" w:rsidRPr="00D27683" w:rsidRDefault="008531AE" w:rsidP="003338A0">
      <w:pPr>
        <w:pStyle w:val="TableFigureFooter"/>
      </w:pPr>
      <w:r w:rsidRPr="00D27683">
        <w:t>AE = adverse events; BEC = blood eosinophil count; CAT = COPD assessment test; COPD = chronic obstructive pulmonary disease; ED = emergency department; ICS = inhaled corticosteroid; LABA = long-acting beta agonist; LAMA: long-acting muscarinic antagonist; PBO = placebo; SAE = severe adverse events; SC = subcutaneous</w:t>
      </w:r>
      <w:r w:rsidR="003662BE" w:rsidRPr="00D27683">
        <w:t>.</w:t>
      </w:r>
    </w:p>
    <w:p w14:paraId="7B6CDAAC" w14:textId="77777777" w:rsidR="008531AE" w:rsidRPr="00D27683" w:rsidRDefault="008531AE" w:rsidP="003338A0">
      <w:pPr>
        <w:pStyle w:val="TableFigureFooter"/>
      </w:pPr>
      <w:r w:rsidRPr="00D27683">
        <w:rPr>
          <w:vertAlign w:val="superscript"/>
        </w:rPr>
        <w:t xml:space="preserve">a </w:t>
      </w:r>
      <w:r w:rsidRPr="00D27683">
        <w:t>Uncontrolled COPD defined in terms of patient with moderate to severe air flow obstruction (post-bronchodilator FEV</w:t>
      </w:r>
      <w:r w:rsidRPr="00D27683">
        <w:rPr>
          <w:vertAlign w:val="subscript"/>
        </w:rPr>
        <w:t>1</w:t>
      </w:r>
      <w:r w:rsidRPr="00D27683">
        <w:t xml:space="preserve"> &lt; 80%) and who have experienced ≥ 2 moderate or ≥ 1 severe exacerbation. </w:t>
      </w:r>
    </w:p>
    <w:p w14:paraId="1A0DFA30" w14:textId="77777777" w:rsidR="008531AE" w:rsidRPr="00D27683" w:rsidRDefault="008531AE" w:rsidP="003338A0">
      <w:pPr>
        <w:pStyle w:val="TableFigureFooter"/>
      </w:pPr>
      <w:r w:rsidRPr="00D27683">
        <w:rPr>
          <w:vertAlign w:val="superscript"/>
        </w:rPr>
        <w:t xml:space="preserve">b </w:t>
      </w:r>
      <w:r w:rsidRPr="00D27683">
        <w:t xml:space="preserve">Moderate = exacerbations requiring systemic corticosteroids, antibiotics or both. </w:t>
      </w:r>
    </w:p>
    <w:p w14:paraId="2543C71A" w14:textId="77777777" w:rsidR="008531AE" w:rsidRPr="00D27683" w:rsidRDefault="008531AE" w:rsidP="003338A0">
      <w:pPr>
        <w:pStyle w:val="TableFigureFooter"/>
      </w:pPr>
      <w:r w:rsidRPr="00D27683">
        <w:rPr>
          <w:vertAlign w:val="superscript"/>
        </w:rPr>
        <w:t xml:space="preserve">c </w:t>
      </w:r>
      <w:r w:rsidRPr="00D27683">
        <w:t xml:space="preserve">Severe = exacerbations that result in hospitalisation for at least 24 hours or death. </w:t>
      </w:r>
    </w:p>
    <w:p w14:paraId="3439E4BF" w14:textId="77777777" w:rsidR="008531AE" w:rsidRPr="00D27683" w:rsidRDefault="008531AE" w:rsidP="00135EE0">
      <w:pPr>
        <w:pStyle w:val="2-SectionHeading"/>
        <w:numPr>
          <w:ilvl w:val="0"/>
          <w:numId w:val="1"/>
        </w:numPr>
      </w:pPr>
      <w:bookmarkStart w:id="14" w:name="_Toc216174084"/>
      <w:bookmarkStart w:id="15" w:name="_Toc216697628"/>
      <w:bookmarkStart w:id="16" w:name="_Toc217392659"/>
      <w:bookmarkStart w:id="17" w:name="_Toc219030860"/>
      <w:bookmarkStart w:id="18" w:name="_Toc219064625"/>
      <w:bookmarkStart w:id="19" w:name="_Toc219884809"/>
      <w:r w:rsidRPr="00D27683">
        <w:t>Background</w:t>
      </w:r>
      <w:bookmarkEnd w:id="14"/>
      <w:bookmarkEnd w:id="15"/>
      <w:bookmarkEnd w:id="16"/>
      <w:bookmarkEnd w:id="17"/>
      <w:bookmarkEnd w:id="18"/>
      <w:bookmarkEnd w:id="19"/>
    </w:p>
    <w:p w14:paraId="2C0944FC" w14:textId="77777777" w:rsidR="008531AE" w:rsidRPr="00D27683" w:rsidRDefault="008531AE" w:rsidP="00135EE0">
      <w:pPr>
        <w:pStyle w:val="4-SubsectionHeading"/>
      </w:pPr>
      <w:bookmarkStart w:id="20" w:name="_Toc22897638"/>
      <w:bookmarkStart w:id="21" w:name="_Toc216174085"/>
      <w:bookmarkStart w:id="22" w:name="_Toc216697629"/>
      <w:bookmarkStart w:id="23" w:name="_Toc217392660"/>
      <w:bookmarkStart w:id="24" w:name="_Toc219030861"/>
      <w:bookmarkStart w:id="25" w:name="_Toc219064626"/>
      <w:bookmarkStart w:id="26" w:name="_Toc219884810"/>
      <w:r w:rsidRPr="00D27683">
        <w:t>Registration status</w:t>
      </w:r>
      <w:bookmarkEnd w:id="20"/>
      <w:bookmarkEnd w:id="21"/>
      <w:bookmarkEnd w:id="22"/>
      <w:bookmarkEnd w:id="23"/>
      <w:bookmarkEnd w:id="24"/>
      <w:bookmarkEnd w:id="25"/>
      <w:bookmarkEnd w:id="26"/>
    </w:p>
    <w:p w14:paraId="7AA849F7" w14:textId="2A2EFEC8" w:rsidR="008531AE" w:rsidRPr="00D27683" w:rsidRDefault="008531AE" w:rsidP="00135EE0">
      <w:pPr>
        <w:pStyle w:val="3-BodyText"/>
        <w:numPr>
          <w:ilvl w:val="1"/>
          <w:numId w:val="1"/>
        </w:numPr>
      </w:pPr>
      <w:r w:rsidRPr="00D27683">
        <w:t xml:space="preserve">Mepolizumab was approved by the Therapeutic Goods Administration (TGA) on 17 December 2025 for the following indication: </w:t>
      </w:r>
      <w:r w:rsidR="00671720" w:rsidRPr="00D27683">
        <w:t>‘</w:t>
      </w:r>
      <w:r w:rsidRPr="00D27683">
        <w:t xml:space="preserve">add-on maintenance treatment for adult </w:t>
      </w:r>
      <w:r w:rsidRPr="00D27683">
        <w:lastRenderedPageBreak/>
        <w:t>patients with uncontrolled COPD with raised blood eosinophils on stable inhaler triple therapy (or, where clinically required, an equivalent regimen).</w:t>
      </w:r>
      <w:r w:rsidR="00671720" w:rsidRPr="00D27683">
        <w:t>’</w:t>
      </w:r>
      <w:r w:rsidRPr="00D27683">
        <w:t xml:space="preserve"> The TGA indication does not specify a cut-off for blood eosinophil level. </w:t>
      </w:r>
    </w:p>
    <w:p w14:paraId="252A8171" w14:textId="77777777" w:rsidR="008531AE" w:rsidRPr="00D27683" w:rsidRDefault="008531AE" w:rsidP="00135EE0">
      <w:pPr>
        <w:pStyle w:val="3-BodyText"/>
        <w:numPr>
          <w:ilvl w:val="1"/>
          <w:numId w:val="1"/>
        </w:numPr>
      </w:pPr>
      <w:r w:rsidRPr="00D27683">
        <w:t>In Australia, mepolizumab is also TGA approved for the following indications:</w:t>
      </w:r>
    </w:p>
    <w:p w14:paraId="6AB49780" w14:textId="1DAEEB05" w:rsidR="008531AE" w:rsidRPr="00D27683" w:rsidRDefault="008531AE" w:rsidP="00135EE0">
      <w:pPr>
        <w:pStyle w:val="ListParagraph"/>
        <w:ind w:left="1134"/>
      </w:pPr>
      <w:r w:rsidRPr="00D27683">
        <w:t>Add-on treatment for severe eosinophilic asthma in patients aged 12 years and over</w:t>
      </w:r>
    </w:p>
    <w:p w14:paraId="2D250655" w14:textId="5A7AEC5E" w:rsidR="008531AE" w:rsidRPr="00D27683" w:rsidRDefault="008531AE" w:rsidP="00135EE0">
      <w:pPr>
        <w:pStyle w:val="ListParagraph"/>
        <w:ind w:left="1134"/>
      </w:pPr>
      <w:r w:rsidRPr="00D27683">
        <w:t xml:space="preserve">Add-on treatment for relapsing or refractory eosinophilic granulomatosis with polyangiitis in adult patients aged 18 years and over </w:t>
      </w:r>
    </w:p>
    <w:p w14:paraId="0070B5E3" w14:textId="77777777" w:rsidR="008531AE" w:rsidRPr="00D27683" w:rsidRDefault="008531AE" w:rsidP="00135EE0">
      <w:pPr>
        <w:pStyle w:val="ListParagraph"/>
        <w:ind w:left="1134"/>
      </w:pPr>
      <w:r w:rsidRPr="00D27683">
        <w:t>Add-on treatment in adult patients (18 years and above) with severe chronic rhinosinusitis with nasal polyps (CRSwNP) with an inadequate response to intranasal corticosteroids.</w:t>
      </w:r>
    </w:p>
    <w:p w14:paraId="7EFE721E" w14:textId="77777777" w:rsidR="008531AE" w:rsidRPr="00D27683" w:rsidRDefault="008531AE" w:rsidP="00135EE0">
      <w:pPr>
        <w:pStyle w:val="4-SubsectionHeading"/>
      </w:pPr>
      <w:bookmarkStart w:id="27" w:name="_Toc219030862"/>
      <w:bookmarkStart w:id="28" w:name="_Toc219064627"/>
      <w:bookmarkStart w:id="29" w:name="_Toc219884811"/>
      <w:r w:rsidRPr="00D27683">
        <w:t>Previous PBAC consideration</w:t>
      </w:r>
      <w:bookmarkEnd w:id="27"/>
      <w:bookmarkEnd w:id="28"/>
      <w:bookmarkEnd w:id="29"/>
    </w:p>
    <w:p w14:paraId="026CF2FF" w14:textId="77777777" w:rsidR="008531AE" w:rsidRPr="00D27683" w:rsidRDefault="008531AE" w:rsidP="00135EE0">
      <w:pPr>
        <w:pStyle w:val="3-BodyText"/>
        <w:numPr>
          <w:ilvl w:val="1"/>
          <w:numId w:val="1"/>
        </w:numPr>
      </w:pPr>
      <w:r w:rsidRPr="00D27683">
        <w:t xml:space="preserve">The PBAC has not previously considered mepolizumab for the treatment of uncontrolled COPD. </w:t>
      </w:r>
    </w:p>
    <w:p w14:paraId="6FE1E9CF" w14:textId="65489BFD" w:rsidR="008531AE" w:rsidRPr="00D27683" w:rsidRDefault="008531AE" w:rsidP="00135EE0">
      <w:pPr>
        <w:pStyle w:val="3-BodyText"/>
        <w:numPr>
          <w:ilvl w:val="1"/>
          <w:numId w:val="1"/>
        </w:numPr>
      </w:pPr>
      <w:r w:rsidRPr="00D27683">
        <w:t xml:space="preserve">Mepolizumab is currently PBS-listed for: </w:t>
      </w:r>
    </w:p>
    <w:p w14:paraId="48D3A7EE" w14:textId="77777777" w:rsidR="008531AE" w:rsidRPr="00D27683" w:rsidRDefault="008531AE" w:rsidP="00135EE0">
      <w:pPr>
        <w:pStyle w:val="ListParagraph"/>
      </w:pPr>
      <w:r w:rsidRPr="00D27683">
        <w:t>Initiation and continuation treatment for uncontrolled severe asthma.</w:t>
      </w:r>
    </w:p>
    <w:p w14:paraId="1DA3AA00" w14:textId="0B4FF328" w:rsidR="00940AEF" w:rsidRPr="00D27683" w:rsidRDefault="008531AE" w:rsidP="00135EE0">
      <w:pPr>
        <w:pStyle w:val="ListParagraph"/>
      </w:pPr>
      <w:r w:rsidRPr="00D27683">
        <w:t>Initiation and continuation treatment of CRSwNP.</w:t>
      </w:r>
    </w:p>
    <w:p w14:paraId="379E7C18" w14:textId="77777777" w:rsidR="008531AE" w:rsidRPr="00D27683" w:rsidRDefault="008531AE" w:rsidP="00135EE0">
      <w:pPr>
        <w:pStyle w:val="2-SectionHeading"/>
        <w:numPr>
          <w:ilvl w:val="0"/>
          <w:numId w:val="1"/>
        </w:numPr>
      </w:pPr>
      <w:bookmarkStart w:id="30" w:name="_Toc216174086"/>
      <w:bookmarkStart w:id="31" w:name="_Toc216697630"/>
      <w:bookmarkStart w:id="32" w:name="_Toc217392661"/>
      <w:bookmarkStart w:id="33" w:name="_Toc219030863"/>
      <w:bookmarkStart w:id="34" w:name="_Toc219064628"/>
      <w:bookmarkStart w:id="35" w:name="_Toc219884812"/>
      <w:r w:rsidRPr="00D27683">
        <w:t>Requested listing</w:t>
      </w:r>
      <w:bookmarkStart w:id="36" w:name="_Toc219030865"/>
      <w:bookmarkEnd w:id="30"/>
      <w:bookmarkEnd w:id="31"/>
      <w:bookmarkEnd w:id="32"/>
      <w:bookmarkEnd w:id="33"/>
      <w:bookmarkEnd w:id="34"/>
      <w:bookmarkEnd w:id="35"/>
      <w:bookmarkEnd w:id="36"/>
    </w:p>
    <w:p w14:paraId="560B84DA" w14:textId="77777777" w:rsidR="008531AE" w:rsidRPr="00D27683" w:rsidRDefault="008531AE" w:rsidP="00135EE0">
      <w:pPr>
        <w:pStyle w:val="TableFigureHeading"/>
      </w:pPr>
      <w:r w:rsidRPr="00D27683">
        <w:t>Essential elements of the requested listing for mepolizumab (HSD Section 100, Public and Private)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quested listing"/>
      </w:tblPr>
      <w:tblGrid>
        <w:gridCol w:w="1984"/>
        <w:gridCol w:w="851"/>
        <w:gridCol w:w="851"/>
        <w:gridCol w:w="1136"/>
        <w:gridCol w:w="716"/>
        <w:gridCol w:w="1980"/>
        <w:gridCol w:w="1499"/>
      </w:tblGrid>
      <w:tr w:rsidR="006902C2" w:rsidRPr="00D27683" w14:paraId="7B642BE5" w14:textId="77777777">
        <w:trPr>
          <w:trHeight w:val="20"/>
        </w:trPr>
        <w:tc>
          <w:tcPr>
            <w:tcW w:w="1100" w:type="pct"/>
          </w:tcPr>
          <w:p w14:paraId="12F47AC3" w14:textId="77777777" w:rsidR="008531AE" w:rsidRPr="00D27683" w:rsidRDefault="008531AE" w:rsidP="00135EE0">
            <w:pPr>
              <w:jc w:val="left"/>
              <w:rPr>
                <w:rFonts w:ascii="Arial Narrow" w:eastAsiaTheme="majorEastAsia" w:hAnsi="Arial Narrow" w:cstheme="majorBidi"/>
                <w:b/>
                <w:sz w:val="20"/>
              </w:rPr>
            </w:pPr>
            <w:r w:rsidRPr="00D27683">
              <w:rPr>
                <w:rFonts w:ascii="Arial Narrow" w:eastAsiaTheme="majorEastAsia" w:hAnsi="Arial Narrow" w:cstheme="majorBidi"/>
                <w:b/>
                <w:sz w:val="20"/>
              </w:rPr>
              <w:t>Name, restriction, manner of administration, form</w:t>
            </w:r>
          </w:p>
        </w:tc>
        <w:tc>
          <w:tcPr>
            <w:tcW w:w="472" w:type="pct"/>
          </w:tcPr>
          <w:p w14:paraId="48163CF7"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Maximum quantity (packs)</w:t>
            </w:r>
          </w:p>
        </w:tc>
        <w:tc>
          <w:tcPr>
            <w:tcW w:w="472" w:type="pct"/>
          </w:tcPr>
          <w:p w14:paraId="182DBD6E"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Maximum quantity (units)</w:t>
            </w:r>
          </w:p>
        </w:tc>
        <w:tc>
          <w:tcPr>
            <w:tcW w:w="630" w:type="pct"/>
          </w:tcPr>
          <w:p w14:paraId="2DC8D571"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No. of repeats</w:t>
            </w:r>
          </w:p>
        </w:tc>
        <w:tc>
          <w:tcPr>
            <w:tcW w:w="397" w:type="pct"/>
          </w:tcPr>
          <w:p w14:paraId="0CB11789"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Setting</w:t>
            </w:r>
          </w:p>
        </w:tc>
        <w:tc>
          <w:tcPr>
            <w:tcW w:w="1098" w:type="pct"/>
          </w:tcPr>
          <w:p w14:paraId="00E0A130"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 xml:space="preserve">Dispensed price for maximum quantity </w:t>
            </w:r>
          </w:p>
          <w:p w14:paraId="44946DAD"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(under SPA)</w:t>
            </w:r>
          </w:p>
        </w:tc>
        <w:tc>
          <w:tcPr>
            <w:tcW w:w="831" w:type="pct"/>
          </w:tcPr>
          <w:p w14:paraId="0D406B61" w14:textId="77777777" w:rsidR="008531AE" w:rsidRPr="00D27683" w:rsidRDefault="008531AE" w:rsidP="00135EE0">
            <w:pPr>
              <w:rPr>
                <w:rFonts w:ascii="Arial Narrow" w:eastAsiaTheme="majorEastAsia" w:hAnsi="Arial Narrow" w:cstheme="majorBidi"/>
                <w:b/>
                <w:sz w:val="20"/>
              </w:rPr>
            </w:pPr>
            <w:r w:rsidRPr="00D27683">
              <w:rPr>
                <w:rFonts w:ascii="Arial Narrow" w:eastAsiaTheme="majorEastAsia" w:hAnsi="Arial Narrow" w:cstheme="majorBidi"/>
                <w:b/>
                <w:sz w:val="20"/>
              </w:rPr>
              <w:t>Proprietary name and manufacturer</w:t>
            </w:r>
          </w:p>
        </w:tc>
      </w:tr>
      <w:tr w:rsidR="00FD2FC3" w:rsidRPr="00D27683" w14:paraId="7FF1EB73" w14:textId="77777777">
        <w:trPr>
          <w:trHeight w:val="161"/>
        </w:trPr>
        <w:tc>
          <w:tcPr>
            <w:tcW w:w="1100" w:type="pct"/>
            <w:vMerge w:val="restart"/>
          </w:tcPr>
          <w:p w14:paraId="4CF4F138" w14:textId="3FB81A85" w:rsidR="008531AE" w:rsidRPr="00D27683" w:rsidRDefault="00F525F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mepolizumab</w:t>
            </w:r>
            <w:r w:rsidR="008531AE" w:rsidRPr="00D27683">
              <w:rPr>
                <w:rFonts w:ascii="Arial Narrow" w:eastAsiaTheme="majorEastAsia" w:hAnsi="Arial Narrow" w:cstheme="majorBidi"/>
                <w:bCs/>
                <w:sz w:val="20"/>
              </w:rPr>
              <w:t>, Injection 100 mg in 1 mL single dose pre-filled pen</w:t>
            </w:r>
          </w:p>
        </w:tc>
        <w:tc>
          <w:tcPr>
            <w:tcW w:w="472" w:type="pct"/>
            <w:vMerge w:val="restart"/>
            <w:vAlign w:val="center"/>
          </w:tcPr>
          <w:p w14:paraId="6BD6C317" w14:textId="77777777" w:rsidR="008531AE" w:rsidRPr="00D27683" w:rsidRDefault="008531AE" w:rsidP="00135EE0">
            <w:pPr>
              <w:jc w:val="left"/>
              <w:rPr>
                <w:rFonts w:ascii="Arial Narrow" w:eastAsiaTheme="majorEastAsia" w:hAnsi="Arial Narrow" w:cstheme="majorBidi"/>
                <w:bCs/>
                <w:sz w:val="20"/>
              </w:rPr>
            </w:pPr>
            <w:r w:rsidRPr="00D27683">
              <w:rPr>
                <w:rFonts w:ascii="Arial Narrow" w:eastAsiaTheme="majorEastAsia" w:hAnsi="Arial Narrow" w:cstheme="majorBidi"/>
                <w:bCs/>
                <w:sz w:val="20"/>
              </w:rPr>
              <w:t>1</w:t>
            </w:r>
          </w:p>
        </w:tc>
        <w:tc>
          <w:tcPr>
            <w:tcW w:w="472" w:type="pct"/>
            <w:vMerge w:val="restart"/>
            <w:vAlign w:val="center"/>
          </w:tcPr>
          <w:p w14:paraId="290729B7" w14:textId="77777777" w:rsidR="008531AE" w:rsidRPr="00D27683" w:rsidRDefault="008531AE" w:rsidP="00135EE0">
            <w:pPr>
              <w:jc w:val="left"/>
              <w:rPr>
                <w:rFonts w:ascii="Arial Narrow" w:eastAsiaTheme="majorEastAsia" w:hAnsi="Arial Narrow" w:cstheme="majorBidi"/>
                <w:bCs/>
                <w:sz w:val="20"/>
              </w:rPr>
            </w:pPr>
            <w:r w:rsidRPr="00D27683">
              <w:rPr>
                <w:rFonts w:ascii="Arial Narrow" w:eastAsiaTheme="majorEastAsia" w:hAnsi="Arial Narrow" w:cstheme="majorBidi"/>
                <w:bCs/>
                <w:sz w:val="20"/>
              </w:rPr>
              <w:t>1</w:t>
            </w:r>
          </w:p>
        </w:tc>
        <w:tc>
          <w:tcPr>
            <w:tcW w:w="630" w:type="pct"/>
            <w:vMerge w:val="restart"/>
            <w:vAlign w:val="center"/>
          </w:tcPr>
          <w:p w14:paraId="12D81BBD" w14:textId="77777777" w:rsidR="008531AE" w:rsidRPr="00D27683" w:rsidRDefault="008531A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6 (initial)</w:t>
            </w:r>
          </w:p>
          <w:p w14:paraId="07ACD55D" w14:textId="77777777" w:rsidR="008531AE" w:rsidRPr="00D27683" w:rsidRDefault="008531A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5 (continuing)</w:t>
            </w:r>
          </w:p>
        </w:tc>
        <w:tc>
          <w:tcPr>
            <w:tcW w:w="397" w:type="pct"/>
          </w:tcPr>
          <w:p w14:paraId="0C821101" w14:textId="77777777" w:rsidR="008531AE" w:rsidRPr="00D27683" w:rsidRDefault="008531A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Public</w:t>
            </w:r>
          </w:p>
        </w:tc>
        <w:tc>
          <w:tcPr>
            <w:tcW w:w="1098" w:type="pct"/>
          </w:tcPr>
          <w:p w14:paraId="74D2FA06" w14:textId="2D95ECC6" w:rsidR="008531AE" w:rsidRPr="00D27683" w:rsidRDefault="008531AE" w:rsidP="00135EE0">
            <w:pPr>
              <w:jc w:val="left"/>
              <w:rPr>
                <w:rFonts w:ascii="Arial Narrow" w:eastAsiaTheme="majorEastAsia" w:hAnsi="Arial Narrow" w:cstheme="majorBidi"/>
                <w:bCs/>
                <w:sz w:val="20"/>
              </w:rPr>
            </w:pPr>
            <w:r w:rsidRPr="00D27683">
              <w:rPr>
                <w:rFonts w:ascii="Arial Narrow" w:eastAsiaTheme="majorEastAsia" w:hAnsi="Arial Narrow" w:cstheme="majorBidi"/>
                <w:bCs/>
                <w:sz w:val="20"/>
              </w:rPr>
              <w:t>$</w:t>
            </w:r>
            <w:r w:rsidRPr="009321A6">
              <w:rPr>
                <w:rFonts w:ascii="Arial Narrow" w:eastAsiaTheme="majorEastAsia" w:hAnsi="Arial Narrow" w:cstheme="majorBidi"/>
                <w:bCs/>
                <w:sz w:val="20"/>
              </w:rPr>
              <w:t>1556.10 (published</w:t>
            </w:r>
            <w:r w:rsidRPr="00D27683">
              <w:rPr>
                <w:rFonts w:ascii="Arial Narrow" w:eastAsiaTheme="majorEastAsia" w:hAnsi="Arial Narrow" w:cstheme="majorBidi"/>
                <w:bCs/>
                <w:sz w:val="20"/>
              </w:rPr>
              <w:t>)</w:t>
            </w:r>
            <w:r w:rsidRPr="00D27683">
              <w:rPr>
                <w:rFonts w:ascii="Arial Narrow" w:eastAsiaTheme="majorEastAsia" w:hAnsi="Arial Narrow" w:cstheme="majorBidi"/>
                <w:bCs/>
                <w:sz w:val="20"/>
              </w:rPr>
              <w:br/>
              <w:t>$</w:t>
            </w:r>
            <w:r w:rsidR="003C172C" w:rsidRPr="003C172C">
              <w:rPr>
                <w:rFonts w:ascii="Arial Narrow" w:eastAsiaTheme="majorEastAsia" w:hAnsi="Arial Narrow" w:cstheme="majorBidi"/>
                <w:bCs/>
                <w:sz w:val="2"/>
                <w:highlight w:val="black"/>
              </w:rPr>
              <w:t>redacted content</w:t>
            </w:r>
            <w:r w:rsidRPr="00D27683">
              <w:rPr>
                <w:rFonts w:ascii="Arial Narrow" w:eastAsiaTheme="majorEastAsia" w:hAnsi="Arial Narrow" w:cstheme="majorBidi"/>
                <w:bCs/>
                <w:sz w:val="20"/>
              </w:rPr>
              <w:t xml:space="preserve"> (effective)</w:t>
            </w:r>
          </w:p>
        </w:tc>
        <w:tc>
          <w:tcPr>
            <w:tcW w:w="831" w:type="pct"/>
            <w:vMerge w:val="restart"/>
          </w:tcPr>
          <w:p w14:paraId="5CCEADE4" w14:textId="77777777" w:rsidR="008531AE" w:rsidRPr="00D27683" w:rsidRDefault="008531A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NUCALA, GlaxoSmithKline Australia Pty Ltd</w:t>
            </w:r>
          </w:p>
        </w:tc>
      </w:tr>
      <w:tr w:rsidR="00FD2FC3" w:rsidRPr="00D27683" w14:paraId="7EF779FC" w14:textId="77777777">
        <w:trPr>
          <w:trHeight w:val="157"/>
        </w:trPr>
        <w:tc>
          <w:tcPr>
            <w:tcW w:w="1100" w:type="pct"/>
            <w:vMerge/>
          </w:tcPr>
          <w:p w14:paraId="7EE2A2FE" w14:textId="77777777" w:rsidR="008531AE" w:rsidRPr="00D27683" w:rsidRDefault="008531AE" w:rsidP="00135EE0">
            <w:pPr>
              <w:rPr>
                <w:rFonts w:ascii="Arial Narrow" w:eastAsiaTheme="majorEastAsia" w:hAnsi="Arial Narrow" w:cstheme="majorBidi"/>
                <w:bCs/>
                <w:sz w:val="20"/>
              </w:rPr>
            </w:pPr>
          </w:p>
        </w:tc>
        <w:tc>
          <w:tcPr>
            <w:tcW w:w="472" w:type="pct"/>
            <w:vMerge/>
          </w:tcPr>
          <w:p w14:paraId="5793F32B" w14:textId="77777777" w:rsidR="008531AE" w:rsidRPr="00D27683" w:rsidRDefault="008531AE" w:rsidP="00135EE0">
            <w:pPr>
              <w:rPr>
                <w:rFonts w:ascii="Arial Narrow" w:eastAsiaTheme="majorEastAsia" w:hAnsi="Arial Narrow" w:cstheme="majorBidi"/>
                <w:bCs/>
                <w:sz w:val="20"/>
              </w:rPr>
            </w:pPr>
          </w:p>
        </w:tc>
        <w:tc>
          <w:tcPr>
            <w:tcW w:w="472" w:type="pct"/>
            <w:vMerge/>
          </w:tcPr>
          <w:p w14:paraId="61E48D10" w14:textId="77777777" w:rsidR="008531AE" w:rsidRPr="00D27683" w:rsidRDefault="008531AE" w:rsidP="00135EE0">
            <w:pPr>
              <w:rPr>
                <w:rFonts w:ascii="Arial Narrow" w:eastAsiaTheme="majorEastAsia" w:hAnsi="Arial Narrow" w:cstheme="majorBidi"/>
                <w:bCs/>
                <w:sz w:val="20"/>
              </w:rPr>
            </w:pPr>
          </w:p>
        </w:tc>
        <w:tc>
          <w:tcPr>
            <w:tcW w:w="630" w:type="pct"/>
            <w:vMerge/>
            <w:vAlign w:val="center"/>
          </w:tcPr>
          <w:p w14:paraId="180493DA" w14:textId="77777777" w:rsidR="008531AE" w:rsidRPr="00D27683" w:rsidRDefault="008531AE" w:rsidP="00135EE0">
            <w:pPr>
              <w:rPr>
                <w:rFonts w:ascii="Arial Narrow" w:eastAsiaTheme="majorEastAsia" w:hAnsi="Arial Narrow" w:cstheme="majorBidi"/>
                <w:bCs/>
                <w:sz w:val="20"/>
              </w:rPr>
            </w:pPr>
          </w:p>
        </w:tc>
        <w:tc>
          <w:tcPr>
            <w:tcW w:w="397" w:type="pct"/>
          </w:tcPr>
          <w:p w14:paraId="02A8E166" w14:textId="77777777" w:rsidR="008531AE" w:rsidRPr="00D27683" w:rsidRDefault="008531AE" w:rsidP="00135EE0">
            <w:pPr>
              <w:rPr>
                <w:rFonts w:ascii="Arial Narrow" w:eastAsiaTheme="majorEastAsia" w:hAnsi="Arial Narrow" w:cstheme="majorBidi"/>
                <w:bCs/>
                <w:sz w:val="20"/>
              </w:rPr>
            </w:pPr>
            <w:r w:rsidRPr="00D27683">
              <w:rPr>
                <w:rFonts w:ascii="Arial Narrow" w:eastAsiaTheme="majorEastAsia" w:hAnsi="Arial Narrow" w:cstheme="majorBidi"/>
                <w:bCs/>
                <w:sz w:val="20"/>
              </w:rPr>
              <w:t>Private</w:t>
            </w:r>
          </w:p>
        </w:tc>
        <w:tc>
          <w:tcPr>
            <w:tcW w:w="1098" w:type="pct"/>
          </w:tcPr>
          <w:p w14:paraId="23DBB94F" w14:textId="54EB8FA8" w:rsidR="008531AE" w:rsidRPr="00D27683" w:rsidRDefault="008531AE" w:rsidP="00135EE0">
            <w:pPr>
              <w:jc w:val="left"/>
              <w:rPr>
                <w:rFonts w:ascii="Arial Narrow" w:eastAsiaTheme="majorEastAsia" w:hAnsi="Arial Narrow" w:cstheme="majorBidi"/>
                <w:bCs/>
                <w:sz w:val="20"/>
              </w:rPr>
            </w:pPr>
            <w:r w:rsidRPr="00D27683">
              <w:rPr>
                <w:rFonts w:ascii="Arial Narrow" w:eastAsiaTheme="majorEastAsia" w:hAnsi="Arial Narrow" w:cstheme="majorBidi"/>
                <w:bCs/>
                <w:sz w:val="20"/>
              </w:rPr>
              <w:t>$</w:t>
            </w:r>
            <w:r w:rsidRPr="009321A6">
              <w:rPr>
                <w:rFonts w:ascii="Arial Narrow" w:eastAsiaTheme="majorEastAsia" w:hAnsi="Arial Narrow" w:cstheme="majorBidi"/>
                <w:bCs/>
                <w:sz w:val="20"/>
              </w:rPr>
              <w:t>1556.10 (published</w:t>
            </w:r>
            <w:r w:rsidRPr="00D27683">
              <w:rPr>
                <w:rFonts w:ascii="Arial Narrow" w:eastAsiaTheme="majorEastAsia" w:hAnsi="Arial Narrow" w:cstheme="majorBidi"/>
                <w:bCs/>
                <w:sz w:val="20"/>
              </w:rPr>
              <w:t>)</w:t>
            </w:r>
            <w:r w:rsidRPr="00D27683">
              <w:rPr>
                <w:rFonts w:ascii="Arial Narrow" w:eastAsiaTheme="majorEastAsia" w:hAnsi="Arial Narrow" w:cstheme="majorBidi"/>
                <w:bCs/>
                <w:sz w:val="20"/>
              </w:rPr>
              <w:br/>
              <w:t>$</w:t>
            </w:r>
            <w:r w:rsidR="003C172C" w:rsidRPr="003C172C">
              <w:rPr>
                <w:rFonts w:ascii="Arial Narrow" w:eastAsiaTheme="majorEastAsia" w:hAnsi="Arial Narrow" w:cstheme="majorBidi"/>
                <w:bCs/>
                <w:sz w:val="2"/>
                <w:highlight w:val="black"/>
              </w:rPr>
              <w:t>redacted content</w:t>
            </w:r>
            <w:r w:rsidRPr="00D27683">
              <w:rPr>
                <w:rFonts w:ascii="Arial Narrow" w:eastAsiaTheme="majorEastAsia" w:hAnsi="Arial Narrow" w:cstheme="majorBidi"/>
                <w:bCs/>
                <w:sz w:val="20"/>
              </w:rPr>
              <w:t xml:space="preserve"> (effective)</w:t>
            </w:r>
          </w:p>
        </w:tc>
        <w:tc>
          <w:tcPr>
            <w:tcW w:w="831" w:type="pct"/>
            <w:vMerge/>
          </w:tcPr>
          <w:p w14:paraId="3F60C878" w14:textId="77777777" w:rsidR="008531AE" w:rsidRPr="00D27683" w:rsidRDefault="008531AE" w:rsidP="00135EE0">
            <w:pPr>
              <w:rPr>
                <w:rFonts w:ascii="Arial Narrow" w:eastAsiaTheme="majorEastAsia" w:hAnsi="Arial Narrow" w:cstheme="majorBidi"/>
                <w:bCs/>
                <w:sz w:val="20"/>
              </w:rPr>
            </w:pPr>
          </w:p>
        </w:tc>
      </w:tr>
    </w:tbl>
    <w:p w14:paraId="770FA2F1" w14:textId="00400C01" w:rsidR="008531AE" w:rsidRPr="00D27683" w:rsidRDefault="008531AE" w:rsidP="003338A0">
      <w:pPr>
        <w:pStyle w:val="TableFigureFooter"/>
      </w:pPr>
      <w:r w:rsidRPr="00D27683">
        <w:t>Source: Table 1-7 p37 of the submission</w:t>
      </w:r>
      <w:r w:rsidR="003662BE" w:rsidRPr="00D27683">
        <w:t>.</w:t>
      </w:r>
    </w:p>
    <w:p w14:paraId="1BF0B61B" w14:textId="4F423515" w:rsidR="003662BE" w:rsidRPr="00D27683" w:rsidRDefault="008531AE" w:rsidP="003338A0">
      <w:pPr>
        <w:pStyle w:val="TableFigureFooter"/>
      </w:pPr>
      <w:r w:rsidRPr="00D27683">
        <w:t>HSD = Highly Specialised Drug; SPA = special pricing arrangement</w:t>
      </w:r>
      <w:r w:rsidR="003662BE" w:rsidRPr="00D27683">
        <w:t>.</w:t>
      </w:r>
    </w:p>
    <w:tbl>
      <w:tblPr>
        <w:tblStyle w:val="TableGrid"/>
        <w:tblpPr w:leftFromText="180" w:rightFromText="180" w:vertAnchor="text" w:tblpX="-10" w:tblpY="143"/>
        <w:tblW w:w="5000" w:type="pct"/>
        <w:tblCellMar>
          <w:left w:w="28" w:type="dxa"/>
          <w:right w:w="28" w:type="dxa"/>
        </w:tblCellMar>
        <w:tblLook w:val="04A0" w:firstRow="1" w:lastRow="0" w:firstColumn="1" w:lastColumn="0" w:noHBand="0" w:noVBand="1"/>
        <w:tblCaption w:val="Requested listing"/>
      </w:tblPr>
      <w:tblGrid>
        <w:gridCol w:w="9017"/>
      </w:tblGrid>
      <w:tr w:rsidR="00057197" w:rsidRPr="00D27683" w14:paraId="78558C36" w14:textId="77777777" w:rsidTr="00C32D5C">
        <w:trPr>
          <w:trHeight w:val="20"/>
          <w:tblHeader/>
        </w:trPr>
        <w:tc>
          <w:tcPr>
            <w:tcW w:w="5000" w:type="pct"/>
          </w:tcPr>
          <w:p w14:paraId="29C7FD84" w14:textId="11BDB870" w:rsidR="008531AE" w:rsidRPr="00D27683" w:rsidRDefault="008531AE" w:rsidP="00135EE0">
            <w:pPr>
              <w:pStyle w:val="FooterTableFigure"/>
              <w:keepNext/>
              <w:spacing w:after="0"/>
              <w:rPr>
                <w:b/>
                <w:sz w:val="20"/>
                <w:szCs w:val="20"/>
              </w:rPr>
            </w:pPr>
            <w:r w:rsidRPr="00D27683">
              <w:rPr>
                <w:b/>
                <w:sz w:val="20"/>
                <w:szCs w:val="20"/>
              </w:rPr>
              <w:t>Proposed</w:t>
            </w:r>
            <w:r w:rsidR="00F525FE" w:rsidRPr="00D27683">
              <w:rPr>
                <w:b/>
                <w:sz w:val="20"/>
                <w:szCs w:val="20"/>
              </w:rPr>
              <w:t xml:space="preserve"> </w:t>
            </w:r>
            <w:r w:rsidRPr="00D27683">
              <w:rPr>
                <w:b/>
                <w:sz w:val="20"/>
                <w:szCs w:val="20"/>
              </w:rPr>
              <w:t>i</w:t>
            </w:r>
            <w:r w:rsidRPr="00D27683">
              <w:rPr>
                <w:b/>
                <w:bCs/>
                <w:sz w:val="20"/>
                <w:szCs w:val="20"/>
              </w:rPr>
              <w:t>nitial treatment</w:t>
            </w:r>
            <w:r w:rsidRPr="00D27683">
              <w:rPr>
                <w:b/>
                <w:sz w:val="20"/>
                <w:szCs w:val="20"/>
              </w:rPr>
              <w:t xml:space="preserve"> criteria</w:t>
            </w:r>
          </w:p>
        </w:tc>
      </w:tr>
      <w:tr w:rsidR="004452EA" w:rsidRPr="00D27683" w14:paraId="2C254142" w14:textId="77777777" w:rsidTr="00C32D5C">
        <w:trPr>
          <w:trHeight w:val="20"/>
        </w:trPr>
        <w:tc>
          <w:tcPr>
            <w:tcW w:w="5000" w:type="pct"/>
          </w:tcPr>
          <w:p w14:paraId="04F0FCF7" w14:textId="77777777" w:rsidR="008531AE" w:rsidRPr="00D27683" w:rsidRDefault="008531AE" w:rsidP="00135EE0">
            <w:pPr>
              <w:pStyle w:val="FooterTableFigure"/>
              <w:keepNext/>
              <w:spacing w:after="0"/>
              <w:rPr>
                <w:sz w:val="20"/>
                <w:szCs w:val="20"/>
              </w:rPr>
            </w:pPr>
            <w:r w:rsidRPr="00D27683">
              <w:rPr>
                <w:b/>
                <w:sz w:val="20"/>
                <w:szCs w:val="20"/>
              </w:rPr>
              <w:t xml:space="preserve">Category / Program: </w:t>
            </w:r>
            <w:r w:rsidRPr="00D27683">
              <w:rPr>
                <w:sz w:val="20"/>
                <w:szCs w:val="20"/>
              </w:rPr>
              <w:t>Section 100 – Highly Specialised Drugs Program</w:t>
            </w:r>
          </w:p>
        </w:tc>
      </w:tr>
      <w:tr w:rsidR="004452EA" w:rsidRPr="00D27683" w14:paraId="7C18B154" w14:textId="77777777" w:rsidTr="00C32D5C">
        <w:trPr>
          <w:trHeight w:val="20"/>
        </w:trPr>
        <w:tc>
          <w:tcPr>
            <w:tcW w:w="5000" w:type="pct"/>
          </w:tcPr>
          <w:p w14:paraId="2C455D4A" w14:textId="77777777" w:rsidR="008531AE" w:rsidRPr="00D27683" w:rsidRDefault="008531AE" w:rsidP="00135EE0">
            <w:pPr>
              <w:pStyle w:val="FooterTableFigure"/>
              <w:keepNext/>
              <w:spacing w:after="0"/>
              <w:rPr>
                <w:sz w:val="20"/>
                <w:szCs w:val="20"/>
              </w:rPr>
            </w:pPr>
            <w:r w:rsidRPr="00D27683">
              <w:rPr>
                <w:sz w:val="20"/>
                <w:szCs w:val="20"/>
              </w:rPr>
              <w:t xml:space="preserve">Prescriber type: </w:t>
            </w:r>
            <w:r w:rsidRPr="00D27683">
              <w:rPr>
                <w:bCs/>
                <w:sz w:val="20"/>
                <w:szCs w:val="20"/>
              </w:rPr>
              <w:t>Medical Practitioner</w:t>
            </w:r>
          </w:p>
        </w:tc>
      </w:tr>
      <w:tr w:rsidR="004452EA" w:rsidRPr="00D27683" w14:paraId="7594A085" w14:textId="77777777" w:rsidTr="00C32D5C">
        <w:trPr>
          <w:trHeight w:val="20"/>
        </w:trPr>
        <w:tc>
          <w:tcPr>
            <w:tcW w:w="5000" w:type="pct"/>
          </w:tcPr>
          <w:p w14:paraId="5A57CE5D" w14:textId="77777777" w:rsidR="008531AE" w:rsidRPr="00D27683" w:rsidRDefault="008531AE" w:rsidP="00135EE0">
            <w:pPr>
              <w:pStyle w:val="FooterTableFigure"/>
              <w:keepNext/>
              <w:spacing w:after="0"/>
              <w:rPr>
                <w:sz w:val="20"/>
                <w:szCs w:val="20"/>
              </w:rPr>
            </w:pPr>
            <w:r w:rsidRPr="00D27683">
              <w:rPr>
                <w:sz w:val="20"/>
                <w:szCs w:val="20"/>
              </w:rPr>
              <w:t>Restriction type: Authority Required (Written; via HPOS upload)</w:t>
            </w:r>
          </w:p>
        </w:tc>
      </w:tr>
      <w:tr w:rsidR="004452EA" w:rsidRPr="00D27683" w14:paraId="450BF856" w14:textId="77777777" w:rsidTr="00C32D5C">
        <w:trPr>
          <w:trHeight w:val="20"/>
        </w:trPr>
        <w:tc>
          <w:tcPr>
            <w:tcW w:w="5000" w:type="pct"/>
          </w:tcPr>
          <w:p w14:paraId="61DF0D3E" w14:textId="77777777" w:rsidR="008531AE" w:rsidRPr="00D27683" w:rsidRDefault="008531AE" w:rsidP="00135EE0">
            <w:pPr>
              <w:pStyle w:val="FooterTableFigure"/>
              <w:keepNext/>
              <w:spacing w:after="0"/>
              <w:rPr>
                <w:sz w:val="20"/>
                <w:szCs w:val="20"/>
              </w:rPr>
            </w:pPr>
            <w:r w:rsidRPr="00D27683">
              <w:rPr>
                <w:bCs/>
                <w:sz w:val="20"/>
                <w:szCs w:val="20"/>
              </w:rPr>
              <w:t xml:space="preserve">Condition/PBS Indication: Chronic Obstructive Pulmonary Disease </w:t>
            </w:r>
          </w:p>
        </w:tc>
      </w:tr>
      <w:tr w:rsidR="004452EA" w:rsidRPr="00D27683" w14:paraId="5AFAEC88" w14:textId="77777777" w:rsidTr="00C32D5C">
        <w:trPr>
          <w:trHeight w:val="20"/>
        </w:trPr>
        <w:tc>
          <w:tcPr>
            <w:tcW w:w="5000" w:type="pct"/>
          </w:tcPr>
          <w:p w14:paraId="7742DBE6" w14:textId="77777777" w:rsidR="008531AE" w:rsidRPr="00D27683" w:rsidRDefault="008531AE" w:rsidP="00135EE0">
            <w:pPr>
              <w:pStyle w:val="FooterTableFigure"/>
              <w:keepNext/>
              <w:spacing w:after="0"/>
              <w:rPr>
                <w:bCs/>
                <w:sz w:val="20"/>
                <w:szCs w:val="20"/>
              </w:rPr>
            </w:pPr>
            <w:r w:rsidRPr="00D27683">
              <w:rPr>
                <w:b/>
                <w:sz w:val="20"/>
                <w:szCs w:val="20"/>
              </w:rPr>
              <w:t>Treatment criteria</w:t>
            </w:r>
          </w:p>
        </w:tc>
      </w:tr>
      <w:tr w:rsidR="004452EA" w:rsidRPr="00D27683" w14:paraId="29662F56" w14:textId="77777777" w:rsidTr="00C32D5C">
        <w:trPr>
          <w:trHeight w:val="20"/>
        </w:trPr>
        <w:tc>
          <w:tcPr>
            <w:tcW w:w="5000" w:type="pct"/>
          </w:tcPr>
          <w:p w14:paraId="6750FF7C" w14:textId="77777777" w:rsidR="008531AE" w:rsidRPr="00D27683" w:rsidRDefault="008531AE" w:rsidP="00135EE0">
            <w:pPr>
              <w:pStyle w:val="FooterTableFigure"/>
              <w:keepNext/>
              <w:spacing w:after="0"/>
              <w:rPr>
                <w:bCs/>
                <w:sz w:val="20"/>
                <w:szCs w:val="20"/>
              </w:rPr>
            </w:pPr>
            <w:r w:rsidRPr="00D27683">
              <w:rPr>
                <w:bCs/>
                <w:sz w:val="20"/>
                <w:szCs w:val="20"/>
              </w:rPr>
              <w:t>Patient must be treated by a medical practitioner who is a respiratory physician or general physician experienced in the management of patients with COPD</w:t>
            </w:r>
          </w:p>
        </w:tc>
      </w:tr>
      <w:tr w:rsidR="004452EA" w:rsidRPr="00D27683" w14:paraId="43A2BE23" w14:textId="77777777" w:rsidTr="00C32D5C">
        <w:trPr>
          <w:trHeight w:val="20"/>
        </w:trPr>
        <w:tc>
          <w:tcPr>
            <w:tcW w:w="5000" w:type="pct"/>
          </w:tcPr>
          <w:p w14:paraId="5032B050" w14:textId="77777777" w:rsidR="008531AE" w:rsidRPr="00D27683" w:rsidRDefault="008531AE" w:rsidP="00135EE0">
            <w:pPr>
              <w:pStyle w:val="FooterTableFigure"/>
              <w:keepNext/>
              <w:spacing w:after="0"/>
              <w:rPr>
                <w:b/>
                <w:bCs/>
                <w:sz w:val="20"/>
                <w:szCs w:val="20"/>
              </w:rPr>
            </w:pPr>
            <w:r w:rsidRPr="00D27683">
              <w:rPr>
                <w:b/>
                <w:sz w:val="20"/>
                <w:szCs w:val="20"/>
              </w:rPr>
              <w:t>Clinical criteria</w:t>
            </w:r>
          </w:p>
        </w:tc>
      </w:tr>
      <w:tr w:rsidR="004452EA" w:rsidRPr="00D27683" w14:paraId="20A5DE0A" w14:textId="77777777" w:rsidTr="00C32D5C">
        <w:trPr>
          <w:trHeight w:val="20"/>
        </w:trPr>
        <w:tc>
          <w:tcPr>
            <w:tcW w:w="5000" w:type="pct"/>
          </w:tcPr>
          <w:p w14:paraId="55650CB8" w14:textId="77777777" w:rsidR="008531AE" w:rsidRPr="00D27683" w:rsidRDefault="008531AE" w:rsidP="00135EE0">
            <w:pPr>
              <w:pStyle w:val="FooterTableFigure"/>
              <w:keepNext/>
              <w:spacing w:after="0"/>
              <w:rPr>
                <w:bCs/>
                <w:sz w:val="20"/>
                <w:szCs w:val="20"/>
              </w:rPr>
            </w:pPr>
            <w:r w:rsidRPr="00D27683">
              <w:rPr>
                <w:bCs/>
                <w:sz w:val="20"/>
                <w:szCs w:val="20"/>
              </w:rPr>
              <w:t>Patient must be under the care of the same physician for at least 6 months; OR must have been diagnosed with COPD by a multidisciplinary team (MDT)</w:t>
            </w:r>
          </w:p>
        </w:tc>
      </w:tr>
      <w:tr w:rsidR="004452EA" w:rsidRPr="00D27683" w14:paraId="4601BF5A" w14:textId="77777777" w:rsidTr="00C32D5C">
        <w:trPr>
          <w:trHeight w:val="20"/>
        </w:trPr>
        <w:tc>
          <w:tcPr>
            <w:tcW w:w="5000" w:type="pct"/>
          </w:tcPr>
          <w:p w14:paraId="1643EE64" w14:textId="77777777" w:rsidR="008531AE" w:rsidRPr="00D27683" w:rsidRDefault="008531AE" w:rsidP="00135EE0">
            <w:pPr>
              <w:pStyle w:val="FooterTableFigure"/>
              <w:keepNext/>
              <w:spacing w:after="0"/>
              <w:rPr>
                <w:b/>
                <w:bCs/>
                <w:sz w:val="20"/>
                <w:szCs w:val="20"/>
              </w:rPr>
            </w:pPr>
            <w:r w:rsidRPr="00D27683">
              <w:rPr>
                <w:b/>
                <w:bCs/>
                <w:sz w:val="20"/>
                <w:szCs w:val="20"/>
              </w:rPr>
              <w:t>AND</w:t>
            </w:r>
          </w:p>
          <w:p w14:paraId="471D341D" w14:textId="77777777" w:rsidR="008531AE" w:rsidRPr="00D27683" w:rsidRDefault="008531AE" w:rsidP="00135EE0">
            <w:pPr>
              <w:pStyle w:val="FooterTableFigure"/>
              <w:keepNext/>
              <w:spacing w:after="0"/>
              <w:rPr>
                <w:sz w:val="20"/>
                <w:szCs w:val="20"/>
              </w:rPr>
            </w:pPr>
            <w:r w:rsidRPr="00D27683">
              <w:rPr>
                <w:sz w:val="20"/>
                <w:szCs w:val="20"/>
              </w:rPr>
              <w:t>Patient must not have received PBS-subsidised treatment with a biological medicine for COPD;</w:t>
            </w:r>
          </w:p>
          <w:p w14:paraId="466528CE" w14:textId="77777777" w:rsidR="008531AE" w:rsidRPr="00D27683" w:rsidRDefault="008531AE" w:rsidP="00135EE0">
            <w:pPr>
              <w:pStyle w:val="FooterTableFigure"/>
              <w:keepNext/>
              <w:spacing w:after="0"/>
              <w:rPr>
                <w:sz w:val="20"/>
                <w:szCs w:val="20"/>
              </w:rPr>
            </w:pPr>
            <w:r w:rsidRPr="00D27683">
              <w:rPr>
                <w:sz w:val="20"/>
                <w:szCs w:val="20"/>
              </w:rPr>
              <w:t>OR</w:t>
            </w:r>
          </w:p>
          <w:p w14:paraId="31DB52BC" w14:textId="77777777" w:rsidR="008531AE" w:rsidRPr="00D27683" w:rsidRDefault="008531AE" w:rsidP="00135EE0">
            <w:pPr>
              <w:pStyle w:val="FooterTableFigure"/>
              <w:keepNext/>
              <w:spacing w:after="0"/>
              <w:rPr>
                <w:sz w:val="20"/>
                <w:szCs w:val="20"/>
              </w:rPr>
            </w:pPr>
            <w:r w:rsidRPr="00D27683">
              <w:rPr>
                <w:sz w:val="20"/>
                <w:szCs w:val="20"/>
              </w:rPr>
              <w:lastRenderedPageBreak/>
              <w:t>Patient must have had a 12-month break in treatment from the most recently approved PBS-subsidised MEPO treatment for COPD</w:t>
            </w:r>
          </w:p>
        </w:tc>
      </w:tr>
      <w:tr w:rsidR="004452EA" w:rsidRPr="00D27683" w14:paraId="6CE476DD" w14:textId="77777777" w:rsidTr="00C32D5C">
        <w:trPr>
          <w:trHeight w:val="20"/>
        </w:trPr>
        <w:tc>
          <w:tcPr>
            <w:tcW w:w="5000" w:type="pct"/>
          </w:tcPr>
          <w:p w14:paraId="4C16BD5B" w14:textId="77777777" w:rsidR="008531AE" w:rsidRPr="00D27683" w:rsidRDefault="008531AE" w:rsidP="00135EE0">
            <w:pPr>
              <w:pStyle w:val="FooterTableFigure"/>
              <w:keepNext/>
              <w:spacing w:after="0"/>
              <w:rPr>
                <w:b/>
                <w:bCs/>
                <w:sz w:val="20"/>
                <w:szCs w:val="20"/>
              </w:rPr>
            </w:pPr>
            <w:r w:rsidRPr="00D27683">
              <w:rPr>
                <w:b/>
                <w:bCs/>
                <w:sz w:val="20"/>
                <w:szCs w:val="20"/>
              </w:rPr>
              <w:lastRenderedPageBreak/>
              <w:t>AND</w:t>
            </w:r>
          </w:p>
          <w:p w14:paraId="1F6B27D9" w14:textId="77777777" w:rsidR="008531AE" w:rsidRPr="00D27683" w:rsidRDefault="008531AE" w:rsidP="00135EE0">
            <w:pPr>
              <w:pStyle w:val="FooterTableFigure"/>
              <w:keepNext/>
              <w:spacing w:after="0"/>
              <w:rPr>
                <w:sz w:val="20"/>
                <w:szCs w:val="20"/>
              </w:rPr>
            </w:pPr>
            <w:r w:rsidRPr="00D27683">
              <w:rPr>
                <w:sz w:val="20"/>
                <w:szCs w:val="20"/>
              </w:rPr>
              <w:t>The treatment must not be used in combination with and within 4 weeks of another PBS-subsidised biological medicine prescribed for any of: (i) nasal polyps, (ii) uncontrolled severe allergic asthma, (iii) uncontrolled severe asthma</w:t>
            </w:r>
          </w:p>
        </w:tc>
      </w:tr>
      <w:tr w:rsidR="004452EA" w:rsidRPr="00D27683" w14:paraId="4F2688EF" w14:textId="77777777" w:rsidTr="00C32D5C">
        <w:trPr>
          <w:trHeight w:val="20"/>
        </w:trPr>
        <w:tc>
          <w:tcPr>
            <w:tcW w:w="5000" w:type="pct"/>
          </w:tcPr>
          <w:p w14:paraId="13B0DD9F" w14:textId="77777777" w:rsidR="008531AE" w:rsidRPr="00D27683" w:rsidRDefault="008531AE" w:rsidP="00135EE0">
            <w:pPr>
              <w:pStyle w:val="FooterTableFigure"/>
              <w:keepNext/>
              <w:spacing w:after="0"/>
              <w:rPr>
                <w:sz w:val="20"/>
                <w:szCs w:val="20"/>
              </w:rPr>
            </w:pPr>
            <w:r w:rsidRPr="00D27683">
              <w:rPr>
                <w:b/>
                <w:bCs/>
                <w:sz w:val="20"/>
                <w:szCs w:val="20"/>
              </w:rPr>
              <w:t>AND</w:t>
            </w:r>
          </w:p>
          <w:p w14:paraId="0332CE71" w14:textId="77777777" w:rsidR="008531AE" w:rsidRPr="00D27683" w:rsidRDefault="008531AE" w:rsidP="00135EE0">
            <w:pPr>
              <w:pStyle w:val="FooterTableFigure"/>
              <w:keepNext/>
              <w:spacing w:after="0"/>
              <w:rPr>
                <w:sz w:val="20"/>
                <w:szCs w:val="20"/>
              </w:rPr>
            </w:pPr>
            <w:r w:rsidRPr="00D27683">
              <w:rPr>
                <w:sz w:val="20"/>
                <w:szCs w:val="20"/>
              </w:rPr>
              <w:t>Patient must have a duration of COPD of at least 1 year</w:t>
            </w:r>
          </w:p>
        </w:tc>
      </w:tr>
      <w:tr w:rsidR="004452EA" w:rsidRPr="00D27683" w14:paraId="111B4DD0" w14:textId="77777777" w:rsidTr="00C32D5C">
        <w:trPr>
          <w:trHeight w:val="20"/>
        </w:trPr>
        <w:tc>
          <w:tcPr>
            <w:tcW w:w="5000" w:type="pct"/>
          </w:tcPr>
          <w:p w14:paraId="14602866" w14:textId="77777777" w:rsidR="008531AE" w:rsidRPr="00D27683" w:rsidRDefault="008531AE" w:rsidP="00135EE0">
            <w:pPr>
              <w:pStyle w:val="FooterTableFigure"/>
              <w:keepNext/>
              <w:spacing w:after="0"/>
              <w:rPr>
                <w:b/>
                <w:bCs/>
                <w:sz w:val="20"/>
                <w:szCs w:val="20"/>
              </w:rPr>
            </w:pPr>
            <w:r w:rsidRPr="00D27683">
              <w:rPr>
                <w:b/>
                <w:bCs/>
                <w:sz w:val="20"/>
                <w:szCs w:val="20"/>
              </w:rPr>
              <w:t>AND</w:t>
            </w:r>
          </w:p>
          <w:p w14:paraId="47FA86EE" w14:textId="77777777" w:rsidR="008531AE" w:rsidRPr="00D27683" w:rsidRDefault="008531AE" w:rsidP="00135EE0">
            <w:pPr>
              <w:pStyle w:val="FooterTableFigure"/>
              <w:keepNext/>
              <w:spacing w:after="0"/>
              <w:rPr>
                <w:sz w:val="20"/>
                <w:szCs w:val="20"/>
              </w:rPr>
            </w:pPr>
            <w:r w:rsidRPr="00D27683">
              <w:rPr>
                <w:sz w:val="20"/>
                <w:szCs w:val="20"/>
              </w:rPr>
              <w:t xml:space="preserve">Patient must have failed to achieve adequate control with optimised triple inhaled therapy which has been documented. </w:t>
            </w:r>
          </w:p>
          <w:p w14:paraId="711722F0" w14:textId="77777777" w:rsidR="008531AE" w:rsidRPr="00D27683" w:rsidRDefault="008531AE" w:rsidP="00135EE0">
            <w:pPr>
              <w:pStyle w:val="FooterTableFigure"/>
              <w:keepNext/>
              <w:spacing w:after="0"/>
              <w:rPr>
                <w:sz w:val="20"/>
                <w:szCs w:val="20"/>
              </w:rPr>
            </w:pPr>
          </w:p>
          <w:p w14:paraId="1FA44029" w14:textId="77777777" w:rsidR="008531AE" w:rsidRPr="00D27683" w:rsidRDefault="008531AE" w:rsidP="00135EE0">
            <w:pPr>
              <w:pStyle w:val="FooterTableFigure"/>
              <w:keepNext/>
              <w:spacing w:after="0"/>
              <w:rPr>
                <w:sz w:val="20"/>
                <w:szCs w:val="20"/>
              </w:rPr>
            </w:pPr>
            <w:r w:rsidRPr="00D27683">
              <w:rPr>
                <w:sz w:val="20"/>
                <w:szCs w:val="20"/>
              </w:rPr>
              <w:t>Failure to achieve adequate control defined as:</w:t>
            </w:r>
          </w:p>
          <w:p w14:paraId="7B3E18D1" w14:textId="77777777" w:rsidR="008531AE" w:rsidRPr="00D27683" w:rsidRDefault="008531AE" w:rsidP="00135EE0">
            <w:pPr>
              <w:pStyle w:val="FooterTableFigure"/>
              <w:keepNext/>
              <w:numPr>
                <w:ilvl w:val="0"/>
                <w:numId w:val="11"/>
              </w:numPr>
              <w:spacing w:after="0"/>
              <w:rPr>
                <w:sz w:val="20"/>
                <w:szCs w:val="20"/>
              </w:rPr>
            </w:pPr>
            <w:r w:rsidRPr="00D27683">
              <w:rPr>
                <w:sz w:val="20"/>
                <w:szCs w:val="20"/>
              </w:rPr>
              <w:t>≥2 moderate exacerbations requiring systemic glucocorticoids with or without antibiotics in the last 12 months; OR</w:t>
            </w:r>
          </w:p>
          <w:p w14:paraId="184B0569" w14:textId="77777777" w:rsidR="008531AE" w:rsidRPr="00D27683" w:rsidRDefault="008531AE" w:rsidP="00135EE0">
            <w:pPr>
              <w:pStyle w:val="FooterTableFigure"/>
              <w:keepNext/>
              <w:numPr>
                <w:ilvl w:val="0"/>
                <w:numId w:val="11"/>
              </w:numPr>
              <w:spacing w:after="0"/>
              <w:rPr>
                <w:sz w:val="20"/>
                <w:szCs w:val="20"/>
              </w:rPr>
            </w:pPr>
            <w:r w:rsidRPr="00D27683">
              <w:rPr>
                <w:sz w:val="20"/>
                <w:szCs w:val="20"/>
              </w:rPr>
              <w:t>≥1 severe exacerbation (leading to hospitalization) in the last 12 months</w:t>
            </w:r>
          </w:p>
        </w:tc>
      </w:tr>
      <w:tr w:rsidR="004452EA" w:rsidRPr="00D27683" w14:paraId="71B5DA64" w14:textId="77777777" w:rsidTr="00C32D5C">
        <w:trPr>
          <w:trHeight w:val="20"/>
        </w:trPr>
        <w:tc>
          <w:tcPr>
            <w:tcW w:w="5000" w:type="pct"/>
          </w:tcPr>
          <w:p w14:paraId="5F84CEAC" w14:textId="77777777" w:rsidR="008531AE" w:rsidRPr="00D27683" w:rsidRDefault="008531AE" w:rsidP="00135EE0">
            <w:pPr>
              <w:pStyle w:val="FooterTableFigure"/>
              <w:keepNext/>
              <w:spacing w:after="0"/>
              <w:rPr>
                <w:sz w:val="20"/>
                <w:szCs w:val="20"/>
              </w:rPr>
            </w:pPr>
            <w:r w:rsidRPr="00D27683">
              <w:rPr>
                <w:b/>
                <w:bCs/>
                <w:sz w:val="20"/>
                <w:szCs w:val="20"/>
              </w:rPr>
              <w:t>AND</w:t>
            </w:r>
          </w:p>
          <w:p w14:paraId="04F97979" w14:textId="77777777" w:rsidR="008531AE" w:rsidRPr="00D27683" w:rsidRDefault="008531AE" w:rsidP="00135EE0">
            <w:pPr>
              <w:pStyle w:val="FooterTableFigure"/>
              <w:keepNext/>
              <w:spacing w:after="0"/>
              <w:rPr>
                <w:b/>
                <w:bCs/>
                <w:sz w:val="20"/>
                <w:szCs w:val="20"/>
              </w:rPr>
            </w:pPr>
            <w:r w:rsidRPr="00D27683">
              <w:rPr>
                <w:sz w:val="20"/>
                <w:szCs w:val="20"/>
              </w:rPr>
              <w:t>Patient must have blood eosinophil count greater than or equal to 300 cells per microlitre in the last 12 months</w:t>
            </w:r>
          </w:p>
        </w:tc>
      </w:tr>
      <w:tr w:rsidR="004452EA" w:rsidRPr="00D27683" w14:paraId="60DF82D4" w14:textId="77777777" w:rsidTr="00C32D5C">
        <w:trPr>
          <w:trHeight w:val="20"/>
        </w:trPr>
        <w:tc>
          <w:tcPr>
            <w:tcW w:w="5000" w:type="pct"/>
          </w:tcPr>
          <w:p w14:paraId="68881A73" w14:textId="77777777" w:rsidR="008531AE" w:rsidRPr="00D27683" w:rsidRDefault="008531AE" w:rsidP="00135EE0">
            <w:pPr>
              <w:pStyle w:val="FooterTableFigure"/>
              <w:keepNext/>
              <w:spacing w:after="0"/>
              <w:rPr>
                <w:sz w:val="20"/>
                <w:szCs w:val="20"/>
              </w:rPr>
            </w:pPr>
            <w:r w:rsidRPr="00D27683">
              <w:rPr>
                <w:b/>
                <w:bCs/>
                <w:sz w:val="20"/>
                <w:szCs w:val="20"/>
              </w:rPr>
              <w:t>AND</w:t>
            </w:r>
          </w:p>
          <w:p w14:paraId="486B8BD0" w14:textId="77777777" w:rsidR="008531AE" w:rsidRPr="00D27683" w:rsidRDefault="008531AE" w:rsidP="00135EE0">
            <w:pPr>
              <w:pStyle w:val="FooterTableFigure"/>
              <w:keepNext/>
              <w:spacing w:after="0"/>
              <w:rPr>
                <w:b/>
                <w:sz w:val="20"/>
                <w:szCs w:val="20"/>
              </w:rPr>
            </w:pPr>
            <w:r w:rsidRPr="00D27683">
              <w:rPr>
                <w:sz w:val="20"/>
                <w:szCs w:val="20"/>
              </w:rPr>
              <w:t>Patient must not receive more than 28 weeks of treatment to demonstrate a response under this restriction</w:t>
            </w:r>
          </w:p>
        </w:tc>
      </w:tr>
      <w:tr w:rsidR="004452EA" w:rsidRPr="00D27683" w14:paraId="2A25DD0B" w14:textId="77777777" w:rsidTr="00C32D5C">
        <w:trPr>
          <w:trHeight w:val="20"/>
        </w:trPr>
        <w:tc>
          <w:tcPr>
            <w:tcW w:w="5000" w:type="pct"/>
          </w:tcPr>
          <w:p w14:paraId="79AAD7CD" w14:textId="77777777" w:rsidR="008531AE" w:rsidRPr="00D27683" w:rsidRDefault="008531AE" w:rsidP="00135EE0">
            <w:pPr>
              <w:pStyle w:val="FooterTableFigure"/>
              <w:keepNext/>
              <w:spacing w:after="0"/>
              <w:rPr>
                <w:b/>
                <w:sz w:val="20"/>
                <w:szCs w:val="20"/>
              </w:rPr>
            </w:pPr>
            <w:r w:rsidRPr="00D27683">
              <w:rPr>
                <w:b/>
                <w:sz w:val="20"/>
                <w:szCs w:val="20"/>
              </w:rPr>
              <w:t>Prescribing Instructions</w:t>
            </w:r>
          </w:p>
        </w:tc>
      </w:tr>
      <w:tr w:rsidR="004452EA" w:rsidRPr="00D27683" w14:paraId="76F68FBE" w14:textId="77777777" w:rsidTr="00C32D5C">
        <w:trPr>
          <w:trHeight w:val="20"/>
        </w:trPr>
        <w:tc>
          <w:tcPr>
            <w:tcW w:w="5000" w:type="pct"/>
          </w:tcPr>
          <w:p w14:paraId="099DB55B" w14:textId="77777777" w:rsidR="008531AE" w:rsidRPr="00D27683" w:rsidRDefault="008531AE" w:rsidP="00135EE0">
            <w:pPr>
              <w:pStyle w:val="FooterTableFigure"/>
              <w:keepNext/>
              <w:spacing w:after="0"/>
              <w:rPr>
                <w:sz w:val="20"/>
                <w:szCs w:val="20"/>
              </w:rPr>
            </w:pPr>
            <w:r w:rsidRPr="00D27683">
              <w:rPr>
                <w:sz w:val="20"/>
                <w:szCs w:val="20"/>
              </w:rPr>
              <w:t>Optimised triple inhaled therapy includes:</w:t>
            </w:r>
          </w:p>
          <w:p w14:paraId="02432D0B" w14:textId="77777777" w:rsidR="008531AE" w:rsidRPr="00D27683" w:rsidRDefault="008531AE" w:rsidP="00135EE0">
            <w:pPr>
              <w:pStyle w:val="FooterTableFigure"/>
              <w:keepNext/>
              <w:numPr>
                <w:ilvl w:val="0"/>
                <w:numId w:val="12"/>
              </w:numPr>
              <w:spacing w:after="0"/>
              <w:rPr>
                <w:bCs/>
                <w:sz w:val="20"/>
                <w:szCs w:val="20"/>
              </w:rPr>
            </w:pPr>
            <w:r w:rsidRPr="00D27683">
              <w:rPr>
                <w:bCs/>
                <w:sz w:val="20"/>
                <w:szCs w:val="20"/>
              </w:rPr>
              <w:t>Adherence to use of ICS plus 2 additional COPD medications in the last 12 months, AND</w:t>
            </w:r>
          </w:p>
          <w:p w14:paraId="6623AF53" w14:textId="77777777" w:rsidR="008531AE" w:rsidRPr="00D27683" w:rsidRDefault="008531AE" w:rsidP="00135EE0">
            <w:pPr>
              <w:pStyle w:val="FooterTableFigure"/>
              <w:keepNext/>
              <w:numPr>
                <w:ilvl w:val="0"/>
                <w:numId w:val="12"/>
              </w:numPr>
              <w:spacing w:after="0"/>
              <w:rPr>
                <w:b/>
                <w:sz w:val="20"/>
                <w:szCs w:val="20"/>
              </w:rPr>
            </w:pPr>
            <w:r w:rsidRPr="00D27683">
              <w:rPr>
                <w:bCs/>
                <w:sz w:val="20"/>
                <w:szCs w:val="20"/>
              </w:rPr>
              <w:t>In the last 3 months, adherence to use of triple inhaled therapy of an ICS (≥500mcg/day fluticasone propionate dose equivalent) plus LABA and LAMA, unless contraindicated or not tolerated</w:t>
            </w:r>
          </w:p>
          <w:p w14:paraId="0209E311" w14:textId="77777777" w:rsidR="008531AE" w:rsidRPr="00D27683" w:rsidRDefault="008531AE" w:rsidP="00135EE0">
            <w:pPr>
              <w:pStyle w:val="FooterTableFigure"/>
              <w:keepNext/>
              <w:spacing w:after="0"/>
              <w:rPr>
                <w:sz w:val="20"/>
                <w:szCs w:val="20"/>
              </w:rPr>
            </w:pPr>
          </w:p>
          <w:p w14:paraId="5058BA79" w14:textId="77777777" w:rsidR="008531AE" w:rsidRPr="00D27683" w:rsidRDefault="008531AE" w:rsidP="00135EE0">
            <w:pPr>
              <w:pStyle w:val="FooterTableFigure"/>
              <w:keepNext/>
              <w:spacing w:after="0"/>
              <w:rPr>
                <w:b/>
                <w:sz w:val="20"/>
                <w:szCs w:val="20"/>
              </w:rPr>
            </w:pPr>
            <w:r w:rsidRPr="00D27683">
              <w:rPr>
                <w:sz w:val="20"/>
                <w:szCs w:val="20"/>
              </w:rPr>
              <w:t>Where the patient has a contraindication or intolerance to LABA or LAMA or ICS, the reasons for the contraindication or intolerance should be documented in the patient’s medical file.</w:t>
            </w:r>
          </w:p>
        </w:tc>
      </w:tr>
      <w:tr w:rsidR="004452EA" w:rsidRPr="00D27683" w14:paraId="41E6B793" w14:textId="77777777" w:rsidTr="00C32D5C">
        <w:trPr>
          <w:trHeight w:val="20"/>
        </w:trPr>
        <w:tc>
          <w:tcPr>
            <w:tcW w:w="5000" w:type="pct"/>
          </w:tcPr>
          <w:p w14:paraId="6BF5706B" w14:textId="77777777" w:rsidR="008531AE" w:rsidRPr="00D27683" w:rsidRDefault="008531AE" w:rsidP="00135EE0">
            <w:pPr>
              <w:pStyle w:val="FooterTableFigure"/>
              <w:keepNext/>
              <w:spacing w:after="0"/>
              <w:rPr>
                <w:b/>
                <w:sz w:val="20"/>
                <w:szCs w:val="20"/>
              </w:rPr>
            </w:pPr>
            <w:r w:rsidRPr="00D27683">
              <w:rPr>
                <w:b/>
                <w:sz w:val="20"/>
                <w:szCs w:val="20"/>
              </w:rPr>
              <w:t>Population criteria:</w:t>
            </w:r>
          </w:p>
        </w:tc>
      </w:tr>
      <w:tr w:rsidR="004452EA" w:rsidRPr="00D27683" w14:paraId="414E7DD9" w14:textId="77777777" w:rsidTr="00C32D5C">
        <w:trPr>
          <w:trHeight w:val="20"/>
        </w:trPr>
        <w:tc>
          <w:tcPr>
            <w:tcW w:w="5000" w:type="pct"/>
          </w:tcPr>
          <w:p w14:paraId="4B1D623C" w14:textId="77777777" w:rsidR="008531AE" w:rsidRPr="00D27683" w:rsidRDefault="008531AE" w:rsidP="00135EE0">
            <w:pPr>
              <w:pStyle w:val="FooterTableFigure"/>
              <w:keepNext/>
              <w:spacing w:after="0"/>
              <w:rPr>
                <w:sz w:val="20"/>
                <w:szCs w:val="20"/>
              </w:rPr>
            </w:pPr>
            <w:r w:rsidRPr="00D27683">
              <w:rPr>
                <w:sz w:val="20"/>
                <w:szCs w:val="20"/>
              </w:rPr>
              <w:t>Patient must be aged 18 years or older.</w:t>
            </w:r>
          </w:p>
        </w:tc>
      </w:tr>
    </w:tbl>
    <w:p w14:paraId="7B3ED6CE" w14:textId="77777777" w:rsidR="008531AE" w:rsidRPr="00D27683" w:rsidRDefault="008531AE" w:rsidP="003338A0">
      <w:pPr>
        <w:pStyle w:val="TableFigureFooter"/>
      </w:pPr>
      <w:bookmarkStart w:id="37" w:name="_Hlk215849810"/>
      <w:r w:rsidRPr="00D27683">
        <w:t>Source: Table 1-8 pp 37-39 of the submission.</w:t>
      </w:r>
    </w:p>
    <w:p w14:paraId="34C38909" w14:textId="77777777" w:rsidR="008531AE" w:rsidRPr="00D27683" w:rsidRDefault="008531AE" w:rsidP="003338A0">
      <w:pPr>
        <w:pStyle w:val="TableFigureFooter"/>
      </w:pPr>
      <w:r w:rsidRPr="00D27683">
        <w:t>COPD = chronic obstructive pulmonary disease; HPOS= health professional online service; HSD = Highly Specialised Drug; ICS = inhaled corticosteroid; LABA = long-acting beta agonist; LAMA = long-acting muscarinic antagonist; MEPO = mepolizumab; PBS = Pharmaceutical Benefits Scheme.</w:t>
      </w:r>
    </w:p>
    <w:p w14:paraId="4C6CDCD6" w14:textId="77777777" w:rsidR="008531AE" w:rsidRPr="00D27683" w:rsidRDefault="008531AE" w:rsidP="00135EE0">
      <w:pPr>
        <w:pStyle w:val="FooterTableFigure"/>
        <w:spacing w:after="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8531AE" w:rsidRPr="00D27683" w14:paraId="275576A9" w14:textId="77777777">
        <w:trPr>
          <w:cantSplit/>
          <w:trHeight w:val="20"/>
        </w:trPr>
        <w:tc>
          <w:tcPr>
            <w:tcW w:w="5000" w:type="pct"/>
          </w:tcPr>
          <w:bookmarkEnd w:id="37"/>
          <w:p w14:paraId="0760CAEC" w14:textId="77777777"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sz w:val="20"/>
                <w:szCs w:val="20"/>
              </w:rPr>
              <w:lastRenderedPageBreak/>
              <w:t>Restriction Summary [new] / Treatment of Concept: [new]</w:t>
            </w:r>
          </w:p>
        </w:tc>
      </w:tr>
      <w:tr w:rsidR="008531AE" w:rsidRPr="00D27683" w14:paraId="21EBE73F" w14:textId="77777777" w:rsidTr="00DD3905">
        <w:trPr>
          <w:cantSplit/>
          <w:trHeight w:val="105"/>
        </w:trPr>
        <w:tc>
          <w:tcPr>
            <w:tcW w:w="5000" w:type="pct"/>
          </w:tcPr>
          <w:p w14:paraId="14B5EA58" w14:textId="77777777"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sz w:val="20"/>
                <w:szCs w:val="20"/>
              </w:rPr>
              <w:t xml:space="preserve">Category / Program: </w:t>
            </w:r>
            <w:r w:rsidRPr="00D27683">
              <w:rPr>
                <w:rFonts w:ascii="Arial Narrow" w:hAnsi="Arial Narrow"/>
                <w:sz w:val="20"/>
                <w:szCs w:val="20"/>
              </w:rPr>
              <w:t>Section 100 – Highly Specialised Drugs Program</w:t>
            </w:r>
          </w:p>
        </w:tc>
      </w:tr>
      <w:tr w:rsidR="008531AE" w:rsidRPr="00D27683" w14:paraId="6118CAC2" w14:textId="77777777" w:rsidTr="00DD3905">
        <w:trPr>
          <w:cantSplit/>
          <w:trHeight w:val="35"/>
        </w:trPr>
        <w:tc>
          <w:tcPr>
            <w:tcW w:w="5000" w:type="pct"/>
          </w:tcPr>
          <w:p w14:paraId="721314FB" w14:textId="16125E2F"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sz w:val="20"/>
                <w:szCs w:val="20"/>
              </w:rPr>
              <w:t>Prescriber type:</w:t>
            </w:r>
            <w:r w:rsidR="005D45D2">
              <w:rPr>
                <w:rFonts w:ascii="Arial Narrow" w:hAnsi="Arial Narrow"/>
                <w:b/>
                <w:sz w:val="20"/>
                <w:szCs w:val="20"/>
              </w:rPr>
              <w:t xml:space="preserve"> </w:t>
            </w:r>
            <w:r w:rsidRPr="00D27683">
              <w:rPr>
                <w:rFonts w:ascii="Arial Narrow" w:hAnsi="Arial Narrow"/>
                <w:sz w:val="20"/>
                <w:szCs w:val="20"/>
              </w:rPr>
              <w:fldChar w:fldCharType="begin" w:fldLock="1">
                <w:ffData>
                  <w:name w:val=""/>
                  <w:enabled/>
                  <w:calcOnExit w:val="0"/>
                  <w:checkBox>
                    <w:sizeAuto/>
                    <w:default w:val="1"/>
                  </w:checkBox>
                </w:ffData>
              </w:fldChar>
            </w:r>
            <w:r w:rsidRPr="00D27683">
              <w:rPr>
                <w:rFonts w:ascii="Arial Narrow" w:hAnsi="Arial Narrow"/>
                <w:sz w:val="20"/>
                <w:szCs w:val="20"/>
              </w:rPr>
              <w:instrText xml:space="preserve"> FORMCHECKBOX </w:instrText>
            </w:r>
            <w:r w:rsidRPr="00D27683">
              <w:rPr>
                <w:rFonts w:ascii="Arial Narrow" w:hAnsi="Arial Narrow"/>
                <w:sz w:val="20"/>
                <w:szCs w:val="20"/>
              </w:rPr>
            </w:r>
            <w:r w:rsidRPr="00D27683">
              <w:rPr>
                <w:rFonts w:ascii="Arial Narrow" w:hAnsi="Arial Narrow"/>
                <w:sz w:val="20"/>
                <w:szCs w:val="20"/>
              </w:rPr>
              <w:fldChar w:fldCharType="separate"/>
            </w:r>
            <w:r w:rsidRPr="00D27683">
              <w:rPr>
                <w:rFonts w:ascii="Arial Narrow" w:hAnsi="Arial Narrow"/>
                <w:sz w:val="20"/>
                <w:szCs w:val="20"/>
              </w:rPr>
              <w:fldChar w:fldCharType="end"/>
            </w:r>
            <w:r w:rsidRPr="00D27683">
              <w:rPr>
                <w:rFonts w:ascii="Arial Narrow" w:hAnsi="Arial Narrow"/>
                <w:sz w:val="20"/>
                <w:szCs w:val="20"/>
              </w:rPr>
              <w:t>Medical Practitioners</w:t>
            </w:r>
          </w:p>
        </w:tc>
      </w:tr>
      <w:tr w:rsidR="008531AE" w:rsidRPr="00D27683" w14:paraId="71928F7E" w14:textId="77777777">
        <w:trPr>
          <w:cantSplit/>
          <w:trHeight w:val="20"/>
        </w:trPr>
        <w:tc>
          <w:tcPr>
            <w:tcW w:w="5000" w:type="pct"/>
          </w:tcPr>
          <w:p w14:paraId="0F274BC5" w14:textId="77777777"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sz w:val="20"/>
                <w:szCs w:val="20"/>
              </w:rPr>
              <w:t xml:space="preserve">Restriction type: </w:t>
            </w:r>
            <w:r w:rsidRPr="00D27683">
              <w:rPr>
                <w:rFonts w:ascii="Arial Narrow" w:eastAsia="Calibri" w:hAnsi="Arial Narrow"/>
                <w:sz w:val="20"/>
                <w:szCs w:val="20"/>
              </w:rPr>
              <w:fldChar w:fldCharType="begin" w:fldLock="1">
                <w:ffData>
                  <w:name w:val=""/>
                  <w:enabled/>
                  <w:calcOnExit w:val="0"/>
                  <w:checkBox>
                    <w:sizeAuto/>
                    <w:default w:val="1"/>
                  </w:checkBox>
                </w:ffData>
              </w:fldChar>
            </w:r>
            <w:r w:rsidRPr="00D27683">
              <w:rPr>
                <w:rFonts w:ascii="Arial Narrow" w:eastAsia="Calibri" w:hAnsi="Arial Narrow"/>
                <w:sz w:val="20"/>
                <w:szCs w:val="20"/>
              </w:rPr>
              <w:instrText xml:space="preserve"> FORMCHECKBOX </w:instrText>
            </w:r>
            <w:r w:rsidRPr="00D27683">
              <w:rPr>
                <w:rFonts w:ascii="Arial Narrow" w:eastAsia="Calibri" w:hAnsi="Arial Narrow"/>
                <w:sz w:val="20"/>
                <w:szCs w:val="20"/>
              </w:rPr>
            </w:r>
            <w:r w:rsidRPr="00D27683">
              <w:rPr>
                <w:rFonts w:ascii="Arial Narrow" w:eastAsia="Calibri" w:hAnsi="Arial Narrow"/>
                <w:sz w:val="20"/>
                <w:szCs w:val="20"/>
              </w:rPr>
              <w:fldChar w:fldCharType="separate"/>
            </w:r>
            <w:r w:rsidRPr="00D27683">
              <w:rPr>
                <w:rFonts w:ascii="Arial Narrow" w:eastAsia="Calibri" w:hAnsi="Arial Narrow"/>
                <w:sz w:val="20"/>
                <w:szCs w:val="20"/>
              </w:rPr>
              <w:fldChar w:fldCharType="end"/>
            </w:r>
            <w:r w:rsidRPr="00D27683">
              <w:rPr>
                <w:rFonts w:ascii="Arial Narrow" w:eastAsia="Calibri" w:hAnsi="Arial Narrow"/>
                <w:sz w:val="20"/>
                <w:szCs w:val="20"/>
              </w:rPr>
              <w:t xml:space="preserve"> Authority Required (Telephone/Online)</w:t>
            </w:r>
          </w:p>
        </w:tc>
      </w:tr>
      <w:tr w:rsidR="008531AE" w:rsidRPr="00D27683" w14:paraId="3FC1645D" w14:textId="77777777">
        <w:trPr>
          <w:cantSplit/>
          <w:trHeight w:val="20"/>
        </w:trPr>
        <w:tc>
          <w:tcPr>
            <w:tcW w:w="5000" w:type="pct"/>
          </w:tcPr>
          <w:p w14:paraId="1E97C731" w14:textId="77777777"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bCs/>
                <w:color w:val="333333"/>
                <w:sz w:val="20"/>
                <w:szCs w:val="20"/>
              </w:rPr>
              <w:t>Indication:</w:t>
            </w:r>
            <w:r w:rsidRPr="00D27683">
              <w:rPr>
                <w:rFonts w:ascii="Arial Narrow" w:hAnsi="Arial Narrow"/>
                <w:color w:val="333333"/>
                <w:sz w:val="20"/>
                <w:szCs w:val="20"/>
              </w:rPr>
              <w:t xml:space="preserve"> </w:t>
            </w:r>
            <w:r w:rsidRPr="00D27683">
              <w:rPr>
                <w:rFonts w:ascii="Arial Narrow" w:hAnsi="Arial Narrow"/>
                <w:sz w:val="20"/>
                <w:szCs w:val="20"/>
              </w:rPr>
              <w:t>COPD</w:t>
            </w:r>
          </w:p>
        </w:tc>
      </w:tr>
      <w:tr w:rsidR="008531AE" w:rsidRPr="00D27683" w14:paraId="5F027910" w14:textId="77777777">
        <w:trPr>
          <w:cantSplit/>
          <w:trHeight w:val="20"/>
        </w:trPr>
        <w:tc>
          <w:tcPr>
            <w:tcW w:w="5000" w:type="pct"/>
          </w:tcPr>
          <w:p w14:paraId="79341B26" w14:textId="77777777" w:rsidR="008531AE" w:rsidRPr="00D27683" w:rsidRDefault="008531AE" w:rsidP="00135EE0">
            <w:pPr>
              <w:keepNext/>
              <w:keepLines/>
              <w:jc w:val="left"/>
              <w:rPr>
                <w:rFonts w:ascii="Arial Narrow" w:eastAsia="MS Gothic" w:hAnsi="Arial Narrow"/>
                <w:b/>
                <w:bCs/>
                <w:sz w:val="20"/>
              </w:rPr>
            </w:pPr>
            <w:r w:rsidRPr="00D27683">
              <w:rPr>
                <w:rFonts w:ascii="Arial Narrow" w:hAnsi="Arial Narrow"/>
                <w:b/>
                <w:bCs/>
                <w:color w:val="333333"/>
                <w:sz w:val="20"/>
                <w:szCs w:val="20"/>
              </w:rPr>
              <w:t>Treatment Phase:</w:t>
            </w:r>
            <w:r w:rsidRPr="00D27683">
              <w:rPr>
                <w:rFonts w:ascii="Arial Narrow" w:hAnsi="Arial Narrow"/>
                <w:color w:val="FF0000"/>
                <w:sz w:val="20"/>
                <w:szCs w:val="20"/>
              </w:rPr>
              <w:t xml:space="preserve"> </w:t>
            </w:r>
            <w:r w:rsidRPr="00D27683">
              <w:rPr>
                <w:rFonts w:ascii="Arial Narrow" w:hAnsi="Arial Narrow"/>
                <w:sz w:val="20"/>
                <w:szCs w:val="20"/>
              </w:rPr>
              <w:t xml:space="preserve">Continuing </w:t>
            </w:r>
          </w:p>
        </w:tc>
      </w:tr>
      <w:tr w:rsidR="008531AE" w:rsidRPr="00D27683" w14:paraId="696358E7" w14:textId="77777777">
        <w:trPr>
          <w:cantSplit/>
          <w:trHeight w:val="20"/>
        </w:trPr>
        <w:tc>
          <w:tcPr>
            <w:tcW w:w="5000" w:type="pct"/>
          </w:tcPr>
          <w:p w14:paraId="7CEB492E" w14:textId="77777777" w:rsidR="008531AE" w:rsidRPr="00D27683" w:rsidRDefault="008531AE" w:rsidP="00135EE0">
            <w:pPr>
              <w:keepNext/>
              <w:keepLines/>
              <w:jc w:val="left"/>
              <w:rPr>
                <w:rFonts w:ascii="Arial Narrow" w:eastAsia="MS Gothic" w:hAnsi="Arial Narrow"/>
                <w:b/>
                <w:bCs/>
                <w:sz w:val="20"/>
              </w:rPr>
            </w:pPr>
            <w:r w:rsidRPr="00D27683">
              <w:rPr>
                <w:rFonts w:ascii="Arial Narrow" w:eastAsia="MS Gothic" w:hAnsi="Arial Narrow"/>
                <w:b/>
                <w:bCs/>
                <w:sz w:val="20"/>
              </w:rPr>
              <w:t>Treatment criteria:</w:t>
            </w:r>
          </w:p>
        </w:tc>
      </w:tr>
      <w:tr w:rsidR="008531AE" w:rsidRPr="00D27683" w14:paraId="493A926B" w14:textId="77777777">
        <w:trPr>
          <w:cantSplit/>
          <w:trHeight w:val="20"/>
        </w:trPr>
        <w:tc>
          <w:tcPr>
            <w:tcW w:w="5000" w:type="pct"/>
          </w:tcPr>
          <w:p w14:paraId="2356850A" w14:textId="77777777" w:rsidR="008531AE" w:rsidRPr="00D27683" w:rsidRDefault="008531AE" w:rsidP="00135EE0">
            <w:pPr>
              <w:keepNext/>
              <w:keepLines/>
              <w:jc w:val="left"/>
              <w:rPr>
                <w:rFonts w:ascii="Arial Narrow" w:eastAsia="MS Gothic" w:hAnsi="Arial Narrow"/>
                <w:b/>
                <w:bCs/>
                <w:sz w:val="20"/>
              </w:rPr>
            </w:pPr>
            <w:r w:rsidRPr="00D27683">
              <w:rPr>
                <w:rFonts w:ascii="Arial Narrow" w:eastAsia="MS Gothic" w:hAnsi="Arial Narrow" w:cs="Calibri"/>
                <w:bCs/>
                <w:sz w:val="20"/>
                <w:szCs w:val="20"/>
                <w:lang w:eastAsia="en-GB"/>
              </w:rPr>
              <w:t>Patient must be treated by a medical practitioner who is a respiratory physician or general physician experienced in the management of patients with COPD</w:t>
            </w:r>
          </w:p>
        </w:tc>
      </w:tr>
      <w:tr w:rsidR="008531AE" w:rsidRPr="00D27683" w14:paraId="6BBBF3F9" w14:textId="77777777">
        <w:trPr>
          <w:cantSplit/>
          <w:trHeight w:val="20"/>
        </w:trPr>
        <w:tc>
          <w:tcPr>
            <w:tcW w:w="5000" w:type="pct"/>
          </w:tcPr>
          <w:p w14:paraId="670FFF24" w14:textId="77777777" w:rsidR="008531AE" w:rsidRPr="00D27683" w:rsidRDefault="008531AE" w:rsidP="00135EE0">
            <w:pPr>
              <w:keepNext/>
              <w:keepLines/>
              <w:jc w:val="left"/>
              <w:rPr>
                <w:rFonts w:ascii="Arial Narrow" w:eastAsia="MS Gothic" w:hAnsi="Arial Narrow"/>
                <w:b/>
                <w:bCs/>
                <w:sz w:val="20"/>
              </w:rPr>
            </w:pPr>
            <w:r w:rsidRPr="00D27683">
              <w:rPr>
                <w:rFonts w:ascii="Arial Narrow" w:eastAsia="MS Gothic" w:hAnsi="Arial Narrow"/>
                <w:b/>
                <w:bCs/>
                <w:sz w:val="20"/>
              </w:rPr>
              <w:t>Clinical criteria:</w:t>
            </w:r>
          </w:p>
        </w:tc>
      </w:tr>
      <w:tr w:rsidR="008531AE" w:rsidRPr="00D27683" w14:paraId="17C21D1D" w14:textId="77777777">
        <w:trPr>
          <w:cantSplit/>
          <w:trHeight w:val="20"/>
        </w:trPr>
        <w:tc>
          <w:tcPr>
            <w:tcW w:w="5000" w:type="pct"/>
          </w:tcPr>
          <w:p w14:paraId="248B86E1" w14:textId="77777777" w:rsidR="008531AE" w:rsidRPr="00D27683" w:rsidRDefault="008531AE" w:rsidP="00135EE0">
            <w:pPr>
              <w:keepNext/>
              <w:autoSpaceDE w:val="0"/>
              <w:autoSpaceDN w:val="0"/>
              <w:adjustRightInd w:val="0"/>
              <w:rPr>
                <w:rFonts w:ascii="Arial Narrow" w:hAnsi="Arial Narrow" w:cs="Calibri"/>
                <w:strike/>
                <w:sz w:val="20"/>
                <w:szCs w:val="20"/>
                <w:lang w:eastAsia="en-GB"/>
              </w:rPr>
            </w:pPr>
            <w:r w:rsidRPr="00D27683">
              <w:rPr>
                <w:rFonts w:ascii="Arial Narrow" w:hAnsi="Arial Narrow" w:cs="Calibri"/>
                <w:sz w:val="20"/>
                <w:szCs w:val="20"/>
                <w:lang w:eastAsia="en-GB"/>
              </w:rPr>
              <w:t>Patient must have previously received PBS-subsidised treatment with this drug for this condition</w:t>
            </w:r>
          </w:p>
        </w:tc>
      </w:tr>
      <w:tr w:rsidR="008531AE" w:rsidRPr="00D27683" w14:paraId="132E7660" w14:textId="77777777">
        <w:trPr>
          <w:cantSplit/>
          <w:trHeight w:val="20"/>
        </w:trPr>
        <w:tc>
          <w:tcPr>
            <w:tcW w:w="5000" w:type="pct"/>
          </w:tcPr>
          <w:p w14:paraId="0CE39DEE" w14:textId="77777777" w:rsidR="008531AE" w:rsidRPr="00D27683" w:rsidRDefault="008531AE" w:rsidP="00135EE0">
            <w:pPr>
              <w:keepNext/>
              <w:autoSpaceDE w:val="0"/>
              <w:autoSpaceDN w:val="0"/>
              <w:adjustRightInd w:val="0"/>
              <w:rPr>
                <w:rFonts w:ascii="Arial Narrow" w:hAnsi="Arial Narrow" w:cs="Calibri"/>
                <w:b/>
                <w:bCs/>
                <w:sz w:val="20"/>
                <w:szCs w:val="20"/>
                <w:lang w:eastAsia="en-GB"/>
              </w:rPr>
            </w:pPr>
            <w:r w:rsidRPr="00D27683">
              <w:rPr>
                <w:rFonts w:ascii="Arial Narrow" w:hAnsi="Arial Narrow" w:cs="Calibri"/>
                <w:b/>
                <w:bCs/>
                <w:sz w:val="20"/>
                <w:szCs w:val="20"/>
                <w:lang w:eastAsia="en-GB"/>
              </w:rPr>
              <w:t>AND</w:t>
            </w:r>
          </w:p>
        </w:tc>
      </w:tr>
      <w:tr w:rsidR="008531AE" w:rsidRPr="00D27683" w14:paraId="60FBC4C9" w14:textId="77777777">
        <w:trPr>
          <w:cantSplit/>
          <w:trHeight w:val="20"/>
        </w:trPr>
        <w:tc>
          <w:tcPr>
            <w:tcW w:w="5000" w:type="pct"/>
          </w:tcPr>
          <w:p w14:paraId="787FFC37" w14:textId="77777777" w:rsidR="008531AE" w:rsidRPr="00D27683" w:rsidRDefault="008531AE" w:rsidP="00135EE0">
            <w:pPr>
              <w:keepNext/>
              <w:keepLines/>
              <w:jc w:val="left"/>
              <w:rPr>
                <w:rFonts w:ascii="Arial Narrow" w:eastAsia="MS Gothic" w:hAnsi="Arial Narrow"/>
                <w:b/>
                <w:bCs/>
                <w:sz w:val="20"/>
              </w:rPr>
            </w:pPr>
            <w:r w:rsidRPr="00D27683">
              <w:rPr>
                <w:rFonts w:ascii="Arial Narrow" w:eastAsia="MS Gothic" w:hAnsi="Arial Narrow"/>
                <w:b/>
                <w:bCs/>
                <w:sz w:val="20"/>
              </w:rPr>
              <w:t>Clinical criteria:</w:t>
            </w:r>
          </w:p>
        </w:tc>
      </w:tr>
      <w:tr w:rsidR="008531AE" w:rsidRPr="00D27683" w14:paraId="52C782A2" w14:textId="77777777">
        <w:trPr>
          <w:cantSplit/>
          <w:trHeight w:val="20"/>
        </w:trPr>
        <w:tc>
          <w:tcPr>
            <w:tcW w:w="5000" w:type="pct"/>
          </w:tcPr>
          <w:p w14:paraId="35B94822" w14:textId="77777777" w:rsidR="008531AE" w:rsidRPr="00D27683" w:rsidRDefault="008531AE" w:rsidP="00135EE0">
            <w:pPr>
              <w:keepNext/>
              <w:autoSpaceDE w:val="0"/>
              <w:autoSpaceDN w:val="0"/>
              <w:adjustRightInd w:val="0"/>
              <w:rPr>
                <w:rFonts w:ascii="Arial Narrow" w:hAnsi="Arial Narrow" w:cs="Calibri"/>
                <w:sz w:val="20"/>
                <w:szCs w:val="20"/>
                <w:lang w:eastAsia="en-GB"/>
              </w:rPr>
            </w:pPr>
            <w:r w:rsidRPr="00D27683">
              <w:rPr>
                <w:rFonts w:ascii="Arial Narrow" w:hAnsi="Arial Narrow" w:cs="Calibri"/>
                <w:sz w:val="20"/>
                <w:szCs w:val="20"/>
                <w:lang w:eastAsia="en-GB"/>
              </w:rPr>
              <w:t>Patient must have achieved</w:t>
            </w:r>
            <w:r w:rsidRPr="00D27683">
              <w:rPr>
                <w:rFonts w:ascii="Arial Narrow" w:hAnsi="Arial Narrow" w:cs="Calibri"/>
                <w:bCs/>
                <w:iCs/>
                <w:sz w:val="20"/>
                <w:szCs w:val="20"/>
                <w:lang w:eastAsia="en-GB"/>
              </w:rPr>
              <w:t xml:space="preserve"> and sustained</w:t>
            </w:r>
            <w:r w:rsidRPr="00D27683">
              <w:rPr>
                <w:rFonts w:ascii="Arial Narrow" w:hAnsi="Arial Narrow" w:cs="Calibri"/>
                <w:sz w:val="20"/>
                <w:szCs w:val="20"/>
                <w:lang w:eastAsia="en-GB"/>
              </w:rPr>
              <w:t xml:space="preserve"> an adequate response to this drug, defined as:</w:t>
            </w:r>
          </w:p>
          <w:p w14:paraId="20111685" w14:textId="77777777" w:rsidR="008531AE" w:rsidRPr="00D27683" w:rsidRDefault="008531AE" w:rsidP="00135EE0">
            <w:pPr>
              <w:keepNext/>
              <w:autoSpaceDE w:val="0"/>
              <w:autoSpaceDN w:val="0"/>
              <w:adjustRightInd w:val="0"/>
              <w:rPr>
                <w:rFonts w:ascii="Arial Narrow" w:hAnsi="Arial Narrow" w:cs="Calibri"/>
                <w:sz w:val="20"/>
                <w:szCs w:val="20"/>
                <w:lang w:eastAsia="en-GB"/>
              </w:rPr>
            </w:pPr>
          </w:p>
          <w:p w14:paraId="4A99C1CF" w14:textId="77777777" w:rsidR="008531AE" w:rsidRPr="00D27683" w:rsidRDefault="008531AE" w:rsidP="00135EE0">
            <w:pPr>
              <w:keepNext/>
              <w:autoSpaceDE w:val="0"/>
              <w:autoSpaceDN w:val="0"/>
              <w:adjustRightInd w:val="0"/>
              <w:jc w:val="left"/>
              <w:rPr>
                <w:rFonts w:ascii="Arial Narrow" w:hAnsi="Arial Narrow" w:cs="Calibri"/>
                <w:sz w:val="20"/>
                <w:szCs w:val="20"/>
                <w:lang w:eastAsia="en-GB"/>
              </w:rPr>
            </w:pPr>
            <w:r w:rsidRPr="00D27683">
              <w:rPr>
                <w:rFonts w:ascii="Arial Narrow" w:hAnsi="Arial Narrow" w:cs="Calibri"/>
                <w:sz w:val="20"/>
                <w:szCs w:val="20"/>
                <w:lang w:eastAsia="en-GB"/>
              </w:rPr>
              <w:t>For patients with a history of</w:t>
            </w:r>
            <w:r w:rsidRPr="00D27683">
              <w:rPr>
                <w:rFonts w:ascii="Arial Narrow" w:hAnsi="Arial Narrow" w:cs="Calibri"/>
                <w:b/>
                <w:bCs/>
                <w:sz w:val="20"/>
                <w:szCs w:val="20"/>
                <w:lang w:eastAsia="en-GB"/>
              </w:rPr>
              <w:t xml:space="preserve"> </w:t>
            </w:r>
            <w:r w:rsidRPr="00D27683">
              <w:rPr>
                <w:rFonts w:ascii="Arial Narrow" w:hAnsi="Arial Narrow" w:cs="Calibri"/>
                <w:b/>
                <w:bCs/>
                <w:sz w:val="20"/>
                <w:szCs w:val="20"/>
                <w:u w:val="single"/>
                <w:lang w:eastAsia="en-GB"/>
              </w:rPr>
              <w:t>severe</w:t>
            </w:r>
            <w:r w:rsidRPr="00D27683">
              <w:rPr>
                <w:rFonts w:ascii="Arial Narrow" w:hAnsi="Arial Narrow" w:cs="Calibri"/>
                <w:sz w:val="20"/>
                <w:szCs w:val="20"/>
                <w:lang w:eastAsia="en-GB"/>
              </w:rPr>
              <w:t xml:space="preserve"> exacerbation in the last 12 months, compared to the baseline level provided with the initial authority application:</w:t>
            </w:r>
          </w:p>
          <w:p w14:paraId="07AD05B5" w14:textId="77777777" w:rsidR="008531AE" w:rsidRPr="00D27683" w:rsidRDefault="008531AE" w:rsidP="00135EE0">
            <w:pPr>
              <w:keepNext/>
              <w:autoSpaceDE w:val="0"/>
              <w:autoSpaceDN w:val="0"/>
              <w:adjustRightInd w:val="0"/>
              <w:jc w:val="left"/>
              <w:rPr>
                <w:rFonts w:ascii="Arial Narrow" w:hAnsi="Arial Narrow" w:cs="Calibri"/>
                <w:szCs w:val="20"/>
                <w:lang w:eastAsia="en-GB"/>
              </w:rPr>
            </w:pPr>
          </w:p>
          <w:p w14:paraId="13C0ACA0" w14:textId="77777777" w:rsidR="008531AE" w:rsidRPr="00D27683" w:rsidRDefault="008531AE" w:rsidP="00135EE0">
            <w:pPr>
              <w:pStyle w:val="ListParagraph"/>
              <w:keepNext/>
              <w:numPr>
                <w:ilvl w:val="0"/>
                <w:numId w:val="10"/>
              </w:numPr>
              <w:autoSpaceDE w:val="0"/>
              <w:autoSpaceDN w:val="0"/>
              <w:adjustRightInd w:val="0"/>
              <w:spacing w:after="0"/>
              <w:contextualSpacing/>
              <w:jc w:val="left"/>
              <w:rPr>
                <w:rFonts w:ascii="Arial Narrow" w:hAnsi="Arial Narrow" w:cs="Calibri"/>
                <w:sz w:val="20"/>
                <w:szCs w:val="20"/>
                <w:lang w:eastAsia="en-GB"/>
              </w:rPr>
            </w:pPr>
            <w:r w:rsidRPr="00D27683">
              <w:rPr>
                <w:rFonts w:ascii="Arial Narrow" w:hAnsi="Arial Narrow" w:cs="Calibri"/>
                <w:sz w:val="20"/>
                <w:szCs w:val="20"/>
                <w:lang w:eastAsia="en-GB"/>
              </w:rPr>
              <w:t>Patient has experienced</w:t>
            </w:r>
            <w:r w:rsidRPr="00D27683">
              <w:rPr>
                <w:rFonts w:ascii="Arial Narrow" w:hAnsi="Arial Narrow" w:cs="Calibri"/>
                <w:b/>
                <w:bCs/>
                <w:sz w:val="20"/>
                <w:szCs w:val="20"/>
                <w:lang w:eastAsia="en-GB"/>
              </w:rPr>
              <w:t xml:space="preserve"> </w:t>
            </w:r>
            <w:r w:rsidRPr="00D27683">
              <w:rPr>
                <w:rFonts w:ascii="Arial Narrow" w:hAnsi="Arial Narrow" w:cs="Calibri"/>
                <w:b/>
                <w:bCs/>
                <w:sz w:val="20"/>
                <w:szCs w:val="20"/>
                <w:u w:val="single"/>
                <w:lang w:eastAsia="en-GB"/>
              </w:rPr>
              <w:t>no change or a reduction in number of severe</w:t>
            </w:r>
            <w:r w:rsidRPr="00D27683">
              <w:rPr>
                <w:rFonts w:ascii="Arial Narrow" w:hAnsi="Arial Narrow" w:cs="Calibri"/>
                <w:b/>
                <w:bCs/>
                <w:sz w:val="20"/>
                <w:szCs w:val="20"/>
                <w:lang w:eastAsia="en-GB"/>
              </w:rPr>
              <w:t xml:space="preserve"> exacerbations</w:t>
            </w:r>
            <w:r w:rsidRPr="00D27683">
              <w:rPr>
                <w:rFonts w:ascii="Arial Narrow" w:hAnsi="Arial Narrow" w:cs="Calibri"/>
                <w:sz w:val="20"/>
                <w:szCs w:val="20"/>
                <w:lang w:eastAsia="en-GB"/>
              </w:rPr>
              <w:t xml:space="preserve"> </w:t>
            </w:r>
            <w:r w:rsidRPr="00D27683">
              <w:rPr>
                <w:rFonts w:ascii="Arial Narrow" w:hAnsi="Arial Narrow" w:cs="Calibri"/>
                <w:b/>
                <w:bCs/>
                <w:sz w:val="20"/>
                <w:szCs w:val="20"/>
                <w:u w:val="single"/>
                <w:lang w:eastAsia="en-GB"/>
              </w:rPr>
              <w:t>AND</w:t>
            </w:r>
          </w:p>
          <w:p w14:paraId="61AB2E9F" w14:textId="77777777" w:rsidR="008531AE" w:rsidRPr="00D27683" w:rsidRDefault="008531AE" w:rsidP="00135EE0">
            <w:pPr>
              <w:pStyle w:val="ListParagraph"/>
              <w:keepNext/>
              <w:numPr>
                <w:ilvl w:val="0"/>
                <w:numId w:val="10"/>
              </w:numPr>
              <w:autoSpaceDE w:val="0"/>
              <w:autoSpaceDN w:val="0"/>
              <w:adjustRightInd w:val="0"/>
              <w:spacing w:after="0"/>
              <w:contextualSpacing/>
              <w:jc w:val="left"/>
              <w:rPr>
                <w:rFonts w:ascii="Arial Narrow" w:hAnsi="Arial Narrow" w:cs="Calibri"/>
                <w:sz w:val="20"/>
                <w:szCs w:val="20"/>
                <w:lang w:eastAsia="en-GB"/>
              </w:rPr>
            </w:pPr>
            <w:r w:rsidRPr="00D27683">
              <w:rPr>
                <w:rFonts w:ascii="Arial Narrow" w:hAnsi="Arial Narrow" w:cs="Calibri"/>
                <w:sz w:val="20"/>
                <w:szCs w:val="20"/>
                <w:u w:val="single"/>
                <w:lang w:eastAsia="en-GB"/>
              </w:rPr>
              <w:t xml:space="preserve">Patient has experienced </w:t>
            </w:r>
            <w:r w:rsidRPr="00D27683">
              <w:rPr>
                <w:rFonts w:ascii="Arial Narrow" w:hAnsi="Arial Narrow" w:cs="Calibri"/>
                <w:b/>
                <w:bCs/>
                <w:sz w:val="20"/>
                <w:szCs w:val="20"/>
                <w:u w:val="single"/>
                <w:lang w:eastAsia="en-GB"/>
              </w:rPr>
              <w:t>no increase in number of total exacerbations</w:t>
            </w:r>
            <w:r w:rsidRPr="00D27683">
              <w:rPr>
                <w:rFonts w:ascii="Arial Narrow" w:hAnsi="Arial Narrow" w:cs="Calibri"/>
                <w:sz w:val="20"/>
                <w:szCs w:val="20"/>
                <w:lang w:eastAsia="en-GB"/>
              </w:rPr>
              <w:t xml:space="preserve"> over the past 12 months compared to baseline</w:t>
            </w:r>
          </w:p>
          <w:p w14:paraId="7F2861F3" w14:textId="77777777" w:rsidR="008531AE" w:rsidRPr="00D27683" w:rsidRDefault="008531AE" w:rsidP="00135EE0">
            <w:pPr>
              <w:keepNext/>
              <w:autoSpaceDE w:val="0"/>
              <w:autoSpaceDN w:val="0"/>
              <w:adjustRightInd w:val="0"/>
              <w:rPr>
                <w:rFonts w:ascii="Arial Narrow" w:hAnsi="Arial Narrow" w:cs="Calibri"/>
                <w:sz w:val="20"/>
                <w:szCs w:val="20"/>
                <w:lang w:eastAsia="en-GB"/>
              </w:rPr>
            </w:pPr>
          </w:p>
          <w:p w14:paraId="4B429F76" w14:textId="77777777" w:rsidR="008531AE" w:rsidRPr="00D27683" w:rsidRDefault="008531AE" w:rsidP="00135EE0">
            <w:pPr>
              <w:keepNext/>
              <w:autoSpaceDE w:val="0"/>
              <w:autoSpaceDN w:val="0"/>
              <w:adjustRightInd w:val="0"/>
              <w:jc w:val="left"/>
              <w:rPr>
                <w:rFonts w:ascii="Arial Narrow" w:hAnsi="Arial Narrow" w:cs="Calibri"/>
                <w:sz w:val="20"/>
                <w:szCs w:val="20"/>
                <w:lang w:eastAsia="en-GB"/>
              </w:rPr>
            </w:pPr>
            <w:r w:rsidRPr="00D27683">
              <w:rPr>
                <w:rFonts w:ascii="Arial Narrow" w:hAnsi="Arial Narrow" w:cs="Calibri"/>
                <w:sz w:val="20"/>
                <w:szCs w:val="20"/>
                <w:lang w:eastAsia="en-GB"/>
              </w:rPr>
              <w:t xml:space="preserve">For patients with a history of </w:t>
            </w:r>
            <w:r w:rsidRPr="00D27683">
              <w:rPr>
                <w:rFonts w:ascii="Arial Narrow" w:hAnsi="Arial Narrow" w:cs="Calibri"/>
                <w:b/>
                <w:bCs/>
                <w:sz w:val="20"/>
                <w:szCs w:val="20"/>
                <w:u w:val="single"/>
                <w:lang w:eastAsia="en-GB"/>
              </w:rPr>
              <w:t>moderate</w:t>
            </w:r>
            <w:r w:rsidRPr="00D27683">
              <w:rPr>
                <w:rFonts w:ascii="Arial Narrow" w:hAnsi="Arial Narrow" w:cs="Calibri"/>
                <w:sz w:val="20"/>
                <w:szCs w:val="20"/>
                <w:lang w:eastAsia="en-GB"/>
              </w:rPr>
              <w:t xml:space="preserve"> exacerbation</w:t>
            </w:r>
            <w:r w:rsidRPr="00D27683">
              <w:rPr>
                <w:rFonts w:ascii="Arial Narrow" w:hAnsi="Arial Narrow" w:cs="Calibri"/>
                <w:b/>
                <w:bCs/>
                <w:sz w:val="20"/>
                <w:szCs w:val="20"/>
                <w:u w:val="single"/>
                <w:lang w:eastAsia="en-GB"/>
              </w:rPr>
              <w:t xml:space="preserve"> only</w:t>
            </w:r>
            <w:r w:rsidRPr="00D27683">
              <w:rPr>
                <w:rFonts w:ascii="Arial Narrow" w:hAnsi="Arial Narrow" w:cs="Calibri"/>
                <w:sz w:val="20"/>
                <w:szCs w:val="20"/>
                <w:lang w:eastAsia="en-GB"/>
              </w:rPr>
              <w:t xml:space="preserve"> in the last 12 months, compared to the baseline level provided with the initial authority application:</w:t>
            </w:r>
          </w:p>
          <w:p w14:paraId="55EC5931" w14:textId="77777777" w:rsidR="008531AE" w:rsidRPr="00D27683" w:rsidRDefault="008531AE" w:rsidP="00135EE0">
            <w:pPr>
              <w:keepNext/>
              <w:autoSpaceDE w:val="0"/>
              <w:autoSpaceDN w:val="0"/>
              <w:adjustRightInd w:val="0"/>
              <w:jc w:val="left"/>
              <w:rPr>
                <w:rFonts w:ascii="Arial Narrow" w:hAnsi="Arial Narrow" w:cs="Calibri"/>
                <w:szCs w:val="20"/>
                <w:lang w:eastAsia="en-GB"/>
              </w:rPr>
            </w:pPr>
          </w:p>
          <w:p w14:paraId="67269925" w14:textId="77777777" w:rsidR="008531AE" w:rsidRPr="00D27683" w:rsidRDefault="008531AE" w:rsidP="00135EE0">
            <w:pPr>
              <w:pStyle w:val="ListParagraph"/>
              <w:keepNext/>
              <w:numPr>
                <w:ilvl w:val="0"/>
                <w:numId w:val="13"/>
              </w:numPr>
              <w:autoSpaceDE w:val="0"/>
              <w:autoSpaceDN w:val="0"/>
              <w:adjustRightInd w:val="0"/>
              <w:spacing w:after="0"/>
              <w:contextualSpacing/>
              <w:jc w:val="left"/>
              <w:rPr>
                <w:rFonts w:ascii="Arial Narrow" w:hAnsi="Arial Narrow" w:cs="Calibri"/>
                <w:sz w:val="20"/>
                <w:szCs w:val="20"/>
                <w:lang w:eastAsia="en-GB"/>
              </w:rPr>
            </w:pPr>
            <w:r w:rsidRPr="00D27683">
              <w:rPr>
                <w:rFonts w:ascii="Arial Narrow" w:hAnsi="Arial Narrow" w:cs="Calibri"/>
                <w:sz w:val="20"/>
                <w:szCs w:val="20"/>
                <w:lang w:eastAsia="en-GB"/>
              </w:rPr>
              <w:t xml:space="preserve">Patient has </w:t>
            </w:r>
            <w:r w:rsidRPr="00D27683">
              <w:rPr>
                <w:rFonts w:ascii="Arial Narrow" w:hAnsi="Arial Narrow" w:cs="Calibri"/>
                <w:sz w:val="20"/>
                <w:szCs w:val="20"/>
                <w:u w:val="single"/>
                <w:lang w:eastAsia="en-GB"/>
              </w:rPr>
              <w:t>experienced</w:t>
            </w:r>
            <w:r w:rsidRPr="00D27683">
              <w:rPr>
                <w:rFonts w:ascii="Arial Narrow" w:hAnsi="Arial Narrow" w:cs="Calibri"/>
                <w:b/>
                <w:bCs/>
                <w:sz w:val="20"/>
                <w:szCs w:val="20"/>
                <w:u w:val="single"/>
                <w:lang w:eastAsia="en-GB"/>
              </w:rPr>
              <w:t xml:space="preserve"> no change or a reduction in number of moderate </w:t>
            </w:r>
            <w:r w:rsidRPr="00D27683">
              <w:rPr>
                <w:rFonts w:ascii="Arial Narrow" w:hAnsi="Arial Narrow" w:cs="Calibri"/>
                <w:b/>
                <w:bCs/>
                <w:sz w:val="20"/>
                <w:szCs w:val="20"/>
                <w:lang w:eastAsia="en-GB"/>
              </w:rPr>
              <w:t>exacerbations</w:t>
            </w:r>
            <w:r w:rsidRPr="00D27683">
              <w:rPr>
                <w:rFonts w:ascii="Arial Narrow" w:hAnsi="Arial Narrow" w:cs="Calibri"/>
                <w:sz w:val="20"/>
                <w:szCs w:val="20"/>
                <w:lang w:eastAsia="en-GB"/>
              </w:rPr>
              <w:t xml:space="preserve"> over the past 12 months compared to baseline </w:t>
            </w:r>
            <w:r w:rsidRPr="00D27683">
              <w:rPr>
                <w:rFonts w:ascii="Arial Narrow" w:hAnsi="Arial Narrow" w:cs="Calibri"/>
                <w:b/>
                <w:bCs/>
                <w:sz w:val="20"/>
                <w:szCs w:val="20"/>
                <w:u w:val="single"/>
                <w:lang w:eastAsia="en-GB"/>
              </w:rPr>
              <w:t xml:space="preserve">AND </w:t>
            </w:r>
          </w:p>
          <w:p w14:paraId="4ECE134E" w14:textId="77777777" w:rsidR="008531AE" w:rsidRPr="00D27683" w:rsidRDefault="008531AE" w:rsidP="00135EE0">
            <w:pPr>
              <w:pStyle w:val="ListParagraph"/>
              <w:keepNext/>
              <w:numPr>
                <w:ilvl w:val="0"/>
                <w:numId w:val="13"/>
              </w:numPr>
              <w:autoSpaceDE w:val="0"/>
              <w:autoSpaceDN w:val="0"/>
              <w:adjustRightInd w:val="0"/>
              <w:spacing w:after="0"/>
              <w:contextualSpacing/>
              <w:jc w:val="left"/>
              <w:rPr>
                <w:rFonts w:ascii="Arial Narrow" w:hAnsi="Arial Narrow" w:cs="Calibri"/>
                <w:sz w:val="20"/>
                <w:szCs w:val="20"/>
                <w:lang w:eastAsia="en-GB"/>
              </w:rPr>
            </w:pPr>
            <w:r w:rsidRPr="00D27683">
              <w:rPr>
                <w:rFonts w:ascii="Arial Narrow" w:hAnsi="Arial Narrow" w:cs="Calibri"/>
                <w:sz w:val="20"/>
                <w:szCs w:val="20"/>
                <w:lang w:eastAsia="en-GB"/>
              </w:rPr>
              <w:t xml:space="preserve">Patient has </w:t>
            </w:r>
            <w:r w:rsidRPr="00D27683">
              <w:rPr>
                <w:rFonts w:ascii="Arial Narrow" w:hAnsi="Arial Narrow" w:cs="Calibri"/>
                <w:sz w:val="20"/>
                <w:szCs w:val="20"/>
                <w:u w:val="single"/>
                <w:lang w:eastAsia="en-GB"/>
              </w:rPr>
              <w:t>experienced</w:t>
            </w:r>
            <w:r w:rsidRPr="00D27683">
              <w:rPr>
                <w:rFonts w:ascii="Arial Narrow" w:hAnsi="Arial Narrow" w:cs="Calibri"/>
                <w:b/>
                <w:bCs/>
                <w:sz w:val="20"/>
                <w:szCs w:val="20"/>
                <w:u w:val="single"/>
                <w:lang w:eastAsia="en-GB"/>
              </w:rPr>
              <w:t xml:space="preserve"> no severe exacerbations</w:t>
            </w:r>
            <w:r w:rsidRPr="00D27683">
              <w:rPr>
                <w:rFonts w:ascii="Arial Narrow" w:hAnsi="Arial Narrow" w:cs="Calibri"/>
                <w:sz w:val="20"/>
                <w:szCs w:val="20"/>
                <w:lang w:eastAsia="en-GB"/>
              </w:rPr>
              <w:t xml:space="preserve"> </w:t>
            </w:r>
          </w:p>
        </w:tc>
      </w:tr>
      <w:tr w:rsidR="008531AE" w:rsidRPr="00D27683" w14:paraId="42A402BB" w14:textId="77777777">
        <w:trPr>
          <w:cantSplit/>
          <w:trHeight w:val="20"/>
        </w:trPr>
        <w:tc>
          <w:tcPr>
            <w:tcW w:w="5000" w:type="pct"/>
          </w:tcPr>
          <w:p w14:paraId="4AEB5EE3" w14:textId="77777777" w:rsidR="008531AE" w:rsidRPr="00D27683" w:rsidRDefault="008531AE" w:rsidP="00135EE0">
            <w:pPr>
              <w:keepNext/>
              <w:keepLines/>
              <w:jc w:val="left"/>
              <w:rPr>
                <w:rFonts w:ascii="Arial Narrow" w:eastAsia="MS Gothic" w:hAnsi="Arial Narrow"/>
                <w:bCs/>
                <w:sz w:val="20"/>
              </w:rPr>
            </w:pPr>
            <w:r w:rsidRPr="00D27683">
              <w:rPr>
                <w:rFonts w:ascii="Arial Narrow" w:eastAsia="MS Gothic" w:hAnsi="Arial Narrow"/>
                <w:b/>
                <w:bCs/>
                <w:sz w:val="20"/>
              </w:rPr>
              <w:t>Population criteria:</w:t>
            </w:r>
          </w:p>
        </w:tc>
      </w:tr>
      <w:tr w:rsidR="008531AE" w:rsidRPr="00D27683" w14:paraId="7034D469" w14:textId="77777777">
        <w:trPr>
          <w:cantSplit/>
          <w:trHeight w:val="20"/>
        </w:trPr>
        <w:tc>
          <w:tcPr>
            <w:tcW w:w="5000" w:type="pct"/>
          </w:tcPr>
          <w:p w14:paraId="290998BA" w14:textId="77777777" w:rsidR="008531AE" w:rsidRPr="00D27683" w:rsidRDefault="008531AE" w:rsidP="00135EE0">
            <w:pPr>
              <w:keepNext/>
              <w:keepLines/>
              <w:jc w:val="left"/>
              <w:rPr>
                <w:rFonts w:ascii="Arial Narrow" w:eastAsia="MS Gothic" w:hAnsi="Arial Narrow"/>
                <w:bCs/>
                <w:sz w:val="20"/>
              </w:rPr>
            </w:pPr>
            <w:r w:rsidRPr="00D27683">
              <w:rPr>
                <w:rFonts w:ascii="Arial Narrow" w:eastAsia="MS Gothic" w:hAnsi="Arial Narrow" w:cs="Calibri"/>
                <w:bCs/>
                <w:sz w:val="20"/>
                <w:szCs w:val="20"/>
                <w:lang w:eastAsia="en-GB"/>
              </w:rPr>
              <w:t>Patient must be aged 18 years or older.</w:t>
            </w:r>
          </w:p>
        </w:tc>
      </w:tr>
    </w:tbl>
    <w:p w14:paraId="35C5ACDE" w14:textId="0E8F5C38" w:rsidR="008531AE" w:rsidRPr="00D27683" w:rsidRDefault="008531AE" w:rsidP="003338A0">
      <w:pPr>
        <w:pStyle w:val="TableFigureFooter"/>
      </w:pPr>
      <w:r w:rsidRPr="00D27683">
        <w:t>Source: Table 1-10 p40 of the submission</w:t>
      </w:r>
      <w:r w:rsidR="003662BE" w:rsidRPr="00D27683">
        <w:t>.</w:t>
      </w:r>
    </w:p>
    <w:p w14:paraId="7B8589B3" w14:textId="2CD1791B" w:rsidR="008531AE" w:rsidRPr="00D27683" w:rsidRDefault="008531AE" w:rsidP="003338A0">
      <w:pPr>
        <w:pStyle w:val="TableFigureFooter"/>
      </w:pPr>
      <w:r w:rsidRPr="00D27683">
        <w:t>COPD = chronic obstructive pulmonary disease; PBS = Pharmaceutical Benefits Scheme</w:t>
      </w:r>
      <w:r w:rsidR="003662BE" w:rsidRPr="00D27683">
        <w:t>.</w:t>
      </w:r>
    </w:p>
    <w:p w14:paraId="2B6F7AA9" w14:textId="48085016" w:rsidR="008531AE" w:rsidRPr="00D27683" w:rsidRDefault="009E5130" w:rsidP="00135EE0">
      <w:pPr>
        <w:pStyle w:val="3-BodyText"/>
        <w:numPr>
          <w:ilvl w:val="1"/>
          <w:numId w:val="1"/>
        </w:numPr>
      </w:pPr>
      <w:bookmarkStart w:id="38" w:name="_Hlk215849641"/>
      <w:r w:rsidRPr="00D27683">
        <w:t xml:space="preserve">The submission requested a special pricing arrangement (SPA). </w:t>
      </w:r>
      <w:r w:rsidR="00F166AC" w:rsidRPr="00D27683">
        <w:t xml:space="preserve">The requested published ex-manufacturer price (EMP) </w:t>
      </w:r>
      <w:r w:rsidR="0037272C">
        <w:t>wa</w:t>
      </w:r>
      <w:r w:rsidR="00B478E0" w:rsidRPr="00D27683">
        <w:t>s</w:t>
      </w:r>
      <w:r w:rsidR="00D122C3" w:rsidRPr="00D27683">
        <w:t xml:space="preserve"> $</w:t>
      </w:r>
      <w:r w:rsidR="003C172C" w:rsidRPr="003C172C">
        <w:rPr>
          <w:sz w:val="2"/>
          <w:highlight w:val="black"/>
        </w:rPr>
        <w:t>redacted content</w:t>
      </w:r>
      <w:r w:rsidR="00D122C3" w:rsidRPr="00D27683">
        <w:t xml:space="preserve"> </w:t>
      </w:r>
      <w:r w:rsidR="008128A5" w:rsidRPr="00D27683">
        <w:t xml:space="preserve">per </w:t>
      </w:r>
      <w:r w:rsidR="00D609A8" w:rsidRPr="00D27683">
        <w:t xml:space="preserve">100 mg </w:t>
      </w:r>
      <w:r w:rsidR="00013254" w:rsidRPr="00D27683">
        <w:t>pre-filled pen</w:t>
      </w:r>
      <w:r w:rsidR="00065E9D" w:rsidRPr="00D27683">
        <w:t xml:space="preserve"> and </w:t>
      </w:r>
      <w:r w:rsidR="001C55A3" w:rsidRPr="00D27683">
        <w:t>the req</w:t>
      </w:r>
      <w:r w:rsidR="00B11760" w:rsidRPr="00D27683">
        <w:t xml:space="preserve">uested </w:t>
      </w:r>
      <w:r w:rsidR="00327CA3" w:rsidRPr="00D27683">
        <w:t>effective EMP</w:t>
      </w:r>
      <w:r w:rsidR="0037272C">
        <w:t xml:space="preserve"> in the submission</w:t>
      </w:r>
      <w:r w:rsidR="00327CA3" w:rsidRPr="00D27683">
        <w:t xml:space="preserve"> </w:t>
      </w:r>
      <w:r w:rsidR="00FB0C60">
        <w:t>wa</w:t>
      </w:r>
      <w:r w:rsidR="00327CA3" w:rsidRPr="00D27683">
        <w:t>s $</w:t>
      </w:r>
      <w:r w:rsidR="003C172C" w:rsidRPr="003C172C">
        <w:rPr>
          <w:sz w:val="2"/>
          <w:highlight w:val="black"/>
        </w:rPr>
        <w:t>redacted content</w:t>
      </w:r>
      <w:r w:rsidR="00114985" w:rsidRPr="00D27683">
        <w:t xml:space="preserve"> per 100 mg pre-filled pen. </w:t>
      </w:r>
      <w:r w:rsidR="00FB45E8">
        <w:t xml:space="preserve">The Pre-PBAC Response proposed a </w:t>
      </w:r>
      <w:r w:rsidR="008C30E3">
        <w:t>revised</w:t>
      </w:r>
      <w:r w:rsidR="00D85D1A">
        <w:t xml:space="preserve"> effective</w:t>
      </w:r>
      <w:r w:rsidR="00276F14">
        <w:t xml:space="preserve"> EMP of $</w:t>
      </w:r>
      <w:r w:rsidR="003C172C" w:rsidRPr="003C172C">
        <w:rPr>
          <w:sz w:val="2"/>
          <w:highlight w:val="black"/>
        </w:rPr>
        <w:t>redacted content</w:t>
      </w:r>
      <w:r w:rsidR="00B81DC5">
        <w:t xml:space="preserve"> per 100 mg </w:t>
      </w:r>
      <w:r w:rsidR="00656B3A">
        <w:t>pre-filled pen.</w:t>
      </w:r>
    </w:p>
    <w:p w14:paraId="39243FD1" w14:textId="035BE2F5" w:rsidR="00B66251" w:rsidRPr="00815F6D" w:rsidRDefault="00203A14" w:rsidP="00135EE0">
      <w:pPr>
        <w:pStyle w:val="3-BodyText"/>
      </w:pPr>
      <w:bookmarkStart w:id="39" w:name="_Ref224649050"/>
      <w:r w:rsidRPr="00D27683">
        <w:t xml:space="preserve">The requested PBS criterion of </w:t>
      </w:r>
      <w:r w:rsidR="000A61A7" w:rsidRPr="00D27683">
        <w:t>‘</w:t>
      </w:r>
      <w:r w:rsidRPr="00D27683">
        <w:t>Patient must have BEC ≥300 cells/μL in the last 12 months</w:t>
      </w:r>
      <w:r w:rsidR="000A61A7" w:rsidRPr="00D27683">
        <w:t>’</w:t>
      </w:r>
      <w:r w:rsidRPr="00D27683">
        <w:t xml:space="preserve"> is broader than the inclusion criteria used in the MATINEE trial, which required patients to have BEC ≥300 cells/μL </w:t>
      </w:r>
      <w:r w:rsidR="000C5748" w:rsidRPr="00D27683">
        <w:t>at screening (</w:t>
      </w:r>
      <w:r w:rsidRPr="00D27683">
        <w:t>within 6 weeks prior to treatment initiation</w:t>
      </w:r>
      <w:r w:rsidR="000C5748" w:rsidRPr="00D27683">
        <w:t>)</w:t>
      </w:r>
      <w:r w:rsidRPr="00D27683">
        <w:t xml:space="preserve"> and ≥150 cells/μL during the last 12 months</w:t>
      </w:r>
      <w:r w:rsidR="004E5EF6" w:rsidRPr="00D27683">
        <w:t>.</w:t>
      </w:r>
      <w:r w:rsidR="008531AE" w:rsidRPr="00D27683">
        <w:t xml:space="preserve"> </w:t>
      </w:r>
      <w:r w:rsidR="00291FC7" w:rsidRPr="00D27683">
        <w:t>An</w:t>
      </w:r>
      <w:r w:rsidR="000D5CA1" w:rsidRPr="00D27683">
        <w:t xml:space="preserve"> extension of the BEC validity window to 12 months aligns with current mepolizumab initiation criteria for uncontrolled severe asthma and CRSwNP</w:t>
      </w:r>
      <w:r w:rsidR="000D5CA1" w:rsidRPr="00D27683">
        <w:rPr>
          <w:bCs/>
        </w:rPr>
        <w:t>.</w:t>
      </w:r>
      <w:r w:rsidR="008531AE" w:rsidRPr="00D27683">
        <w:t xml:space="preserve"> </w:t>
      </w:r>
      <w:r w:rsidR="008A09A8" w:rsidRPr="00D27683">
        <w:t>However, the efficacy demonstrated in the trial was based on specific selection criteria, and the benefits observed in the trial may not be realised in the intended PBS population if patients are able to access treatment under broader BEC criteria.</w:t>
      </w:r>
      <w:r w:rsidR="005E51C4" w:rsidRPr="006D6FD8">
        <w:rPr>
          <w:iCs/>
        </w:rPr>
        <w:t xml:space="preserve"> </w:t>
      </w:r>
      <w:r w:rsidR="003A1757" w:rsidRPr="006D6FD8">
        <w:rPr>
          <w:iCs/>
        </w:rPr>
        <w:t>The evaluation considered that a</w:t>
      </w:r>
      <w:r w:rsidR="008531AE" w:rsidRPr="00D27683">
        <w:t xml:space="preserve"> shorter window within which to assess BEC may be required for the PBS criteria as a means of better matching the conditions in the trial.</w:t>
      </w:r>
      <w:r w:rsidR="00B66251" w:rsidRPr="00D27683">
        <w:t xml:space="preserve"> </w:t>
      </w:r>
      <w:r w:rsidR="00B66251" w:rsidRPr="006D6FD8">
        <w:rPr>
          <w:iCs/>
        </w:rPr>
        <w:t xml:space="preserve">The Pre-Sub-Committee Response (PSCR) </w:t>
      </w:r>
      <w:r w:rsidR="00B66251" w:rsidRPr="006D6FD8">
        <w:rPr>
          <w:iCs/>
        </w:rPr>
        <w:lastRenderedPageBreak/>
        <w:t>noted that for the consideration of uncontrolled severe allergic asthma, the PBAC previously recommended the extension of the validity period for BEC testing from 6 weeks to 12 months and noted clinical support indicated that this timeframe would allow timely access to mepolizumab treatment and reduce the logistical and administrative burden on patients and clinicians (paras 7.1</w:t>
      </w:r>
      <w:r w:rsidR="00B66251" w:rsidRPr="006D6FD8">
        <w:rPr>
          <w:rFonts w:cstheme="minorHAnsi"/>
          <w:iCs/>
        </w:rPr>
        <w:t>–</w:t>
      </w:r>
      <w:r w:rsidR="00B66251" w:rsidRPr="006D6FD8">
        <w:rPr>
          <w:iCs/>
        </w:rPr>
        <w:t xml:space="preserve">7.2, mepolizumab Public Summary Document [PSD], November 2017 PBAC Meeting). The PSCR highlighted that a 12 month validity window for COPD would similarly reduce logistical burden for patients and clinicians. The PSCR also noted </w:t>
      </w:r>
      <w:r w:rsidR="005D61C8" w:rsidRPr="006D6FD8">
        <w:rPr>
          <w:iCs/>
        </w:rPr>
        <w:t>a</w:t>
      </w:r>
      <w:r w:rsidR="00B66251" w:rsidRPr="006D6FD8">
        <w:rPr>
          <w:iCs/>
        </w:rPr>
        <w:t xml:space="preserve"> post-hoc exploratory analysis of pooled </w:t>
      </w:r>
      <w:r w:rsidR="00B66251" w:rsidRPr="00815F6D">
        <w:rPr>
          <w:iCs/>
        </w:rPr>
        <w:t>data from the mepolizumab COPD trials (METREX, METREO, MATINEE) demonstrated that for patients with</w:t>
      </w:r>
      <w:r w:rsidR="006A0CDB" w:rsidRPr="006A0CDB">
        <w:t xml:space="preserve"> </w:t>
      </w:r>
      <w:r w:rsidR="006A0CDB" w:rsidRPr="006A0CDB">
        <w:rPr>
          <w:iCs/>
        </w:rPr>
        <w:t>BEC ≥300 cells/μL at any timepoint during the 12-month pre-randomisation period, mepolizumab led to 21% reduction in the annualised rate of moderate/severe exacerbations (relative risk [RR] = 0.79; 95% confidence interval [CI] 0.70, 0.90; p=0.001).</w:t>
      </w:r>
      <w:r w:rsidR="006A0CDB">
        <w:rPr>
          <w:iCs/>
        </w:rPr>
        <w:t xml:space="preserve"> </w:t>
      </w:r>
      <w:r w:rsidR="00B66251" w:rsidRPr="00815F6D">
        <w:rPr>
          <w:iCs/>
        </w:rPr>
        <w:t>The Sub-Committees considered that a 12 month time frame may be considered reasonable and agreed with the PSCR that it may allow for timely access to treatment. The Sub-Committees noted that a 12 month time frame would be consistent with current PBS restrictions for biologic medicines for the treatment of asthma.</w:t>
      </w:r>
      <w:r w:rsidR="007202B5" w:rsidRPr="00815F6D">
        <w:rPr>
          <w:iCs/>
        </w:rPr>
        <w:t xml:space="preserve"> The PBAC agreed with the Sub-Committees</w:t>
      </w:r>
      <w:r w:rsidR="00512E0A" w:rsidRPr="00815F6D">
        <w:rPr>
          <w:iCs/>
        </w:rPr>
        <w:t xml:space="preserve"> that a 12 month </w:t>
      </w:r>
      <w:r w:rsidR="005528BC" w:rsidRPr="00815F6D">
        <w:rPr>
          <w:iCs/>
        </w:rPr>
        <w:t>validity window</w:t>
      </w:r>
      <w:r w:rsidR="00100F4D" w:rsidRPr="00815F6D">
        <w:rPr>
          <w:iCs/>
        </w:rPr>
        <w:t xml:space="preserve"> </w:t>
      </w:r>
      <w:r w:rsidR="0084078C" w:rsidRPr="00815F6D">
        <w:rPr>
          <w:iCs/>
        </w:rPr>
        <w:t>would be</w:t>
      </w:r>
      <w:r w:rsidR="00100F4D" w:rsidRPr="00815F6D">
        <w:rPr>
          <w:iCs/>
        </w:rPr>
        <w:t xml:space="preserve"> reasonable.</w:t>
      </w:r>
      <w:bookmarkEnd w:id="39"/>
    </w:p>
    <w:p w14:paraId="76BF8937" w14:textId="0EF81D4D" w:rsidR="00B41961" w:rsidRPr="00815F6D" w:rsidRDefault="009847FF" w:rsidP="00135EE0">
      <w:pPr>
        <w:pStyle w:val="3-BodyText"/>
        <w:numPr>
          <w:ilvl w:val="1"/>
          <w:numId w:val="1"/>
        </w:numPr>
      </w:pPr>
      <w:bookmarkStart w:id="40" w:name="_Ref225158596"/>
      <w:r w:rsidRPr="00815F6D">
        <w:rPr>
          <w:rFonts w:ascii="Calibri" w:hAnsi="Calibri" w:cs="Calibri"/>
          <w:color w:val="000000"/>
        </w:rPr>
        <w:t xml:space="preserve">The </w:t>
      </w:r>
      <w:r w:rsidR="00D135D2" w:rsidRPr="00815F6D">
        <w:rPr>
          <w:rFonts w:ascii="Calibri" w:hAnsi="Calibri" w:cs="Calibri"/>
          <w:iCs/>
          <w:color w:val="000000"/>
        </w:rPr>
        <w:t>proposed restriction</w:t>
      </w:r>
      <w:r w:rsidR="00D135D2" w:rsidRPr="00815F6D">
        <w:rPr>
          <w:rFonts w:ascii="Calibri" w:hAnsi="Calibri" w:cs="Calibri"/>
          <w:color w:val="000000"/>
        </w:rPr>
        <w:t xml:space="preserve"> </w:t>
      </w:r>
      <w:r w:rsidRPr="00815F6D">
        <w:rPr>
          <w:rFonts w:ascii="Calibri" w:hAnsi="Calibri" w:cs="Calibri"/>
          <w:color w:val="000000"/>
        </w:rPr>
        <w:t>defined ‘Failure to achieve adequate control’ with optimised triple inhaled therapy as: (i) ≥2 moderate exacerbations requiring systemic glucocorticoids with or without antibiotics in the last 12 months; OR (ii) ≥1 severe exacerbation (leading to hospitalisation) in the last 12 months. This is consistent with the MATINEE trial inclusion criteria.</w:t>
      </w:r>
      <w:r w:rsidR="000A4BB4" w:rsidRPr="00815F6D">
        <w:rPr>
          <w:rFonts w:ascii="Calibri" w:hAnsi="Calibri" w:cs="Calibri"/>
          <w:color w:val="000000"/>
        </w:rPr>
        <w:t xml:space="preserve"> </w:t>
      </w:r>
      <w:r w:rsidRPr="00815F6D">
        <w:rPr>
          <w:rFonts w:ascii="Calibri" w:hAnsi="Calibri" w:cs="Calibri"/>
          <w:color w:val="000000"/>
        </w:rPr>
        <w:t xml:space="preserve">However, the trial further required that </w:t>
      </w:r>
      <w:r w:rsidR="008531AE" w:rsidRPr="00815F6D">
        <w:t>at least one exacerbation must have occurred while the patient was taking</w:t>
      </w:r>
      <w:r w:rsidR="00F96E7E" w:rsidRPr="00815F6D">
        <w:t xml:space="preserve"> triple therapy</w:t>
      </w:r>
      <w:r w:rsidR="008531AE" w:rsidRPr="00815F6D">
        <w:t xml:space="preserve"> </w:t>
      </w:r>
      <w:r w:rsidR="00F96E7E" w:rsidRPr="00815F6D">
        <w:t>(</w:t>
      </w:r>
      <w:r w:rsidR="008531AE" w:rsidRPr="00815F6D">
        <w:t>ICS + LAMA + LABA</w:t>
      </w:r>
      <w:r w:rsidR="00F96E7E" w:rsidRPr="00815F6D">
        <w:t xml:space="preserve">), or </w:t>
      </w:r>
      <w:r w:rsidR="000450B7" w:rsidRPr="00815F6D">
        <w:t xml:space="preserve">ICS-based </w:t>
      </w:r>
      <w:r w:rsidR="00F96E7E" w:rsidRPr="00815F6D">
        <w:t>dual therapy</w:t>
      </w:r>
      <w:r w:rsidR="008531AE" w:rsidRPr="00815F6D">
        <w:t xml:space="preserve"> </w:t>
      </w:r>
      <w:r w:rsidR="00F96E7E" w:rsidRPr="00815F6D">
        <w:t>(</w:t>
      </w:r>
      <w:r w:rsidR="008531AE" w:rsidRPr="00815F6D">
        <w:t>ICS + LAMA or ICS +LABA)</w:t>
      </w:r>
      <w:r w:rsidR="00F96E7E" w:rsidRPr="00815F6D">
        <w:t xml:space="preserve"> if either of the two bronchodilators were contraindicated</w:t>
      </w:r>
      <w:r w:rsidR="008531AE" w:rsidRPr="00815F6D">
        <w:t>.</w:t>
      </w:r>
      <w:r w:rsidR="000450B7" w:rsidRPr="00815F6D">
        <w:t xml:space="preserve"> </w:t>
      </w:r>
      <w:r w:rsidR="000C5B56" w:rsidRPr="00815F6D">
        <w:t>As the duration of optimised triple therapy was not defined</w:t>
      </w:r>
      <w:r w:rsidR="000A4BB4" w:rsidRPr="00815F6D">
        <w:t>,</w:t>
      </w:r>
      <w:r w:rsidR="000C5B56" w:rsidRPr="00815F6D">
        <w:t xml:space="preserve"> i</w:t>
      </w:r>
      <w:r w:rsidR="008531AE" w:rsidRPr="00815F6D">
        <w:t>t is possible that some patients may qualify for PBS listed mepolizumab even tho</w:t>
      </w:r>
      <w:r w:rsidR="000C5B56" w:rsidRPr="00815F6D">
        <w:t>u</w:t>
      </w:r>
      <w:r w:rsidR="008531AE" w:rsidRPr="00815F6D">
        <w:t>gh their exacerbations occurred prior to commencing LABA + LAMA + ICS treatment (i.e.</w:t>
      </w:r>
      <w:r w:rsidR="004524F0" w:rsidRPr="00815F6D">
        <w:t>,</w:t>
      </w:r>
      <w:r w:rsidR="008531AE" w:rsidRPr="00815F6D">
        <w:t xml:space="preserve"> exacerbations due to suboptimal management rather than resistant disease).</w:t>
      </w:r>
      <w:r w:rsidR="00484A4A" w:rsidRPr="00815F6D">
        <w:t xml:space="preserve"> </w:t>
      </w:r>
      <w:r w:rsidR="001F230D" w:rsidRPr="00815F6D">
        <w:t>It is suggested that</w:t>
      </w:r>
      <w:r w:rsidR="005E5EAF" w:rsidRPr="00815F6D">
        <w:t>,</w:t>
      </w:r>
      <w:r w:rsidR="001F230D" w:rsidRPr="00815F6D">
        <w:t xml:space="preserve"> consistent with the trial</w:t>
      </w:r>
      <w:r w:rsidR="000A4BB4" w:rsidRPr="00815F6D">
        <w:t>,</w:t>
      </w:r>
      <w:r w:rsidR="001F230D" w:rsidRPr="00815F6D">
        <w:t xml:space="preserve"> the </w:t>
      </w:r>
      <w:r w:rsidR="00F649CE" w:rsidRPr="00815F6D">
        <w:t xml:space="preserve">wording of the PBS </w:t>
      </w:r>
      <w:r w:rsidR="005E5EAF" w:rsidRPr="00815F6D">
        <w:t xml:space="preserve">restriction </w:t>
      </w:r>
      <w:r w:rsidR="00F649CE" w:rsidRPr="00815F6D">
        <w:t xml:space="preserve">include the </w:t>
      </w:r>
      <w:r w:rsidR="007645DF" w:rsidRPr="00815F6D">
        <w:t xml:space="preserve">duration of </w:t>
      </w:r>
      <w:r w:rsidR="000B3279" w:rsidRPr="00815F6D">
        <w:t xml:space="preserve">optimised </w:t>
      </w:r>
      <w:r w:rsidR="009C1F00" w:rsidRPr="00815F6D">
        <w:t>triple therapy (</w:t>
      </w:r>
      <w:r w:rsidR="007A50FE" w:rsidRPr="00815F6D">
        <w:t xml:space="preserve">minimum of </w:t>
      </w:r>
      <w:r w:rsidR="001B2E89" w:rsidRPr="00815F6D">
        <w:t xml:space="preserve">3 months use) and the requirement for </w:t>
      </w:r>
      <w:r w:rsidR="00C201B3" w:rsidRPr="00815F6D">
        <w:t xml:space="preserve">at least one </w:t>
      </w:r>
      <w:r w:rsidR="00561797" w:rsidRPr="00815F6D">
        <w:t xml:space="preserve">exacerbation to have occurred while the </w:t>
      </w:r>
      <w:r w:rsidR="00993AC5" w:rsidRPr="00815F6D">
        <w:t>patient</w:t>
      </w:r>
      <w:r w:rsidR="00561797" w:rsidRPr="00815F6D">
        <w:t xml:space="preserve"> </w:t>
      </w:r>
      <w:r w:rsidR="00993AC5" w:rsidRPr="00815F6D">
        <w:t>is</w:t>
      </w:r>
      <w:r w:rsidR="00561797" w:rsidRPr="00815F6D">
        <w:t xml:space="preserve"> taking triple therapy</w:t>
      </w:r>
      <w:r w:rsidR="005E5EAF" w:rsidRPr="00815F6D">
        <w:t>.</w:t>
      </w:r>
      <w:r w:rsidR="000A4BB4" w:rsidRPr="00815F6D">
        <w:t xml:space="preserve"> </w:t>
      </w:r>
      <w:r w:rsidR="00795D3D" w:rsidRPr="00815F6D">
        <w:rPr>
          <w:iCs/>
        </w:rPr>
        <w:t xml:space="preserve">The PSCR </w:t>
      </w:r>
      <w:r w:rsidR="00DF671A" w:rsidRPr="00815F6D">
        <w:rPr>
          <w:iCs/>
        </w:rPr>
        <w:t xml:space="preserve">and Sub-Committees </w:t>
      </w:r>
      <w:r w:rsidR="00F11629" w:rsidRPr="00815F6D">
        <w:rPr>
          <w:iCs/>
        </w:rPr>
        <w:t>w</w:t>
      </w:r>
      <w:r w:rsidR="00DF671A" w:rsidRPr="00815F6D">
        <w:rPr>
          <w:iCs/>
        </w:rPr>
        <w:t>ere</w:t>
      </w:r>
      <w:r w:rsidR="00F11629" w:rsidRPr="00815F6D">
        <w:rPr>
          <w:iCs/>
        </w:rPr>
        <w:t xml:space="preserve"> supportive of </w:t>
      </w:r>
      <w:r w:rsidR="00C565BB" w:rsidRPr="00815F6D">
        <w:rPr>
          <w:iCs/>
        </w:rPr>
        <w:t>these</w:t>
      </w:r>
      <w:r w:rsidR="00F11629" w:rsidRPr="00815F6D">
        <w:rPr>
          <w:iCs/>
        </w:rPr>
        <w:t xml:space="preserve"> change</w:t>
      </w:r>
      <w:r w:rsidR="00C565BB" w:rsidRPr="00815F6D">
        <w:rPr>
          <w:iCs/>
        </w:rPr>
        <w:t>s</w:t>
      </w:r>
      <w:r w:rsidR="008C4CA5" w:rsidRPr="00815F6D">
        <w:rPr>
          <w:iCs/>
        </w:rPr>
        <w:t xml:space="preserve"> to the proposed restriction</w:t>
      </w:r>
      <w:r w:rsidR="000756BB" w:rsidRPr="00815F6D">
        <w:rPr>
          <w:iCs/>
        </w:rPr>
        <w:t>.</w:t>
      </w:r>
      <w:r w:rsidR="003B40AA" w:rsidRPr="00815F6D">
        <w:rPr>
          <w:iCs/>
        </w:rPr>
        <w:t xml:space="preserve"> </w:t>
      </w:r>
      <w:bookmarkEnd w:id="40"/>
    </w:p>
    <w:p w14:paraId="561CA7DC" w14:textId="46C9A25B" w:rsidR="00B41961" w:rsidRPr="00815F6D" w:rsidRDefault="00DF671A" w:rsidP="00135EE0">
      <w:pPr>
        <w:pStyle w:val="3-BodyText"/>
      </w:pPr>
      <w:bookmarkStart w:id="41" w:name="_Ref224650170"/>
      <w:r w:rsidRPr="00815F6D">
        <w:t xml:space="preserve">The MATINEE trial allowed use of ICS-based inhaled dual maintenance therapy (either ICS plus LABA or ICS plus LAMA) where intolerance or safety risk was documented for either LAMA or LABA. </w:t>
      </w:r>
      <w:r w:rsidR="00F24F73" w:rsidRPr="00815F6D">
        <w:t xml:space="preserve">The trial did not include patients where ICS was contraindicated. </w:t>
      </w:r>
      <w:r w:rsidRPr="00815F6D">
        <w:t>However, the submission additionally request</w:t>
      </w:r>
      <w:r w:rsidR="00E8288F" w:rsidRPr="00815F6D">
        <w:t>ed</w:t>
      </w:r>
      <w:r w:rsidRPr="00815F6D">
        <w:t xml:space="preserve"> to include patients with documented intolerance or safety concerns to ICS as ICS may pose a safety risk for certain subgroups of COPD patients particularly due to an increased risk of pneumonia. </w:t>
      </w:r>
      <w:r w:rsidR="0085105C" w:rsidRPr="00815F6D">
        <w:rPr>
          <w:iCs/>
        </w:rPr>
        <w:t xml:space="preserve">The Sub-Committees </w:t>
      </w:r>
      <w:r w:rsidR="00C851BA" w:rsidRPr="00815F6D">
        <w:rPr>
          <w:iCs/>
        </w:rPr>
        <w:t>noted the MATINEE trial did not include patients w</w:t>
      </w:r>
      <w:r w:rsidR="00CE5EC7" w:rsidRPr="00815F6D">
        <w:rPr>
          <w:iCs/>
        </w:rPr>
        <w:t>h</w:t>
      </w:r>
      <w:r w:rsidR="00C851BA" w:rsidRPr="00815F6D">
        <w:rPr>
          <w:iCs/>
        </w:rPr>
        <w:t xml:space="preserve">ere ICS was contraindicated. </w:t>
      </w:r>
      <w:r w:rsidR="00E63D3A" w:rsidRPr="00815F6D">
        <w:rPr>
          <w:iCs/>
        </w:rPr>
        <w:t>The Sub-Committees considered that</w:t>
      </w:r>
      <w:r w:rsidR="00D509AC" w:rsidRPr="00815F6D">
        <w:rPr>
          <w:iCs/>
        </w:rPr>
        <w:t xml:space="preserve"> </w:t>
      </w:r>
      <w:r w:rsidR="007369E6" w:rsidRPr="00815F6D">
        <w:rPr>
          <w:iCs/>
        </w:rPr>
        <w:t xml:space="preserve">the restriction should require patients to be taking a LABA, LAMA and </w:t>
      </w:r>
      <w:r w:rsidR="000166BA">
        <w:rPr>
          <w:iCs/>
        </w:rPr>
        <w:t xml:space="preserve">an </w:t>
      </w:r>
      <w:r w:rsidR="007369E6" w:rsidRPr="00815F6D">
        <w:rPr>
          <w:iCs/>
        </w:rPr>
        <w:t>ICS.</w:t>
      </w:r>
      <w:r w:rsidR="000166BA">
        <w:rPr>
          <w:iCs/>
        </w:rPr>
        <w:t xml:space="preserve"> </w:t>
      </w:r>
      <w:r w:rsidR="00177826" w:rsidRPr="00815F6D">
        <w:rPr>
          <w:iCs/>
        </w:rPr>
        <w:t xml:space="preserve">The Pre-PBAC Response </w:t>
      </w:r>
      <w:r w:rsidR="008E783D" w:rsidRPr="00815F6D">
        <w:rPr>
          <w:iCs/>
        </w:rPr>
        <w:t xml:space="preserve">maintained </w:t>
      </w:r>
      <w:r w:rsidR="008E783D" w:rsidRPr="00815F6D">
        <w:rPr>
          <w:iCs/>
        </w:rPr>
        <w:lastRenderedPageBreak/>
        <w:t>that the restriction should include patients on dual therapy</w:t>
      </w:r>
      <w:r w:rsidR="004A6F8F" w:rsidRPr="00815F6D">
        <w:rPr>
          <w:iCs/>
        </w:rPr>
        <w:t xml:space="preserve"> who are </w:t>
      </w:r>
      <w:r w:rsidR="007A6590" w:rsidRPr="00815F6D">
        <w:rPr>
          <w:iCs/>
        </w:rPr>
        <w:t xml:space="preserve">indicated for triple inhaled therapy. </w:t>
      </w:r>
      <w:r w:rsidR="008B5027" w:rsidRPr="00815F6D">
        <w:rPr>
          <w:iCs/>
        </w:rPr>
        <w:t>The Pre-PB</w:t>
      </w:r>
      <w:r w:rsidR="00966384">
        <w:rPr>
          <w:iCs/>
        </w:rPr>
        <w:t>A</w:t>
      </w:r>
      <w:r w:rsidR="008B5027" w:rsidRPr="00815F6D">
        <w:rPr>
          <w:iCs/>
        </w:rPr>
        <w:t>C Response noted that this would align with real-world practice</w:t>
      </w:r>
      <w:r w:rsidR="00AC1780" w:rsidRPr="00815F6D">
        <w:rPr>
          <w:iCs/>
        </w:rPr>
        <w:t>, where not all patients tolerate triple therapy,</w:t>
      </w:r>
      <w:r w:rsidR="008B5027" w:rsidRPr="00815F6D">
        <w:rPr>
          <w:iCs/>
        </w:rPr>
        <w:t xml:space="preserve"> and </w:t>
      </w:r>
      <w:r w:rsidR="009D2FE5" w:rsidRPr="00815F6D">
        <w:rPr>
          <w:iCs/>
        </w:rPr>
        <w:t>the current restriction criteria for uncontrolled severe asthma.</w:t>
      </w:r>
      <w:r w:rsidR="007369E6" w:rsidRPr="00815F6D">
        <w:rPr>
          <w:iCs/>
        </w:rPr>
        <w:t xml:space="preserve"> </w:t>
      </w:r>
      <w:r w:rsidR="002F14E8">
        <w:rPr>
          <w:iCs/>
        </w:rPr>
        <w:t>The</w:t>
      </w:r>
      <w:r w:rsidR="009612F7" w:rsidRPr="00815F6D">
        <w:rPr>
          <w:iCs/>
        </w:rPr>
        <w:t xml:space="preserve"> PBAC </w:t>
      </w:r>
      <w:r w:rsidR="002B0451">
        <w:rPr>
          <w:iCs/>
        </w:rPr>
        <w:t>considered</w:t>
      </w:r>
      <w:r w:rsidR="002F14E8">
        <w:rPr>
          <w:iCs/>
        </w:rPr>
        <w:t xml:space="preserve"> </w:t>
      </w:r>
      <w:r w:rsidR="002F14E8" w:rsidRPr="00FA05EA">
        <w:t xml:space="preserve">that intolerance or safety concerns associated with ICS </w:t>
      </w:r>
      <w:r w:rsidR="00FF6D6B">
        <w:t>were</w:t>
      </w:r>
      <w:r w:rsidR="002F14E8">
        <w:t xml:space="preserve"> </w:t>
      </w:r>
      <w:r w:rsidR="009906F1">
        <w:t xml:space="preserve">infrequent and </w:t>
      </w:r>
      <w:r w:rsidR="002F14E8">
        <w:t>mostly seen in patients with supratherapeutic doses of ICS</w:t>
      </w:r>
      <w:r w:rsidR="00C01B4A">
        <w:t xml:space="preserve">. The PBAC </w:t>
      </w:r>
      <w:r w:rsidR="008937C8">
        <w:t>considered</w:t>
      </w:r>
      <w:r w:rsidR="00C01B4A">
        <w:t xml:space="preserve"> </w:t>
      </w:r>
      <w:r w:rsidR="002F14E8" w:rsidRPr="00FA05EA">
        <w:t xml:space="preserve">that </w:t>
      </w:r>
      <w:r w:rsidR="002F14E8">
        <w:t>since the</w:t>
      </w:r>
      <w:r w:rsidR="002F14E8" w:rsidRPr="00FA05EA">
        <w:t xml:space="preserve"> triple inhaler therapy </w:t>
      </w:r>
      <w:r w:rsidR="002F14E8">
        <w:t xml:space="preserve">should be </w:t>
      </w:r>
      <w:r w:rsidR="003C1626">
        <w:t>‘</w:t>
      </w:r>
      <w:r w:rsidR="002F14E8" w:rsidRPr="00FA05EA">
        <w:t>optimised</w:t>
      </w:r>
      <w:r w:rsidR="003C1626">
        <w:t>’</w:t>
      </w:r>
      <w:r w:rsidR="0024318F">
        <w:t xml:space="preserve"> without further specification of ICS dose</w:t>
      </w:r>
      <w:r w:rsidR="00352DED">
        <w:t xml:space="preserve">, </w:t>
      </w:r>
      <w:r w:rsidR="004A3A51">
        <w:t xml:space="preserve">it </w:t>
      </w:r>
      <w:r w:rsidR="0041762D">
        <w:t>was appropriate for</w:t>
      </w:r>
      <w:r w:rsidR="00D30D1D" w:rsidRPr="00815F6D">
        <w:rPr>
          <w:iCs/>
        </w:rPr>
        <w:t xml:space="preserve"> </w:t>
      </w:r>
      <w:r w:rsidR="00B5771D" w:rsidRPr="00815F6D">
        <w:rPr>
          <w:iCs/>
        </w:rPr>
        <w:t xml:space="preserve">the restriction </w:t>
      </w:r>
      <w:r w:rsidR="0041762D">
        <w:t>to</w:t>
      </w:r>
      <w:r w:rsidR="00B5771D" w:rsidRPr="00815F6D">
        <w:rPr>
          <w:iCs/>
        </w:rPr>
        <w:t xml:space="preserve"> require patients to be taking a LABA, LAMA and </w:t>
      </w:r>
      <w:bookmarkEnd w:id="41"/>
      <w:r w:rsidR="009317D7">
        <w:t>an ICS</w:t>
      </w:r>
      <w:r w:rsidR="002F14E8">
        <w:t>.</w:t>
      </w:r>
      <w:r w:rsidR="009317D7">
        <w:t xml:space="preserve"> </w:t>
      </w:r>
      <w:r w:rsidR="0060700D">
        <w:t>The PBAC considered that this would help reduce the risk of mepolizumab being used earlier in the treatment algorithm than int</w:t>
      </w:r>
      <w:r w:rsidR="00BD1CD4">
        <w:t xml:space="preserve">ended. </w:t>
      </w:r>
    </w:p>
    <w:p w14:paraId="05C9F2C9" w14:textId="5FA50BA8" w:rsidR="00F11063" w:rsidRPr="00815F6D" w:rsidRDefault="008531AE" w:rsidP="00135EE0">
      <w:pPr>
        <w:pStyle w:val="3-BodyText"/>
      </w:pPr>
      <w:r w:rsidRPr="00815F6D">
        <w:t xml:space="preserve">Patients with severe COPD who had a post-salbutamol forced expiratory volume in 1 second </w:t>
      </w:r>
      <w:r w:rsidR="00B43F80" w:rsidRPr="00815F6D">
        <w:t>(</w:t>
      </w:r>
      <w:r w:rsidRPr="00815F6D">
        <w:t>FEV</w:t>
      </w:r>
      <w:r w:rsidRPr="00815F6D">
        <w:rPr>
          <w:vertAlign w:val="subscript"/>
        </w:rPr>
        <w:t>1</w:t>
      </w:r>
      <w:r w:rsidR="00B43F80" w:rsidRPr="00815F6D">
        <w:t>)</w:t>
      </w:r>
      <w:r w:rsidRPr="00815F6D">
        <w:t xml:space="preserve"> ≤ 20% were excluded from the MATINEE trial. When considering fluticasone furoate with umeclidinium and vilanterol for COPD, the PBAC advised that the FEV</w:t>
      </w:r>
      <w:r w:rsidRPr="00815F6D">
        <w:rPr>
          <w:vertAlign w:val="subscript"/>
        </w:rPr>
        <w:t>1</w:t>
      </w:r>
      <w:r w:rsidRPr="00815F6D">
        <w:t xml:space="preserve"> requirement in the initial restriction be replaced with specification of exacerbation severity and a 12 month </w:t>
      </w:r>
      <w:proofErr w:type="gramStart"/>
      <w:r w:rsidRPr="00815F6D">
        <w:t>time period</w:t>
      </w:r>
      <w:proofErr w:type="gramEnd"/>
      <w:r w:rsidRPr="00815F6D">
        <w:t xml:space="preserve"> for the exacerbation history, to ensure consistency with the Global Initiative for Chronic Obstructive Lung Disease (GOLD) guidelines. It was noted that FEV</w:t>
      </w:r>
      <w:r w:rsidRPr="00815F6D">
        <w:rPr>
          <w:vertAlign w:val="subscript"/>
        </w:rPr>
        <w:t>1</w:t>
      </w:r>
      <w:r w:rsidRPr="00815F6D">
        <w:t xml:space="preserve"> lacks precision to be used clinically as a predictor of exacerbations or mortality in patients with COPD and noted that history of previous exacerbations is regarded as the best predictor of future COPD episodes (</w:t>
      </w:r>
      <w:r w:rsidR="00C15C90" w:rsidRPr="00815F6D">
        <w:t>paragraph</w:t>
      </w:r>
      <w:r w:rsidR="007212E4" w:rsidRPr="00815F6D">
        <w:t xml:space="preserve"> </w:t>
      </w:r>
      <w:r w:rsidRPr="00815F6D">
        <w:t>7.3, fluticasone furoate with umeclidinium and vilanterol</w:t>
      </w:r>
      <w:r w:rsidR="00BC6075" w:rsidRPr="00815F6D">
        <w:t>,</w:t>
      </w:r>
      <w:r w:rsidRPr="00815F6D">
        <w:t xml:space="preserve"> PSD, March 2019 PBAC meeting). The proposed PBS listing does not include an FEV</w:t>
      </w:r>
      <w:r w:rsidRPr="00815F6D">
        <w:rPr>
          <w:vertAlign w:val="subscript"/>
        </w:rPr>
        <w:t>1</w:t>
      </w:r>
      <w:r w:rsidRPr="00815F6D">
        <w:t xml:space="preserve"> criterion. Excluding the FEV</w:t>
      </w:r>
      <w:r w:rsidRPr="00815F6D">
        <w:rPr>
          <w:vertAlign w:val="subscript"/>
        </w:rPr>
        <w:t>1</w:t>
      </w:r>
      <w:r w:rsidRPr="00815F6D">
        <w:t xml:space="preserve"> threshold is consistent with the current PBS listings for fixed dose combination products for COPD. </w:t>
      </w:r>
      <w:r w:rsidR="00640186" w:rsidRPr="00815F6D">
        <w:t xml:space="preserve">The evaluation </w:t>
      </w:r>
      <w:r w:rsidR="003D7261" w:rsidRPr="00815F6D">
        <w:t xml:space="preserve">also </w:t>
      </w:r>
      <w:r w:rsidR="00640186" w:rsidRPr="00815F6D">
        <w:t>considered that</w:t>
      </w:r>
      <w:r w:rsidRPr="00815F6D">
        <w:t xml:space="preserve"> the proportion of patients with FEV</w:t>
      </w:r>
      <w:r w:rsidRPr="00815F6D">
        <w:rPr>
          <w:vertAlign w:val="subscript"/>
        </w:rPr>
        <w:t>1</w:t>
      </w:r>
      <w:r w:rsidRPr="00815F6D">
        <w:t xml:space="preserve"> ≤ 20% </w:t>
      </w:r>
      <w:r w:rsidR="003D7261" w:rsidRPr="00815F6D">
        <w:t>wa</w:t>
      </w:r>
      <w:r w:rsidRPr="00815F6D">
        <w:t>s likely to reflect a very small proportion of the eligible PBS population.</w:t>
      </w:r>
    </w:p>
    <w:p w14:paraId="70CE8B9A" w14:textId="377436D9" w:rsidR="000A7B95" w:rsidRPr="00815F6D" w:rsidRDefault="000A7B95" w:rsidP="00135EE0">
      <w:pPr>
        <w:pStyle w:val="3-BodyText"/>
        <w:numPr>
          <w:ilvl w:val="1"/>
          <w:numId w:val="1"/>
        </w:numPr>
      </w:pPr>
      <w:r w:rsidRPr="00815F6D">
        <w:rPr>
          <w:rFonts w:ascii="Calibri" w:hAnsi="Calibri"/>
          <w:bCs/>
        </w:rPr>
        <w:t xml:space="preserve">The submission </w:t>
      </w:r>
      <w:r w:rsidRPr="00815F6D">
        <w:rPr>
          <w:rFonts w:ascii="Calibri" w:eastAsia="Times New Roman" w:hAnsi="Calibri" w:cs="Arial"/>
          <w:bCs/>
        </w:rPr>
        <w:t>requested a grandfather provision for patients that will be enrolled in a planned access program with restrictions aligned with the proposed initial PBS listing.</w:t>
      </w:r>
      <w:r w:rsidRPr="00815F6D">
        <w:t xml:space="preserve"> Differences between the initial and grandfathering restriction are that grandfathered patients must have been using mepolizumab prior to the PBS listing date, and that the restriction is only valid from 12 months of the PBS listing date. </w:t>
      </w:r>
      <w:r w:rsidR="0032589D" w:rsidRPr="00815F6D">
        <w:t xml:space="preserve">The grandfathering restriction did not include </w:t>
      </w:r>
      <w:r w:rsidR="0032589D" w:rsidRPr="00815F6D">
        <w:rPr>
          <w:rFonts w:ascii="Calibri" w:eastAsia="Times New Roman" w:hAnsi="Calibri" w:cs="Arial"/>
          <w:bCs/>
        </w:rPr>
        <w:t>a response assessment based on prior treatment</w:t>
      </w:r>
      <w:r w:rsidR="000573B1" w:rsidRPr="00815F6D">
        <w:rPr>
          <w:rFonts w:ascii="Calibri" w:eastAsia="Times New Roman" w:hAnsi="Calibri" w:cs="Arial"/>
          <w:bCs/>
        </w:rPr>
        <w:t>.</w:t>
      </w:r>
      <w:r w:rsidR="0032589D" w:rsidRPr="00815F6D">
        <w:t xml:space="preserve"> </w:t>
      </w:r>
      <w:r w:rsidR="00241D47">
        <w:t xml:space="preserve">The PBAC considered the </w:t>
      </w:r>
      <w:r w:rsidR="00241D47">
        <w:rPr>
          <w:lang w:val="en-GB"/>
        </w:rPr>
        <w:t xml:space="preserve">grandfathering phases should include clinical criteria requiring patients who have received at least 24 weeks of treatment to have both achieved and sustained an adequate response. </w:t>
      </w:r>
    </w:p>
    <w:p w14:paraId="0D70D0F7" w14:textId="753D593D" w:rsidR="00940AEF" w:rsidRPr="00D27683" w:rsidRDefault="00940AEF" w:rsidP="00135EE0">
      <w:pPr>
        <w:pStyle w:val="3-BodyText"/>
        <w:numPr>
          <w:ilvl w:val="0"/>
          <w:numId w:val="0"/>
        </w:numPr>
      </w:pPr>
      <w:r w:rsidRPr="00C33D30">
        <w:rPr>
          <w:i/>
        </w:rPr>
        <w:t>For more detail on PBAC’s view, see section 7 PBAC outcome.</w:t>
      </w:r>
    </w:p>
    <w:p w14:paraId="64A1426F" w14:textId="77777777" w:rsidR="008531AE" w:rsidRPr="00D27683" w:rsidDel="00195452" w:rsidRDefault="008531AE" w:rsidP="00135EE0">
      <w:pPr>
        <w:pStyle w:val="2-SectionHeading"/>
        <w:numPr>
          <w:ilvl w:val="0"/>
          <w:numId w:val="1"/>
        </w:numPr>
      </w:pPr>
      <w:bookmarkStart w:id="42" w:name="_Toc216174087"/>
      <w:bookmarkStart w:id="43" w:name="_Toc216697631"/>
      <w:bookmarkStart w:id="44" w:name="_Toc217392662"/>
      <w:bookmarkStart w:id="45" w:name="_Toc219030866"/>
      <w:bookmarkStart w:id="46" w:name="_Toc219064629"/>
      <w:bookmarkStart w:id="47" w:name="_Toc219884813"/>
      <w:bookmarkEnd w:id="38"/>
      <w:r w:rsidRPr="00D27683" w:rsidDel="00195452">
        <w:t>Population and disease</w:t>
      </w:r>
      <w:bookmarkEnd w:id="42"/>
      <w:bookmarkEnd w:id="43"/>
      <w:bookmarkEnd w:id="44"/>
      <w:bookmarkEnd w:id="45"/>
      <w:bookmarkEnd w:id="46"/>
      <w:bookmarkEnd w:id="47"/>
    </w:p>
    <w:p w14:paraId="197E7C3C" w14:textId="440B7009" w:rsidR="008531AE" w:rsidRPr="00D27683" w:rsidRDefault="008531AE" w:rsidP="00135EE0">
      <w:pPr>
        <w:pStyle w:val="3-BodyText"/>
      </w:pPr>
      <w:bookmarkStart w:id="48" w:name="_Hlk215855231"/>
      <w:r w:rsidRPr="00D27683">
        <w:t xml:space="preserve">COPD </w:t>
      </w:r>
      <w:bookmarkEnd w:id="48"/>
      <w:r w:rsidRPr="00D27683">
        <w:t xml:space="preserve">is a heterogenous lung condition characterised by chronic respiratory symptoms (such as cough, dyspnoea and expectoration) and exacerbations, due to abnormalities of the airways (bronchitis, bronchiolitis) and/or alveoli (emphysema) that cause persistent, often progressive, airflow obstruction. While a broad range of genetic and environmental factors contribute to the risk of </w:t>
      </w:r>
      <w:r w:rsidR="00510F52" w:rsidRPr="00D27683">
        <w:t xml:space="preserve">COPD </w:t>
      </w:r>
      <w:r w:rsidRPr="00D27683">
        <w:t>develop</w:t>
      </w:r>
      <w:r w:rsidR="00510F52" w:rsidRPr="00D27683">
        <w:t>ing</w:t>
      </w:r>
      <w:r w:rsidRPr="00D27683">
        <w:t xml:space="preserve">, smoking remains </w:t>
      </w:r>
      <w:r w:rsidRPr="00D27683">
        <w:lastRenderedPageBreak/>
        <w:t>one of the most significant risk factors in high-income countries such as Australia. Clinically, there is considerable heterogeneity across patients with respect to symptoms, manifestations of parenchymal destruction and small airway damage, exacerbation frequency and co-morbidities.</w:t>
      </w:r>
    </w:p>
    <w:p w14:paraId="6D7C0574" w14:textId="2BAC2483" w:rsidR="00770F75" w:rsidRPr="00D27683" w:rsidRDefault="008531AE" w:rsidP="00135EE0">
      <w:pPr>
        <w:pStyle w:val="3-BodyText"/>
        <w:numPr>
          <w:ilvl w:val="1"/>
          <w:numId w:val="1"/>
        </w:numPr>
      </w:pPr>
      <w:r w:rsidRPr="00D27683">
        <w:rPr>
          <w:bCs/>
        </w:rPr>
        <w:t xml:space="preserve">The underlying inflammatory mechanism driving chronic airway inflammation in COPD can be broadly differentiated into type 1 and type 2 inflammation. An elevated BEC ('eosinophilic inflammation') is one of the established biomarkers of type 2 inflammation. </w:t>
      </w:r>
      <w:r w:rsidR="00976E5B" w:rsidRPr="00D27683">
        <w:rPr>
          <w:bCs/>
        </w:rPr>
        <w:t xml:space="preserve">Approximately </w:t>
      </w:r>
      <w:r w:rsidRPr="00D27683">
        <w:rPr>
          <w:bCs/>
        </w:rPr>
        <w:t xml:space="preserve">15% to 40% of the general COPD population are estimated to have signs of eosinophilic inflammation, as characterised by BEC ≥ 300 cells/µL. The submission stated that emerging evidence suggests these patients with COPD and BEC ≥ 300 cells/µL represent a distinct COPD phenotype ('eosinophilic phenotype') who are </w:t>
      </w:r>
      <w:r w:rsidRPr="00D27683">
        <w:t xml:space="preserve">at increased risk of exacerbations and accelerated decline in lung function. While the concordance between blood and lung airways type 2 biomarkers </w:t>
      </w:r>
      <w:r w:rsidR="007204C3" w:rsidRPr="00D27683">
        <w:t xml:space="preserve">do not </w:t>
      </w:r>
      <w:r w:rsidRPr="00D27683">
        <w:t>strict</w:t>
      </w:r>
      <w:r w:rsidR="007204C3" w:rsidRPr="00D27683">
        <w:t>ly correlate</w:t>
      </w:r>
      <w:r w:rsidRPr="00D27683">
        <w:t xml:space="preserve">, higher </w:t>
      </w:r>
      <w:r w:rsidR="00440C1D" w:rsidRPr="00D27683">
        <w:t>BEC</w:t>
      </w:r>
      <w:r w:rsidRPr="00D27683">
        <w:t xml:space="preserve"> in patients with COPD are associated with increased lung eosinophil numbers and the presence of higher levels of type 2 inflammation in the airways. </w:t>
      </w:r>
    </w:p>
    <w:p w14:paraId="16F9D6FF" w14:textId="3A207AD2" w:rsidR="008531AE" w:rsidRPr="00D27683" w:rsidRDefault="00770F75" w:rsidP="00135EE0">
      <w:pPr>
        <w:pStyle w:val="3-BodyText"/>
        <w:numPr>
          <w:ilvl w:val="1"/>
          <w:numId w:val="1"/>
        </w:numPr>
      </w:pPr>
      <w:r w:rsidRPr="00D27683" w:rsidDel="00FC0F1F">
        <w:rPr>
          <w:rFonts w:ascii="Calibri" w:hAnsi="Calibri" w:cs="Calibri"/>
        </w:rPr>
        <w:t>Mepolizumab is a humanised monoclonal antibody (IgG1, kappa) directed against human interleukin-5 (IL-5), a major cytokine responsible for the growth and survival of eosinophils.</w:t>
      </w:r>
      <w:r w:rsidRPr="00D27683">
        <w:t xml:space="preserve"> </w:t>
      </w:r>
      <w:r w:rsidR="008531AE" w:rsidRPr="00D27683">
        <w:t xml:space="preserve">The submission proposed mepolizumab </w:t>
      </w:r>
      <w:r w:rsidR="001F3385" w:rsidRPr="00D27683">
        <w:t xml:space="preserve">as add-on maintenance treatment for adults with </w:t>
      </w:r>
      <w:r w:rsidR="007A1221" w:rsidRPr="00D27683">
        <w:t>uncontrolled COPD</w:t>
      </w:r>
      <w:r w:rsidR="00DA7B59" w:rsidRPr="00D27683">
        <w:t xml:space="preserve"> with</w:t>
      </w:r>
      <w:r w:rsidR="001F3385" w:rsidRPr="00D27683">
        <w:t xml:space="preserve"> </w:t>
      </w:r>
      <w:r w:rsidR="00887FD9" w:rsidRPr="00D27683">
        <w:t>an eosinophilic phenotype (BEC</w:t>
      </w:r>
      <w:r w:rsidR="00DE7095" w:rsidRPr="00D27683">
        <w:t xml:space="preserve"> </w:t>
      </w:r>
      <w:r w:rsidR="00887FD9" w:rsidRPr="00D27683">
        <w:t>≥300 cells/µL) and on a stable combination of an ICS, LABA and</w:t>
      </w:r>
      <w:r w:rsidR="007A0DD9" w:rsidRPr="00D27683">
        <w:t xml:space="preserve"> </w:t>
      </w:r>
      <w:r w:rsidR="00887FD9" w:rsidRPr="00D27683">
        <w:t>LAMA.</w:t>
      </w:r>
      <w:r w:rsidR="008531AE" w:rsidRPr="00D27683">
        <w:t xml:space="preserve"> This is in line with the GOLD Report 2026</w:t>
      </w:r>
      <w:r w:rsidR="008531AE" w:rsidRPr="00D27683">
        <w:rPr>
          <w:rStyle w:val="FootnoteReference"/>
        </w:rPr>
        <w:footnoteReference w:id="1"/>
      </w:r>
      <w:r w:rsidR="006673CC" w:rsidRPr="00D27683">
        <w:t>,</w:t>
      </w:r>
      <w:r w:rsidR="00FC21CD" w:rsidRPr="00D27683">
        <w:t xml:space="preserve"> however</w:t>
      </w:r>
      <w:r w:rsidR="006673CC" w:rsidRPr="00D27683">
        <w:t xml:space="preserve"> </w:t>
      </w:r>
      <w:r w:rsidR="00FC21CD" w:rsidRPr="00D27683">
        <w:t xml:space="preserve">the proposed restriction also allows the use of mepolizumab as an add-on treatment in patients where LAMA, LABA or ICS are contraindicated. </w:t>
      </w:r>
    </w:p>
    <w:p w14:paraId="7535D301" w14:textId="55B6289A" w:rsidR="00940AEF" w:rsidRPr="006D6FD8" w:rsidRDefault="00940AEF" w:rsidP="00135EE0">
      <w:pPr>
        <w:pStyle w:val="3-BodyText"/>
        <w:numPr>
          <w:ilvl w:val="0"/>
          <w:numId w:val="0"/>
        </w:numPr>
        <w:rPr>
          <w:iCs/>
        </w:rPr>
      </w:pPr>
      <w:r w:rsidRPr="00C33D30">
        <w:rPr>
          <w:i/>
        </w:rPr>
        <w:t>For more detail on PBAC’s view, see section 7 PBAC outcome.</w:t>
      </w:r>
    </w:p>
    <w:p w14:paraId="3541D1E0" w14:textId="77777777" w:rsidR="008531AE" w:rsidRPr="00D27683" w:rsidRDefault="008531AE" w:rsidP="00135EE0">
      <w:pPr>
        <w:pStyle w:val="2-SectionHeading"/>
        <w:numPr>
          <w:ilvl w:val="0"/>
          <w:numId w:val="1"/>
        </w:numPr>
      </w:pPr>
      <w:bookmarkStart w:id="49" w:name="_Toc216174088"/>
      <w:bookmarkStart w:id="50" w:name="_Toc216697632"/>
      <w:bookmarkStart w:id="51" w:name="_Toc217392663"/>
      <w:bookmarkStart w:id="52" w:name="_Toc219030867"/>
      <w:bookmarkStart w:id="53" w:name="_Toc219064630"/>
      <w:bookmarkStart w:id="54" w:name="_Toc219884814"/>
      <w:r w:rsidRPr="00D27683">
        <w:t>Comparator</w:t>
      </w:r>
      <w:bookmarkEnd w:id="49"/>
      <w:bookmarkEnd w:id="50"/>
      <w:bookmarkEnd w:id="51"/>
      <w:bookmarkEnd w:id="52"/>
      <w:bookmarkEnd w:id="53"/>
      <w:bookmarkEnd w:id="54"/>
    </w:p>
    <w:p w14:paraId="17D13A66" w14:textId="16A648BF" w:rsidR="00B9211D" w:rsidRPr="00D27683" w:rsidRDefault="008531AE" w:rsidP="00135EE0">
      <w:pPr>
        <w:pStyle w:val="3-BodyText"/>
        <w:numPr>
          <w:ilvl w:val="1"/>
          <w:numId w:val="1"/>
        </w:numPr>
      </w:pPr>
      <w:r w:rsidRPr="00D27683">
        <w:t>The submission estimated approximately 60% of patients with COPD who use triple inhaled therapy consisting of LABA + LAMA + ICS, continue to experience exacerbations, with 4</w:t>
      </w:r>
      <w:r w:rsidR="00B1071F" w:rsidRPr="00D27683">
        <w:t>6</w:t>
      </w:r>
      <w:r w:rsidRPr="00D27683">
        <w:t xml:space="preserve">% exhibiting BEC </w:t>
      </w:r>
      <w:r w:rsidRPr="00D27683">
        <w:rPr>
          <w:rFonts w:ascii="Calibri" w:hAnsi="Calibri" w:cs="Calibri"/>
        </w:rPr>
        <w:t>≥ 300 cells/µL</w:t>
      </w:r>
      <w:r w:rsidRPr="00D27683">
        <w:t xml:space="preserve">. </w:t>
      </w:r>
      <w:r w:rsidRPr="00D27683">
        <w:rPr>
          <w:rFonts w:ascii="Calibri" w:hAnsi="Calibri" w:cs="Calibri"/>
        </w:rPr>
        <w:t>This group of patients represents approximately 6% of the overall COPD population</w:t>
      </w:r>
      <w:r w:rsidRPr="00D27683">
        <w:t xml:space="preserve">. There are currently no PBS subsidised pharmacological maintenance treatments available for these patients. </w:t>
      </w:r>
      <w:r w:rsidRPr="006D6FD8">
        <w:rPr>
          <w:iCs/>
        </w:rPr>
        <w:t xml:space="preserve">The </w:t>
      </w:r>
      <w:r w:rsidR="00DB3A18">
        <w:rPr>
          <w:iCs/>
        </w:rPr>
        <w:t xml:space="preserve">PBAC agreed with the </w:t>
      </w:r>
      <w:r w:rsidR="00A35235" w:rsidRPr="006D6FD8">
        <w:rPr>
          <w:iCs/>
        </w:rPr>
        <w:t>Sub-Committees that the</w:t>
      </w:r>
      <w:r w:rsidR="00A35235" w:rsidRPr="00D27683">
        <w:t xml:space="preserve"> </w:t>
      </w:r>
      <w:r w:rsidRPr="00D27683">
        <w:t xml:space="preserve">choice of triple inhaled therapy alone as the comparator in the submission was appropriate. </w:t>
      </w:r>
    </w:p>
    <w:p w14:paraId="36917EDC" w14:textId="2833EC96" w:rsidR="008531AE" w:rsidRPr="00940AEF" w:rsidRDefault="008531AE" w:rsidP="00135EE0">
      <w:pPr>
        <w:pStyle w:val="3-BodyText"/>
        <w:numPr>
          <w:ilvl w:val="1"/>
          <w:numId w:val="1"/>
        </w:numPr>
      </w:pPr>
      <w:r w:rsidRPr="00D27683">
        <w:t>As an application for the consideration of dupilumab in the same population was submitted for the March 2026 PBAC Meeting, this may be considered a near market comparator.</w:t>
      </w:r>
      <w:r w:rsidR="00B9211D" w:rsidRPr="00D27683">
        <w:t xml:space="preserve"> </w:t>
      </w:r>
      <w:r w:rsidRPr="00D27683">
        <w:t xml:space="preserve">At the time of the evaluation, 2 </w:t>
      </w:r>
      <w:r w:rsidR="00A050DD" w:rsidRPr="006D6FD8">
        <w:rPr>
          <w:iCs/>
        </w:rPr>
        <w:t>published</w:t>
      </w:r>
      <w:r w:rsidR="00A050DD" w:rsidRPr="00D27683">
        <w:t xml:space="preserve"> </w:t>
      </w:r>
      <w:r w:rsidRPr="00D27683">
        <w:t>indirect treatment comparisons (ITCs) of mepolizumab versus dupilumab were available</w:t>
      </w:r>
      <w:r w:rsidR="00C24FF3" w:rsidRPr="00D27683">
        <w:t xml:space="preserve"> (see paragraph </w:t>
      </w:r>
      <w:r w:rsidR="00C24FF3" w:rsidRPr="00D27683">
        <w:fldChar w:fldCharType="begin"/>
      </w:r>
      <w:r w:rsidR="00C24FF3" w:rsidRPr="00D27683">
        <w:instrText xml:space="preserve"> REF _Ref219112665 \r \h  \* MERGEFORMAT </w:instrText>
      </w:r>
      <w:r w:rsidR="00C24FF3" w:rsidRPr="00D27683">
        <w:fldChar w:fldCharType="separate"/>
      </w:r>
      <w:r w:rsidR="00F26712">
        <w:t>6.26</w:t>
      </w:r>
      <w:r w:rsidR="00C24FF3" w:rsidRPr="00D27683">
        <w:fldChar w:fldCharType="end"/>
      </w:r>
      <w:r w:rsidR="00C24FF3" w:rsidRPr="00D27683">
        <w:t>)</w:t>
      </w:r>
      <w:r w:rsidRPr="00D27683">
        <w:t xml:space="preserve">. </w:t>
      </w:r>
      <w:r w:rsidR="000F24EC" w:rsidRPr="006D6FD8">
        <w:rPr>
          <w:iCs/>
        </w:rPr>
        <w:t xml:space="preserve">The submission also provided a </w:t>
      </w:r>
      <w:r w:rsidR="006F2E64" w:rsidRPr="006D6FD8">
        <w:rPr>
          <w:iCs/>
        </w:rPr>
        <w:t>matching-adjusted indirect comparison (</w:t>
      </w:r>
      <w:r w:rsidR="000F24EC" w:rsidRPr="006D6FD8">
        <w:rPr>
          <w:iCs/>
        </w:rPr>
        <w:t>MAIC</w:t>
      </w:r>
      <w:r w:rsidR="006F2E64" w:rsidRPr="006D6FD8">
        <w:rPr>
          <w:iCs/>
        </w:rPr>
        <w:t>)</w:t>
      </w:r>
      <w:r w:rsidR="000F24EC" w:rsidRPr="006D6FD8">
        <w:rPr>
          <w:iCs/>
        </w:rPr>
        <w:t xml:space="preserve"> </w:t>
      </w:r>
      <w:r w:rsidR="000F24EC" w:rsidRPr="006D6FD8">
        <w:rPr>
          <w:iCs/>
        </w:rPr>
        <w:lastRenderedPageBreak/>
        <w:t>comparing mepolizumab and dup</w:t>
      </w:r>
      <w:r w:rsidR="00347728" w:rsidRPr="006D6FD8">
        <w:rPr>
          <w:iCs/>
        </w:rPr>
        <w:t>ilumab</w:t>
      </w:r>
      <w:r w:rsidR="00C24FF3" w:rsidRPr="006D6FD8">
        <w:rPr>
          <w:iCs/>
        </w:rPr>
        <w:t xml:space="preserve"> (see paragraphs </w:t>
      </w:r>
      <w:r w:rsidR="001F3972" w:rsidRPr="006D6FD8">
        <w:rPr>
          <w:iCs/>
        </w:rPr>
        <w:fldChar w:fldCharType="begin"/>
      </w:r>
      <w:r w:rsidR="001F3972" w:rsidRPr="006D6FD8">
        <w:rPr>
          <w:iCs/>
        </w:rPr>
        <w:instrText xml:space="preserve"> REF _Ref222566965 \r \h </w:instrText>
      </w:r>
      <w:r w:rsidR="001F3972" w:rsidRPr="006D6FD8">
        <w:rPr>
          <w:iCs/>
        </w:rPr>
      </w:r>
      <w:r w:rsidR="001F3972" w:rsidRPr="006D6FD8">
        <w:rPr>
          <w:iCs/>
        </w:rPr>
        <w:fldChar w:fldCharType="separate"/>
      </w:r>
      <w:r w:rsidR="00F26712">
        <w:rPr>
          <w:iCs/>
        </w:rPr>
        <w:t>6.27</w:t>
      </w:r>
      <w:r w:rsidR="001F3972" w:rsidRPr="006D6FD8">
        <w:rPr>
          <w:iCs/>
        </w:rPr>
        <w:fldChar w:fldCharType="end"/>
      </w:r>
      <w:r w:rsidR="001F3972" w:rsidRPr="006D6FD8">
        <w:rPr>
          <w:iCs/>
        </w:rPr>
        <w:t xml:space="preserve"> and </w:t>
      </w:r>
      <w:r w:rsidR="001F3972" w:rsidRPr="006D6FD8">
        <w:rPr>
          <w:iCs/>
        </w:rPr>
        <w:fldChar w:fldCharType="begin"/>
      </w:r>
      <w:r w:rsidR="001F3972" w:rsidRPr="006D6FD8">
        <w:rPr>
          <w:iCs/>
        </w:rPr>
        <w:instrText xml:space="preserve"> REF _Ref222566973 \r \h </w:instrText>
      </w:r>
      <w:r w:rsidR="001F3972" w:rsidRPr="006D6FD8">
        <w:rPr>
          <w:iCs/>
        </w:rPr>
      </w:r>
      <w:r w:rsidR="001F3972" w:rsidRPr="006D6FD8">
        <w:rPr>
          <w:iCs/>
        </w:rPr>
        <w:fldChar w:fldCharType="separate"/>
      </w:r>
      <w:r w:rsidR="00F26712">
        <w:rPr>
          <w:iCs/>
        </w:rPr>
        <w:t>6.28</w:t>
      </w:r>
      <w:r w:rsidR="001F3972" w:rsidRPr="006D6FD8">
        <w:rPr>
          <w:iCs/>
        </w:rPr>
        <w:fldChar w:fldCharType="end"/>
      </w:r>
      <w:r w:rsidR="001F3972" w:rsidRPr="006D6FD8">
        <w:rPr>
          <w:iCs/>
        </w:rPr>
        <w:t>)</w:t>
      </w:r>
      <w:r w:rsidR="00BC59A1" w:rsidRPr="006D6FD8">
        <w:rPr>
          <w:iCs/>
        </w:rPr>
        <w:t>.</w:t>
      </w:r>
      <w:r w:rsidR="00831619">
        <w:rPr>
          <w:iCs/>
        </w:rPr>
        <w:t xml:space="preserve"> </w:t>
      </w:r>
      <w:r w:rsidR="00DB3A18">
        <w:t>The PBAC considered that dupilumab was a</w:t>
      </w:r>
      <w:r w:rsidR="00B348A7">
        <w:t xml:space="preserve"> relevant </w:t>
      </w:r>
      <w:r w:rsidR="00DB3A18">
        <w:t>near market comparator.</w:t>
      </w:r>
    </w:p>
    <w:p w14:paraId="1865924C" w14:textId="65D3FA68" w:rsidR="00940AEF" w:rsidRPr="00D27683" w:rsidRDefault="00940AEF" w:rsidP="00135EE0">
      <w:pPr>
        <w:pStyle w:val="3-BodyText"/>
        <w:numPr>
          <w:ilvl w:val="0"/>
          <w:numId w:val="0"/>
        </w:numPr>
      </w:pPr>
      <w:r w:rsidRPr="00C33D30">
        <w:rPr>
          <w:i/>
        </w:rPr>
        <w:t>For more detail on PBAC’s view, see section 7 PBAC outcome.</w:t>
      </w:r>
    </w:p>
    <w:p w14:paraId="06BC8BA0" w14:textId="77777777" w:rsidR="008531AE" w:rsidRDefault="008531AE" w:rsidP="00135EE0">
      <w:pPr>
        <w:pStyle w:val="2-SectionHeading"/>
        <w:numPr>
          <w:ilvl w:val="0"/>
          <w:numId w:val="1"/>
        </w:numPr>
      </w:pPr>
      <w:bookmarkStart w:id="55" w:name="_Toc216174089"/>
      <w:bookmarkStart w:id="56" w:name="_Toc216697633"/>
      <w:bookmarkStart w:id="57" w:name="_Toc217392664"/>
      <w:bookmarkStart w:id="58" w:name="_Toc219030868"/>
      <w:bookmarkStart w:id="59" w:name="_Toc219064631"/>
      <w:bookmarkStart w:id="60" w:name="_Toc219884815"/>
      <w:bookmarkStart w:id="61" w:name="_Toc22897640"/>
      <w:r w:rsidRPr="00D27683">
        <w:t>Consideration of the evidence</w:t>
      </w:r>
      <w:bookmarkEnd w:id="55"/>
      <w:bookmarkEnd w:id="56"/>
      <w:bookmarkEnd w:id="57"/>
      <w:bookmarkEnd w:id="58"/>
      <w:bookmarkEnd w:id="59"/>
      <w:bookmarkEnd w:id="60"/>
    </w:p>
    <w:p w14:paraId="49D67051" w14:textId="4E78F9F1" w:rsidR="00027452" w:rsidRPr="00027452" w:rsidRDefault="003F51B4" w:rsidP="00135EE0">
      <w:pPr>
        <w:pStyle w:val="4-SubsectionHeading"/>
      </w:pPr>
      <w:bookmarkStart w:id="62" w:name="_Hlk76375935"/>
      <w:r w:rsidRPr="006E1229">
        <w:t>Sponsor hearing</w:t>
      </w:r>
      <w:bookmarkStart w:id="63" w:name="_Hlk76382586"/>
    </w:p>
    <w:p w14:paraId="426C9F57" w14:textId="7D33C8EC" w:rsidR="00F93091" w:rsidRDefault="003F51B4" w:rsidP="00135EE0">
      <w:pPr>
        <w:pStyle w:val="3-BodyText"/>
        <w:rPr>
          <w:snapToGrid w:val="0"/>
        </w:rPr>
      </w:pPr>
      <w:bookmarkStart w:id="64" w:name="_Ref224808718"/>
      <w:r w:rsidRPr="00027452">
        <w:rPr>
          <w:snapToGrid w:val="0"/>
        </w:rPr>
        <w:t>The sponsor requested a hearing for this item.</w:t>
      </w:r>
      <w:r w:rsidR="00D16992">
        <w:rPr>
          <w:snapToGrid w:val="0"/>
        </w:rPr>
        <w:t xml:space="preserve"> </w:t>
      </w:r>
      <w:r w:rsidRPr="00027452">
        <w:rPr>
          <w:snapToGrid w:val="0"/>
        </w:rPr>
        <w:t>The clinician</w:t>
      </w:r>
      <w:r w:rsidR="00F83865" w:rsidRPr="00027452">
        <w:rPr>
          <w:rFonts w:ascii="Segoe UI" w:hAnsi="Segoe UI" w:cs="Segoe UI"/>
          <w:sz w:val="21"/>
          <w:szCs w:val="21"/>
        </w:rPr>
        <w:t xml:space="preserve"> </w:t>
      </w:r>
      <w:r w:rsidR="005B7855" w:rsidRPr="00027452">
        <w:rPr>
          <w:snapToGrid w:val="0"/>
        </w:rPr>
        <w:t>stated</w:t>
      </w:r>
      <w:r w:rsidR="00F83865" w:rsidRPr="00027452">
        <w:rPr>
          <w:snapToGrid w:val="0"/>
        </w:rPr>
        <w:t xml:space="preserve"> that</w:t>
      </w:r>
      <w:r w:rsidR="005B7855" w:rsidRPr="00027452">
        <w:rPr>
          <w:snapToGrid w:val="0"/>
        </w:rPr>
        <w:t xml:space="preserve"> despite the availability of triple inhaled therapy,</w:t>
      </w:r>
      <w:r w:rsidR="00F83865" w:rsidRPr="00027452">
        <w:rPr>
          <w:snapToGrid w:val="0"/>
        </w:rPr>
        <w:t xml:space="preserve"> achieving optimal disease control in COPD </w:t>
      </w:r>
      <w:r w:rsidR="005B7855" w:rsidRPr="00027452">
        <w:rPr>
          <w:snapToGrid w:val="0"/>
        </w:rPr>
        <w:t xml:space="preserve">patients </w:t>
      </w:r>
      <w:r w:rsidR="00F83865" w:rsidRPr="00027452">
        <w:rPr>
          <w:snapToGrid w:val="0"/>
        </w:rPr>
        <w:t>remains challenging</w:t>
      </w:r>
      <w:r w:rsidR="005B7855" w:rsidRPr="00027452">
        <w:rPr>
          <w:snapToGrid w:val="0"/>
        </w:rPr>
        <w:t xml:space="preserve">. The clinician </w:t>
      </w:r>
      <w:r w:rsidR="00DB26E7" w:rsidRPr="00027452">
        <w:rPr>
          <w:snapToGrid w:val="0"/>
        </w:rPr>
        <w:t>highlighted</w:t>
      </w:r>
      <w:r w:rsidR="009D0626" w:rsidRPr="00027452">
        <w:rPr>
          <w:snapToGrid w:val="0"/>
        </w:rPr>
        <w:t xml:space="preserve"> that for </w:t>
      </w:r>
      <w:r w:rsidR="00B81D57" w:rsidRPr="00027452">
        <w:rPr>
          <w:snapToGrid w:val="0"/>
        </w:rPr>
        <w:t>this</w:t>
      </w:r>
      <w:r w:rsidR="009D0626" w:rsidRPr="00027452">
        <w:rPr>
          <w:snapToGrid w:val="0"/>
        </w:rPr>
        <w:t xml:space="preserve"> patient</w:t>
      </w:r>
      <w:r w:rsidR="00B81D57" w:rsidRPr="00027452">
        <w:rPr>
          <w:snapToGrid w:val="0"/>
        </w:rPr>
        <w:t xml:space="preserve"> population</w:t>
      </w:r>
      <w:r w:rsidR="004E5458" w:rsidRPr="00027452">
        <w:rPr>
          <w:snapToGrid w:val="0"/>
        </w:rPr>
        <w:t>,</w:t>
      </w:r>
      <w:r w:rsidR="00D16992">
        <w:rPr>
          <w:snapToGrid w:val="0"/>
        </w:rPr>
        <w:t xml:space="preserve"> </w:t>
      </w:r>
      <w:r w:rsidR="005F1DDE" w:rsidRPr="00027452">
        <w:rPr>
          <w:snapToGrid w:val="0"/>
        </w:rPr>
        <w:t xml:space="preserve">fewer and delayed </w:t>
      </w:r>
      <w:r w:rsidR="001D19D1" w:rsidRPr="00027452">
        <w:rPr>
          <w:snapToGrid w:val="0"/>
        </w:rPr>
        <w:t>exacerbations</w:t>
      </w:r>
      <w:r w:rsidR="000035CB" w:rsidRPr="00027452">
        <w:rPr>
          <w:snapToGrid w:val="0"/>
        </w:rPr>
        <w:t xml:space="preserve"> as </w:t>
      </w:r>
      <w:r w:rsidR="00760D02" w:rsidRPr="00027452">
        <w:rPr>
          <w:snapToGrid w:val="0"/>
        </w:rPr>
        <w:t>observed</w:t>
      </w:r>
      <w:r w:rsidR="000035CB" w:rsidRPr="00027452">
        <w:rPr>
          <w:snapToGrid w:val="0"/>
        </w:rPr>
        <w:t xml:space="preserve"> </w:t>
      </w:r>
      <w:r w:rsidR="0097550D" w:rsidRPr="00027452">
        <w:rPr>
          <w:snapToGrid w:val="0"/>
        </w:rPr>
        <w:t>for mepolizumab</w:t>
      </w:r>
      <w:r w:rsidR="007929FE" w:rsidRPr="00027452">
        <w:rPr>
          <w:snapToGrid w:val="0"/>
        </w:rPr>
        <w:t xml:space="preserve"> </w:t>
      </w:r>
      <w:r w:rsidR="00C30275">
        <w:rPr>
          <w:snapToGrid w:val="0"/>
        </w:rPr>
        <w:t>plus</w:t>
      </w:r>
      <w:r w:rsidR="007929FE" w:rsidRPr="00027452">
        <w:rPr>
          <w:snapToGrid w:val="0"/>
        </w:rPr>
        <w:t xml:space="preserve"> triple inhaled therapy</w:t>
      </w:r>
      <w:r w:rsidR="0097550D" w:rsidRPr="00027452">
        <w:rPr>
          <w:snapToGrid w:val="0"/>
        </w:rPr>
        <w:t xml:space="preserve"> </w:t>
      </w:r>
      <w:r w:rsidR="00A12E59" w:rsidRPr="00027452">
        <w:rPr>
          <w:snapToGrid w:val="0"/>
        </w:rPr>
        <w:t>vs triple inhaled therapy</w:t>
      </w:r>
      <w:r w:rsidR="007929FE" w:rsidRPr="00027452">
        <w:rPr>
          <w:snapToGrid w:val="0"/>
        </w:rPr>
        <w:t xml:space="preserve"> alone</w:t>
      </w:r>
      <w:r w:rsidR="0097550D" w:rsidRPr="00027452">
        <w:rPr>
          <w:snapToGrid w:val="0"/>
        </w:rPr>
        <w:t xml:space="preserve"> </w:t>
      </w:r>
      <w:r w:rsidR="000035CB" w:rsidRPr="00027452">
        <w:rPr>
          <w:snapToGrid w:val="0"/>
        </w:rPr>
        <w:t xml:space="preserve">in the MATINEE trial, </w:t>
      </w:r>
      <w:r w:rsidR="00906139" w:rsidRPr="00027452">
        <w:rPr>
          <w:snapToGrid w:val="0"/>
        </w:rPr>
        <w:t>would be</w:t>
      </w:r>
      <w:r w:rsidR="0005441E" w:rsidRPr="00027452">
        <w:rPr>
          <w:snapToGrid w:val="0"/>
        </w:rPr>
        <w:t xml:space="preserve"> clinically </w:t>
      </w:r>
      <w:r w:rsidR="00D259EE" w:rsidRPr="00027452">
        <w:rPr>
          <w:snapToGrid w:val="0"/>
        </w:rPr>
        <w:t xml:space="preserve">meaningful for </w:t>
      </w:r>
      <w:r w:rsidR="00A47947" w:rsidRPr="00027452">
        <w:rPr>
          <w:snapToGrid w:val="0"/>
        </w:rPr>
        <w:t xml:space="preserve">patients and </w:t>
      </w:r>
      <w:r w:rsidR="00D259EE" w:rsidRPr="00027452">
        <w:rPr>
          <w:snapToGrid w:val="0"/>
        </w:rPr>
        <w:t>provide</w:t>
      </w:r>
      <w:r w:rsidR="007A2AA3" w:rsidRPr="00027452">
        <w:rPr>
          <w:snapToGrid w:val="0"/>
        </w:rPr>
        <w:t xml:space="preserve"> cost and</w:t>
      </w:r>
      <w:r w:rsidR="00D259EE" w:rsidRPr="00027452">
        <w:rPr>
          <w:snapToGrid w:val="0"/>
        </w:rPr>
        <w:t xml:space="preserve"> </w:t>
      </w:r>
      <w:r w:rsidR="007A2AA3" w:rsidRPr="00027452">
        <w:rPr>
          <w:snapToGrid w:val="0"/>
        </w:rPr>
        <w:t>operational</w:t>
      </w:r>
      <w:r w:rsidR="00D259EE" w:rsidRPr="00027452">
        <w:rPr>
          <w:snapToGrid w:val="0"/>
        </w:rPr>
        <w:t xml:space="preserve"> advantages for the </w:t>
      </w:r>
      <w:r w:rsidR="00A47947" w:rsidRPr="00027452">
        <w:rPr>
          <w:snapToGrid w:val="0"/>
        </w:rPr>
        <w:t xml:space="preserve">health care system. </w:t>
      </w:r>
      <w:r w:rsidR="00D61003" w:rsidRPr="00027452">
        <w:rPr>
          <w:snapToGrid w:val="0"/>
        </w:rPr>
        <w:t xml:space="preserve">The clinician </w:t>
      </w:r>
      <w:r w:rsidR="00BD6DD6" w:rsidRPr="00027452">
        <w:rPr>
          <w:snapToGrid w:val="0"/>
        </w:rPr>
        <w:t>stated</w:t>
      </w:r>
      <w:r w:rsidR="00D61003" w:rsidRPr="00027452">
        <w:rPr>
          <w:snapToGrid w:val="0"/>
        </w:rPr>
        <w:t xml:space="preserve"> that mepolizumab </w:t>
      </w:r>
      <w:r w:rsidR="00E4737B" w:rsidRPr="00027452">
        <w:rPr>
          <w:snapToGrid w:val="0"/>
        </w:rPr>
        <w:t>would</w:t>
      </w:r>
      <w:r w:rsidR="00970EA8" w:rsidRPr="00027452">
        <w:rPr>
          <w:snapToGrid w:val="0"/>
        </w:rPr>
        <w:t xml:space="preserve"> improve the likelihood</w:t>
      </w:r>
      <w:r w:rsidR="00D931DE" w:rsidRPr="00027452">
        <w:rPr>
          <w:snapToGrid w:val="0"/>
        </w:rPr>
        <w:t xml:space="preserve"> of</w:t>
      </w:r>
      <w:r w:rsidR="00970EA8" w:rsidRPr="00027452">
        <w:rPr>
          <w:snapToGrid w:val="0"/>
        </w:rPr>
        <w:t xml:space="preserve"> stable </w:t>
      </w:r>
      <w:r w:rsidR="00BD6DD6" w:rsidRPr="00027452">
        <w:rPr>
          <w:snapToGrid w:val="0"/>
        </w:rPr>
        <w:t>COPD</w:t>
      </w:r>
      <w:r w:rsidR="00970EA8" w:rsidRPr="00027452">
        <w:rPr>
          <w:snapToGrid w:val="0"/>
        </w:rPr>
        <w:t xml:space="preserve">, </w:t>
      </w:r>
      <w:r w:rsidR="00D7219D" w:rsidRPr="00027452">
        <w:rPr>
          <w:snapToGrid w:val="0"/>
        </w:rPr>
        <w:t>preserve lung function</w:t>
      </w:r>
      <w:r w:rsidR="007F77AF" w:rsidRPr="00027452">
        <w:rPr>
          <w:snapToGrid w:val="0"/>
        </w:rPr>
        <w:t xml:space="preserve"> and</w:t>
      </w:r>
      <w:r w:rsidR="00E31206" w:rsidRPr="00027452">
        <w:rPr>
          <w:snapToGrid w:val="0"/>
        </w:rPr>
        <w:t xml:space="preserve"> help to</w:t>
      </w:r>
      <w:r w:rsidR="007F77AF" w:rsidRPr="00027452">
        <w:rPr>
          <w:snapToGrid w:val="0"/>
        </w:rPr>
        <w:t xml:space="preserve"> reduce exposure to systemic corticosteroids and antibiotics, </w:t>
      </w:r>
      <w:r w:rsidR="00475004" w:rsidRPr="00027452">
        <w:rPr>
          <w:snapToGrid w:val="0"/>
        </w:rPr>
        <w:t xml:space="preserve">thereby allowing patients to maintain independence and </w:t>
      </w:r>
      <w:r w:rsidR="00612604" w:rsidRPr="00027452">
        <w:rPr>
          <w:snapToGrid w:val="0"/>
        </w:rPr>
        <w:t>result in</w:t>
      </w:r>
      <w:r w:rsidR="00E31206" w:rsidRPr="00027452">
        <w:rPr>
          <w:snapToGrid w:val="0"/>
        </w:rPr>
        <w:t xml:space="preserve"> an overall</w:t>
      </w:r>
      <w:r w:rsidR="00612604" w:rsidRPr="00027452">
        <w:rPr>
          <w:snapToGrid w:val="0"/>
        </w:rPr>
        <w:t xml:space="preserve"> improved</w:t>
      </w:r>
      <w:r w:rsidR="00475004" w:rsidRPr="00027452">
        <w:rPr>
          <w:snapToGrid w:val="0"/>
        </w:rPr>
        <w:t xml:space="preserve"> quality of life. </w:t>
      </w:r>
      <w:r w:rsidR="00E76084" w:rsidRPr="00027452">
        <w:rPr>
          <w:snapToGrid w:val="0"/>
        </w:rPr>
        <w:t>The clinician stated that from</w:t>
      </w:r>
      <w:r w:rsidR="001B0DB3" w:rsidRPr="00027452">
        <w:rPr>
          <w:snapToGrid w:val="0"/>
        </w:rPr>
        <w:t xml:space="preserve"> a system perspective, fewer exacerbations </w:t>
      </w:r>
      <w:r w:rsidR="0048281B" w:rsidRPr="00027452">
        <w:rPr>
          <w:snapToGrid w:val="0"/>
        </w:rPr>
        <w:t>would likely translate into reduced emergency department</w:t>
      </w:r>
      <w:r w:rsidR="007F7524" w:rsidRPr="00027452">
        <w:rPr>
          <w:snapToGrid w:val="0"/>
        </w:rPr>
        <w:t xml:space="preserve"> and general practitioner</w:t>
      </w:r>
      <w:r w:rsidR="0048281B" w:rsidRPr="00027452">
        <w:rPr>
          <w:snapToGrid w:val="0"/>
        </w:rPr>
        <w:t xml:space="preserve"> presentations, lower rates of hospitalisations, </w:t>
      </w:r>
      <w:r w:rsidR="005C5786" w:rsidRPr="00027452">
        <w:rPr>
          <w:snapToGrid w:val="0"/>
        </w:rPr>
        <w:t>and</w:t>
      </w:r>
      <w:r w:rsidR="0097146F" w:rsidRPr="00027452">
        <w:rPr>
          <w:snapToGrid w:val="0"/>
        </w:rPr>
        <w:t xml:space="preserve"> lead to an</w:t>
      </w:r>
      <w:r w:rsidR="005C5786" w:rsidRPr="00027452">
        <w:rPr>
          <w:snapToGrid w:val="0"/>
        </w:rPr>
        <w:t xml:space="preserve"> overall </w:t>
      </w:r>
      <w:r w:rsidR="00504874" w:rsidRPr="00027452">
        <w:rPr>
          <w:snapToGrid w:val="0"/>
        </w:rPr>
        <w:t>reduction in health</w:t>
      </w:r>
      <w:r w:rsidR="000C77D4" w:rsidRPr="00027452">
        <w:rPr>
          <w:snapToGrid w:val="0"/>
        </w:rPr>
        <w:t xml:space="preserve"> care</w:t>
      </w:r>
      <w:r w:rsidR="00504874" w:rsidRPr="00027452">
        <w:rPr>
          <w:snapToGrid w:val="0"/>
        </w:rPr>
        <w:t xml:space="preserve"> resource burden. </w:t>
      </w:r>
      <w:r w:rsidR="005F03E5" w:rsidRPr="00027452">
        <w:rPr>
          <w:snapToGrid w:val="0"/>
        </w:rPr>
        <w:t xml:space="preserve">The clinician highlighted that </w:t>
      </w:r>
      <w:r w:rsidR="00715AFB" w:rsidRPr="00027452">
        <w:rPr>
          <w:snapToGrid w:val="0"/>
        </w:rPr>
        <w:t xml:space="preserve">each exacerbation accelerates irreversible lung-function decline, and </w:t>
      </w:r>
      <w:r w:rsidR="00A13877" w:rsidRPr="00027452">
        <w:rPr>
          <w:snapToGrid w:val="0"/>
        </w:rPr>
        <w:t xml:space="preserve">heightens the risk of subsequent events, often shortening the interval between them. </w:t>
      </w:r>
      <w:r w:rsidR="00E84092" w:rsidRPr="00027452">
        <w:rPr>
          <w:snapToGrid w:val="0"/>
        </w:rPr>
        <w:t xml:space="preserve">The clinician stated that </w:t>
      </w:r>
      <w:r w:rsidR="00BF125B" w:rsidRPr="00027452">
        <w:rPr>
          <w:snapToGrid w:val="0"/>
        </w:rPr>
        <w:t>this exacerbation-driven cycle reflects the progressive nat</w:t>
      </w:r>
      <w:r w:rsidR="00603689" w:rsidRPr="00027452">
        <w:rPr>
          <w:snapToGrid w:val="0"/>
        </w:rPr>
        <w:t>ure</w:t>
      </w:r>
      <w:r w:rsidR="00BF125B" w:rsidRPr="00027452">
        <w:rPr>
          <w:snapToGrid w:val="0"/>
        </w:rPr>
        <w:t xml:space="preserve"> of COPD, which </w:t>
      </w:r>
      <w:r w:rsidR="00603689" w:rsidRPr="00027452">
        <w:rPr>
          <w:snapToGrid w:val="0"/>
        </w:rPr>
        <w:t>distinguishes</w:t>
      </w:r>
      <w:r w:rsidR="00BF125B" w:rsidRPr="00027452">
        <w:rPr>
          <w:snapToGrid w:val="0"/>
        </w:rPr>
        <w:t xml:space="preserve"> this population from patients with severe asthma</w:t>
      </w:r>
      <w:r w:rsidR="00DC7516" w:rsidRPr="00027452">
        <w:rPr>
          <w:snapToGrid w:val="0"/>
        </w:rPr>
        <w:t xml:space="preserve">, in whom lung function is </w:t>
      </w:r>
      <w:r w:rsidR="00603689" w:rsidRPr="00027452">
        <w:rPr>
          <w:snapToGrid w:val="0"/>
        </w:rPr>
        <w:t>largely</w:t>
      </w:r>
      <w:r w:rsidR="00DC7516" w:rsidRPr="00027452">
        <w:rPr>
          <w:snapToGrid w:val="0"/>
        </w:rPr>
        <w:t xml:space="preserve"> </w:t>
      </w:r>
      <w:r w:rsidR="00603689" w:rsidRPr="00027452">
        <w:rPr>
          <w:snapToGrid w:val="0"/>
        </w:rPr>
        <w:t>reversible</w:t>
      </w:r>
      <w:r w:rsidR="00384C46" w:rsidRPr="00027452">
        <w:rPr>
          <w:snapToGrid w:val="0"/>
        </w:rPr>
        <w:t xml:space="preserve">. </w:t>
      </w:r>
      <w:r w:rsidR="003F34F4" w:rsidRPr="00027452">
        <w:rPr>
          <w:snapToGrid w:val="0"/>
        </w:rPr>
        <w:t>The clinician also noted the demographic differences between COPD and severe asthma patients, where</w:t>
      </w:r>
      <w:r w:rsidR="00F71886" w:rsidRPr="00027452">
        <w:rPr>
          <w:snapToGrid w:val="0"/>
        </w:rPr>
        <w:t xml:space="preserve"> COPD patients are of</w:t>
      </w:r>
      <w:r w:rsidR="00603689" w:rsidRPr="00027452">
        <w:rPr>
          <w:snapToGrid w:val="0"/>
        </w:rPr>
        <w:t>t</w:t>
      </w:r>
      <w:r w:rsidR="00F71886" w:rsidRPr="00027452">
        <w:rPr>
          <w:snapToGrid w:val="0"/>
        </w:rPr>
        <w:t>en older, more fragile and have more co-</w:t>
      </w:r>
      <w:r w:rsidR="00603689" w:rsidRPr="00027452">
        <w:rPr>
          <w:snapToGrid w:val="0"/>
        </w:rPr>
        <w:t xml:space="preserve">morbidities, such as cardiovascular disease, which increase </w:t>
      </w:r>
      <w:r w:rsidR="00E2259A" w:rsidRPr="00027452">
        <w:rPr>
          <w:snapToGrid w:val="0"/>
        </w:rPr>
        <w:t>susceptibility</w:t>
      </w:r>
      <w:r w:rsidR="00603689" w:rsidRPr="00027452">
        <w:rPr>
          <w:snapToGrid w:val="0"/>
        </w:rPr>
        <w:t xml:space="preserve"> to exacerbations and amplify their clinical impact. </w:t>
      </w:r>
      <w:r w:rsidR="007B7CAC" w:rsidRPr="00027452">
        <w:rPr>
          <w:snapToGrid w:val="0"/>
        </w:rPr>
        <w:t xml:space="preserve">The clinician also noted that for </w:t>
      </w:r>
      <w:r w:rsidR="00D35EB4" w:rsidRPr="00027452">
        <w:rPr>
          <w:snapToGrid w:val="0"/>
        </w:rPr>
        <w:t>mepolizumab</w:t>
      </w:r>
      <w:r w:rsidR="00624E72" w:rsidRPr="00027452">
        <w:rPr>
          <w:snapToGrid w:val="0"/>
        </w:rPr>
        <w:t xml:space="preserve"> </w:t>
      </w:r>
      <w:r w:rsidR="007B7CAC" w:rsidRPr="00027452">
        <w:rPr>
          <w:snapToGrid w:val="0"/>
        </w:rPr>
        <w:t>patients in the MATINEE trial, a waning in treatment effect</w:t>
      </w:r>
      <w:r w:rsidR="00624E72" w:rsidRPr="00027452">
        <w:rPr>
          <w:snapToGrid w:val="0"/>
        </w:rPr>
        <w:t xml:space="preserve"> was not observed</w:t>
      </w:r>
      <w:r w:rsidR="00E52799" w:rsidRPr="00027452">
        <w:rPr>
          <w:snapToGrid w:val="0"/>
        </w:rPr>
        <w:t xml:space="preserve"> and noted that there were strong </w:t>
      </w:r>
      <w:r w:rsidR="00025BD4" w:rsidRPr="00027452">
        <w:rPr>
          <w:snapToGrid w:val="0"/>
        </w:rPr>
        <w:t>theoretical</w:t>
      </w:r>
      <w:r w:rsidR="00E52799" w:rsidRPr="00027452">
        <w:rPr>
          <w:snapToGrid w:val="0"/>
        </w:rPr>
        <w:t xml:space="preserve"> </w:t>
      </w:r>
      <w:r w:rsidR="005D558E" w:rsidRPr="00027452">
        <w:rPr>
          <w:snapToGrid w:val="0"/>
        </w:rPr>
        <w:t>reasons</w:t>
      </w:r>
      <w:r w:rsidR="00D35EB4" w:rsidRPr="00027452">
        <w:rPr>
          <w:snapToGrid w:val="0"/>
        </w:rPr>
        <w:t xml:space="preserve"> that </w:t>
      </w:r>
      <w:r w:rsidR="00EA6E8B" w:rsidRPr="00027452">
        <w:rPr>
          <w:snapToGrid w:val="0"/>
        </w:rPr>
        <w:t>indicate</w:t>
      </w:r>
      <w:r w:rsidR="00AD5B06" w:rsidRPr="00027452">
        <w:rPr>
          <w:snapToGrid w:val="0"/>
        </w:rPr>
        <w:t xml:space="preserve"> </w:t>
      </w:r>
      <w:r w:rsidR="00B81C01" w:rsidRPr="00027452">
        <w:rPr>
          <w:snapToGrid w:val="0"/>
        </w:rPr>
        <w:t xml:space="preserve">that </w:t>
      </w:r>
      <w:r w:rsidR="00E2259A" w:rsidRPr="00027452">
        <w:rPr>
          <w:snapToGrid w:val="0"/>
        </w:rPr>
        <w:t xml:space="preserve">the </w:t>
      </w:r>
      <w:r w:rsidR="00AD5B06" w:rsidRPr="00027452">
        <w:rPr>
          <w:snapToGrid w:val="0"/>
        </w:rPr>
        <w:t>prevent</w:t>
      </w:r>
      <w:r w:rsidR="00E2259A" w:rsidRPr="00027452">
        <w:rPr>
          <w:snapToGrid w:val="0"/>
        </w:rPr>
        <w:t>ion of</w:t>
      </w:r>
      <w:r w:rsidR="00AD5B06" w:rsidRPr="00027452">
        <w:rPr>
          <w:snapToGrid w:val="0"/>
        </w:rPr>
        <w:t xml:space="preserve"> one </w:t>
      </w:r>
      <w:r w:rsidR="00B81C01" w:rsidRPr="00027452">
        <w:rPr>
          <w:snapToGrid w:val="0"/>
        </w:rPr>
        <w:t>exacerbation</w:t>
      </w:r>
      <w:r w:rsidR="00AD5B06" w:rsidRPr="00027452">
        <w:rPr>
          <w:snapToGrid w:val="0"/>
        </w:rPr>
        <w:t xml:space="preserve"> </w:t>
      </w:r>
      <w:r w:rsidR="004D1167" w:rsidRPr="00027452">
        <w:rPr>
          <w:snapToGrid w:val="0"/>
        </w:rPr>
        <w:t>leads to the</w:t>
      </w:r>
      <w:r w:rsidR="00AF7F24" w:rsidRPr="00027452">
        <w:rPr>
          <w:snapToGrid w:val="0"/>
        </w:rPr>
        <w:t xml:space="preserve"> preventi</w:t>
      </w:r>
      <w:r w:rsidR="004D1167" w:rsidRPr="00027452">
        <w:rPr>
          <w:snapToGrid w:val="0"/>
        </w:rPr>
        <w:t>on of</w:t>
      </w:r>
      <w:r w:rsidR="00AF7F24" w:rsidRPr="00027452">
        <w:rPr>
          <w:snapToGrid w:val="0"/>
        </w:rPr>
        <w:t xml:space="preserve"> subsequent </w:t>
      </w:r>
      <w:r w:rsidR="00B81C01" w:rsidRPr="00027452">
        <w:rPr>
          <w:snapToGrid w:val="0"/>
        </w:rPr>
        <w:t>exacerbation</w:t>
      </w:r>
      <w:r w:rsidR="00EA6E8B" w:rsidRPr="00027452">
        <w:rPr>
          <w:snapToGrid w:val="0"/>
        </w:rPr>
        <w:t>s</w:t>
      </w:r>
      <w:r w:rsidR="004D1167" w:rsidRPr="00027452">
        <w:rPr>
          <w:snapToGrid w:val="0"/>
        </w:rPr>
        <w:t>, leading to a cascade of clinical benefit</w:t>
      </w:r>
      <w:r w:rsidR="00EA6E8B" w:rsidRPr="00027452">
        <w:rPr>
          <w:snapToGrid w:val="0"/>
        </w:rPr>
        <w:t xml:space="preserve"> which would </w:t>
      </w:r>
      <w:r w:rsidR="001132EB" w:rsidRPr="00027452">
        <w:rPr>
          <w:snapToGrid w:val="0"/>
        </w:rPr>
        <w:t xml:space="preserve">continue to be observed </w:t>
      </w:r>
      <w:r w:rsidR="00EA6E8B" w:rsidRPr="00027452">
        <w:rPr>
          <w:snapToGrid w:val="0"/>
        </w:rPr>
        <w:t>beyond 1 year</w:t>
      </w:r>
      <w:r w:rsidR="00AF7F24" w:rsidRPr="00027452">
        <w:rPr>
          <w:snapToGrid w:val="0"/>
        </w:rPr>
        <w:t>.</w:t>
      </w:r>
      <w:bookmarkEnd w:id="64"/>
      <w:r w:rsidR="00AF7F24" w:rsidRPr="00027452">
        <w:rPr>
          <w:snapToGrid w:val="0"/>
        </w:rPr>
        <w:t xml:space="preserve"> </w:t>
      </w:r>
    </w:p>
    <w:bookmarkEnd w:id="63"/>
    <w:p w14:paraId="34DC1D20" w14:textId="77777777" w:rsidR="003F51B4" w:rsidRPr="006E1229" w:rsidRDefault="003F51B4" w:rsidP="00135EE0">
      <w:pPr>
        <w:pStyle w:val="4-SubsectionHeading"/>
      </w:pPr>
      <w:r w:rsidRPr="006E1229">
        <w:t xml:space="preserve">Consumer </w:t>
      </w:r>
      <w:r>
        <w:t>input</w:t>
      </w:r>
      <w:r w:rsidRPr="006E1229">
        <w:t>s</w:t>
      </w:r>
    </w:p>
    <w:p w14:paraId="6EC95756" w14:textId="53461550" w:rsidR="00A9710D" w:rsidRPr="006D6FD8" w:rsidRDefault="00A9710D" w:rsidP="00135EE0">
      <w:pPr>
        <w:pStyle w:val="3-BodyText"/>
        <w:numPr>
          <w:ilvl w:val="1"/>
          <w:numId w:val="1"/>
        </w:numPr>
        <w:rPr>
          <w:iCs/>
        </w:rPr>
      </w:pPr>
      <w:r w:rsidRPr="006D6FD8">
        <w:rPr>
          <w:iCs/>
        </w:rPr>
        <w:t xml:space="preserve">The </w:t>
      </w:r>
      <w:r w:rsidR="00F90B33">
        <w:rPr>
          <w:iCs/>
        </w:rPr>
        <w:t>PBAC</w:t>
      </w:r>
      <w:r w:rsidRPr="006D6FD8">
        <w:rPr>
          <w:iCs/>
        </w:rPr>
        <w:t xml:space="preserve"> noted and welcomed input from individuals who would like access to mepolizumab (4), health care professionals (3) and organisations (3) via the</w:t>
      </w:r>
      <w:r w:rsidRPr="006D6FD8">
        <w:rPr>
          <w:bCs/>
          <w:iCs/>
          <w:snapToGrid w:val="0"/>
        </w:rPr>
        <w:t xml:space="preserve"> Office of Health Technology Assessment Consultation Hub</w:t>
      </w:r>
      <w:r w:rsidRPr="006D6FD8">
        <w:rPr>
          <w:iCs/>
        </w:rPr>
        <w:t xml:space="preserve">. Comments from individuals who would like access to mepolizumab described the impact that chronic respiratory symptoms (cough and shortness of breath) had on their ability to work, complete housework, and spend time with family. Individuals reported mixed experiences with inhaled therapies: one noted that inhaled triple therapy was ineffective, while another describes the cough and voice changes associated inhalation delivery methods. </w:t>
      </w:r>
    </w:p>
    <w:p w14:paraId="3D28608C" w14:textId="7148F401" w:rsidR="00A9710D" w:rsidRPr="006D6FD8" w:rsidRDefault="00A9710D" w:rsidP="00135EE0">
      <w:pPr>
        <w:pStyle w:val="3-BodyText"/>
        <w:numPr>
          <w:ilvl w:val="1"/>
          <w:numId w:val="1"/>
        </w:numPr>
        <w:rPr>
          <w:iCs/>
        </w:rPr>
      </w:pPr>
      <w:r w:rsidRPr="006D6FD8">
        <w:rPr>
          <w:iCs/>
        </w:rPr>
        <w:lastRenderedPageBreak/>
        <w:t xml:space="preserve">Health care professional input described current inhaler and non-pharmacological interventions as insufficient for a subset of consumers with type 2 (eosinophilic) airway disease who continue to experience exacerbations despite optimised inhaled triple therapy. Comments stated that a significant proportion of these patients would benefit from </w:t>
      </w:r>
      <w:r w:rsidRPr="006D6FD8" w:rsidDel="00FC0F1F">
        <w:rPr>
          <w:iCs/>
        </w:rPr>
        <w:t>IL-5</w:t>
      </w:r>
      <w:r w:rsidRPr="006D6FD8">
        <w:rPr>
          <w:iCs/>
        </w:rPr>
        <w:t xml:space="preserve"> directed treatments, such as mepolizumab, and noted the positive results of mepolizumab vs placebo in the MATINEE trial. Health care professionals described COPD as a disabling condition associated with significant stigma and high mortality. COPD exacerbation symptoms were often described as feeling life-threatening. Health care professionals considered reducing exacerbations an important treatment outcome, noting that these events were associated with an increased risk of subsequent exacerbations, cardiovascular events, accelerated lung function decline and a higher risk of death. Health care professional input noted current standard of care for COPD exacerbations relies on oral corticosteroids which are associated with substantial side effects. Comments from health care professionals noted that disadvantages could arise from the PBS listing of mepolizumab, if patients with BEC &lt; 200 cells/µL, or patients not yet receiving optimised triple therapy, access treatment. </w:t>
      </w:r>
    </w:p>
    <w:p w14:paraId="5827BA37" w14:textId="54D89D3F" w:rsidR="003F51B4" w:rsidRPr="00F90B33" w:rsidRDefault="00A9710D" w:rsidP="00135EE0">
      <w:pPr>
        <w:pStyle w:val="3-BodyText"/>
        <w:numPr>
          <w:ilvl w:val="1"/>
          <w:numId w:val="1"/>
        </w:numPr>
      </w:pPr>
      <w:bookmarkStart w:id="65" w:name="_Ref224808734"/>
      <w:r w:rsidRPr="006D6FD8">
        <w:rPr>
          <w:iCs/>
        </w:rPr>
        <w:t>Comments from Lung Foundation Australia, the Pharmaceutical Society of Australia and the Centres of Excellence in Treatable Traits and Severe Asthma expressed support for the proposed PBS listing of mepolizumab. Comments highlighted the high clinical need for patients with uncontrolled COPD despite optimised triple therapy and described the significant quality of life impacts associated with an increasing symptom burden that affects movement, daily activities and social engagements. Lung Foundation Australia noted that biologic medications have the potential to reduce reliance on oral corticosteroids, which are associated with significant morbidity and downstream health care costs. The Pharmaceutical Society of Australia noted that dupilumab was being considered at the March 2026 PBAC meeting and highlighted that standardisation of terminology or wording in the PBS listing criteria would be helpful to ensure consistency for prescribers.</w:t>
      </w:r>
      <w:bookmarkEnd w:id="62"/>
      <w:bookmarkEnd w:id="65"/>
    </w:p>
    <w:p w14:paraId="0A453A77" w14:textId="77777777" w:rsidR="008531AE" w:rsidRPr="00D27683" w:rsidRDefault="008531AE" w:rsidP="00135EE0">
      <w:pPr>
        <w:pStyle w:val="4-SubsectionHeading"/>
      </w:pPr>
      <w:bookmarkStart w:id="66" w:name="_Toc216174090"/>
      <w:bookmarkStart w:id="67" w:name="_Toc216697634"/>
      <w:bookmarkStart w:id="68" w:name="_Toc217392665"/>
      <w:bookmarkStart w:id="69" w:name="_Toc219030869"/>
      <w:bookmarkStart w:id="70" w:name="_Toc219064632"/>
      <w:bookmarkStart w:id="71" w:name="_Toc219884816"/>
      <w:r w:rsidRPr="00D27683">
        <w:t>Clinical trials</w:t>
      </w:r>
      <w:bookmarkEnd w:id="61"/>
      <w:bookmarkEnd w:id="66"/>
      <w:bookmarkEnd w:id="67"/>
      <w:bookmarkEnd w:id="68"/>
      <w:bookmarkEnd w:id="69"/>
      <w:bookmarkEnd w:id="70"/>
      <w:bookmarkEnd w:id="71"/>
    </w:p>
    <w:p w14:paraId="1CE0A9B2" w14:textId="2AE2DD15" w:rsidR="008531AE" w:rsidRPr="00D27683" w:rsidRDefault="008531AE" w:rsidP="00135EE0">
      <w:pPr>
        <w:pStyle w:val="3-BodyText"/>
        <w:numPr>
          <w:ilvl w:val="1"/>
          <w:numId w:val="1"/>
        </w:numPr>
      </w:pPr>
      <w:r w:rsidRPr="00D27683">
        <w:t>The submission was based on one pivotal phase</w:t>
      </w:r>
      <w:r w:rsidR="006F2E64" w:rsidRPr="00D27683">
        <w:t xml:space="preserve"> </w:t>
      </w:r>
      <w:r w:rsidRPr="00D27683">
        <w:t>3, multicentre, randomised, double-blind, placebo-controlled clinical trial</w:t>
      </w:r>
      <w:r w:rsidR="00C71557" w:rsidRPr="00D27683">
        <w:t>, MATINEE (n=804),</w:t>
      </w:r>
      <w:r w:rsidRPr="00D27683">
        <w:t xml:space="preserve"> which compared mepolizumab as add-on to triple inhaled therapy (i.e., LABA + LAMA + ICS) to triple inhaled therapy alone in patients with uncontrolled COPD and an eosinophilic phenotype, </w:t>
      </w:r>
      <w:r w:rsidR="00FC6B08" w:rsidRPr="00D27683">
        <w:t xml:space="preserve">over </w:t>
      </w:r>
      <w:r w:rsidRPr="00D27683">
        <w:t>52-week</w:t>
      </w:r>
      <w:r w:rsidR="00FC6B08" w:rsidRPr="00D27683">
        <w:t>s</w:t>
      </w:r>
      <w:r w:rsidRPr="00D27683">
        <w:t xml:space="preserve"> (with a 104-week extended duration to account for COVID-19).</w:t>
      </w:r>
    </w:p>
    <w:p w14:paraId="71DAC98F" w14:textId="14C707ED" w:rsidR="008531AE" w:rsidRPr="00D27683" w:rsidRDefault="008531AE" w:rsidP="00135EE0">
      <w:pPr>
        <w:pStyle w:val="3-BodyText"/>
        <w:numPr>
          <w:ilvl w:val="1"/>
          <w:numId w:val="1"/>
        </w:numPr>
      </w:pPr>
      <w:r w:rsidRPr="00D27683">
        <w:t xml:space="preserve">Within MATINEE, uncontrolled COPD was defined as: history of ≥ 2 moderate (clinically significant exacerbations that required treatment with oral/systemic corticosteroids and/or antibiotics) or ≥ 1 severe (an event requiring hospitalisation for ≥ 24 hours) exacerbation within 12 months prior to inclusion, with one of these exacerbations </w:t>
      </w:r>
      <w:r w:rsidRPr="00D27683">
        <w:lastRenderedPageBreak/>
        <w:t>occurring while using triple inhaled therapy. Th</w:t>
      </w:r>
      <w:r w:rsidR="00967A9D" w:rsidRPr="00D27683">
        <w:t>is</w:t>
      </w:r>
      <w:r w:rsidRPr="00D27683">
        <w:t xml:space="preserve"> definition of moderate and severe exacerbation </w:t>
      </w:r>
      <w:r w:rsidR="00967A9D" w:rsidRPr="00D27683">
        <w:t>is consistent with the</w:t>
      </w:r>
      <w:r w:rsidRPr="00D27683">
        <w:t xml:space="preserve"> GOLD Report 2025</w:t>
      </w:r>
      <w:r w:rsidRPr="00D27683">
        <w:rPr>
          <w:rStyle w:val="FootnoteReference"/>
        </w:rPr>
        <w:footnoteReference w:id="2"/>
      </w:r>
      <w:r w:rsidRPr="00D27683">
        <w:t xml:space="preserve">. </w:t>
      </w:r>
    </w:p>
    <w:p w14:paraId="7173601E" w14:textId="3AC78ABA" w:rsidR="008531AE" w:rsidRPr="00D27683" w:rsidRDefault="008531AE" w:rsidP="00135EE0">
      <w:pPr>
        <w:pStyle w:val="3-BodyText"/>
        <w:numPr>
          <w:ilvl w:val="1"/>
          <w:numId w:val="1"/>
        </w:numPr>
      </w:pPr>
      <w:r w:rsidRPr="00D27683">
        <w:t xml:space="preserve">The submission reported that exacerbations among individuals with COPD </w:t>
      </w:r>
      <w:r w:rsidR="000A1BD4" w:rsidRPr="00D27683">
        <w:t xml:space="preserve">were considerably reduced in the MATINEE trial </w:t>
      </w:r>
      <w:r w:rsidRPr="00D27683">
        <w:t xml:space="preserve">due to </w:t>
      </w:r>
      <w:r w:rsidR="007C40D1" w:rsidRPr="00D27683">
        <w:t xml:space="preserve">the </w:t>
      </w:r>
      <w:r w:rsidRPr="00D27683">
        <w:t xml:space="preserve">adoption of non-pharmaceutical interventions </w:t>
      </w:r>
      <w:r w:rsidR="004D2FF7" w:rsidRPr="00D27683">
        <w:t xml:space="preserve">such as </w:t>
      </w:r>
      <w:r w:rsidRPr="00D27683">
        <w:t>physical distancing, lockdowns and masks</w:t>
      </w:r>
      <w:r w:rsidR="009B2BAA" w:rsidRPr="00D27683">
        <w:t xml:space="preserve"> due to the COVID-19 pandemic measures</w:t>
      </w:r>
      <w:r w:rsidRPr="00D27683">
        <w:t xml:space="preserve">. To account for these effects, the MATINEE trial extended its treatment duration from 52 weeks to 104 weeks following regulatory approval (Protocol Amendment 6, approved 6 December 2021) to maximise the opportunity for collection of exacerbation data and maintain sufficient study power. </w:t>
      </w:r>
      <w:r w:rsidR="003329E4">
        <w:t>The evaluation considered that it</w:t>
      </w:r>
      <w:r w:rsidRPr="00D27683">
        <w:t xml:space="preserve"> </w:t>
      </w:r>
      <w:r w:rsidR="003329E4">
        <w:t>wa</w:t>
      </w:r>
      <w:r w:rsidRPr="00D27683">
        <w:t>s unclear the extent to which the conduct of the trial during the</w:t>
      </w:r>
      <w:r w:rsidR="00C412C5" w:rsidRPr="00D27683">
        <w:t xml:space="preserve"> COVID-19</w:t>
      </w:r>
      <w:r w:rsidRPr="00D27683">
        <w:t xml:space="preserve"> pandemic may have affected the observed relative benefits of treatment with mepolizumab compared to placebo.</w:t>
      </w:r>
    </w:p>
    <w:p w14:paraId="68BC9136" w14:textId="15478E63" w:rsidR="008531AE" w:rsidRPr="00D27683" w:rsidRDefault="008531AE" w:rsidP="00135EE0">
      <w:pPr>
        <w:pStyle w:val="3-BodyText"/>
        <w:numPr>
          <w:ilvl w:val="1"/>
          <w:numId w:val="1"/>
        </w:numPr>
      </w:pPr>
      <w:r w:rsidRPr="00D27683">
        <w:t xml:space="preserve">Details of the trials presented in the submission are provided in </w:t>
      </w:r>
      <w:r w:rsidRPr="00D27683">
        <w:fldChar w:fldCharType="begin"/>
      </w:r>
      <w:r w:rsidRPr="00D27683">
        <w:instrText xml:space="preserve"> REF _Ref217407536 \h  \* MERGEFORMAT </w:instrText>
      </w:r>
      <w:r w:rsidRPr="00D27683">
        <w:fldChar w:fldCharType="separate"/>
      </w:r>
      <w:r w:rsidR="00733955" w:rsidRPr="00D27683" w:rsidDel="00774A72">
        <w:t xml:space="preserve">Table </w:t>
      </w:r>
      <w:r w:rsidR="00733955" w:rsidRPr="00D27683" w:rsidDel="00774A72">
        <w:rPr>
          <w:noProof/>
        </w:rPr>
        <w:t>2</w:t>
      </w:r>
      <w:r w:rsidRPr="00D27683">
        <w:fldChar w:fldCharType="end"/>
      </w:r>
      <w:r w:rsidRPr="00D27683">
        <w:t>.</w:t>
      </w:r>
    </w:p>
    <w:p w14:paraId="251BA9B3" w14:textId="4EEF8B69" w:rsidR="008531AE" w:rsidRPr="00D27683" w:rsidRDefault="008531AE" w:rsidP="00135EE0">
      <w:pPr>
        <w:pStyle w:val="TableFigureHeading"/>
        <w:rPr>
          <w:rStyle w:val="CommentReference"/>
          <w:b/>
          <w:szCs w:val="24"/>
        </w:rPr>
      </w:pPr>
      <w:bookmarkStart w:id="72" w:name="_Ref217407536"/>
      <w:r w:rsidRPr="00D27683">
        <w:t xml:space="preserve">Table </w:t>
      </w:r>
      <w:fldSimple w:instr=" SEQ Table \* ARABIC ">
        <w:r w:rsidR="00FA28CE">
          <w:rPr>
            <w:noProof/>
          </w:rPr>
          <w:t>2</w:t>
        </w:r>
      </w:fldSimple>
      <w:bookmarkEnd w:id="72"/>
      <w:r w:rsidRPr="00D27683">
        <w:t>:</w:t>
      </w:r>
      <w:r w:rsidRPr="00D27683">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rials and associated reports presented in the submission"/>
      </w:tblPr>
      <w:tblGrid>
        <w:gridCol w:w="1647"/>
        <w:gridCol w:w="5339"/>
        <w:gridCol w:w="2031"/>
      </w:tblGrid>
      <w:tr w:rsidR="00F75BF5" w:rsidRPr="00D27683" w14:paraId="54C28707" w14:textId="77777777" w:rsidTr="006C664C">
        <w:trPr>
          <w:cantSplit/>
          <w:trHeight w:val="20"/>
          <w:tblHeader/>
        </w:trPr>
        <w:tc>
          <w:tcPr>
            <w:tcW w:w="913" w:type="pct"/>
            <w:vAlign w:val="center"/>
          </w:tcPr>
          <w:p w14:paraId="3149ECC7" w14:textId="77777777" w:rsidR="009434BD" w:rsidRPr="00D27683" w:rsidRDefault="009434BD" w:rsidP="00135EE0">
            <w:pPr>
              <w:pStyle w:val="TableLeft"/>
              <w:keepNext/>
              <w:spacing w:after="0"/>
              <w:jc w:val="center"/>
              <w:rPr>
                <w:b/>
              </w:rPr>
            </w:pPr>
            <w:r w:rsidRPr="00D27683">
              <w:rPr>
                <w:b/>
              </w:rPr>
              <w:t>Study identifier</w:t>
            </w:r>
          </w:p>
        </w:tc>
        <w:tc>
          <w:tcPr>
            <w:tcW w:w="2961" w:type="pct"/>
            <w:vAlign w:val="center"/>
          </w:tcPr>
          <w:p w14:paraId="7C0D6355" w14:textId="77777777" w:rsidR="009434BD" w:rsidRPr="00D27683" w:rsidRDefault="009434BD" w:rsidP="00135EE0">
            <w:pPr>
              <w:pStyle w:val="TableLeft"/>
              <w:keepNext/>
              <w:spacing w:after="0"/>
              <w:jc w:val="center"/>
              <w:rPr>
                <w:b/>
              </w:rPr>
            </w:pPr>
            <w:r w:rsidRPr="00D27683">
              <w:rPr>
                <w:b/>
              </w:rPr>
              <w:t>Citation</w:t>
            </w:r>
          </w:p>
        </w:tc>
        <w:tc>
          <w:tcPr>
            <w:tcW w:w="1126" w:type="pct"/>
            <w:vAlign w:val="center"/>
          </w:tcPr>
          <w:p w14:paraId="28A8BA4D" w14:textId="3971AFA0" w:rsidR="009434BD" w:rsidRPr="00D27683" w:rsidRDefault="009434BD" w:rsidP="00135EE0">
            <w:pPr>
              <w:pStyle w:val="TableLeft"/>
              <w:keepNext/>
              <w:spacing w:after="0"/>
              <w:jc w:val="center"/>
              <w:rPr>
                <w:b/>
              </w:rPr>
            </w:pPr>
            <w:r>
              <w:rPr>
                <w:b/>
              </w:rPr>
              <w:t>Publication citation</w:t>
            </w:r>
          </w:p>
        </w:tc>
      </w:tr>
      <w:tr w:rsidR="00062178" w:rsidRPr="00D27683" w14:paraId="6467FA9D" w14:textId="77777777" w:rsidTr="009434BD">
        <w:trPr>
          <w:cantSplit/>
          <w:trHeight w:val="20"/>
        </w:trPr>
        <w:tc>
          <w:tcPr>
            <w:tcW w:w="5000" w:type="pct"/>
            <w:gridSpan w:val="3"/>
          </w:tcPr>
          <w:p w14:paraId="45C2FCC5" w14:textId="77777777" w:rsidR="008531AE" w:rsidRPr="00D27683" w:rsidRDefault="008531AE" w:rsidP="00135EE0">
            <w:pPr>
              <w:pStyle w:val="TableLeft"/>
              <w:keepNext/>
              <w:spacing w:after="0"/>
              <w:rPr>
                <w:b/>
                <w:bCs/>
                <w:color w:val="000000" w:themeColor="text1"/>
              </w:rPr>
            </w:pPr>
            <w:r w:rsidRPr="00D27683">
              <w:rPr>
                <w:b/>
                <w:bCs/>
                <w:color w:val="000000" w:themeColor="text1"/>
              </w:rPr>
              <w:t>Trials meeting the selection criteria</w:t>
            </w:r>
          </w:p>
        </w:tc>
      </w:tr>
      <w:tr w:rsidR="00F75BF5" w:rsidRPr="00D27683" w14:paraId="31730CCA" w14:textId="77777777" w:rsidTr="006C664C">
        <w:trPr>
          <w:cantSplit/>
          <w:trHeight w:val="20"/>
        </w:trPr>
        <w:tc>
          <w:tcPr>
            <w:tcW w:w="913" w:type="pct"/>
            <w:vMerge w:val="restart"/>
          </w:tcPr>
          <w:p w14:paraId="04064C34" w14:textId="77777777" w:rsidR="009434BD" w:rsidRPr="00D27683" w:rsidRDefault="009434BD" w:rsidP="00135EE0">
            <w:pPr>
              <w:pStyle w:val="TableLeft"/>
              <w:spacing w:after="0"/>
            </w:pPr>
            <w:r w:rsidRPr="00D27683">
              <w:t xml:space="preserve">MATINEE </w:t>
            </w:r>
            <w:r w:rsidRPr="00D27683">
              <w:br/>
              <w:t>(NCT04133909)</w:t>
            </w:r>
          </w:p>
        </w:tc>
        <w:tc>
          <w:tcPr>
            <w:tcW w:w="2961" w:type="pct"/>
          </w:tcPr>
          <w:p w14:paraId="00A62157" w14:textId="77777777" w:rsidR="009434BD" w:rsidRPr="00D27683" w:rsidRDefault="009434BD" w:rsidP="00135EE0">
            <w:pPr>
              <w:pStyle w:val="TableLeft"/>
              <w:spacing w:after="0"/>
            </w:pPr>
            <w:r w:rsidRPr="00D27683">
              <w:t>A multi-centre, randomised, double-blind, parallel-group, placebo-controlled study of mepolizumab 100 mg SC as add-on treatment in participants with COPD experiencing frequent exacerbations and characterized by eosinophil levels (Study 208657)</w:t>
            </w:r>
          </w:p>
        </w:tc>
        <w:tc>
          <w:tcPr>
            <w:tcW w:w="1126" w:type="pct"/>
          </w:tcPr>
          <w:p w14:paraId="74385DCA" w14:textId="0E46231A" w:rsidR="009434BD" w:rsidRPr="00D27683" w:rsidRDefault="008B30CF" w:rsidP="00135EE0">
            <w:pPr>
              <w:pStyle w:val="Tabletext"/>
              <w:rPr>
                <w:color w:val="000000" w:themeColor="text1"/>
              </w:rPr>
            </w:pPr>
            <w:r>
              <w:rPr>
                <w:color w:val="000000" w:themeColor="text1"/>
              </w:rPr>
              <w:t>24 October 2024</w:t>
            </w:r>
          </w:p>
        </w:tc>
      </w:tr>
      <w:tr w:rsidR="00F75BF5" w:rsidRPr="00D27683" w14:paraId="35C81CB0" w14:textId="77777777" w:rsidTr="006C664C">
        <w:trPr>
          <w:cantSplit/>
          <w:trHeight w:val="20"/>
        </w:trPr>
        <w:tc>
          <w:tcPr>
            <w:tcW w:w="913" w:type="pct"/>
            <w:vMerge/>
          </w:tcPr>
          <w:p w14:paraId="564B9418" w14:textId="77777777" w:rsidR="009434BD" w:rsidRPr="00D27683" w:rsidRDefault="009434BD" w:rsidP="00135EE0">
            <w:pPr>
              <w:pStyle w:val="TableLeft"/>
              <w:spacing w:after="0"/>
            </w:pPr>
          </w:p>
        </w:tc>
        <w:tc>
          <w:tcPr>
            <w:tcW w:w="2961" w:type="pct"/>
          </w:tcPr>
          <w:p w14:paraId="2C7D33B6" w14:textId="35562728" w:rsidR="009434BD" w:rsidRPr="00D27683" w:rsidRDefault="009434BD" w:rsidP="00135EE0">
            <w:pPr>
              <w:pStyle w:val="TableLeft"/>
              <w:spacing w:after="0"/>
            </w:pPr>
            <w:r w:rsidRPr="001870CD">
              <w:rPr>
                <w:lang w:val="fr-CH"/>
              </w:rPr>
              <w:t xml:space="preserve">Sciurba, FC., Criner, GJ., Christenson, SA., et al. 2025. </w:t>
            </w:r>
            <w:r w:rsidRPr="00D27683">
              <w:t>Mepolizumab to prevent exacerbations of COPD with an eosinophilic phenotype. </w:t>
            </w:r>
          </w:p>
        </w:tc>
        <w:tc>
          <w:tcPr>
            <w:tcW w:w="1126" w:type="pct"/>
          </w:tcPr>
          <w:p w14:paraId="6082D6B6" w14:textId="6B0F33E6" w:rsidR="00FB1784" w:rsidRDefault="005E326D" w:rsidP="00135EE0">
            <w:pPr>
              <w:pStyle w:val="TableLeft"/>
              <w:spacing w:after="0"/>
              <w:rPr>
                <w:color w:val="000000" w:themeColor="text1"/>
              </w:rPr>
            </w:pPr>
            <w:r>
              <w:rPr>
                <w:color w:val="000000" w:themeColor="text1"/>
              </w:rPr>
              <w:t>30</w:t>
            </w:r>
            <w:r w:rsidR="00A96DD1">
              <w:rPr>
                <w:color w:val="000000" w:themeColor="text1"/>
              </w:rPr>
              <w:t xml:space="preserve"> </w:t>
            </w:r>
            <w:r>
              <w:rPr>
                <w:color w:val="000000" w:themeColor="text1"/>
              </w:rPr>
              <w:t>April</w:t>
            </w:r>
            <w:r w:rsidR="005006A3">
              <w:rPr>
                <w:color w:val="000000" w:themeColor="text1"/>
              </w:rPr>
              <w:t xml:space="preserve"> 2025</w:t>
            </w:r>
          </w:p>
          <w:p w14:paraId="14D89354" w14:textId="77777777" w:rsidR="005006A3" w:rsidRDefault="005006A3" w:rsidP="00135EE0">
            <w:pPr>
              <w:pStyle w:val="TableLeft"/>
              <w:spacing w:after="0"/>
              <w:rPr>
                <w:color w:val="000000" w:themeColor="text1"/>
              </w:rPr>
            </w:pPr>
          </w:p>
          <w:p w14:paraId="56A93E4E" w14:textId="78422739" w:rsidR="00FB1784" w:rsidRPr="00D27683" w:rsidRDefault="00FB1784" w:rsidP="00135EE0">
            <w:pPr>
              <w:pStyle w:val="TableLeft"/>
              <w:spacing w:after="0"/>
              <w:rPr>
                <w:color w:val="000000" w:themeColor="text1"/>
              </w:rPr>
            </w:pPr>
            <w:r w:rsidRPr="00D27683">
              <w:rPr>
                <w:i/>
                <w:iCs/>
              </w:rPr>
              <w:t>New England Journal of Medicine</w:t>
            </w:r>
            <w:r w:rsidRPr="00D27683">
              <w:t>, </w:t>
            </w:r>
            <w:r w:rsidRPr="00D27683">
              <w:rPr>
                <w:i/>
                <w:iCs/>
              </w:rPr>
              <w:t>392</w:t>
            </w:r>
            <w:r w:rsidRPr="00815257">
              <w:rPr>
                <w:i/>
                <w:iCs/>
              </w:rPr>
              <w:t>(17)</w:t>
            </w:r>
            <w:r w:rsidR="00815257" w:rsidRPr="00815257">
              <w:rPr>
                <w:i/>
                <w:iCs/>
              </w:rPr>
              <w:t>: 1710–1720.</w:t>
            </w:r>
          </w:p>
        </w:tc>
      </w:tr>
      <w:tr w:rsidR="00F75BF5" w:rsidRPr="00D27683" w14:paraId="39BFA00B" w14:textId="77777777" w:rsidTr="006C664C">
        <w:trPr>
          <w:cantSplit/>
          <w:trHeight w:val="20"/>
        </w:trPr>
        <w:tc>
          <w:tcPr>
            <w:tcW w:w="913" w:type="pct"/>
            <w:vMerge/>
          </w:tcPr>
          <w:p w14:paraId="59016A6C" w14:textId="77777777" w:rsidR="009434BD" w:rsidRPr="00D27683" w:rsidRDefault="009434BD" w:rsidP="00135EE0">
            <w:pPr>
              <w:pStyle w:val="TableLeft"/>
              <w:spacing w:after="0"/>
            </w:pPr>
          </w:p>
        </w:tc>
        <w:tc>
          <w:tcPr>
            <w:tcW w:w="2961" w:type="pct"/>
          </w:tcPr>
          <w:p w14:paraId="265C8CF3" w14:textId="60A52E6C" w:rsidR="009434BD" w:rsidRPr="00D27683" w:rsidRDefault="009434BD" w:rsidP="00135EE0">
            <w:pPr>
              <w:pStyle w:val="TableLeft"/>
              <w:spacing w:after="0"/>
            </w:pPr>
            <w:r w:rsidRPr="001870CD">
              <w:rPr>
                <w:lang w:val="fr-CH"/>
              </w:rPr>
              <w:t xml:space="preserve">Papi, SA. Christenson, J. Min, et al. </w:t>
            </w:r>
            <w:r w:rsidRPr="00D27683">
              <w:t>(2025) Mepolizumab Is Efficacious Regardless of Severity of Prior Chronic Obstructive Pulmonary Disease Exacerbations: Post Hoc Analysis of the MATINEE Phase III Randomized Controlled Trial [abstract].</w:t>
            </w:r>
          </w:p>
        </w:tc>
        <w:tc>
          <w:tcPr>
            <w:tcW w:w="1126" w:type="pct"/>
          </w:tcPr>
          <w:p w14:paraId="0071F459" w14:textId="7730F40A" w:rsidR="009434BD" w:rsidRDefault="002F7DA7" w:rsidP="00135EE0">
            <w:pPr>
              <w:pStyle w:val="TableLeft"/>
              <w:spacing w:after="0"/>
              <w:rPr>
                <w:color w:val="000000" w:themeColor="text1"/>
              </w:rPr>
            </w:pPr>
            <w:r>
              <w:rPr>
                <w:color w:val="000000" w:themeColor="text1"/>
              </w:rPr>
              <w:t>18 May 2025</w:t>
            </w:r>
          </w:p>
          <w:p w14:paraId="2E3F4C09" w14:textId="77777777" w:rsidR="00720CC4" w:rsidRDefault="00720CC4" w:rsidP="00135EE0">
            <w:pPr>
              <w:pStyle w:val="TableLeft"/>
              <w:spacing w:after="0"/>
              <w:rPr>
                <w:color w:val="000000" w:themeColor="text1"/>
              </w:rPr>
            </w:pPr>
          </w:p>
          <w:p w14:paraId="2E381D0F" w14:textId="47ECACB4" w:rsidR="00720CC4" w:rsidRPr="00D27683" w:rsidRDefault="00720CC4" w:rsidP="00135EE0">
            <w:pPr>
              <w:pStyle w:val="TableLeft"/>
              <w:spacing w:after="0"/>
              <w:rPr>
                <w:color w:val="000000" w:themeColor="text1"/>
              </w:rPr>
            </w:pPr>
            <w:r w:rsidRPr="00720CC4">
              <w:rPr>
                <w:i/>
                <w:iCs/>
              </w:rPr>
              <w:t>Am</w:t>
            </w:r>
            <w:r w:rsidRPr="00D27683">
              <w:rPr>
                <w:i/>
                <w:iCs/>
              </w:rPr>
              <w:t xml:space="preserve"> J Respir Crit Care Med</w:t>
            </w:r>
            <w:r w:rsidRPr="00D27683">
              <w:t xml:space="preserve"> </w:t>
            </w:r>
            <w:r w:rsidRPr="00EE2C42">
              <w:rPr>
                <w:i/>
                <w:iCs/>
              </w:rPr>
              <w:t>211:</w:t>
            </w:r>
            <w:r w:rsidR="00EE2C42" w:rsidRPr="00EE2C42">
              <w:rPr>
                <w:i/>
                <w:iCs/>
              </w:rPr>
              <w:t>A1293</w:t>
            </w:r>
            <w:r w:rsidR="00815257">
              <w:rPr>
                <w:i/>
                <w:iCs/>
              </w:rPr>
              <w:t>.</w:t>
            </w:r>
          </w:p>
        </w:tc>
      </w:tr>
      <w:tr w:rsidR="00F75BF5" w:rsidRPr="00D27683" w14:paraId="2B43B452" w14:textId="77777777" w:rsidTr="006C664C">
        <w:trPr>
          <w:cantSplit/>
          <w:trHeight w:val="20"/>
        </w:trPr>
        <w:tc>
          <w:tcPr>
            <w:tcW w:w="913" w:type="pct"/>
            <w:vMerge/>
          </w:tcPr>
          <w:p w14:paraId="076B8670" w14:textId="77777777" w:rsidR="009434BD" w:rsidRPr="00D27683" w:rsidRDefault="009434BD" w:rsidP="00135EE0">
            <w:pPr>
              <w:pStyle w:val="TableLeft"/>
              <w:spacing w:after="0"/>
            </w:pPr>
          </w:p>
        </w:tc>
        <w:tc>
          <w:tcPr>
            <w:tcW w:w="2961" w:type="pct"/>
          </w:tcPr>
          <w:p w14:paraId="43113241" w14:textId="18CFDBF7" w:rsidR="009434BD" w:rsidRPr="00D27683" w:rsidRDefault="009434BD" w:rsidP="00135EE0">
            <w:pPr>
              <w:pStyle w:val="TableLeft"/>
              <w:spacing w:after="0"/>
            </w:pPr>
            <w:proofErr w:type="spellStart"/>
            <w:r w:rsidRPr="001870CD">
              <w:rPr>
                <w:lang w:val="fr-CH"/>
              </w:rPr>
              <w:t>Pavord</w:t>
            </w:r>
            <w:proofErr w:type="spellEnd"/>
            <w:r w:rsidRPr="001870CD">
              <w:rPr>
                <w:lang w:val="fr-CH"/>
              </w:rPr>
              <w:t xml:space="preserve">, I., Jackson, DJ., Korn, S., et al. </w:t>
            </w:r>
            <w:r w:rsidRPr="00D27683">
              <w:t>(2024). Clinical trial design of biologic therapies in COPD: MATINEE study of mepolizumab.</w:t>
            </w:r>
          </w:p>
        </w:tc>
        <w:tc>
          <w:tcPr>
            <w:tcW w:w="1126" w:type="pct"/>
          </w:tcPr>
          <w:p w14:paraId="0E585875" w14:textId="3A43A4CB" w:rsidR="009434BD" w:rsidRDefault="00775AC0" w:rsidP="00135EE0">
            <w:pPr>
              <w:pStyle w:val="TableLeft"/>
              <w:spacing w:after="0"/>
              <w:rPr>
                <w:color w:val="000000" w:themeColor="text1"/>
              </w:rPr>
            </w:pPr>
            <w:r w:rsidRPr="00775AC0">
              <w:rPr>
                <w:color w:val="000000" w:themeColor="text1"/>
              </w:rPr>
              <w:t>30 October 2024</w:t>
            </w:r>
          </w:p>
          <w:p w14:paraId="13043EE9" w14:textId="77777777" w:rsidR="007B0A69" w:rsidRDefault="007B0A69" w:rsidP="00135EE0">
            <w:pPr>
              <w:pStyle w:val="TableLeft"/>
              <w:spacing w:after="0"/>
              <w:rPr>
                <w:color w:val="000000" w:themeColor="text1"/>
              </w:rPr>
            </w:pPr>
          </w:p>
          <w:p w14:paraId="777A560A" w14:textId="7B2A785A" w:rsidR="007B0A69" w:rsidRPr="007B0A69" w:rsidRDefault="007B0A69" w:rsidP="00135EE0">
            <w:pPr>
              <w:pStyle w:val="TableLeft"/>
              <w:spacing w:after="0"/>
              <w:rPr>
                <w:i/>
                <w:iCs/>
                <w:color w:val="000000" w:themeColor="text1"/>
              </w:rPr>
            </w:pPr>
            <w:r w:rsidRPr="007B0A69">
              <w:rPr>
                <w:i/>
                <w:iCs/>
                <w:color w:val="000000" w:themeColor="text1"/>
              </w:rPr>
              <w:t>European Respiratory Journal 2024 64(suppl 68): PA4789</w:t>
            </w:r>
            <w:r w:rsidR="00815257">
              <w:rPr>
                <w:i/>
                <w:iCs/>
                <w:color w:val="000000" w:themeColor="text1"/>
              </w:rPr>
              <w:t>.</w:t>
            </w:r>
          </w:p>
        </w:tc>
      </w:tr>
      <w:tr w:rsidR="00F75BF5" w:rsidRPr="00D27683" w14:paraId="76DA6849" w14:textId="77777777" w:rsidTr="006C664C">
        <w:trPr>
          <w:cantSplit/>
          <w:trHeight w:val="20"/>
        </w:trPr>
        <w:tc>
          <w:tcPr>
            <w:tcW w:w="913" w:type="pct"/>
            <w:vMerge w:val="restart"/>
          </w:tcPr>
          <w:p w14:paraId="5F697CD6" w14:textId="77777777" w:rsidR="009434BD" w:rsidRPr="00D27683" w:rsidRDefault="009434BD" w:rsidP="00135EE0">
            <w:pPr>
              <w:pStyle w:val="Tabletext"/>
            </w:pPr>
            <w:r w:rsidRPr="00D27683">
              <w:t xml:space="preserve">METREX </w:t>
            </w:r>
            <w:r w:rsidRPr="00D27683">
              <w:br/>
              <w:t>(NCT02105948)</w:t>
            </w:r>
          </w:p>
        </w:tc>
        <w:tc>
          <w:tcPr>
            <w:tcW w:w="2961" w:type="pct"/>
          </w:tcPr>
          <w:p w14:paraId="6CE70FC8" w14:textId="77777777" w:rsidR="009434BD" w:rsidRPr="00D27683" w:rsidRDefault="009434BD" w:rsidP="00135EE0">
            <w:pPr>
              <w:pStyle w:val="TableLeft"/>
              <w:spacing w:after="0"/>
            </w:pPr>
            <w:r w:rsidRPr="00D27683">
              <w:t xml:space="preserve">Study to Evaluate Efficacy and Safety of Mepolizumab for Frequently Exacerbating Chronic Obstructive Pulmonary Disease (COPD) Patients (Study MEA117106). </w:t>
            </w:r>
          </w:p>
        </w:tc>
        <w:tc>
          <w:tcPr>
            <w:tcW w:w="1126" w:type="pct"/>
          </w:tcPr>
          <w:p w14:paraId="1D378AF4" w14:textId="481F6010" w:rsidR="009434BD" w:rsidRPr="00D27683" w:rsidRDefault="00F144D1" w:rsidP="00135EE0">
            <w:pPr>
              <w:pStyle w:val="TableLeft"/>
              <w:spacing w:after="0"/>
              <w:rPr>
                <w:color w:val="000000" w:themeColor="text1"/>
              </w:rPr>
            </w:pPr>
            <w:r>
              <w:rPr>
                <w:color w:val="000000" w:themeColor="text1"/>
              </w:rPr>
              <w:t>-</w:t>
            </w:r>
          </w:p>
        </w:tc>
      </w:tr>
      <w:tr w:rsidR="00F75BF5" w:rsidRPr="00D27683" w14:paraId="05D06B46" w14:textId="77777777" w:rsidTr="006C664C">
        <w:trPr>
          <w:cantSplit/>
          <w:trHeight w:val="20"/>
        </w:trPr>
        <w:tc>
          <w:tcPr>
            <w:tcW w:w="913" w:type="pct"/>
            <w:vMerge/>
          </w:tcPr>
          <w:p w14:paraId="33DFBAD2" w14:textId="77777777" w:rsidR="009434BD" w:rsidRPr="00D27683" w:rsidRDefault="009434BD" w:rsidP="00135EE0">
            <w:pPr>
              <w:pStyle w:val="Tabletext"/>
            </w:pPr>
          </w:p>
        </w:tc>
        <w:tc>
          <w:tcPr>
            <w:tcW w:w="2961" w:type="pct"/>
          </w:tcPr>
          <w:p w14:paraId="290EDF56" w14:textId="77777777" w:rsidR="009434BD" w:rsidRPr="00D27683" w:rsidRDefault="009434BD" w:rsidP="00135EE0">
            <w:pPr>
              <w:pStyle w:val="TableLeft"/>
              <w:spacing w:after="0"/>
            </w:pPr>
            <w:r w:rsidRPr="00D27683">
              <w:t>Study MEA117106: Mepolizumab vs. Placebo as add-on Treatment for Frequently Exacerbating COPD Patients.</w:t>
            </w:r>
          </w:p>
        </w:tc>
        <w:tc>
          <w:tcPr>
            <w:tcW w:w="1126" w:type="pct"/>
          </w:tcPr>
          <w:p w14:paraId="58F68EC8" w14:textId="0844E273" w:rsidR="009434BD" w:rsidRPr="00D27683" w:rsidRDefault="00F144D1" w:rsidP="00135EE0">
            <w:pPr>
              <w:pStyle w:val="TableLeft"/>
              <w:spacing w:after="0"/>
              <w:rPr>
                <w:color w:val="000000" w:themeColor="text1"/>
              </w:rPr>
            </w:pPr>
            <w:r>
              <w:rPr>
                <w:color w:val="000000" w:themeColor="text1"/>
              </w:rPr>
              <w:t>-</w:t>
            </w:r>
          </w:p>
        </w:tc>
      </w:tr>
      <w:tr w:rsidR="00F75BF5" w:rsidRPr="00D27683" w14:paraId="0823A21F" w14:textId="77777777" w:rsidTr="006C664C">
        <w:trPr>
          <w:cantSplit/>
          <w:trHeight w:val="20"/>
        </w:trPr>
        <w:tc>
          <w:tcPr>
            <w:tcW w:w="913" w:type="pct"/>
            <w:vMerge/>
          </w:tcPr>
          <w:p w14:paraId="27AFFD06" w14:textId="77777777" w:rsidR="009434BD" w:rsidRPr="00D27683" w:rsidRDefault="009434BD" w:rsidP="00135EE0">
            <w:pPr>
              <w:pStyle w:val="Tabletext"/>
            </w:pPr>
          </w:p>
        </w:tc>
        <w:tc>
          <w:tcPr>
            <w:tcW w:w="2961" w:type="pct"/>
          </w:tcPr>
          <w:p w14:paraId="258AA98C" w14:textId="05A5FC16" w:rsidR="009434BD" w:rsidRPr="00D27683" w:rsidRDefault="009434BD" w:rsidP="00135EE0">
            <w:pPr>
              <w:pStyle w:val="TableLeft"/>
              <w:spacing w:after="0"/>
            </w:pPr>
            <w:r w:rsidRPr="001870CD">
              <w:rPr>
                <w:lang w:val="fr-CH"/>
              </w:rPr>
              <w:t xml:space="preserve">Sciurba, F., Chanez, P., Martinot, JB., et al. </w:t>
            </w:r>
            <w:r w:rsidRPr="00D27683">
              <w:t>(2017). Late breaking abstract-mepolizumab reduces exacerbations in eosinophilic COPD.</w:t>
            </w:r>
          </w:p>
        </w:tc>
        <w:tc>
          <w:tcPr>
            <w:tcW w:w="1126" w:type="pct"/>
          </w:tcPr>
          <w:p w14:paraId="42A9A248" w14:textId="57531C35" w:rsidR="00E808F6" w:rsidRPr="00E808F6" w:rsidRDefault="00B07581" w:rsidP="00135EE0">
            <w:pPr>
              <w:pStyle w:val="TableLeft"/>
              <w:spacing w:after="0"/>
              <w:rPr>
                <w:color w:val="000000" w:themeColor="text1"/>
              </w:rPr>
            </w:pPr>
            <w:r>
              <w:rPr>
                <w:color w:val="000000" w:themeColor="text1"/>
              </w:rPr>
              <w:t>0</w:t>
            </w:r>
            <w:r w:rsidRPr="00B07581">
              <w:rPr>
                <w:color w:val="000000" w:themeColor="text1"/>
              </w:rPr>
              <w:t>6 December 2017</w:t>
            </w:r>
          </w:p>
          <w:p w14:paraId="75BAF19D" w14:textId="77777777" w:rsidR="00E808F6" w:rsidRDefault="00E808F6" w:rsidP="00135EE0">
            <w:pPr>
              <w:pStyle w:val="TableLeft"/>
              <w:spacing w:after="0"/>
              <w:rPr>
                <w:i/>
                <w:iCs/>
                <w:color w:val="000000" w:themeColor="text1"/>
              </w:rPr>
            </w:pPr>
          </w:p>
          <w:p w14:paraId="6623D808" w14:textId="31F9ACBC" w:rsidR="009434BD" w:rsidRPr="00E808F6" w:rsidRDefault="00E808F6" w:rsidP="00135EE0">
            <w:pPr>
              <w:pStyle w:val="TableLeft"/>
              <w:spacing w:after="0"/>
              <w:rPr>
                <w:i/>
                <w:iCs/>
                <w:color w:val="000000" w:themeColor="text1"/>
              </w:rPr>
            </w:pPr>
            <w:r w:rsidRPr="00E808F6">
              <w:rPr>
                <w:i/>
                <w:iCs/>
                <w:color w:val="000000" w:themeColor="text1"/>
              </w:rPr>
              <w:t>European Respiratory Journal 2017 50(suppl 61): OA3194</w:t>
            </w:r>
            <w:r w:rsidR="00815257">
              <w:rPr>
                <w:i/>
                <w:iCs/>
                <w:color w:val="000000" w:themeColor="text1"/>
              </w:rPr>
              <w:t>.</w:t>
            </w:r>
          </w:p>
        </w:tc>
      </w:tr>
      <w:tr w:rsidR="00F75BF5" w:rsidRPr="00D27683" w14:paraId="6151CBEE" w14:textId="77777777" w:rsidTr="006C664C">
        <w:trPr>
          <w:cantSplit/>
          <w:trHeight w:val="20"/>
        </w:trPr>
        <w:tc>
          <w:tcPr>
            <w:tcW w:w="913" w:type="pct"/>
            <w:vMerge w:val="restart"/>
          </w:tcPr>
          <w:p w14:paraId="5A0F325D" w14:textId="77777777" w:rsidR="009434BD" w:rsidRPr="00D27683" w:rsidRDefault="009434BD" w:rsidP="00135EE0">
            <w:pPr>
              <w:pStyle w:val="Tabletext"/>
            </w:pPr>
            <w:r w:rsidRPr="00D27683">
              <w:t>METREO</w:t>
            </w:r>
            <w:r w:rsidRPr="00D27683">
              <w:br/>
              <w:t>(NCT02105961)</w:t>
            </w:r>
          </w:p>
          <w:p w14:paraId="140BEEFB" w14:textId="77777777" w:rsidR="009434BD" w:rsidRPr="00D27683" w:rsidRDefault="009434BD" w:rsidP="00135EE0">
            <w:pPr>
              <w:pStyle w:val="TableLeft"/>
              <w:spacing w:after="0"/>
            </w:pPr>
          </w:p>
        </w:tc>
        <w:tc>
          <w:tcPr>
            <w:tcW w:w="2961" w:type="pct"/>
          </w:tcPr>
          <w:p w14:paraId="28DBDAD1" w14:textId="77777777" w:rsidR="009434BD" w:rsidRPr="00D27683" w:rsidRDefault="009434BD" w:rsidP="00135EE0">
            <w:pPr>
              <w:pStyle w:val="TableLeft"/>
              <w:spacing w:after="0"/>
            </w:pPr>
            <w:r w:rsidRPr="00D27683">
              <w:lastRenderedPageBreak/>
              <w:t>Efficacy and Safety of Mepolizumab as an Add-on Treatment in Chronic Obstructive Pulmonary Disease (COPD) (Study MEA117113)</w:t>
            </w:r>
          </w:p>
        </w:tc>
        <w:tc>
          <w:tcPr>
            <w:tcW w:w="1126" w:type="pct"/>
          </w:tcPr>
          <w:p w14:paraId="76276B71" w14:textId="78D3C449" w:rsidR="009434BD" w:rsidRPr="00D27683" w:rsidRDefault="00B07581" w:rsidP="00135EE0">
            <w:pPr>
              <w:pStyle w:val="TableLeft"/>
              <w:spacing w:after="0"/>
              <w:rPr>
                <w:color w:val="000000" w:themeColor="text1"/>
              </w:rPr>
            </w:pPr>
            <w:r>
              <w:rPr>
                <w:color w:val="000000" w:themeColor="text1"/>
              </w:rPr>
              <w:t>-</w:t>
            </w:r>
          </w:p>
        </w:tc>
      </w:tr>
      <w:tr w:rsidR="00F75BF5" w:rsidRPr="00D27683" w14:paraId="765E68F3" w14:textId="77777777" w:rsidTr="006C664C">
        <w:trPr>
          <w:cantSplit/>
          <w:trHeight w:val="20"/>
        </w:trPr>
        <w:tc>
          <w:tcPr>
            <w:tcW w:w="913" w:type="pct"/>
            <w:vMerge/>
          </w:tcPr>
          <w:p w14:paraId="1A09494C" w14:textId="77777777" w:rsidR="009434BD" w:rsidRPr="00D27683" w:rsidRDefault="009434BD" w:rsidP="00135EE0">
            <w:pPr>
              <w:pStyle w:val="Tabletext"/>
            </w:pPr>
          </w:p>
        </w:tc>
        <w:tc>
          <w:tcPr>
            <w:tcW w:w="2961" w:type="pct"/>
          </w:tcPr>
          <w:p w14:paraId="714DA84C" w14:textId="77777777" w:rsidR="009434BD" w:rsidRPr="00D27683" w:rsidRDefault="009434BD" w:rsidP="00135EE0">
            <w:pPr>
              <w:pStyle w:val="TableLeft"/>
              <w:spacing w:after="0"/>
            </w:pPr>
            <w:r w:rsidRPr="00D27683">
              <w:t>Study MEA117113: Mepolizumab vs. Placebo as Add-on Treatment for Frequently Exacerbating COPD Patients Characterized by Eosinophil Level</w:t>
            </w:r>
          </w:p>
        </w:tc>
        <w:tc>
          <w:tcPr>
            <w:tcW w:w="1126" w:type="pct"/>
          </w:tcPr>
          <w:p w14:paraId="313FC467" w14:textId="3746A2C6" w:rsidR="009434BD" w:rsidRPr="00D27683" w:rsidRDefault="00B07581" w:rsidP="00135EE0">
            <w:pPr>
              <w:pStyle w:val="TableLeft"/>
              <w:spacing w:after="0"/>
              <w:rPr>
                <w:color w:val="000000" w:themeColor="text1"/>
              </w:rPr>
            </w:pPr>
            <w:r>
              <w:rPr>
                <w:color w:val="000000" w:themeColor="text1"/>
              </w:rPr>
              <w:t>-</w:t>
            </w:r>
          </w:p>
        </w:tc>
      </w:tr>
      <w:tr w:rsidR="00F75BF5" w:rsidRPr="00D27683" w14:paraId="1AB9DFAB" w14:textId="77777777" w:rsidTr="006C664C">
        <w:trPr>
          <w:cantSplit/>
          <w:trHeight w:val="20"/>
        </w:trPr>
        <w:tc>
          <w:tcPr>
            <w:tcW w:w="913" w:type="pct"/>
            <w:vMerge/>
          </w:tcPr>
          <w:p w14:paraId="1EED21B3" w14:textId="77777777" w:rsidR="009434BD" w:rsidRPr="00D27683" w:rsidRDefault="009434BD" w:rsidP="00135EE0">
            <w:pPr>
              <w:pStyle w:val="TableLeft"/>
              <w:spacing w:after="0"/>
            </w:pPr>
          </w:p>
        </w:tc>
        <w:tc>
          <w:tcPr>
            <w:tcW w:w="2961" w:type="pct"/>
          </w:tcPr>
          <w:p w14:paraId="0A328767" w14:textId="7E137056" w:rsidR="009434BD" w:rsidRPr="00D27683" w:rsidRDefault="009434BD" w:rsidP="00135EE0">
            <w:pPr>
              <w:pStyle w:val="Tabletext"/>
              <w:rPr>
                <w:rFonts w:eastAsiaTheme="minorHAnsi"/>
              </w:rPr>
            </w:pPr>
            <w:proofErr w:type="spellStart"/>
            <w:r w:rsidRPr="001870CD">
              <w:rPr>
                <w:rFonts w:eastAsiaTheme="minorHAnsi"/>
                <w:lang w:val="fr-CH"/>
              </w:rPr>
              <w:t>Pavord</w:t>
            </w:r>
            <w:proofErr w:type="spellEnd"/>
            <w:r w:rsidRPr="001870CD">
              <w:rPr>
                <w:rFonts w:eastAsiaTheme="minorHAnsi"/>
                <w:lang w:val="fr-CH"/>
              </w:rPr>
              <w:t xml:space="preserve">, ID., </w:t>
            </w:r>
            <w:proofErr w:type="spellStart"/>
            <w:r w:rsidRPr="001870CD">
              <w:rPr>
                <w:rFonts w:eastAsiaTheme="minorHAnsi"/>
                <w:lang w:val="fr-CH"/>
              </w:rPr>
              <w:t>Kerstjens</w:t>
            </w:r>
            <w:proofErr w:type="spellEnd"/>
            <w:r w:rsidRPr="001870CD">
              <w:rPr>
                <w:rFonts w:eastAsiaTheme="minorHAnsi"/>
                <w:lang w:val="fr-CH"/>
              </w:rPr>
              <w:t xml:space="preserve">, HA., Korn, S., et al. </w:t>
            </w:r>
            <w:r w:rsidRPr="00D27683">
              <w:rPr>
                <w:rFonts w:eastAsiaTheme="minorHAnsi"/>
              </w:rPr>
              <w:t xml:space="preserve">(2017). Late Breaking Abstract-Dose-ranging study of mepolizumab in eosinophilic COPD. </w:t>
            </w:r>
          </w:p>
        </w:tc>
        <w:tc>
          <w:tcPr>
            <w:tcW w:w="1126" w:type="pct"/>
          </w:tcPr>
          <w:p w14:paraId="0E9739D5" w14:textId="099D5049" w:rsidR="009434BD" w:rsidRDefault="00A35E6A" w:rsidP="00135EE0">
            <w:pPr>
              <w:pStyle w:val="TableLeft"/>
              <w:spacing w:after="0"/>
              <w:rPr>
                <w:color w:val="000000" w:themeColor="text1"/>
              </w:rPr>
            </w:pPr>
            <w:r>
              <w:rPr>
                <w:color w:val="000000" w:themeColor="text1"/>
              </w:rPr>
              <w:t>06 December 201</w:t>
            </w:r>
            <w:r w:rsidR="006C5D7B">
              <w:rPr>
                <w:color w:val="000000" w:themeColor="text1"/>
              </w:rPr>
              <w:t>7</w:t>
            </w:r>
          </w:p>
          <w:p w14:paraId="2D6DCF38" w14:textId="77777777" w:rsidR="00335FBB" w:rsidRDefault="00335FBB" w:rsidP="00135EE0">
            <w:pPr>
              <w:pStyle w:val="TableLeft"/>
              <w:spacing w:after="0"/>
              <w:rPr>
                <w:color w:val="000000" w:themeColor="text1"/>
              </w:rPr>
            </w:pPr>
          </w:p>
          <w:p w14:paraId="2B208C7A" w14:textId="28E7C4E8" w:rsidR="00567D31" w:rsidRPr="00D947E3" w:rsidRDefault="00567D31" w:rsidP="00135EE0">
            <w:pPr>
              <w:pStyle w:val="TableLeft"/>
              <w:spacing w:after="0"/>
              <w:rPr>
                <w:i/>
                <w:iCs/>
                <w:color w:val="000000" w:themeColor="text1"/>
              </w:rPr>
            </w:pPr>
            <w:r w:rsidRPr="00D947E3">
              <w:rPr>
                <w:i/>
                <w:iCs/>
                <w:color w:val="000000" w:themeColor="text1"/>
              </w:rPr>
              <w:t xml:space="preserve">European Respiratory Journal </w:t>
            </w:r>
            <w:r w:rsidR="00015FEE" w:rsidRPr="00D947E3">
              <w:rPr>
                <w:i/>
                <w:iCs/>
                <w:color w:val="000000" w:themeColor="text1"/>
              </w:rPr>
              <w:t>2</w:t>
            </w:r>
            <w:r w:rsidR="00834969" w:rsidRPr="00D947E3">
              <w:rPr>
                <w:i/>
                <w:iCs/>
                <w:color w:val="000000" w:themeColor="text1"/>
              </w:rPr>
              <w:t>017 50(suppl 61): PA1366</w:t>
            </w:r>
            <w:r w:rsidR="00815257">
              <w:rPr>
                <w:i/>
                <w:iCs/>
                <w:color w:val="000000" w:themeColor="text1"/>
              </w:rPr>
              <w:t>.</w:t>
            </w:r>
          </w:p>
        </w:tc>
      </w:tr>
      <w:tr w:rsidR="00F75BF5" w:rsidRPr="00D27683" w14:paraId="6FCDAB75" w14:textId="77777777" w:rsidTr="006C664C">
        <w:trPr>
          <w:cantSplit/>
          <w:trHeight w:val="20"/>
        </w:trPr>
        <w:tc>
          <w:tcPr>
            <w:tcW w:w="913" w:type="pct"/>
            <w:vMerge w:val="restart"/>
          </w:tcPr>
          <w:p w14:paraId="67C65133" w14:textId="77777777" w:rsidR="009434BD" w:rsidRPr="00D27683" w:rsidRDefault="009434BD" w:rsidP="00135EE0">
            <w:pPr>
              <w:pStyle w:val="Tabletext"/>
            </w:pPr>
            <w:r w:rsidRPr="00D27683">
              <w:t>METREX/METREO</w:t>
            </w:r>
            <w:r w:rsidRPr="00D27683">
              <w:br/>
              <w:t>pooled analysis</w:t>
            </w:r>
          </w:p>
        </w:tc>
        <w:tc>
          <w:tcPr>
            <w:tcW w:w="2961" w:type="pct"/>
          </w:tcPr>
          <w:p w14:paraId="3E260691" w14:textId="62A3390E" w:rsidR="009434BD" w:rsidRPr="00D27683" w:rsidRDefault="009434BD" w:rsidP="00135EE0">
            <w:pPr>
              <w:pStyle w:val="Tabletext"/>
              <w:rPr>
                <w:rFonts w:eastAsiaTheme="minorHAnsi"/>
              </w:rPr>
            </w:pPr>
            <w:proofErr w:type="spellStart"/>
            <w:r w:rsidRPr="001870CD">
              <w:rPr>
                <w:rFonts w:eastAsiaTheme="minorHAnsi"/>
                <w:lang w:val="fr-CH"/>
              </w:rPr>
              <w:t>Pavord</w:t>
            </w:r>
            <w:proofErr w:type="spellEnd"/>
            <w:r w:rsidRPr="001870CD">
              <w:rPr>
                <w:rFonts w:eastAsiaTheme="minorHAnsi"/>
                <w:lang w:val="fr-CH"/>
              </w:rPr>
              <w:t xml:space="preserve">, ID., Chanez, P., Criner, GJ. </w:t>
            </w:r>
            <w:proofErr w:type="gramStart"/>
            <w:r w:rsidR="001E6E97" w:rsidRPr="001870CD">
              <w:rPr>
                <w:rFonts w:eastAsiaTheme="minorHAnsi"/>
                <w:lang w:val="fr-CH"/>
              </w:rPr>
              <w:t>et</w:t>
            </w:r>
            <w:proofErr w:type="gramEnd"/>
            <w:r w:rsidR="001E6E97" w:rsidRPr="001870CD">
              <w:rPr>
                <w:rFonts w:eastAsiaTheme="minorHAnsi"/>
                <w:lang w:val="fr-CH"/>
              </w:rPr>
              <w:t xml:space="preserve"> al</w:t>
            </w:r>
            <w:r w:rsidR="00951E04" w:rsidRPr="001870CD">
              <w:rPr>
                <w:rFonts w:eastAsiaTheme="minorHAnsi"/>
                <w:lang w:val="fr-CH"/>
              </w:rPr>
              <w:t xml:space="preserve">. </w:t>
            </w:r>
            <w:r w:rsidRPr="00D27683">
              <w:rPr>
                <w:rFonts w:eastAsiaTheme="minorHAnsi"/>
              </w:rPr>
              <w:t xml:space="preserve">(2017). Mepolizumab for eosinophilic chronic obstructive pulmonary disease. </w:t>
            </w:r>
          </w:p>
        </w:tc>
        <w:tc>
          <w:tcPr>
            <w:tcW w:w="1126" w:type="pct"/>
          </w:tcPr>
          <w:p w14:paraId="3023E581" w14:textId="67F9B1E2" w:rsidR="009434BD" w:rsidRDefault="00DF6482" w:rsidP="00135EE0">
            <w:pPr>
              <w:pStyle w:val="TableLeft"/>
              <w:spacing w:after="0"/>
              <w:rPr>
                <w:color w:val="000000" w:themeColor="text1"/>
              </w:rPr>
            </w:pPr>
            <w:r>
              <w:rPr>
                <w:color w:val="000000" w:themeColor="text1"/>
              </w:rPr>
              <w:t>26 October 2017</w:t>
            </w:r>
          </w:p>
          <w:p w14:paraId="5E235F78" w14:textId="77777777" w:rsidR="00DF6482" w:rsidRDefault="00DF6482" w:rsidP="00135EE0">
            <w:pPr>
              <w:pStyle w:val="TableLeft"/>
              <w:spacing w:after="0"/>
              <w:rPr>
                <w:color w:val="000000" w:themeColor="text1"/>
              </w:rPr>
            </w:pPr>
          </w:p>
          <w:p w14:paraId="407BFE0A" w14:textId="123431FF" w:rsidR="00951E04" w:rsidRPr="00D27683" w:rsidRDefault="00951E04" w:rsidP="00135EE0">
            <w:pPr>
              <w:pStyle w:val="TableLeft"/>
              <w:spacing w:after="0"/>
              <w:rPr>
                <w:color w:val="000000" w:themeColor="text1"/>
              </w:rPr>
            </w:pPr>
            <w:r w:rsidRPr="00D27683">
              <w:rPr>
                <w:rFonts w:eastAsiaTheme="minorHAnsi"/>
                <w:i/>
                <w:iCs/>
              </w:rPr>
              <w:t>New England Journal of Medicine</w:t>
            </w:r>
            <w:r w:rsidRPr="00D27683">
              <w:rPr>
                <w:rFonts w:eastAsiaTheme="minorHAnsi"/>
              </w:rPr>
              <w:t>,</w:t>
            </w:r>
            <w:r w:rsidR="00A76EA5">
              <w:rPr>
                <w:rFonts w:eastAsiaTheme="minorHAnsi"/>
              </w:rPr>
              <w:t xml:space="preserve"> </w:t>
            </w:r>
            <w:r w:rsidRPr="00815257">
              <w:rPr>
                <w:rFonts w:eastAsiaTheme="minorHAnsi"/>
                <w:i/>
                <w:iCs/>
              </w:rPr>
              <w:t>377(17)</w:t>
            </w:r>
            <w:r w:rsidR="009B7222" w:rsidRPr="00815257">
              <w:rPr>
                <w:rFonts w:eastAsiaTheme="minorHAnsi"/>
                <w:i/>
                <w:iCs/>
              </w:rPr>
              <w:t>: 1613</w:t>
            </w:r>
            <w:r w:rsidR="00946659" w:rsidRPr="00815257">
              <w:rPr>
                <w:rFonts w:eastAsiaTheme="minorHAnsi"/>
                <w:i/>
                <w:iCs/>
              </w:rPr>
              <w:t>–</w:t>
            </w:r>
            <w:r w:rsidR="00815257" w:rsidRPr="00815257">
              <w:rPr>
                <w:rFonts w:eastAsiaTheme="minorHAnsi"/>
                <w:i/>
                <w:iCs/>
              </w:rPr>
              <w:t>1329.</w:t>
            </w:r>
          </w:p>
        </w:tc>
      </w:tr>
      <w:tr w:rsidR="00F75BF5" w:rsidRPr="00D27683" w14:paraId="4395E576" w14:textId="77777777" w:rsidTr="006C664C">
        <w:trPr>
          <w:cantSplit/>
          <w:trHeight w:val="20"/>
        </w:trPr>
        <w:tc>
          <w:tcPr>
            <w:tcW w:w="913" w:type="pct"/>
            <w:vMerge/>
          </w:tcPr>
          <w:p w14:paraId="4037A1F0" w14:textId="77777777" w:rsidR="009434BD" w:rsidRPr="00D27683" w:rsidRDefault="009434BD" w:rsidP="00135EE0">
            <w:pPr>
              <w:pStyle w:val="TableLeft"/>
              <w:spacing w:after="0"/>
            </w:pPr>
          </w:p>
        </w:tc>
        <w:tc>
          <w:tcPr>
            <w:tcW w:w="2961" w:type="pct"/>
          </w:tcPr>
          <w:p w14:paraId="314C4689" w14:textId="26618BBF" w:rsidR="009434BD" w:rsidRPr="00D27683" w:rsidRDefault="009434BD" w:rsidP="00135EE0">
            <w:pPr>
              <w:pStyle w:val="Tabletext"/>
              <w:rPr>
                <w:b/>
                <w:bCs/>
              </w:rPr>
            </w:pPr>
            <w:proofErr w:type="spellStart"/>
            <w:r w:rsidRPr="001870CD">
              <w:rPr>
                <w:rFonts w:eastAsiaTheme="minorHAnsi"/>
                <w:lang w:val="fr-CH"/>
              </w:rPr>
              <w:t>Pavord</w:t>
            </w:r>
            <w:proofErr w:type="spellEnd"/>
            <w:r w:rsidRPr="001870CD">
              <w:rPr>
                <w:rFonts w:eastAsiaTheme="minorHAnsi"/>
                <w:lang w:val="fr-CH"/>
              </w:rPr>
              <w:t xml:space="preserve">, ID., Chapman, KR., </w:t>
            </w:r>
            <w:proofErr w:type="spellStart"/>
            <w:r w:rsidRPr="001870CD">
              <w:rPr>
                <w:rFonts w:eastAsiaTheme="minorHAnsi"/>
                <w:lang w:val="fr-CH"/>
              </w:rPr>
              <w:t>Bafadhel</w:t>
            </w:r>
            <w:proofErr w:type="spellEnd"/>
            <w:r w:rsidRPr="001870CD">
              <w:rPr>
                <w:rFonts w:eastAsiaTheme="minorHAnsi"/>
                <w:lang w:val="fr-CH"/>
              </w:rPr>
              <w:t xml:space="preserve">, M., et al. </w:t>
            </w:r>
            <w:r w:rsidRPr="00D27683">
              <w:rPr>
                <w:rFonts w:eastAsiaTheme="minorHAnsi"/>
              </w:rPr>
              <w:t xml:space="preserve">(2021). Mepolizumab for eosinophil-associated COPD: analysis of METREX and METREO. </w:t>
            </w:r>
          </w:p>
        </w:tc>
        <w:tc>
          <w:tcPr>
            <w:tcW w:w="1126" w:type="pct"/>
          </w:tcPr>
          <w:p w14:paraId="663FF846" w14:textId="457A54E9" w:rsidR="009434BD" w:rsidRDefault="006C47D3" w:rsidP="00135EE0">
            <w:pPr>
              <w:pStyle w:val="TableLeft"/>
              <w:spacing w:after="0"/>
              <w:rPr>
                <w:color w:val="000000" w:themeColor="text1"/>
              </w:rPr>
            </w:pPr>
            <w:r>
              <w:rPr>
                <w:color w:val="000000" w:themeColor="text1"/>
              </w:rPr>
              <w:t>16 June 2021</w:t>
            </w:r>
          </w:p>
          <w:p w14:paraId="73F5B9ED" w14:textId="77777777" w:rsidR="004C2673" w:rsidRDefault="004C2673" w:rsidP="00135EE0">
            <w:pPr>
              <w:pStyle w:val="TableLeft"/>
              <w:spacing w:after="0"/>
              <w:rPr>
                <w:color w:val="000000" w:themeColor="text1"/>
              </w:rPr>
            </w:pPr>
          </w:p>
          <w:p w14:paraId="715FB66C" w14:textId="50FF885F" w:rsidR="004C2673" w:rsidRDefault="004C2673" w:rsidP="00135EE0">
            <w:pPr>
              <w:pStyle w:val="TableLeft"/>
              <w:spacing w:after="0"/>
              <w:rPr>
                <w:rFonts w:eastAsiaTheme="minorHAnsi"/>
              </w:rPr>
            </w:pPr>
            <w:r w:rsidRPr="00D27683">
              <w:rPr>
                <w:rFonts w:eastAsiaTheme="minorHAnsi"/>
                <w:i/>
                <w:iCs/>
              </w:rPr>
              <w:t>International Journal of Chronic Obstructive Pulmonary Disease</w:t>
            </w:r>
            <w:r w:rsidR="00847D7D" w:rsidRPr="00847D7D">
              <w:rPr>
                <w:rFonts w:eastAsiaTheme="minorHAnsi"/>
              </w:rPr>
              <w:t>:</w:t>
            </w:r>
            <w:r w:rsidR="00847D7D" w:rsidRPr="009B7222">
              <w:rPr>
                <w:rFonts w:eastAsiaTheme="minorHAnsi"/>
                <w:i/>
                <w:iCs/>
              </w:rPr>
              <w:t>16 1755</w:t>
            </w:r>
            <w:r w:rsidR="007639F4">
              <w:rPr>
                <w:rFonts w:eastAsiaTheme="minorHAnsi"/>
                <w:i/>
                <w:iCs/>
              </w:rPr>
              <w:t>–</w:t>
            </w:r>
            <w:r w:rsidR="00847D7D" w:rsidRPr="009B7222">
              <w:rPr>
                <w:rFonts w:eastAsiaTheme="minorHAnsi"/>
                <w:i/>
                <w:iCs/>
              </w:rPr>
              <w:t>1770</w:t>
            </w:r>
            <w:r w:rsidR="009B7222">
              <w:rPr>
                <w:rFonts w:eastAsiaTheme="minorHAnsi"/>
                <w:i/>
                <w:iCs/>
              </w:rPr>
              <w:t>.</w:t>
            </w:r>
          </w:p>
          <w:p w14:paraId="27109E4E" w14:textId="77777777" w:rsidR="004C2673" w:rsidRPr="00D27683" w:rsidRDefault="004C2673" w:rsidP="00135EE0">
            <w:pPr>
              <w:pStyle w:val="TableLeft"/>
              <w:spacing w:after="0"/>
              <w:rPr>
                <w:color w:val="000000" w:themeColor="text1"/>
              </w:rPr>
            </w:pPr>
          </w:p>
        </w:tc>
      </w:tr>
      <w:tr w:rsidR="00F75BF5" w:rsidRPr="00D27683" w14:paraId="4602FB0B" w14:textId="77777777" w:rsidTr="006C664C">
        <w:trPr>
          <w:cantSplit/>
          <w:trHeight w:val="20"/>
        </w:trPr>
        <w:tc>
          <w:tcPr>
            <w:tcW w:w="913" w:type="pct"/>
            <w:vMerge/>
          </w:tcPr>
          <w:p w14:paraId="6890B283" w14:textId="77777777" w:rsidR="009434BD" w:rsidRPr="00D27683" w:rsidRDefault="009434BD" w:rsidP="00135EE0">
            <w:pPr>
              <w:pStyle w:val="TableLeft"/>
              <w:spacing w:after="0"/>
            </w:pPr>
          </w:p>
        </w:tc>
        <w:tc>
          <w:tcPr>
            <w:tcW w:w="2961" w:type="pct"/>
          </w:tcPr>
          <w:p w14:paraId="121D32D8" w14:textId="073AF622" w:rsidR="009434BD" w:rsidRPr="00D27683" w:rsidRDefault="009434BD" w:rsidP="00135EE0">
            <w:pPr>
              <w:pStyle w:val="Tabletext"/>
              <w:rPr>
                <w:rFonts w:eastAsiaTheme="minorHAnsi"/>
              </w:rPr>
            </w:pPr>
            <w:r w:rsidRPr="00D27683">
              <w:rPr>
                <w:rFonts w:eastAsiaTheme="minorHAnsi"/>
              </w:rPr>
              <w:t xml:space="preserve">Condreay LD, Gao C, Bradford E, Yancey SW and Ghosh S. 2019. No genetic associations with mepolizumab efficacy in COPD with peripheral blood eosinophilia. </w:t>
            </w:r>
          </w:p>
        </w:tc>
        <w:tc>
          <w:tcPr>
            <w:tcW w:w="1126" w:type="pct"/>
          </w:tcPr>
          <w:p w14:paraId="39D9BAC0" w14:textId="0C638339" w:rsidR="009434BD" w:rsidRDefault="002F0B47" w:rsidP="00135EE0">
            <w:pPr>
              <w:pStyle w:val="TableLeft"/>
              <w:spacing w:after="0"/>
              <w:rPr>
                <w:color w:val="000000" w:themeColor="text1"/>
              </w:rPr>
            </w:pPr>
            <w:r>
              <w:rPr>
                <w:color w:val="000000" w:themeColor="text1"/>
              </w:rPr>
              <w:t xml:space="preserve">05 July </w:t>
            </w:r>
            <w:r w:rsidR="00D60EF8">
              <w:rPr>
                <w:color w:val="000000" w:themeColor="text1"/>
              </w:rPr>
              <w:t>2019</w:t>
            </w:r>
          </w:p>
          <w:p w14:paraId="654072D7" w14:textId="77777777" w:rsidR="006C47D3" w:rsidRDefault="006C47D3" w:rsidP="00135EE0">
            <w:pPr>
              <w:pStyle w:val="TableLeft"/>
              <w:spacing w:after="0"/>
              <w:rPr>
                <w:color w:val="000000" w:themeColor="text1"/>
              </w:rPr>
            </w:pPr>
          </w:p>
          <w:p w14:paraId="41A730AC" w14:textId="247EE6CB" w:rsidR="006C47D3" w:rsidRPr="006C47D3" w:rsidRDefault="006C47D3" w:rsidP="00135EE0">
            <w:pPr>
              <w:pStyle w:val="TableLeft"/>
              <w:spacing w:after="0"/>
              <w:rPr>
                <w:i/>
                <w:iCs/>
                <w:color w:val="000000" w:themeColor="text1"/>
              </w:rPr>
            </w:pPr>
            <w:r w:rsidRPr="006C47D3">
              <w:rPr>
                <w:rFonts w:eastAsiaTheme="minorHAnsi"/>
                <w:i/>
                <w:iCs/>
              </w:rPr>
              <w:t>Respiratory Medicine 155: 26</w:t>
            </w:r>
            <w:r>
              <w:rPr>
                <w:rFonts w:eastAsiaTheme="minorHAnsi"/>
                <w:i/>
                <w:iCs/>
              </w:rPr>
              <w:t>–</w:t>
            </w:r>
            <w:r w:rsidRPr="006C47D3">
              <w:rPr>
                <w:rFonts w:eastAsiaTheme="minorHAnsi"/>
                <w:i/>
                <w:iCs/>
              </w:rPr>
              <w:t>28.</w:t>
            </w:r>
          </w:p>
        </w:tc>
      </w:tr>
      <w:tr w:rsidR="00F75BF5" w:rsidRPr="00D27683" w14:paraId="366D364F" w14:textId="77777777" w:rsidTr="006C664C">
        <w:trPr>
          <w:cantSplit/>
          <w:trHeight w:val="20"/>
        </w:trPr>
        <w:tc>
          <w:tcPr>
            <w:tcW w:w="913" w:type="pct"/>
            <w:vMerge/>
          </w:tcPr>
          <w:p w14:paraId="7B65B68D" w14:textId="77777777" w:rsidR="009434BD" w:rsidRPr="00D27683" w:rsidRDefault="009434BD" w:rsidP="00135EE0">
            <w:pPr>
              <w:pStyle w:val="TableLeft"/>
              <w:spacing w:after="0"/>
            </w:pPr>
          </w:p>
        </w:tc>
        <w:tc>
          <w:tcPr>
            <w:tcW w:w="2961" w:type="pct"/>
          </w:tcPr>
          <w:p w14:paraId="08192C19" w14:textId="51C17336" w:rsidR="009434BD" w:rsidRPr="00D27683" w:rsidRDefault="009434BD" w:rsidP="00135EE0">
            <w:pPr>
              <w:pStyle w:val="Tabletext"/>
              <w:rPr>
                <w:rFonts w:eastAsiaTheme="minorHAnsi"/>
              </w:rPr>
            </w:pPr>
            <w:proofErr w:type="spellStart"/>
            <w:r w:rsidRPr="001870CD">
              <w:rPr>
                <w:rFonts w:eastAsiaTheme="minorHAnsi"/>
                <w:lang w:val="fr-CH"/>
              </w:rPr>
              <w:t>Bafadhel</w:t>
            </w:r>
            <w:proofErr w:type="spellEnd"/>
            <w:r w:rsidRPr="001870CD">
              <w:rPr>
                <w:rFonts w:eastAsiaTheme="minorHAnsi"/>
                <w:lang w:val="fr-CH"/>
              </w:rPr>
              <w:t xml:space="preserve">, M., Sciurba, FC., </w:t>
            </w:r>
            <w:proofErr w:type="spellStart"/>
            <w:r w:rsidRPr="001870CD">
              <w:rPr>
                <w:rFonts w:eastAsiaTheme="minorHAnsi"/>
                <w:lang w:val="fr-CH"/>
              </w:rPr>
              <w:t>Paggiaro</w:t>
            </w:r>
            <w:proofErr w:type="spellEnd"/>
            <w:r w:rsidRPr="001870CD">
              <w:rPr>
                <w:rFonts w:eastAsiaTheme="minorHAnsi"/>
                <w:lang w:val="fr-CH"/>
              </w:rPr>
              <w:t xml:space="preserve">, et al. </w:t>
            </w:r>
            <w:r w:rsidRPr="00D27683">
              <w:rPr>
                <w:rFonts w:eastAsiaTheme="minorHAnsi"/>
              </w:rPr>
              <w:t xml:space="preserve">(2018). Mepolizumab for eosinophilic chronic obstructive pulmonary disease (COPD): A meta-analysis of </w:t>
            </w:r>
            <w:r w:rsidR="001947E1">
              <w:rPr>
                <w:rFonts w:eastAsiaTheme="minorHAnsi"/>
              </w:rPr>
              <w:t>METREX</w:t>
            </w:r>
            <w:r w:rsidR="001947E1" w:rsidRPr="00D27683">
              <w:rPr>
                <w:rFonts w:eastAsiaTheme="minorHAnsi"/>
              </w:rPr>
              <w:t xml:space="preserve"> </w:t>
            </w:r>
            <w:r w:rsidRPr="00D27683">
              <w:rPr>
                <w:rFonts w:eastAsiaTheme="minorHAnsi"/>
              </w:rPr>
              <w:t xml:space="preserve">and </w:t>
            </w:r>
            <w:r w:rsidR="001947E1">
              <w:rPr>
                <w:rFonts w:eastAsiaTheme="minorHAnsi"/>
              </w:rPr>
              <w:t>METREO</w:t>
            </w:r>
            <w:r w:rsidR="001947E1" w:rsidRPr="00D27683">
              <w:rPr>
                <w:rFonts w:eastAsiaTheme="minorHAnsi"/>
              </w:rPr>
              <w:t xml:space="preserve"> </w:t>
            </w:r>
            <w:r w:rsidRPr="00D27683">
              <w:rPr>
                <w:rFonts w:eastAsiaTheme="minorHAnsi"/>
              </w:rPr>
              <w:t xml:space="preserve">exacerbation endpoints. </w:t>
            </w:r>
          </w:p>
        </w:tc>
        <w:tc>
          <w:tcPr>
            <w:tcW w:w="1126" w:type="pct"/>
          </w:tcPr>
          <w:p w14:paraId="0555662F" w14:textId="77777777" w:rsidR="009434BD" w:rsidRDefault="00AD6400" w:rsidP="00135EE0">
            <w:pPr>
              <w:pStyle w:val="TableLeft"/>
              <w:spacing w:after="0"/>
              <w:rPr>
                <w:color w:val="000000" w:themeColor="text1"/>
              </w:rPr>
            </w:pPr>
            <w:r>
              <w:rPr>
                <w:color w:val="000000" w:themeColor="text1"/>
              </w:rPr>
              <w:t xml:space="preserve">22 May </w:t>
            </w:r>
            <w:r w:rsidR="00407042">
              <w:rPr>
                <w:color w:val="000000" w:themeColor="text1"/>
              </w:rPr>
              <w:t>2018</w:t>
            </w:r>
          </w:p>
          <w:p w14:paraId="670DCD64" w14:textId="77777777" w:rsidR="00407042" w:rsidRDefault="00407042" w:rsidP="00135EE0">
            <w:pPr>
              <w:pStyle w:val="TableLeft"/>
              <w:spacing w:after="0"/>
              <w:rPr>
                <w:color w:val="000000" w:themeColor="text1"/>
              </w:rPr>
            </w:pPr>
          </w:p>
          <w:p w14:paraId="25D9FA8A" w14:textId="54C8B321" w:rsidR="00407042" w:rsidRPr="00D27683" w:rsidRDefault="00407042" w:rsidP="00135EE0">
            <w:pPr>
              <w:pStyle w:val="TableLeft"/>
              <w:spacing w:after="0"/>
              <w:rPr>
                <w:color w:val="000000" w:themeColor="text1"/>
              </w:rPr>
            </w:pPr>
          </w:p>
        </w:tc>
      </w:tr>
      <w:tr w:rsidR="00F75BF5" w:rsidRPr="00D27683" w14:paraId="50C4B50F" w14:textId="77777777" w:rsidTr="006C664C">
        <w:trPr>
          <w:cantSplit/>
          <w:trHeight w:val="20"/>
        </w:trPr>
        <w:tc>
          <w:tcPr>
            <w:tcW w:w="913" w:type="pct"/>
            <w:vMerge/>
          </w:tcPr>
          <w:p w14:paraId="16C934B1" w14:textId="77777777" w:rsidR="009434BD" w:rsidRPr="00D27683" w:rsidRDefault="009434BD" w:rsidP="00135EE0">
            <w:pPr>
              <w:pStyle w:val="TableLeft"/>
              <w:spacing w:after="0"/>
            </w:pPr>
          </w:p>
        </w:tc>
        <w:tc>
          <w:tcPr>
            <w:tcW w:w="2961" w:type="pct"/>
          </w:tcPr>
          <w:p w14:paraId="3FF7226C" w14:textId="3F5DF2B9" w:rsidR="009434BD" w:rsidRPr="00D27683" w:rsidRDefault="009434BD" w:rsidP="00135EE0">
            <w:pPr>
              <w:pStyle w:val="Tabletext"/>
              <w:rPr>
                <w:rFonts w:eastAsiaTheme="minorHAnsi"/>
              </w:rPr>
            </w:pPr>
            <w:r w:rsidRPr="001870CD">
              <w:rPr>
                <w:rFonts w:eastAsiaTheme="minorHAnsi"/>
                <w:lang w:val="fr-CH"/>
              </w:rPr>
              <w:t xml:space="preserve">Chapman, KR., </w:t>
            </w:r>
            <w:proofErr w:type="spellStart"/>
            <w:r w:rsidRPr="001870CD">
              <w:rPr>
                <w:rFonts w:eastAsiaTheme="minorHAnsi"/>
                <w:lang w:val="fr-CH"/>
              </w:rPr>
              <w:t>Pavord</w:t>
            </w:r>
            <w:proofErr w:type="spellEnd"/>
            <w:r w:rsidRPr="001870CD">
              <w:rPr>
                <w:rFonts w:eastAsiaTheme="minorHAnsi"/>
                <w:lang w:val="fr-CH"/>
              </w:rPr>
              <w:t xml:space="preserve">, ID., </w:t>
            </w:r>
            <w:proofErr w:type="spellStart"/>
            <w:r w:rsidRPr="001870CD">
              <w:rPr>
                <w:rFonts w:eastAsiaTheme="minorHAnsi"/>
                <w:lang w:val="fr-CH"/>
              </w:rPr>
              <w:t>Paggiaro</w:t>
            </w:r>
            <w:proofErr w:type="spellEnd"/>
            <w:r w:rsidRPr="001870CD">
              <w:rPr>
                <w:rFonts w:eastAsiaTheme="minorHAnsi"/>
                <w:lang w:val="fr-CH"/>
              </w:rPr>
              <w:t xml:space="preserve">, et al. </w:t>
            </w:r>
            <w:r w:rsidRPr="00D27683">
              <w:rPr>
                <w:rFonts w:eastAsiaTheme="minorHAnsi"/>
              </w:rPr>
              <w:t xml:space="preserve">(2018). Mepolizumab for eosinophilic chronic obstructive pulmonary disease (COPD): a meta-analysis of METREX and METREO patient-reported outcomes, response to therapy and lung function. </w:t>
            </w:r>
          </w:p>
        </w:tc>
        <w:tc>
          <w:tcPr>
            <w:tcW w:w="1126" w:type="pct"/>
          </w:tcPr>
          <w:p w14:paraId="012017AC" w14:textId="7E803720" w:rsidR="009434BD" w:rsidRDefault="005A2EF5" w:rsidP="00135EE0">
            <w:pPr>
              <w:pStyle w:val="TableLeft"/>
              <w:spacing w:after="0"/>
              <w:rPr>
                <w:color w:val="000000" w:themeColor="text1"/>
              </w:rPr>
            </w:pPr>
            <w:r>
              <w:rPr>
                <w:color w:val="000000" w:themeColor="text1"/>
              </w:rPr>
              <w:t xml:space="preserve">21 May </w:t>
            </w:r>
            <w:r w:rsidR="00455A1E">
              <w:rPr>
                <w:color w:val="000000" w:themeColor="text1"/>
              </w:rPr>
              <w:t>2018</w:t>
            </w:r>
          </w:p>
          <w:p w14:paraId="234CDF35" w14:textId="77777777" w:rsidR="00117773" w:rsidRDefault="00117773" w:rsidP="00135EE0">
            <w:pPr>
              <w:pStyle w:val="TableLeft"/>
              <w:spacing w:after="0"/>
              <w:rPr>
                <w:color w:val="000000" w:themeColor="text1"/>
              </w:rPr>
            </w:pPr>
          </w:p>
          <w:p w14:paraId="4F5D7E57" w14:textId="241E6930" w:rsidR="00117773" w:rsidRPr="00D27683" w:rsidRDefault="00117773" w:rsidP="00135EE0">
            <w:pPr>
              <w:pStyle w:val="TableLeft"/>
              <w:spacing w:after="0"/>
              <w:rPr>
                <w:color w:val="000000" w:themeColor="text1"/>
              </w:rPr>
            </w:pPr>
            <w:r w:rsidRPr="00D27683">
              <w:rPr>
                <w:rFonts w:eastAsiaTheme="minorHAnsi"/>
                <w:i/>
                <w:iCs/>
              </w:rPr>
              <w:t>American Thoracic Society</w:t>
            </w:r>
            <w:r w:rsidR="00455A1E">
              <w:rPr>
                <w:rFonts w:eastAsiaTheme="minorHAnsi"/>
                <w:i/>
                <w:iCs/>
              </w:rPr>
              <w:t>;</w:t>
            </w:r>
            <w:r w:rsidR="00455A1E" w:rsidRPr="00455A1E">
              <w:rPr>
                <w:rFonts w:eastAsiaTheme="minorHAnsi"/>
                <w:i/>
                <w:iCs/>
              </w:rPr>
              <w:t>197:A4230</w:t>
            </w:r>
          </w:p>
        </w:tc>
      </w:tr>
      <w:tr w:rsidR="00F75BF5" w:rsidRPr="00D27683" w14:paraId="03430E0C" w14:textId="77777777" w:rsidTr="006C664C">
        <w:trPr>
          <w:cantSplit/>
          <w:trHeight w:val="20"/>
        </w:trPr>
        <w:tc>
          <w:tcPr>
            <w:tcW w:w="913" w:type="pct"/>
            <w:vMerge/>
          </w:tcPr>
          <w:p w14:paraId="2562D80B" w14:textId="77777777" w:rsidR="009434BD" w:rsidRPr="00D27683" w:rsidRDefault="009434BD" w:rsidP="00135EE0">
            <w:pPr>
              <w:pStyle w:val="TableLeft"/>
              <w:spacing w:after="0"/>
            </w:pPr>
          </w:p>
        </w:tc>
        <w:tc>
          <w:tcPr>
            <w:tcW w:w="2961" w:type="pct"/>
          </w:tcPr>
          <w:p w14:paraId="5C06DE6F" w14:textId="12357F39" w:rsidR="009434BD" w:rsidRPr="00D27683" w:rsidRDefault="009434BD" w:rsidP="00135EE0">
            <w:pPr>
              <w:pStyle w:val="Tabletext"/>
              <w:rPr>
                <w:rFonts w:eastAsiaTheme="minorHAnsi"/>
              </w:rPr>
            </w:pPr>
            <w:r w:rsidRPr="00D27683">
              <w:rPr>
                <w:rFonts w:eastAsiaTheme="minorHAnsi"/>
              </w:rPr>
              <w:t xml:space="preserve">Condreay L, Gao C, Bradford E, Yancey S and Ghosh S. 2019. No genetic associations were identified with mepolizumab efficacy in eosinophilic COPD. </w:t>
            </w:r>
          </w:p>
        </w:tc>
        <w:tc>
          <w:tcPr>
            <w:tcW w:w="1126" w:type="pct"/>
          </w:tcPr>
          <w:p w14:paraId="616FFF46" w14:textId="79A38340" w:rsidR="009434BD" w:rsidRDefault="00452E7C" w:rsidP="00135EE0">
            <w:pPr>
              <w:pStyle w:val="TableLeft"/>
              <w:spacing w:after="0"/>
              <w:rPr>
                <w:color w:val="000000" w:themeColor="text1"/>
              </w:rPr>
            </w:pPr>
            <w:r>
              <w:rPr>
                <w:color w:val="000000" w:themeColor="text1"/>
              </w:rPr>
              <w:t xml:space="preserve">21 May </w:t>
            </w:r>
            <w:r w:rsidR="00F63AB5">
              <w:rPr>
                <w:color w:val="000000" w:themeColor="text1"/>
              </w:rPr>
              <w:t>2019</w:t>
            </w:r>
          </w:p>
          <w:p w14:paraId="05001818" w14:textId="77777777" w:rsidR="00400B6E" w:rsidRDefault="00400B6E" w:rsidP="00135EE0">
            <w:pPr>
              <w:pStyle w:val="TableLeft"/>
              <w:spacing w:after="0"/>
              <w:rPr>
                <w:color w:val="000000" w:themeColor="text1"/>
              </w:rPr>
            </w:pPr>
          </w:p>
          <w:p w14:paraId="39E7393E" w14:textId="43F0165D" w:rsidR="00400B6E" w:rsidRPr="00400B6E" w:rsidRDefault="00400B6E" w:rsidP="00135EE0">
            <w:pPr>
              <w:pStyle w:val="TableLeft"/>
              <w:spacing w:after="0"/>
              <w:rPr>
                <w:rFonts w:eastAsiaTheme="minorHAnsi"/>
                <w:i/>
                <w:iCs/>
              </w:rPr>
            </w:pPr>
            <w:r w:rsidRPr="00400B6E">
              <w:rPr>
                <w:rFonts w:eastAsiaTheme="minorHAnsi"/>
                <w:i/>
                <w:iCs/>
              </w:rPr>
              <w:t>American Journal of Respiratory and Critical Care Medicine 199</w:t>
            </w:r>
            <w:r w:rsidR="004B57CF">
              <w:rPr>
                <w:rFonts w:eastAsiaTheme="minorHAnsi"/>
                <w:i/>
                <w:iCs/>
              </w:rPr>
              <w:t>:A4550.</w:t>
            </w:r>
          </w:p>
          <w:p w14:paraId="4BB1E8F6" w14:textId="6103825F" w:rsidR="00400B6E" w:rsidRPr="00D27683" w:rsidRDefault="00400B6E" w:rsidP="00135EE0">
            <w:pPr>
              <w:pStyle w:val="TableLeft"/>
              <w:spacing w:after="0"/>
              <w:rPr>
                <w:color w:val="000000" w:themeColor="text1"/>
              </w:rPr>
            </w:pPr>
          </w:p>
        </w:tc>
      </w:tr>
      <w:tr w:rsidR="00F75BF5" w:rsidRPr="00D27683" w14:paraId="3E5BE0FB" w14:textId="77777777" w:rsidTr="006C664C">
        <w:trPr>
          <w:cantSplit/>
          <w:trHeight w:val="20"/>
        </w:trPr>
        <w:tc>
          <w:tcPr>
            <w:tcW w:w="913" w:type="pct"/>
            <w:vMerge/>
          </w:tcPr>
          <w:p w14:paraId="3E7E8C52" w14:textId="77777777" w:rsidR="009434BD" w:rsidRPr="00D27683" w:rsidRDefault="009434BD" w:rsidP="00135EE0">
            <w:pPr>
              <w:pStyle w:val="TableLeft"/>
              <w:spacing w:after="0"/>
            </w:pPr>
          </w:p>
        </w:tc>
        <w:tc>
          <w:tcPr>
            <w:tcW w:w="2961" w:type="pct"/>
          </w:tcPr>
          <w:p w14:paraId="17D9F4D8" w14:textId="25139620" w:rsidR="009434BD" w:rsidRPr="00D27683" w:rsidRDefault="009434BD" w:rsidP="00135EE0">
            <w:pPr>
              <w:pStyle w:val="Tabletext"/>
              <w:rPr>
                <w:rFonts w:eastAsiaTheme="minorHAnsi"/>
              </w:rPr>
            </w:pPr>
            <w:r w:rsidRPr="001870CD">
              <w:rPr>
                <w:rFonts w:eastAsiaTheme="minorHAnsi"/>
                <w:lang w:val="fr-CH"/>
              </w:rPr>
              <w:t xml:space="preserve">Criner, GJ., Hanania, NA., Maltais, F., et al. </w:t>
            </w:r>
            <w:r w:rsidRPr="00D27683">
              <w:rPr>
                <w:rFonts w:eastAsiaTheme="minorHAnsi"/>
              </w:rPr>
              <w:t xml:space="preserve">(2024). Efficacy of Mepolizumab in Patients With COPD and an Eosinophilic Phenotype With Chronic Bronchitis-A Post Hoc Analysis of the METREX &amp; METREO Phase 3 Studies. In A27. Emerging Treatments and Therapeutic areas and Therapeutic Strategies in COPD. Results of Clinical Trials and Observational Studies. </w:t>
            </w:r>
          </w:p>
        </w:tc>
        <w:tc>
          <w:tcPr>
            <w:tcW w:w="1126" w:type="pct"/>
          </w:tcPr>
          <w:p w14:paraId="659CE830" w14:textId="6EA8CD66" w:rsidR="009434BD" w:rsidRDefault="002A11FA" w:rsidP="00135EE0">
            <w:pPr>
              <w:pStyle w:val="TableLeft"/>
              <w:spacing w:after="0"/>
              <w:rPr>
                <w:color w:val="000000" w:themeColor="text1"/>
              </w:rPr>
            </w:pPr>
            <w:r>
              <w:rPr>
                <w:color w:val="000000" w:themeColor="text1"/>
              </w:rPr>
              <w:t xml:space="preserve">19 May </w:t>
            </w:r>
            <w:r w:rsidR="008C66AF">
              <w:rPr>
                <w:color w:val="000000" w:themeColor="text1"/>
              </w:rPr>
              <w:t>2024</w:t>
            </w:r>
          </w:p>
          <w:p w14:paraId="4CFE082B" w14:textId="77777777" w:rsidR="002A11FA" w:rsidRDefault="002A11FA" w:rsidP="00135EE0">
            <w:pPr>
              <w:pStyle w:val="TableLeft"/>
              <w:spacing w:after="0"/>
              <w:rPr>
                <w:color w:val="000000" w:themeColor="text1"/>
              </w:rPr>
            </w:pPr>
          </w:p>
          <w:p w14:paraId="5BAE0753" w14:textId="285FB341" w:rsidR="002A11FA" w:rsidRPr="00D27683" w:rsidRDefault="002A11FA" w:rsidP="00135EE0">
            <w:pPr>
              <w:pStyle w:val="TableLeft"/>
              <w:spacing w:after="0"/>
              <w:rPr>
                <w:color w:val="000000" w:themeColor="text1"/>
              </w:rPr>
            </w:pPr>
            <w:r w:rsidRPr="00D27683">
              <w:rPr>
                <w:rFonts w:eastAsiaTheme="minorHAnsi"/>
                <w:i/>
                <w:iCs/>
              </w:rPr>
              <w:t>American Thoracic Society,</w:t>
            </w:r>
            <w:r>
              <w:rPr>
                <w:rFonts w:eastAsiaTheme="minorHAnsi"/>
                <w:i/>
                <w:iCs/>
              </w:rPr>
              <w:t xml:space="preserve"> 209:</w:t>
            </w:r>
            <w:r w:rsidRPr="002A11FA">
              <w:rPr>
                <w:rFonts w:eastAsiaTheme="minorHAnsi"/>
                <w:i/>
                <w:iCs/>
              </w:rPr>
              <w:t>A1203</w:t>
            </w:r>
            <w:r w:rsidRPr="00D27683">
              <w:rPr>
                <w:rFonts w:eastAsiaTheme="minorHAnsi"/>
              </w:rPr>
              <w:t>.</w:t>
            </w:r>
          </w:p>
        </w:tc>
      </w:tr>
      <w:tr w:rsidR="00F75BF5" w:rsidRPr="00D27683" w14:paraId="0B587D30" w14:textId="77777777" w:rsidTr="006C664C">
        <w:trPr>
          <w:cantSplit/>
          <w:trHeight w:val="20"/>
        </w:trPr>
        <w:tc>
          <w:tcPr>
            <w:tcW w:w="913" w:type="pct"/>
            <w:vMerge/>
          </w:tcPr>
          <w:p w14:paraId="65D2D140" w14:textId="77777777" w:rsidR="009434BD" w:rsidRPr="00D27683" w:rsidRDefault="009434BD" w:rsidP="00135EE0">
            <w:pPr>
              <w:pStyle w:val="TableLeft"/>
              <w:spacing w:after="0"/>
            </w:pPr>
          </w:p>
        </w:tc>
        <w:tc>
          <w:tcPr>
            <w:tcW w:w="2961" w:type="pct"/>
          </w:tcPr>
          <w:p w14:paraId="63B27CCF" w14:textId="77777777" w:rsidR="009434BD" w:rsidRPr="00D27683" w:rsidRDefault="009434BD" w:rsidP="00135EE0">
            <w:pPr>
              <w:pStyle w:val="Tabletext"/>
              <w:rPr>
                <w:rFonts w:eastAsiaTheme="minorHAnsi"/>
              </w:rPr>
            </w:pPr>
            <w:proofErr w:type="spellStart"/>
            <w:r w:rsidRPr="00D27683">
              <w:t>Pavord</w:t>
            </w:r>
            <w:proofErr w:type="spellEnd"/>
            <w:r w:rsidRPr="00D27683">
              <w:t xml:space="preserve">, ID., Criner, G., </w:t>
            </w:r>
            <w:proofErr w:type="spellStart"/>
            <w:r w:rsidRPr="00D27683">
              <w:t>Kerstjens</w:t>
            </w:r>
            <w:proofErr w:type="spellEnd"/>
            <w:r w:rsidRPr="00D27683">
              <w:t xml:space="preserve">, H., et al. (2018). Eosinophils as a predictor of mepolizumab treatment responses in COPD. </w:t>
            </w:r>
          </w:p>
        </w:tc>
        <w:tc>
          <w:tcPr>
            <w:tcW w:w="1126" w:type="pct"/>
          </w:tcPr>
          <w:p w14:paraId="4E6D5197" w14:textId="0E4DC532" w:rsidR="009434BD" w:rsidRDefault="00C71C91" w:rsidP="00135EE0">
            <w:pPr>
              <w:pStyle w:val="TableLeft"/>
              <w:spacing w:after="0"/>
              <w:rPr>
                <w:color w:val="000000" w:themeColor="text1"/>
              </w:rPr>
            </w:pPr>
            <w:r>
              <w:rPr>
                <w:color w:val="000000" w:themeColor="text1"/>
              </w:rPr>
              <w:t>19 November 2018</w:t>
            </w:r>
          </w:p>
          <w:p w14:paraId="1687B635" w14:textId="77777777" w:rsidR="00FC10CF" w:rsidRDefault="00FC10CF" w:rsidP="00135EE0">
            <w:pPr>
              <w:pStyle w:val="TableLeft"/>
              <w:spacing w:after="0"/>
              <w:rPr>
                <w:color w:val="000000" w:themeColor="text1"/>
              </w:rPr>
            </w:pPr>
          </w:p>
          <w:p w14:paraId="0F45FF1C" w14:textId="1E85681A" w:rsidR="00FC10CF" w:rsidRPr="00FC10CF" w:rsidRDefault="00FC10CF" w:rsidP="00135EE0">
            <w:pPr>
              <w:pStyle w:val="TableLeft"/>
              <w:spacing w:after="0"/>
              <w:rPr>
                <w:i/>
                <w:iCs/>
                <w:color w:val="000000" w:themeColor="text1"/>
              </w:rPr>
            </w:pPr>
            <w:r w:rsidRPr="00FC10CF">
              <w:rPr>
                <w:i/>
                <w:iCs/>
                <w:color w:val="000000" w:themeColor="text1"/>
              </w:rPr>
              <w:t>European Respiratory Journal 2018 52(suppl 62): PA1992</w:t>
            </w:r>
          </w:p>
        </w:tc>
      </w:tr>
      <w:tr w:rsidR="00F75BF5" w:rsidRPr="00D27683" w14:paraId="24626200" w14:textId="77777777" w:rsidTr="006C664C">
        <w:trPr>
          <w:cantSplit/>
          <w:trHeight w:val="20"/>
        </w:trPr>
        <w:tc>
          <w:tcPr>
            <w:tcW w:w="913" w:type="pct"/>
            <w:vMerge/>
          </w:tcPr>
          <w:p w14:paraId="5CC74DC3" w14:textId="77777777" w:rsidR="009434BD" w:rsidRPr="00D27683" w:rsidRDefault="009434BD" w:rsidP="00135EE0">
            <w:pPr>
              <w:pStyle w:val="TableLeft"/>
              <w:spacing w:after="0"/>
            </w:pPr>
          </w:p>
        </w:tc>
        <w:tc>
          <w:tcPr>
            <w:tcW w:w="2961" w:type="pct"/>
          </w:tcPr>
          <w:p w14:paraId="64FF1BF0" w14:textId="409925F6" w:rsidR="009434BD" w:rsidRPr="00D27683" w:rsidRDefault="009434BD" w:rsidP="00135EE0">
            <w:pPr>
              <w:pStyle w:val="Tabletext"/>
            </w:pPr>
            <w:r w:rsidRPr="00D27683">
              <w:t>Sciurba, FC., Han, ML., Korn, S et al. (2024). Efficacy of Mepolizumab in Patients With Chronic Obstructive Pulmonary Disease With or Without Chronic Bronchitis: Post Hoc Analysis of the METREX and METREO Phase 3 Trials</w:t>
            </w:r>
          </w:p>
        </w:tc>
        <w:tc>
          <w:tcPr>
            <w:tcW w:w="1126" w:type="pct"/>
          </w:tcPr>
          <w:p w14:paraId="22C1225A" w14:textId="5C8EB1A0" w:rsidR="009434BD" w:rsidRDefault="00DA0F27" w:rsidP="00135EE0">
            <w:pPr>
              <w:pStyle w:val="TableLeft"/>
              <w:spacing w:after="0"/>
              <w:rPr>
                <w:color w:val="000000" w:themeColor="text1"/>
              </w:rPr>
            </w:pPr>
            <w:r>
              <w:rPr>
                <w:color w:val="000000" w:themeColor="text1"/>
              </w:rPr>
              <w:t>21 May 20</w:t>
            </w:r>
            <w:r w:rsidR="00E37B84">
              <w:rPr>
                <w:color w:val="000000" w:themeColor="text1"/>
              </w:rPr>
              <w:t>24</w:t>
            </w:r>
          </w:p>
          <w:p w14:paraId="6C84B0BB" w14:textId="77777777" w:rsidR="00C71C91" w:rsidRDefault="00C71C91" w:rsidP="00135EE0">
            <w:pPr>
              <w:pStyle w:val="TableLeft"/>
              <w:spacing w:after="0"/>
              <w:rPr>
                <w:color w:val="000000" w:themeColor="text1"/>
              </w:rPr>
            </w:pPr>
          </w:p>
          <w:p w14:paraId="0435F0C5" w14:textId="03B3F1B5" w:rsidR="00C71C91" w:rsidRPr="00D27683" w:rsidRDefault="00C71C91" w:rsidP="00135EE0">
            <w:pPr>
              <w:pStyle w:val="TableLeft"/>
              <w:spacing w:after="0"/>
              <w:rPr>
                <w:color w:val="000000" w:themeColor="text1"/>
              </w:rPr>
            </w:pPr>
            <w:r w:rsidRPr="00D27683">
              <w:rPr>
                <w:i/>
                <w:iCs/>
              </w:rPr>
              <w:t>American Thoracic Society.</w:t>
            </w:r>
            <w:r w:rsidR="004B64CE">
              <w:rPr>
                <w:i/>
                <w:iCs/>
              </w:rPr>
              <w:t xml:space="preserve"> 209:</w:t>
            </w:r>
            <w:r w:rsidRPr="004B64CE">
              <w:rPr>
                <w:i/>
                <w:iCs/>
              </w:rPr>
              <w:t>A4976.</w:t>
            </w:r>
          </w:p>
        </w:tc>
      </w:tr>
      <w:tr w:rsidR="00F75BF5" w:rsidRPr="00D27683" w14:paraId="5ACF20DF" w14:textId="77777777" w:rsidTr="006C664C">
        <w:trPr>
          <w:cantSplit/>
          <w:trHeight w:val="20"/>
        </w:trPr>
        <w:tc>
          <w:tcPr>
            <w:tcW w:w="913" w:type="pct"/>
            <w:vMerge/>
          </w:tcPr>
          <w:p w14:paraId="6D5668D2" w14:textId="77777777" w:rsidR="009434BD" w:rsidRPr="00D27683" w:rsidRDefault="009434BD" w:rsidP="00135EE0">
            <w:pPr>
              <w:pStyle w:val="TableLeft"/>
              <w:spacing w:after="0"/>
            </w:pPr>
          </w:p>
        </w:tc>
        <w:tc>
          <w:tcPr>
            <w:tcW w:w="2961" w:type="pct"/>
          </w:tcPr>
          <w:p w14:paraId="270043CA" w14:textId="77777777" w:rsidR="009434BD" w:rsidRPr="00D27683" w:rsidRDefault="009434BD" w:rsidP="00135EE0">
            <w:pPr>
              <w:pStyle w:val="Tabletext"/>
            </w:pPr>
            <w:proofErr w:type="spellStart"/>
            <w:r w:rsidRPr="001870CD">
              <w:rPr>
                <w:lang w:val="fr-CH"/>
              </w:rPr>
              <w:t>Vogelmeier</w:t>
            </w:r>
            <w:proofErr w:type="spellEnd"/>
            <w:r w:rsidRPr="001870CD">
              <w:rPr>
                <w:lang w:val="fr-CH"/>
              </w:rPr>
              <w:t xml:space="preserve">, C., Stolz, D., Roche, N., et al. </w:t>
            </w:r>
            <w:r w:rsidRPr="00D27683">
              <w:t>(2024). Mepolizumab response in patients with COPD and an eosinophilic phenotype with/without chronic bronchitis (CB): A METREX/METREO post hoc analysis.</w:t>
            </w:r>
          </w:p>
        </w:tc>
        <w:tc>
          <w:tcPr>
            <w:tcW w:w="1126" w:type="pct"/>
          </w:tcPr>
          <w:p w14:paraId="30947FD6" w14:textId="424411B1" w:rsidR="009434BD" w:rsidRDefault="00514B79" w:rsidP="00135EE0">
            <w:pPr>
              <w:pStyle w:val="TableLeft"/>
              <w:spacing w:after="0"/>
              <w:rPr>
                <w:color w:val="000000" w:themeColor="text1"/>
              </w:rPr>
            </w:pPr>
            <w:r w:rsidRPr="00514B79">
              <w:rPr>
                <w:color w:val="000000" w:themeColor="text1"/>
              </w:rPr>
              <w:t>30 October 2024</w:t>
            </w:r>
          </w:p>
          <w:p w14:paraId="2F9F6549" w14:textId="77777777" w:rsidR="00A55426" w:rsidRDefault="00A55426" w:rsidP="00135EE0">
            <w:pPr>
              <w:pStyle w:val="TableLeft"/>
              <w:spacing w:after="0"/>
              <w:rPr>
                <w:color w:val="000000" w:themeColor="text1"/>
              </w:rPr>
            </w:pPr>
          </w:p>
          <w:p w14:paraId="2CC348DD" w14:textId="23258D21" w:rsidR="00A55426" w:rsidRPr="00A55426" w:rsidRDefault="00A55426" w:rsidP="00135EE0">
            <w:pPr>
              <w:pStyle w:val="TableLeft"/>
              <w:spacing w:after="0"/>
              <w:rPr>
                <w:i/>
                <w:iCs/>
                <w:color w:val="000000" w:themeColor="text1"/>
              </w:rPr>
            </w:pPr>
            <w:r w:rsidRPr="00A55426">
              <w:rPr>
                <w:i/>
                <w:iCs/>
                <w:color w:val="000000" w:themeColor="text1"/>
              </w:rPr>
              <w:t>European Respiratory Journal 2024 64(suppl 68): PA4783</w:t>
            </w:r>
          </w:p>
        </w:tc>
      </w:tr>
      <w:tr w:rsidR="00F75BF5" w:rsidRPr="00D27683" w14:paraId="5D12D168" w14:textId="77777777" w:rsidTr="006C664C">
        <w:trPr>
          <w:cantSplit/>
          <w:trHeight w:val="20"/>
        </w:trPr>
        <w:tc>
          <w:tcPr>
            <w:tcW w:w="913" w:type="pct"/>
            <w:vMerge w:val="restart"/>
          </w:tcPr>
          <w:p w14:paraId="572CFC01" w14:textId="77777777" w:rsidR="009434BD" w:rsidRPr="00D27683" w:rsidRDefault="009434BD" w:rsidP="00135EE0">
            <w:pPr>
              <w:pStyle w:val="TableLeft"/>
              <w:spacing w:after="0"/>
            </w:pPr>
            <w:r w:rsidRPr="00D27683">
              <w:t xml:space="preserve">COPD HELP </w:t>
            </w:r>
            <w:r w:rsidRPr="00D27683">
              <w:br/>
              <w:t>(NCT04075331)</w:t>
            </w:r>
          </w:p>
          <w:p w14:paraId="73CC88E7" w14:textId="77777777" w:rsidR="009434BD" w:rsidRPr="00D27683" w:rsidRDefault="009434BD" w:rsidP="00135EE0">
            <w:pPr>
              <w:pStyle w:val="TableLeft"/>
              <w:spacing w:after="0"/>
            </w:pPr>
          </w:p>
        </w:tc>
        <w:tc>
          <w:tcPr>
            <w:tcW w:w="2961" w:type="pct"/>
          </w:tcPr>
          <w:p w14:paraId="08ACFE42" w14:textId="56C660E6" w:rsidR="009434BD" w:rsidRPr="00D27683" w:rsidRDefault="009434BD" w:rsidP="00135EE0">
            <w:pPr>
              <w:pStyle w:val="TableLeft"/>
              <w:spacing w:after="0"/>
            </w:pPr>
            <w:r w:rsidRPr="00D27683">
              <w:t xml:space="preserve">Flynn CA, McAuley HJC, </w:t>
            </w:r>
            <w:proofErr w:type="spellStart"/>
            <w:r w:rsidRPr="00D27683">
              <w:t>Elneima</w:t>
            </w:r>
            <w:proofErr w:type="spellEnd"/>
            <w:r w:rsidRPr="00D27683">
              <w:t xml:space="preserve"> O, Aung HWW, Ibrahim W, Ward TJC, Bourne M, Thornton TD, Mistry V, Gilbert HR </w:t>
            </w:r>
            <w:proofErr w:type="gramStart"/>
            <w:r w:rsidRPr="00D27683">
              <w:t>and et al.</w:t>
            </w:r>
            <w:proofErr w:type="gramEnd"/>
            <w:r w:rsidRPr="00D27683">
              <w:t xml:space="preserve"> 2025. Mepolizumab for COPD with Eosinophilic Phenotype following Hospitalization. NEJM evidence 4(6): EVIDoa2500012. </w:t>
            </w:r>
          </w:p>
        </w:tc>
        <w:tc>
          <w:tcPr>
            <w:tcW w:w="1126" w:type="pct"/>
          </w:tcPr>
          <w:p w14:paraId="0BAE6338" w14:textId="67DE6D0E" w:rsidR="009434BD" w:rsidRDefault="0086108A" w:rsidP="00135EE0">
            <w:pPr>
              <w:pStyle w:val="TableLeft"/>
              <w:spacing w:after="0"/>
              <w:rPr>
                <w:color w:val="000000" w:themeColor="text1"/>
              </w:rPr>
            </w:pPr>
            <w:r>
              <w:rPr>
                <w:color w:val="000000" w:themeColor="text1"/>
              </w:rPr>
              <w:t>30 April 2025</w:t>
            </w:r>
          </w:p>
          <w:p w14:paraId="31F65BDD" w14:textId="77777777" w:rsidR="0010603E" w:rsidRDefault="0010603E" w:rsidP="00135EE0">
            <w:pPr>
              <w:pStyle w:val="TableLeft"/>
              <w:spacing w:after="0"/>
              <w:rPr>
                <w:color w:val="000000" w:themeColor="text1"/>
              </w:rPr>
            </w:pPr>
          </w:p>
          <w:p w14:paraId="302380D9" w14:textId="3DF4815D" w:rsidR="0010603E" w:rsidRPr="0010603E" w:rsidRDefault="0010603E" w:rsidP="00135EE0">
            <w:pPr>
              <w:pStyle w:val="TableLeft"/>
              <w:spacing w:after="0"/>
              <w:rPr>
                <w:b/>
                <w:bCs/>
                <w:color w:val="000000" w:themeColor="text1"/>
              </w:rPr>
            </w:pPr>
            <w:r w:rsidRPr="0010603E">
              <w:rPr>
                <w:i/>
                <w:iCs/>
                <w:color w:val="000000" w:themeColor="text1"/>
              </w:rPr>
              <w:t>NEJM Evid</w:t>
            </w:r>
            <w:r>
              <w:rPr>
                <w:i/>
                <w:iCs/>
                <w:color w:val="000000" w:themeColor="text1"/>
              </w:rPr>
              <w:t>ence</w:t>
            </w:r>
            <w:r w:rsidR="00FB6A13">
              <w:rPr>
                <w:i/>
                <w:iCs/>
                <w:color w:val="000000" w:themeColor="text1"/>
              </w:rPr>
              <w:t>:</w:t>
            </w:r>
            <w:r w:rsidRPr="0010603E">
              <w:rPr>
                <w:i/>
                <w:iCs/>
                <w:color w:val="000000" w:themeColor="text1"/>
              </w:rPr>
              <w:t>4(6)</w:t>
            </w:r>
          </w:p>
        </w:tc>
      </w:tr>
      <w:tr w:rsidR="00F75BF5" w:rsidRPr="00D27683" w14:paraId="598E27CC" w14:textId="77777777" w:rsidTr="006C664C">
        <w:trPr>
          <w:cantSplit/>
          <w:trHeight w:val="20"/>
        </w:trPr>
        <w:tc>
          <w:tcPr>
            <w:tcW w:w="913" w:type="pct"/>
            <w:vMerge/>
          </w:tcPr>
          <w:p w14:paraId="35F8750C" w14:textId="77777777" w:rsidR="009434BD" w:rsidRPr="00D27683" w:rsidRDefault="009434BD" w:rsidP="00135EE0">
            <w:pPr>
              <w:pStyle w:val="TableLeft"/>
              <w:spacing w:after="0"/>
              <w:rPr>
                <w:i/>
              </w:rPr>
            </w:pPr>
          </w:p>
        </w:tc>
        <w:tc>
          <w:tcPr>
            <w:tcW w:w="2961" w:type="pct"/>
          </w:tcPr>
          <w:p w14:paraId="17AF2747" w14:textId="22B279D5" w:rsidR="009434BD" w:rsidRPr="00D27683" w:rsidRDefault="009434BD" w:rsidP="00135EE0">
            <w:pPr>
              <w:pStyle w:val="TableLeft"/>
              <w:spacing w:after="0"/>
            </w:pPr>
            <w:r w:rsidRPr="001870CD">
              <w:rPr>
                <w:lang w:val="fr-CH"/>
              </w:rPr>
              <w:t xml:space="preserve">Flynn, C., McAuley, HJC., </w:t>
            </w:r>
            <w:proofErr w:type="spellStart"/>
            <w:r w:rsidRPr="001870CD">
              <w:rPr>
                <w:lang w:val="fr-CH"/>
              </w:rPr>
              <w:t>Elneima</w:t>
            </w:r>
            <w:proofErr w:type="spellEnd"/>
            <w:r w:rsidRPr="001870CD">
              <w:rPr>
                <w:lang w:val="fr-CH"/>
              </w:rPr>
              <w:t xml:space="preserve">, O., et al. </w:t>
            </w:r>
            <w:r w:rsidRPr="00D27683">
              <w:t xml:space="preserve">(2025). COPD-HELP: A Randomised Controlled Trial of Mepolizumab Initiated Following Admission to Hospital for a Severe Exacerbation of Eosinophilic COPD. </w:t>
            </w:r>
          </w:p>
        </w:tc>
        <w:tc>
          <w:tcPr>
            <w:tcW w:w="1126" w:type="pct"/>
          </w:tcPr>
          <w:p w14:paraId="5710B13D" w14:textId="3FFF9F9E" w:rsidR="009434BD" w:rsidRDefault="0078081D" w:rsidP="00135EE0">
            <w:pPr>
              <w:pStyle w:val="TableLeft"/>
              <w:spacing w:after="0"/>
              <w:rPr>
                <w:color w:val="000000" w:themeColor="text1"/>
              </w:rPr>
            </w:pPr>
            <w:r>
              <w:rPr>
                <w:color w:val="000000" w:themeColor="text1"/>
              </w:rPr>
              <w:t>20 May 20</w:t>
            </w:r>
            <w:r w:rsidR="00BF4116">
              <w:rPr>
                <w:color w:val="000000" w:themeColor="text1"/>
              </w:rPr>
              <w:t>25</w:t>
            </w:r>
          </w:p>
          <w:p w14:paraId="10418F40" w14:textId="77777777" w:rsidR="00997774" w:rsidRDefault="00997774" w:rsidP="00135EE0">
            <w:pPr>
              <w:pStyle w:val="TableLeft"/>
              <w:spacing w:after="0"/>
              <w:rPr>
                <w:color w:val="000000" w:themeColor="text1"/>
              </w:rPr>
            </w:pPr>
          </w:p>
          <w:p w14:paraId="6A9E64CE" w14:textId="6BCF03B0" w:rsidR="00997774" w:rsidRPr="00997774" w:rsidRDefault="004854E0" w:rsidP="00135EE0">
            <w:pPr>
              <w:pStyle w:val="TableLeft"/>
              <w:spacing w:after="0"/>
              <w:rPr>
                <w:i/>
                <w:iCs/>
                <w:color w:val="000000" w:themeColor="text1"/>
              </w:rPr>
            </w:pPr>
            <w:r w:rsidRPr="00D27683">
              <w:rPr>
                <w:i/>
                <w:iCs/>
              </w:rPr>
              <w:t>American Journal of Respiratory and Critical Care Medicine</w:t>
            </w:r>
            <w:r w:rsidR="00D16992">
              <w:rPr>
                <w:i/>
                <w:iCs/>
                <w:color w:val="000000" w:themeColor="text1"/>
              </w:rPr>
              <w:t xml:space="preserve"> </w:t>
            </w:r>
            <w:r w:rsidR="00997774" w:rsidRPr="00997774">
              <w:rPr>
                <w:i/>
                <w:iCs/>
                <w:color w:val="000000" w:themeColor="text1"/>
              </w:rPr>
              <w:t>2025;211:A5546</w:t>
            </w:r>
          </w:p>
        </w:tc>
      </w:tr>
    </w:tbl>
    <w:p w14:paraId="52378D0E" w14:textId="77777777" w:rsidR="008531AE" w:rsidRPr="00D27683" w:rsidRDefault="008531AE" w:rsidP="00135EE0">
      <w:pPr>
        <w:pStyle w:val="FooterTableFigure"/>
      </w:pPr>
      <w:r w:rsidRPr="00D27683">
        <w:t>Source: Table 2-4 pp54-55 of the submission.</w:t>
      </w:r>
    </w:p>
    <w:p w14:paraId="09EEEDEE" w14:textId="4FD8F240" w:rsidR="00D576C7" w:rsidRPr="00D27683" w:rsidRDefault="008531AE" w:rsidP="00135EE0">
      <w:pPr>
        <w:pStyle w:val="FooterTableFigure"/>
        <w:rPr>
          <w:rStyle w:val="CommentReference"/>
          <w:b w:val="0"/>
          <w:sz w:val="18"/>
          <w:szCs w:val="22"/>
        </w:rPr>
      </w:pPr>
      <w:r w:rsidRPr="00D27683">
        <w:t>COPD = chronic obstructive pulmonary disease; MEPO= mepolizumab; SC = subcutaneous</w:t>
      </w:r>
      <w:r w:rsidR="003662BE" w:rsidRPr="00D27683">
        <w:t>.</w:t>
      </w:r>
    </w:p>
    <w:p w14:paraId="3A774E9A" w14:textId="710D8421" w:rsidR="00C363D1" w:rsidRDefault="008531AE" w:rsidP="00135EE0">
      <w:pPr>
        <w:pStyle w:val="3-BodyText"/>
        <w:numPr>
          <w:ilvl w:val="1"/>
          <w:numId w:val="1"/>
        </w:numPr>
      </w:pPr>
      <w:r w:rsidRPr="00D27683">
        <w:t>The key features of the randomised controlled trial (RCT)</w:t>
      </w:r>
      <w:r w:rsidR="001717BD" w:rsidRPr="00D27683">
        <w:t>,</w:t>
      </w:r>
      <w:r w:rsidRPr="00D27683">
        <w:t xml:space="preserve"> the MATINEE trial</w:t>
      </w:r>
      <w:r w:rsidR="001717BD" w:rsidRPr="00D27683">
        <w:t>,</w:t>
      </w:r>
      <w:r w:rsidRPr="00D27683">
        <w:t xml:space="preserve"> are summarised in</w:t>
      </w:r>
      <w:r w:rsidR="00DF5F8B" w:rsidRPr="00D27683">
        <w:t xml:space="preserve"> </w:t>
      </w:r>
      <w:r w:rsidR="00B74965" w:rsidRPr="00D27683">
        <w:fldChar w:fldCharType="begin"/>
      </w:r>
      <w:r w:rsidR="00B74965" w:rsidRPr="00D27683">
        <w:instrText xml:space="preserve"> REF _Ref219451254 \h </w:instrText>
      </w:r>
      <w:r w:rsidR="00B74965" w:rsidRPr="00D27683">
        <w:fldChar w:fldCharType="separate"/>
      </w:r>
      <w:r w:rsidR="00733955" w:rsidRPr="00D27683" w:rsidDel="00774A72">
        <w:t xml:space="preserve">Table </w:t>
      </w:r>
      <w:r w:rsidR="00733955" w:rsidRPr="00D27683" w:rsidDel="00774A72">
        <w:rPr>
          <w:noProof/>
        </w:rPr>
        <w:t>3</w:t>
      </w:r>
      <w:r w:rsidR="00B74965" w:rsidRPr="00D27683">
        <w:fldChar w:fldCharType="end"/>
      </w:r>
      <w:r w:rsidRPr="00D27683">
        <w:t xml:space="preserve">. </w:t>
      </w:r>
    </w:p>
    <w:p w14:paraId="2E92E2AC" w14:textId="77777777" w:rsidR="00C363D1" w:rsidRDefault="00C363D1">
      <w:pPr>
        <w:jc w:val="left"/>
        <w:rPr>
          <w:rFonts w:asciiTheme="minorHAnsi" w:eastAsiaTheme="minorHAnsi" w:hAnsiTheme="minorHAnsi" w:cstheme="minorBidi"/>
          <w:szCs w:val="22"/>
        </w:rPr>
      </w:pPr>
      <w:r>
        <w:br w:type="page"/>
      </w:r>
    </w:p>
    <w:p w14:paraId="730A348A" w14:textId="4326B7BE" w:rsidR="002B16F8" w:rsidRPr="00D27683" w:rsidRDefault="002B16F8" w:rsidP="00135EE0">
      <w:pPr>
        <w:pStyle w:val="TableFigureHeading"/>
        <w:keepLines/>
        <w:rPr>
          <w:rStyle w:val="CommentReference"/>
          <w:b/>
          <w:szCs w:val="24"/>
        </w:rPr>
      </w:pPr>
      <w:bookmarkStart w:id="73" w:name="_Ref219451254"/>
      <w:r w:rsidRPr="00D27683">
        <w:lastRenderedPageBreak/>
        <w:t xml:space="preserve">Table </w:t>
      </w:r>
      <w:fldSimple w:instr=" SEQ Table \* ARABIC ">
        <w:r w:rsidR="00FA28CE">
          <w:rPr>
            <w:noProof/>
          </w:rPr>
          <w:t>3</w:t>
        </w:r>
      </w:fldSimple>
      <w:bookmarkEnd w:id="73"/>
      <w:r w:rsidRPr="00D27683">
        <w:rPr>
          <w:rStyle w:val="CommentReference"/>
          <w:b/>
          <w:szCs w:val="24"/>
        </w:rPr>
        <w:t>: Key features of the included evidence from the MATINEE trial (mITT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from the MATINEE trial (mITT population)"/>
      </w:tblPr>
      <w:tblGrid>
        <w:gridCol w:w="1078"/>
        <w:gridCol w:w="1096"/>
        <w:gridCol w:w="875"/>
        <w:gridCol w:w="2101"/>
        <w:gridCol w:w="2352"/>
        <w:gridCol w:w="1515"/>
      </w:tblGrid>
      <w:tr w:rsidR="00F75BF5" w:rsidRPr="00D27683" w14:paraId="78693835" w14:textId="77777777">
        <w:trPr>
          <w:cantSplit/>
          <w:tblHeader/>
        </w:trPr>
        <w:tc>
          <w:tcPr>
            <w:tcW w:w="598" w:type="pct"/>
            <w:vAlign w:val="center"/>
          </w:tcPr>
          <w:p w14:paraId="698E7F4D" w14:textId="77777777" w:rsidR="002B16F8" w:rsidRPr="00D27683" w:rsidRDefault="002B16F8" w:rsidP="00135EE0">
            <w:pPr>
              <w:pStyle w:val="TableText0"/>
              <w:jc w:val="center"/>
              <w:rPr>
                <w:b/>
                <w:bCs w:val="0"/>
                <w:szCs w:val="20"/>
              </w:rPr>
            </w:pPr>
            <w:r w:rsidRPr="00D27683">
              <w:rPr>
                <w:b/>
                <w:szCs w:val="20"/>
              </w:rPr>
              <w:t>N</w:t>
            </w:r>
          </w:p>
        </w:tc>
        <w:tc>
          <w:tcPr>
            <w:tcW w:w="608" w:type="pct"/>
            <w:vAlign w:val="center"/>
          </w:tcPr>
          <w:p w14:paraId="1AB69FD7" w14:textId="77777777" w:rsidR="002B16F8" w:rsidRPr="00D27683" w:rsidRDefault="002B16F8" w:rsidP="00135EE0">
            <w:pPr>
              <w:pStyle w:val="TableText0"/>
              <w:jc w:val="center"/>
              <w:rPr>
                <w:b/>
                <w:bCs w:val="0"/>
                <w:szCs w:val="20"/>
              </w:rPr>
            </w:pPr>
            <w:r w:rsidRPr="00D27683">
              <w:rPr>
                <w:b/>
                <w:szCs w:val="20"/>
              </w:rPr>
              <w:t>Design/ duration</w:t>
            </w:r>
          </w:p>
        </w:tc>
        <w:tc>
          <w:tcPr>
            <w:tcW w:w="485" w:type="pct"/>
            <w:vAlign w:val="center"/>
          </w:tcPr>
          <w:p w14:paraId="6B1EC00A" w14:textId="77777777" w:rsidR="002B16F8" w:rsidRPr="00D27683" w:rsidRDefault="002B16F8" w:rsidP="00135EE0">
            <w:pPr>
              <w:pStyle w:val="TableText0"/>
              <w:jc w:val="center"/>
              <w:rPr>
                <w:b/>
                <w:bCs w:val="0"/>
                <w:szCs w:val="20"/>
              </w:rPr>
            </w:pPr>
            <w:r w:rsidRPr="00D27683">
              <w:rPr>
                <w:b/>
                <w:szCs w:val="20"/>
              </w:rPr>
              <w:t>Overall risk of bias</w:t>
            </w:r>
          </w:p>
        </w:tc>
        <w:tc>
          <w:tcPr>
            <w:tcW w:w="1165" w:type="pct"/>
            <w:vAlign w:val="center"/>
          </w:tcPr>
          <w:p w14:paraId="15BA1DAC" w14:textId="77777777" w:rsidR="002B16F8" w:rsidRPr="00D27683" w:rsidRDefault="002B16F8" w:rsidP="00135EE0">
            <w:pPr>
              <w:pStyle w:val="TableText0"/>
              <w:jc w:val="center"/>
              <w:rPr>
                <w:b/>
                <w:bCs w:val="0"/>
                <w:szCs w:val="20"/>
              </w:rPr>
            </w:pPr>
            <w:r w:rsidRPr="00D27683">
              <w:rPr>
                <w:b/>
                <w:szCs w:val="20"/>
              </w:rPr>
              <w:t>Patient population</w:t>
            </w:r>
          </w:p>
        </w:tc>
        <w:tc>
          <w:tcPr>
            <w:tcW w:w="1304" w:type="pct"/>
            <w:vAlign w:val="center"/>
          </w:tcPr>
          <w:p w14:paraId="20110177" w14:textId="77777777" w:rsidR="002B16F8" w:rsidRPr="00D27683" w:rsidRDefault="002B16F8" w:rsidP="00135EE0">
            <w:pPr>
              <w:pStyle w:val="TableText0"/>
              <w:jc w:val="center"/>
              <w:rPr>
                <w:b/>
                <w:bCs w:val="0"/>
                <w:szCs w:val="20"/>
              </w:rPr>
            </w:pPr>
            <w:r w:rsidRPr="00D27683">
              <w:rPr>
                <w:b/>
                <w:szCs w:val="20"/>
              </w:rPr>
              <w:t>Outcomes</w:t>
            </w:r>
          </w:p>
        </w:tc>
        <w:tc>
          <w:tcPr>
            <w:tcW w:w="840" w:type="pct"/>
            <w:vAlign w:val="center"/>
          </w:tcPr>
          <w:p w14:paraId="4771EBA0" w14:textId="77777777" w:rsidR="002B16F8" w:rsidRPr="00D27683" w:rsidRDefault="002B16F8" w:rsidP="00135EE0">
            <w:pPr>
              <w:pStyle w:val="TableText0"/>
              <w:jc w:val="center"/>
              <w:rPr>
                <w:b/>
                <w:bCs w:val="0"/>
                <w:szCs w:val="20"/>
              </w:rPr>
            </w:pPr>
            <w:r w:rsidRPr="00D27683">
              <w:rPr>
                <w:b/>
                <w:szCs w:val="20"/>
              </w:rPr>
              <w:t>Use in modelled evaluation</w:t>
            </w:r>
          </w:p>
        </w:tc>
      </w:tr>
      <w:tr w:rsidR="00F75BF5" w:rsidRPr="00D27683" w14:paraId="10A60924" w14:textId="77777777">
        <w:trPr>
          <w:cantSplit/>
          <w:trHeight w:val="64"/>
        </w:trPr>
        <w:tc>
          <w:tcPr>
            <w:tcW w:w="598" w:type="pct"/>
            <w:vMerge w:val="restart"/>
            <w:vAlign w:val="center"/>
          </w:tcPr>
          <w:p w14:paraId="779E3659" w14:textId="77777777" w:rsidR="002B16F8" w:rsidRPr="00D27683" w:rsidRDefault="002B16F8" w:rsidP="003338A0">
            <w:pPr>
              <w:pStyle w:val="TableFigureFooter"/>
            </w:pPr>
            <w:r w:rsidRPr="00D27683">
              <w:t>mITT</w:t>
            </w:r>
            <w:r w:rsidRPr="00D27683">
              <w:rPr>
                <w:vertAlign w:val="superscript"/>
              </w:rPr>
              <w:t xml:space="preserve"> a</w:t>
            </w:r>
            <w:r w:rsidRPr="00D27683">
              <w:t xml:space="preserve"> </w:t>
            </w:r>
          </w:p>
          <w:p w14:paraId="0B97E028" w14:textId="1FF6FB9F" w:rsidR="002B16F8" w:rsidRPr="00D27683" w:rsidRDefault="00F525FE" w:rsidP="00135EE0">
            <w:pPr>
              <w:pStyle w:val="TableText0"/>
              <w:rPr>
                <w:szCs w:val="20"/>
              </w:rPr>
            </w:pPr>
            <w:r w:rsidRPr="00D27683">
              <w:rPr>
                <w:szCs w:val="20"/>
              </w:rPr>
              <w:t>Mepolizumab</w:t>
            </w:r>
            <w:r w:rsidR="002B16F8" w:rsidRPr="00D27683">
              <w:rPr>
                <w:szCs w:val="20"/>
              </w:rPr>
              <w:t>, n=403</w:t>
            </w:r>
          </w:p>
          <w:p w14:paraId="5C7F20B1" w14:textId="77777777" w:rsidR="002B16F8" w:rsidRPr="00D27683" w:rsidRDefault="002B16F8" w:rsidP="00135EE0">
            <w:pPr>
              <w:pStyle w:val="TableText0"/>
              <w:rPr>
                <w:szCs w:val="20"/>
              </w:rPr>
            </w:pPr>
            <w:r w:rsidRPr="00D27683">
              <w:rPr>
                <w:szCs w:val="20"/>
              </w:rPr>
              <w:t>PBO, n=401</w:t>
            </w:r>
          </w:p>
          <w:p w14:paraId="14160F0E" w14:textId="77777777" w:rsidR="002B16F8" w:rsidRPr="00D27683" w:rsidRDefault="002B16F8" w:rsidP="00135EE0">
            <w:pPr>
              <w:pStyle w:val="TableText0"/>
              <w:rPr>
                <w:szCs w:val="20"/>
              </w:rPr>
            </w:pPr>
          </w:p>
        </w:tc>
        <w:tc>
          <w:tcPr>
            <w:tcW w:w="608" w:type="pct"/>
            <w:vMerge w:val="restart"/>
            <w:vAlign w:val="center"/>
          </w:tcPr>
          <w:p w14:paraId="60CD8D61" w14:textId="77777777" w:rsidR="002B16F8" w:rsidRPr="00D27683" w:rsidRDefault="002B16F8" w:rsidP="00135EE0">
            <w:pPr>
              <w:pStyle w:val="TableText0"/>
              <w:rPr>
                <w:szCs w:val="20"/>
              </w:rPr>
            </w:pPr>
            <w:r w:rsidRPr="00D27683">
              <w:rPr>
                <w:szCs w:val="20"/>
              </w:rPr>
              <w:t>R, DB</w:t>
            </w:r>
          </w:p>
          <w:p w14:paraId="48B5B4A7" w14:textId="77777777" w:rsidR="002B16F8" w:rsidRPr="00D27683" w:rsidRDefault="002B16F8" w:rsidP="00135EE0">
            <w:pPr>
              <w:pStyle w:val="TableText0"/>
              <w:rPr>
                <w:szCs w:val="20"/>
              </w:rPr>
            </w:pPr>
            <w:r w:rsidRPr="00D27683">
              <w:rPr>
                <w:szCs w:val="20"/>
              </w:rPr>
              <w:t>52 weeks</w:t>
            </w:r>
          </w:p>
        </w:tc>
        <w:tc>
          <w:tcPr>
            <w:tcW w:w="485" w:type="pct"/>
            <w:vMerge w:val="restart"/>
            <w:vAlign w:val="center"/>
          </w:tcPr>
          <w:p w14:paraId="7DE05284" w14:textId="77777777" w:rsidR="002B16F8" w:rsidRPr="00D27683" w:rsidRDefault="002B16F8" w:rsidP="00135EE0">
            <w:pPr>
              <w:pStyle w:val="TableText0"/>
              <w:rPr>
                <w:iCs/>
                <w:szCs w:val="20"/>
              </w:rPr>
            </w:pPr>
            <w:r w:rsidRPr="00D27683">
              <w:rPr>
                <w:iCs/>
                <w:szCs w:val="20"/>
              </w:rPr>
              <w:t>Low</w:t>
            </w:r>
          </w:p>
          <w:p w14:paraId="21CA88B7" w14:textId="77777777" w:rsidR="002B16F8" w:rsidRPr="00D27683" w:rsidRDefault="002B16F8" w:rsidP="00135EE0">
            <w:pPr>
              <w:pStyle w:val="TableText0"/>
              <w:rPr>
                <w:szCs w:val="20"/>
              </w:rPr>
            </w:pPr>
          </w:p>
        </w:tc>
        <w:tc>
          <w:tcPr>
            <w:tcW w:w="1165" w:type="pct"/>
            <w:vMerge w:val="restart"/>
            <w:vAlign w:val="center"/>
          </w:tcPr>
          <w:p w14:paraId="71EBAA92" w14:textId="77777777" w:rsidR="002B16F8" w:rsidRPr="00D27683" w:rsidRDefault="002B16F8" w:rsidP="00135EE0">
            <w:pPr>
              <w:pStyle w:val="TableText0"/>
              <w:rPr>
                <w:szCs w:val="20"/>
              </w:rPr>
            </w:pPr>
            <w:r w:rsidRPr="00D27683">
              <w:rPr>
                <w:szCs w:val="20"/>
              </w:rPr>
              <w:t xml:space="preserve">Adults using LABA+LAMA+ICS for at least 3 months with uncontrolled </w:t>
            </w:r>
            <w:proofErr w:type="spellStart"/>
            <w:r w:rsidRPr="00D27683">
              <w:rPr>
                <w:szCs w:val="20"/>
              </w:rPr>
              <w:t>COPD</w:t>
            </w:r>
            <w:r w:rsidRPr="00D27683">
              <w:rPr>
                <w:szCs w:val="20"/>
                <w:vertAlign w:val="superscript"/>
              </w:rPr>
              <w:t>b</w:t>
            </w:r>
            <w:proofErr w:type="spellEnd"/>
            <w:r w:rsidRPr="00D27683">
              <w:rPr>
                <w:szCs w:val="20"/>
              </w:rPr>
              <w:t xml:space="preserve"> with BEC ≥ 300 cells/µL at screening AND historical BEC ≥ 150 cells/µL in the previous 12 months</w:t>
            </w:r>
          </w:p>
        </w:tc>
        <w:tc>
          <w:tcPr>
            <w:tcW w:w="1304" w:type="pct"/>
            <w:vAlign w:val="center"/>
          </w:tcPr>
          <w:p w14:paraId="78FB97ED" w14:textId="77777777" w:rsidR="002B16F8" w:rsidRPr="00D27683" w:rsidRDefault="002B16F8" w:rsidP="00135EE0">
            <w:pPr>
              <w:pStyle w:val="TableText0"/>
              <w:rPr>
                <w:szCs w:val="20"/>
              </w:rPr>
            </w:pPr>
            <w:r w:rsidRPr="00D27683">
              <w:rPr>
                <w:szCs w:val="20"/>
              </w:rPr>
              <w:t>Primary: Annualised rate of moderate to severe exacerbation assessed up to 104 weeks</w:t>
            </w:r>
          </w:p>
        </w:tc>
        <w:tc>
          <w:tcPr>
            <w:tcW w:w="840" w:type="pct"/>
            <w:vMerge w:val="restart"/>
            <w:vAlign w:val="center"/>
          </w:tcPr>
          <w:p w14:paraId="670046B9" w14:textId="77777777" w:rsidR="002B16F8" w:rsidRPr="00D27683" w:rsidRDefault="002B16F8" w:rsidP="00135EE0">
            <w:pPr>
              <w:pStyle w:val="TableText0"/>
              <w:rPr>
                <w:szCs w:val="20"/>
              </w:rPr>
            </w:pPr>
            <w:r w:rsidRPr="00D27683">
              <w:rPr>
                <w:szCs w:val="20"/>
              </w:rPr>
              <w:t xml:space="preserve">Annualised rate of moderate to severe exacerbation </w:t>
            </w:r>
          </w:p>
        </w:tc>
      </w:tr>
      <w:tr w:rsidR="00F75BF5" w:rsidRPr="00D27683" w14:paraId="2DB6696A" w14:textId="77777777">
        <w:trPr>
          <w:cantSplit/>
          <w:trHeight w:val="64"/>
        </w:trPr>
        <w:tc>
          <w:tcPr>
            <w:tcW w:w="598" w:type="pct"/>
            <w:vMerge/>
            <w:vAlign w:val="center"/>
          </w:tcPr>
          <w:p w14:paraId="4CB96D10" w14:textId="77777777" w:rsidR="002B16F8" w:rsidRPr="00D27683" w:rsidRDefault="002B16F8" w:rsidP="00135EE0">
            <w:pPr>
              <w:pStyle w:val="TableText0"/>
              <w:rPr>
                <w:szCs w:val="20"/>
              </w:rPr>
            </w:pPr>
          </w:p>
        </w:tc>
        <w:tc>
          <w:tcPr>
            <w:tcW w:w="608" w:type="pct"/>
            <w:vMerge/>
            <w:vAlign w:val="center"/>
          </w:tcPr>
          <w:p w14:paraId="0099E77E" w14:textId="77777777" w:rsidR="002B16F8" w:rsidRPr="00D27683" w:rsidRDefault="002B16F8" w:rsidP="00135EE0">
            <w:pPr>
              <w:pStyle w:val="TableText0"/>
              <w:rPr>
                <w:szCs w:val="20"/>
              </w:rPr>
            </w:pPr>
          </w:p>
        </w:tc>
        <w:tc>
          <w:tcPr>
            <w:tcW w:w="485" w:type="pct"/>
            <w:vMerge/>
            <w:vAlign w:val="center"/>
          </w:tcPr>
          <w:p w14:paraId="2B5276BC" w14:textId="77777777" w:rsidR="002B16F8" w:rsidRPr="00D27683" w:rsidRDefault="002B16F8" w:rsidP="00135EE0">
            <w:pPr>
              <w:pStyle w:val="TableText0"/>
              <w:rPr>
                <w:szCs w:val="20"/>
              </w:rPr>
            </w:pPr>
          </w:p>
        </w:tc>
        <w:tc>
          <w:tcPr>
            <w:tcW w:w="1165" w:type="pct"/>
            <w:vMerge/>
            <w:vAlign w:val="center"/>
          </w:tcPr>
          <w:p w14:paraId="15A1D95A" w14:textId="77777777" w:rsidR="002B16F8" w:rsidRPr="00D27683" w:rsidRDefault="002B16F8" w:rsidP="00135EE0">
            <w:pPr>
              <w:pStyle w:val="TableText0"/>
              <w:rPr>
                <w:szCs w:val="20"/>
              </w:rPr>
            </w:pPr>
          </w:p>
        </w:tc>
        <w:tc>
          <w:tcPr>
            <w:tcW w:w="1304" w:type="pct"/>
            <w:vAlign w:val="center"/>
          </w:tcPr>
          <w:p w14:paraId="7D1C0282" w14:textId="77777777" w:rsidR="002B16F8" w:rsidRPr="00D27683" w:rsidRDefault="002B16F8" w:rsidP="00135EE0">
            <w:pPr>
              <w:pStyle w:val="TableText0"/>
              <w:rPr>
                <w:szCs w:val="20"/>
              </w:rPr>
            </w:pPr>
            <w:r w:rsidRPr="00D27683">
              <w:rPr>
                <w:szCs w:val="20"/>
              </w:rPr>
              <w:t>Secondary: Time to first moderate or severe exacerbation assessed up to 104 weeks</w:t>
            </w:r>
          </w:p>
        </w:tc>
        <w:tc>
          <w:tcPr>
            <w:tcW w:w="840" w:type="pct"/>
            <w:vMerge/>
            <w:vAlign w:val="center"/>
          </w:tcPr>
          <w:p w14:paraId="36992F40" w14:textId="77777777" w:rsidR="002B16F8" w:rsidRPr="00D27683" w:rsidRDefault="002B16F8" w:rsidP="00135EE0">
            <w:pPr>
              <w:pStyle w:val="TableText0"/>
              <w:rPr>
                <w:szCs w:val="20"/>
              </w:rPr>
            </w:pPr>
          </w:p>
        </w:tc>
      </w:tr>
      <w:tr w:rsidR="00F75BF5" w:rsidRPr="00D27683" w14:paraId="455FA3AB" w14:textId="77777777">
        <w:trPr>
          <w:cantSplit/>
          <w:trHeight w:val="353"/>
        </w:trPr>
        <w:tc>
          <w:tcPr>
            <w:tcW w:w="598" w:type="pct"/>
            <w:vMerge/>
            <w:vAlign w:val="center"/>
          </w:tcPr>
          <w:p w14:paraId="49F6E611" w14:textId="77777777" w:rsidR="002B16F8" w:rsidRPr="00D27683" w:rsidRDefault="002B16F8" w:rsidP="00135EE0">
            <w:pPr>
              <w:pStyle w:val="TableText0"/>
              <w:rPr>
                <w:szCs w:val="20"/>
              </w:rPr>
            </w:pPr>
          </w:p>
        </w:tc>
        <w:tc>
          <w:tcPr>
            <w:tcW w:w="608" w:type="pct"/>
            <w:vMerge/>
            <w:vAlign w:val="center"/>
          </w:tcPr>
          <w:p w14:paraId="1FE4FCDC" w14:textId="77777777" w:rsidR="002B16F8" w:rsidRPr="00D27683" w:rsidRDefault="002B16F8" w:rsidP="00135EE0">
            <w:pPr>
              <w:pStyle w:val="TableText0"/>
              <w:rPr>
                <w:szCs w:val="20"/>
              </w:rPr>
            </w:pPr>
          </w:p>
        </w:tc>
        <w:tc>
          <w:tcPr>
            <w:tcW w:w="485" w:type="pct"/>
            <w:vMerge/>
            <w:vAlign w:val="center"/>
          </w:tcPr>
          <w:p w14:paraId="2EC53FDE" w14:textId="77777777" w:rsidR="002B16F8" w:rsidRPr="00D27683" w:rsidRDefault="002B16F8" w:rsidP="00135EE0">
            <w:pPr>
              <w:pStyle w:val="TableText0"/>
              <w:rPr>
                <w:szCs w:val="20"/>
              </w:rPr>
            </w:pPr>
          </w:p>
        </w:tc>
        <w:tc>
          <w:tcPr>
            <w:tcW w:w="1165" w:type="pct"/>
            <w:vMerge/>
            <w:vAlign w:val="center"/>
          </w:tcPr>
          <w:p w14:paraId="602FE71C" w14:textId="77777777" w:rsidR="002B16F8" w:rsidRPr="00D27683" w:rsidRDefault="002B16F8" w:rsidP="00135EE0">
            <w:pPr>
              <w:pStyle w:val="TableText0"/>
              <w:rPr>
                <w:szCs w:val="20"/>
              </w:rPr>
            </w:pPr>
          </w:p>
        </w:tc>
        <w:tc>
          <w:tcPr>
            <w:tcW w:w="1304" w:type="pct"/>
            <w:vAlign w:val="center"/>
          </w:tcPr>
          <w:p w14:paraId="28C2179B" w14:textId="77777777" w:rsidR="002B16F8" w:rsidRPr="00D27683" w:rsidRDefault="002B16F8" w:rsidP="00135EE0">
            <w:pPr>
              <w:keepNext/>
              <w:keepLines/>
              <w:ind w:left="-11"/>
              <w:jc w:val="left"/>
            </w:pPr>
            <w:r w:rsidRPr="00D27683">
              <w:rPr>
                <w:rFonts w:ascii="Arial Narrow" w:hAnsi="Arial Narrow"/>
                <w:sz w:val="20"/>
                <w:szCs w:val="20"/>
              </w:rPr>
              <w:t xml:space="preserve">Secondary: </w:t>
            </w:r>
            <w:r w:rsidRPr="00D27683">
              <w:rPr>
                <w:rFonts w:ascii="Arial Narrow" w:hAnsi="Arial Narrow"/>
                <w:color w:val="000000"/>
                <w:sz w:val="20"/>
                <w:szCs w:val="20"/>
              </w:rPr>
              <w:t xml:space="preserve">Proportion of CAT responders (≥ 2-unit reduction from baseline) at Week 52 </w:t>
            </w:r>
          </w:p>
        </w:tc>
        <w:tc>
          <w:tcPr>
            <w:tcW w:w="840" w:type="pct"/>
            <w:vMerge/>
            <w:vAlign w:val="center"/>
          </w:tcPr>
          <w:p w14:paraId="39106781" w14:textId="77777777" w:rsidR="002B16F8" w:rsidRPr="00D27683" w:rsidRDefault="002B16F8" w:rsidP="00135EE0">
            <w:pPr>
              <w:pStyle w:val="TableText0"/>
              <w:rPr>
                <w:szCs w:val="20"/>
              </w:rPr>
            </w:pPr>
          </w:p>
        </w:tc>
      </w:tr>
      <w:tr w:rsidR="00F75BF5" w:rsidRPr="00D27683" w14:paraId="30F71AF8" w14:textId="77777777">
        <w:trPr>
          <w:cantSplit/>
          <w:trHeight w:val="150"/>
        </w:trPr>
        <w:tc>
          <w:tcPr>
            <w:tcW w:w="598" w:type="pct"/>
            <w:vMerge/>
            <w:vAlign w:val="center"/>
          </w:tcPr>
          <w:p w14:paraId="0116AEDE" w14:textId="77777777" w:rsidR="002B16F8" w:rsidRPr="00D27683" w:rsidRDefault="002B16F8" w:rsidP="00135EE0">
            <w:pPr>
              <w:pStyle w:val="TableText0"/>
              <w:rPr>
                <w:szCs w:val="20"/>
              </w:rPr>
            </w:pPr>
          </w:p>
        </w:tc>
        <w:tc>
          <w:tcPr>
            <w:tcW w:w="608" w:type="pct"/>
            <w:vMerge/>
            <w:vAlign w:val="center"/>
          </w:tcPr>
          <w:p w14:paraId="5E3F22A9" w14:textId="77777777" w:rsidR="002B16F8" w:rsidRPr="00D27683" w:rsidRDefault="002B16F8" w:rsidP="00135EE0">
            <w:pPr>
              <w:pStyle w:val="TableText0"/>
              <w:rPr>
                <w:szCs w:val="20"/>
              </w:rPr>
            </w:pPr>
          </w:p>
        </w:tc>
        <w:tc>
          <w:tcPr>
            <w:tcW w:w="485" w:type="pct"/>
            <w:vMerge/>
            <w:vAlign w:val="center"/>
          </w:tcPr>
          <w:p w14:paraId="37218716" w14:textId="77777777" w:rsidR="002B16F8" w:rsidRPr="00D27683" w:rsidRDefault="002B16F8" w:rsidP="00135EE0">
            <w:pPr>
              <w:pStyle w:val="TableText0"/>
              <w:rPr>
                <w:szCs w:val="20"/>
              </w:rPr>
            </w:pPr>
          </w:p>
        </w:tc>
        <w:tc>
          <w:tcPr>
            <w:tcW w:w="1165" w:type="pct"/>
            <w:vMerge/>
            <w:vAlign w:val="center"/>
          </w:tcPr>
          <w:p w14:paraId="1C482632" w14:textId="77777777" w:rsidR="002B16F8" w:rsidRPr="00D27683" w:rsidRDefault="002B16F8" w:rsidP="00135EE0">
            <w:pPr>
              <w:pStyle w:val="TableText0"/>
              <w:rPr>
                <w:szCs w:val="20"/>
              </w:rPr>
            </w:pPr>
          </w:p>
        </w:tc>
        <w:tc>
          <w:tcPr>
            <w:tcW w:w="1304" w:type="pct"/>
            <w:vAlign w:val="center"/>
          </w:tcPr>
          <w:p w14:paraId="16EDFF6B" w14:textId="77777777" w:rsidR="002B16F8" w:rsidRPr="00D27683" w:rsidRDefault="002B16F8" w:rsidP="00135EE0">
            <w:pPr>
              <w:pStyle w:val="TableText0"/>
              <w:rPr>
                <w:szCs w:val="20"/>
              </w:rPr>
            </w:pPr>
            <w:r w:rsidRPr="00D27683">
              <w:rPr>
                <w:szCs w:val="20"/>
              </w:rPr>
              <w:t>Secondary: Proportion of SGRQ total score responders (defined as ≥ 4-point reduction from baseline) at Week 52</w:t>
            </w:r>
          </w:p>
        </w:tc>
        <w:tc>
          <w:tcPr>
            <w:tcW w:w="840" w:type="pct"/>
            <w:vMerge/>
            <w:vAlign w:val="center"/>
          </w:tcPr>
          <w:p w14:paraId="436C68A3" w14:textId="77777777" w:rsidR="002B16F8" w:rsidRPr="00D27683" w:rsidRDefault="002B16F8" w:rsidP="00135EE0">
            <w:pPr>
              <w:pStyle w:val="TableText0"/>
              <w:rPr>
                <w:szCs w:val="20"/>
              </w:rPr>
            </w:pPr>
          </w:p>
        </w:tc>
      </w:tr>
      <w:tr w:rsidR="00F75BF5" w:rsidRPr="00D27683" w14:paraId="5C22F61C" w14:textId="77777777">
        <w:trPr>
          <w:cantSplit/>
          <w:trHeight w:val="634"/>
        </w:trPr>
        <w:tc>
          <w:tcPr>
            <w:tcW w:w="598" w:type="pct"/>
            <w:vMerge/>
            <w:vAlign w:val="center"/>
          </w:tcPr>
          <w:p w14:paraId="12D26933" w14:textId="77777777" w:rsidR="002B16F8" w:rsidRPr="00D27683" w:rsidRDefault="002B16F8" w:rsidP="00135EE0">
            <w:pPr>
              <w:pStyle w:val="TableText0"/>
              <w:rPr>
                <w:szCs w:val="20"/>
              </w:rPr>
            </w:pPr>
          </w:p>
        </w:tc>
        <w:tc>
          <w:tcPr>
            <w:tcW w:w="608" w:type="pct"/>
            <w:vMerge/>
            <w:vAlign w:val="center"/>
          </w:tcPr>
          <w:p w14:paraId="2D1A797C" w14:textId="77777777" w:rsidR="002B16F8" w:rsidRPr="00D27683" w:rsidRDefault="002B16F8" w:rsidP="00135EE0">
            <w:pPr>
              <w:pStyle w:val="TableText0"/>
              <w:rPr>
                <w:szCs w:val="20"/>
              </w:rPr>
            </w:pPr>
          </w:p>
        </w:tc>
        <w:tc>
          <w:tcPr>
            <w:tcW w:w="485" w:type="pct"/>
            <w:vMerge/>
            <w:vAlign w:val="center"/>
          </w:tcPr>
          <w:p w14:paraId="6BB3471C" w14:textId="77777777" w:rsidR="002B16F8" w:rsidRPr="00D27683" w:rsidRDefault="002B16F8" w:rsidP="00135EE0">
            <w:pPr>
              <w:pStyle w:val="TableText0"/>
              <w:rPr>
                <w:szCs w:val="20"/>
              </w:rPr>
            </w:pPr>
          </w:p>
        </w:tc>
        <w:tc>
          <w:tcPr>
            <w:tcW w:w="1165" w:type="pct"/>
            <w:vMerge/>
            <w:vAlign w:val="center"/>
          </w:tcPr>
          <w:p w14:paraId="57BBFECC" w14:textId="77777777" w:rsidR="002B16F8" w:rsidRPr="00D27683" w:rsidRDefault="002B16F8" w:rsidP="00135EE0">
            <w:pPr>
              <w:pStyle w:val="TableText0"/>
              <w:rPr>
                <w:szCs w:val="20"/>
              </w:rPr>
            </w:pPr>
          </w:p>
        </w:tc>
        <w:tc>
          <w:tcPr>
            <w:tcW w:w="1304" w:type="pct"/>
            <w:vAlign w:val="center"/>
          </w:tcPr>
          <w:p w14:paraId="622ABB3D" w14:textId="77777777" w:rsidR="002B16F8" w:rsidRPr="00D27683" w:rsidRDefault="002B16F8" w:rsidP="00135EE0">
            <w:pPr>
              <w:pStyle w:val="TableText0"/>
              <w:rPr>
                <w:szCs w:val="20"/>
              </w:rPr>
            </w:pPr>
            <w:r w:rsidRPr="00D27683">
              <w:rPr>
                <w:szCs w:val="20"/>
              </w:rPr>
              <w:t>Secondary: Proportion of E-RS: COPD responders (≥2-unit reduction from baseline) at Week 52</w:t>
            </w:r>
          </w:p>
        </w:tc>
        <w:tc>
          <w:tcPr>
            <w:tcW w:w="840" w:type="pct"/>
            <w:vMerge/>
            <w:vAlign w:val="center"/>
          </w:tcPr>
          <w:p w14:paraId="1C5DF8EA" w14:textId="77777777" w:rsidR="002B16F8" w:rsidRPr="00D27683" w:rsidRDefault="002B16F8" w:rsidP="00135EE0">
            <w:pPr>
              <w:pStyle w:val="TableText0"/>
              <w:rPr>
                <w:szCs w:val="20"/>
              </w:rPr>
            </w:pPr>
          </w:p>
        </w:tc>
      </w:tr>
      <w:tr w:rsidR="00F75BF5" w:rsidRPr="00D27683" w14:paraId="0BC78B48" w14:textId="77777777">
        <w:trPr>
          <w:cantSplit/>
          <w:trHeight w:val="99"/>
        </w:trPr>
        <w:tc>
          <w:tcPr>
            <w:tcW w:w="598" w:type="pct"/>
            <w:vMerge/>
            <w:vAlign w:val="center"/>
          </w:tcPr>
          <w:p w14:paraId="4448667D" w14:textId="77777777" w:rsidR="002B16F8" w:rsidRPr="00D27683" w:rsidRDefault="002B16F8" w:rsidP="00135EE0">
            <w:pPr>
              <w:pStyle w:val="TableText0"/>
              <w:rPr>
                <w:szCs w:val="20"/>
              </w:rPr>
            </w:pPr>
          </w:p>
        </w:tc>
        <w:tc>
          <w:tcPr>
            <w:tcW w:w="608" w:type="pct"/>
            <w:vMerge/>
            <w:vAlign w:val="center"/>
          </w:tcPr>
          <w:p w14:paraId="2890ACD7" w14:textId="77777777" w:rsidR="002B16F8" w:rsidRPr="00D27683" w:rsidRDefault="002B16F8" w:rsidP="00135EE0">
            <w:pPr>
              <w:pStyle w:val="TableText0"/>
              <w:rPr>
                <w:szCs w:val="20"/>
              </w:rPr>
            </w:pPr>
          </w:p>
        </w:tc>
        <w:tc>
          <w:tcPr>
            <w:tcW w:w="485" w:type="pct"/>
            <w:vMerge/>
            <w:vAlign w:val="center"/>
          </w:tcPr>
          <w:p w14:paraId="51438F5E" w14:textId="77777777" w:rsidR="002B16F8" w:rsidRPr="00D27683" w:rsidRDefault="002B16F8" w:rsidP="00135EE0">
            <w:pPr>
              <w:pStyle w:val="TableText0"/>
              <w:rPr>
                <w:szCs w:val="20"/>
              </w:rPr>
            </w:pPr>
          </w:p>
        </w:tc>
        <w:tc>
          <w:tcPr>
            <w:tcW w:w="1165" w:type="pct"/>
            <w:vMerge/>
            <w:vAlign w:val="center"/>
          </w:tcPr>
          <w:p w14:paraId="27DFEC21" w14:textId="77777777" w:rsidR="002B16F8" w:rsidRPr="00D27683" w:rsidRDefault="002B16F8" w:rsidP="00135EE0">
            <w:pPr>
              <w:pStyle w:val="TableText0"/>
              <w:rPr>
                <w:szCs w:val="20"/>
              </w:rPr>
            </w:pPr>
          </w:p>
        </w:tc>
        <w:tc>
          <w:tcPr>
            <w:tcW w:w="1304" w:type="pct"/>
            <w:vAlign w:val="center"/>
          </w:tcPr>
          <w:p w14:paraId="547285CE" w14:textId="77777777" w:rsidR="002B16F8" w:rsidRPr="00D27683" w:rsidRDefault="002B16F8" w:rsidP="00135EE0">
            <w:pPr>
              <w:pStyle w:val="TableText0"/>
              <w:rPr>
                <w:szCs w:val="20"/>
              </w:rPr>
            </w:pPr>
            <w:r w:rsidRPr="00D27683">
              <w:rPr>
                <w:szCs w:val="20"/>
              </w:rPr>
              <w:t>Secondary: Annualised rate of exacerbations requiring ED visit and/or hospitalisation assessed up to 104 weeks</w:t>
            </w:r>
          </w:p>
        </w:tc>
        <w:tc>
          <w:tcPr>
            <w:tcW w:w="840" w:type="pct"/>
            <w:vMerge/>
            <w:vAlign w:val="center"/>
          </w:tcPr>
          <w:p w14:paraId="4884052E" w14:textId="77777777" w:rsidR="002B16F8" w:rsidRPr="00D27683" w:rsidRDefault="002B16F8" w:rsidP="00135EE0">
            <w:pPr>
              <w:pStyle w:val="TableText0"/>
              <w:rPr>
                <w:szCs w:val="20"/>
              </w:rPr>
            </w:pPr>
          </w:p>
        </w:tc>
      </w:tr>
    </w:tbl>
    <w:p w14:paraId="01370D45" w14:textId="77777777" w:rsidR="002B16F8" w:rsidRPr="00D27683" w:rsidRDefault="002B16F8" w:rsidP="003338A0">
      <w:pPr>
        <w:pStyle w:val="TableFigureFooter"/>
      </w:pPr>
      <w:r w:rsidRPr="00D27683">
        <w:t>Source: Developed during the evaluation using Table 2-5 p58; Table 2-15 pp73-74; Table 2-17 p80; Table 2-18 p82; Table 2-19 p83 of the submission.</w:t>
      </w:r>
    </w:p>
    <w:p w14:paraId="3804C7D0" w14:textId="7DC9565B" w:rsidR="002B16F8" w:rsidRPr="00D27683" w:rsidRDefault="002B16F8" w:rsidP="003338A0">
      <w:pPr>
        <w:pStyle w:val="TableFigureFooter"/>
      </w:pPr>
      <w:r w:rsidRPr="00D27683">
        <w:t>BEC = blood eosinophil count; CAT = COPD assessment test; COPD = chronic obstructive pulmonary disease; DB = double blind; ED= emergency department; E-RS: COPD = Evaluating Respiratory Symptoms in COPD; FEV1 = forced expiratory volume in one second; ICS= inhaled corticosteroids; LABA = long-acting beta-2 agonist; LAMA = long-acting muscarinic antagonist; mITT = modified intention to treat; PBO= placebo; R = randomised; SGRQ = St George Respiratory Questionnaire.</w:t>
      </w:r>
    </w:p>
    <w:p w14:paraId="2A7255CD" w14:textId="77777777" w:rsidR="002B16F8" w:rsidRPr="00D27683" w:rsidRDefault="002B16F8" w:rsidP="003338A0">
      <w:pPr>
        <w:pStyle w:val="TableFigureFooter"/>
      </w:pPr>
      <w:r w:rsidRPr="00D27683">
        <w:rPr>
          <w:vertAlign w:val="superscript"/>
        </w:rPr>
        <w:t>a</w:t>
      </w:r>
      <w:r w:rsidRPr="00D27683">
        <w:t xml:space="preserve"> Patients who received ≥ 1 dose of study treatment.</w:t>
      </w:r>
    </w:p>
    <w:p w14:paraId="7F52533D" w14:textId="77777777" w:rsidR="002B16F8" w:rsidRPr="00D27683" w:rsidRDefault="002B16F8" w:rsidP="003338A0">
      <w:pPr>
        <w:pStyle w:val="TableFigureFooter"/>
      </w:pPr>
      <w:r w:rsidRPr="00D27683">
        <w:rPr>
          <w:vertAlign w:val="superscript"/>
        </w:rPr>
        <w:t>b</w:t>
      </w:r>
      <w:r w:rsidRPr="00D27683">
        <w:t xml:space="preserve"> Uncontrolled COPD defined in terms of patient with moderate to severe air flow obstruction (post-bronchodilator FEV1 &lt; 80%) and who have experienced ≥ 2 moderate (an exacerbation that requires systemic corticosteroids and/or antibiotics to treat, with one of the two requiring systemic corticosteroids) or ≥ 1 severe exacerbation (an exacerbation requiring hospitalisation).</w:t>
      </w:r>
    </w:p>
    <w:p w14:paraId="6994BF0A" w14:textId="329E6FB6" w:rsidR="008531AE" w:rsidRPr="00D27683" w:rsidRDefault="008531AE" w:rsidP="00135EE0">
      <w:pPr>
        <w:pStyle w:val="3-BodyText"/>
        <w:numPr>
          <w:ilvl w:val="1"/>
          <w:numId w:val="1"/>
        </w:numPr>
      </w:pPr>
      <w:r w:rsidRPr="00D27683">
        <w:t>Overall, the risk of bias in the study was considered low across the domains of selection bias, performance bias, detection bias, attrition bias and reporting bias, as it was randomised, double-blinded with an independent committee that evaluated the safety and efficacy data, and adjudicated safety events.</w:t>
      </w:r>
    </w:p>
    <w:p w14:paraId="0A71D98C" w14:textId="1C13E41B" w:rsidR="008531AE" w:rsidRPr="00D27683" w:rsidRDefault="008531AE" w:rsidP="00135EE0">
      <w:pPr>
        <w:pStyle w:val="3-BodyText"/>
        <w:numPr>
          <w:ilvl w:val="1"/>
          <w:numId w:val="1"/>
        </w:numPr>
      </w:pPr>
      <w:r w:rsidRPr="00D27683">
        <w:t>The submission nominated a minimum clinically important difference (MCID) of ≥ 20% reduction in the relative treatment difference in the annualised rate of clinically significant exacerbations. The published MCIDs summarised by the submission varied between 4.4% to 42%, with no clear MCID for the evaluation of moderate or severe exacerbations</w:t>
      </w:r>
      <w:r w:rsidR="00C3635D" w:rsidRPr="00D27683">
        <w:t>.</w:t>
      </w:r>
      <w:r w:rsidRPr="00D27683">
        <w:t xml:space="preserve"> There is no validated MCID for exacerbations in COPD. Previously, </w:t>
      </w:r>
      <w:r w:rsidR="00AF7DFC" w:rsidRPr="00D27683">
        <w:t xml:space="preserve">the </w:t>
      </w:r>
      <w:r w:rsidRPr="00D27683">
        <w:t>PBAC has considered a</w:t>
      </w:r>
      <w:r w:rsidR="00AF7DFC" w:rsidRPr="00D27683">
        <w:t>n</w:t>
      </w:r>
      <w:r w:rsidRPr="00D27683">
        <w:t xml:space="preserve"> MCID of 9% to 54% for annual rates of all grades of exacerbations, but noted that the baseline rate, exacerbation severity and study duration were required for interpretation of the MCID (</w:t>
      </w:r>
      <w:r w:rsidR="00C15C90" w:rsidRPr="00D27683">
        <w:t>paragraph</w:t>
      </w:r>
      <w:r w:rsidR="00F144B9" w:rsidRPr="00D27683">
        <w:t xml:space="preserve"> </w:t>
      </w:r>
      <w:r w:rsidRPr="00D27683">
        <w:t xml:space="preserve">6.10, fluticasone furoate with umeclidinium and vilanterol PSD, March 2019 PBAC Meeting). </w:t>
      </w:r>
    </w:p>
    <w:p w14:paraId="4CB38D73" w14:textId="0F6659A3" w:rsidR="008531AE" w:rsidRPr="00D27683" w:rsidRDefault="008531AE" w:rsidP="00135EE0">
      <w:pPr>
        <w:pStyle w:val="3-BodyText"/>
        <w:numPr>
          <w:ilvl w:val="1"/>
          <w:numId w:val="1"/>
        </w:numPr>
      </w:pPr>
      <w:r w:rsidRPr="00D27683">
        <w:lastRenderedPageBreak/>
        <w:t>Lung function was included as an exploratory end point in the M</w:t>
      </w:r>
      <w:r w:rsidR="00AF7DFC" w:rsidRPr="00D27683">
        <w:t>ATINEE</w:t>
      </w:r>
      <w:r w:rsidRPr="00D27683">
        <w:t xml:space="preserve"> trial. The PBAC has previously considered FEV</w:t>
      </w:r>
      <w:r w:rsidRPr="00D27683">
        <w:rPr>
          <w:vertAlign w:val="subscript"/>
        </w:rPr>
        <w:t>1</w:t>
      </w:r>
      <w:r w:rsidRPr="00D27683">
        <w:t xml:space="preserve"> as one measure of lung function that is a relevant patient outcome in COPD </w:t>
      </w:r>
      <w:r w:rsidR="00E72F73" w:rsidRPr="00D27683">
        <w:t>and accepted this as a surrogate measure. However, the PBAC considered that additional clinical outcomes such as frequency of exacerbations and hospitalisations would be informative as more direct, patient</w:t>
      </w:r>
      <w:r w:rsidR="00A16072" w:rsidRPr="00D27683">
        <w:t xml:space="preserve"> </w:t>
      </w:r>
      <w:r w:rsidR="00E72F73" w:rsidRPr="00D27683">
        <w:t>relevant measures of effect</w:t>
      </w:r>
      <w:r w:rsidRPr="00D27683">
        <w:t xml:space="preserve"> (</w:t>
      </w:r>
      <w:r w:rsidR="00C15C90" w:rsidRPr="00D27683">
        <w:t>paragraph</w:t>
      </w:r>
      <w:r w:rsidR="00DD148A" w:rsidRPr="00D27683">
        <w:t xml:space="preserve"> </w:t>
      </w:r>
      <w:r w:rsidRPr="00D27683">
        <w:t>6.</w:t>
      </w:r>
      <w:r w:rsidR="006D6E3C" w:rsidRPr="00D27683">
        <w:t>8, fluticasone vilanterol PSD March 2014</w:t>
      </w:r>
      <w:r w:rsidRPr="00D27683">
        <w:t xml:space="preserve"> PBAC Meeting). </w:t>
      </w:r>
    </w:p>
    <w:p w14:paraId="2EB44044" w14:textId="57964237" w:rsidR="00D576C7" w:rsidRPr="00D27683" w:rsidRDefault="008531AE" w:rsidP="00135EE0">
      <w:pPr>
        <w:pStyle w:val="3-BodyText"/>
        <w:numPr>
          <w:ilvl w:val="1"/>
          <w:numId w:val="1"/>
        </w:numPr>
      </w:pPr>
      <w:bookmarkStart w:id="74" w:name="_Ref217407612"/>
      <w:r w:rsidRPr="00D27683">
        <w:t>The submission used a ≥</w:t>
      </w:r>
      <w:r w:rsidR="005D1D2B" w:rsidRPr="00D27683">
        <w:t xml:space="preserve"> </w:t>
      </w:r>
      <w:r w:rsidRPr="00D27683">
        <w:t>2-point decrease from baseline in the COPD Assessment test (CAT) score at Week 52 as the threshold for clinically meaningful improvement, based on the established MCID (Jones et al., 2009; Kon et al., 2014). The threshold for St George's Respiratory Questionnaire for COPD (SGRQ-C) total score was a ≥</w:t>
      </w:r>
      <w:r w:rsidR="00D435BA" w:rsidRPr="00D27683">
        <w:t xml:space="preserve"> </w:t>
      </w:r>
      <w:r w:rsidRPr="00D27683">
        <w:t>4-point decrease from baseline based on the established MCID reported by Meguro et al. (2007) and the nominated MCID for Evaluating Respiratory Symptoms in COPD (E-RS: COPD) was a ≥</w:t>
      </w:r>
      <w:r w:rsidR="00D435BA" w:rsidRPr="00D27683">
        <w:t xml:space="preserve"> </w:t>
      </w:r>
      <w:r w:rsidRPr="00D27683">
        <w:t>2-point decrease from baseline (Leidy et al., 2022).</w:t>
      </w:r>
      <w:bookmarkEnd w:id="74"/>
    </w:p>
    <w:p w14:paraId="6CF34728" w14:textId="77777777" w:rsidR="008531AE" w:rsidRPr="00D27683" w:rsidRDefault="008531AE" w:rsidP="00135EE0">
      <w:pPr>
        <w:pStyle w:val="3-BodyText"/>
        <w:numPr>
          <w:ilvl w:val="1"/>
          <w:numId w:val="1"/>
        </w:numPr>
        <w:rPr>
          <w:color w:val="3366FF"/>
        </w:rPr>
      </w:pPr>
      <w:r w:rsidRPr="00D27683">
        <w:t xml:space="preserve">In the MATINEE trial, of the 806 patients randomised, </w:t>
      </w:r>
      <w:r w:rsidRPr="00D27683">
        <w:rPr>
          <w:bCs/>
        </w:rPr>
        <w:t xml:space="preserve">804 (&gt; 99%) received </w:t>
      </w:r>
      <w:r w:rsidRPr="00D27683">
        <w:t xml:space="preserve">≥ 1 dose of study treatment and were included in the modified intention to treat (mITT) analysis population for the efficacy assessment for primary and secondary end points. In the overall mITT population, </w:t>
      </w:r>
      <w:r w:rsidRPr="00D27683">
        <w:rPr>
          <w:bCs/>
        </w:rPr>
        <w:t xml:space="preserve">345 (42.9%) patients were enrolled for a fixed 52-week duration and 459 (57.1%) for an additional variable duration of 52 to 104 weeks. </w:t>
      </w:r>
    </w:p>
    <w:p w14:paraId="4BFDB5BA" w14:textId="2FC532E3" w:rsidR="008531AE" w:rsidRPr="00D27683" w:rsidRDefault="008531AE" w:rsidP="00135EE0">
      <w:pPr>
        <w:pStyle w:val="3-BodyText"/>
        <w:numPr>
          <w:ilvl w:val="1"/>
          <w:numId w:val="1"/>
        </w:numPr>
        <w:rPr>
          <w:color w:val="3366FF"/>
        </w:rPr>
      </w:pPr>
      <w:r w:rsidRPr="00D27683">
        <w:rPr>
          <w:bCs/>
        </w:rPr>
        <w:t xml:space="preserve">All patients were required to complete a minimum of 52 weeks of treatment, where the maximum treatment period to 104 weeks was implemented due to the COVID-19 pandemic. Individual patient treatment duration was determined when they enrolled relative to when the overall study reached its event target, not by individual patient characteristics or response to treatment. Data were combined for the fixed 52-week duration group and the variable 52 to 104 weeks duration group. </w:t>
      </w:r>
      <w:r w:rsidR="00A33618">
        <w:rPr>
          <w:bCs/>
        </w:rPr>
        <w:t>The evaluation considered that this</w:t>
      </w:r>
      <w:r w:rsidR="00A33618" w:rsidRPr="00D27683">
        <w:rPr>
          <w:bCs/>
        </w:rPr>
        <w:t xml:space="preserve"> </w:t>
      </w:r>
      <w:r w:rsidRPr="00D27683">
        <w:rPr>
          <w:bCs/>
        </w:rPr>
        <w:t>was appropriate.</w:t>
      </w:r>
    </w:p>
    <w:p w14:paraId="5F31857F" w14:textId="27F332F9" w:rsidR="008531AE" w:rsidRPr="00D27683" w:rsidRDefault="00E84299" w:rsidP="00135EE0">
      <w:pPr>
        <w:pStyle w:val="3-BodyText"/>
        <w:numPr>
          <w:ilvl w:val="1"/>
          <w:numId w:val="1"/>
        </w:numPr>
      </w:pPr>
      <w:r>
        <w:t>The evaluation considered that the b</w:t>
      </w:r>
      <w:r w:rsidR="008531AE" w:rsidRPr="00D27683">
        <w:t>aseline characteristics were balanced between the two arms</w:t>
      </w:r>
      <w:r w:rsidR="00D40DD3">
        <w:t xml:space="preserve"> and noted that e</w:t>
      </w:r>
      <w:r w:rsidR="008531AE" w:rsidRPr="00D27683">
        <w:t>xacerbation history is the best predictor of future exacerbations. Most participants (83%) had ≥ 2 moderate exacerbations and 21% had ≥ 1 severe exacerbation in the 12 months before screening, with an average of 2.3 prior moderate and/or severe exacerbations.</w:t>
      </w:r>
    </w:p>
    <w:p w14:paraId="09DB4CAE" w14:textId="1EF37F98" w:rsidR="008531AE" w:rsidRPr="00D27683" w:rsidRDefault="008531AE" w:rsidP="00135EE0">
      <w:pPr>
        <w:pStyle w:val="4-SubsectionHeading"/>
      </w:pPr>
      <w:bookmarkStart w:id="75" w:name="_Toc22897641"/>
      <w:bookmarkStart w:id="76" w:name="_Toc216174091"/>
      <w:bookmarkStart w:id="77" w:name="_Toc216697635"/>
      <w:bookmarkStart w:id="78" w:name="_Toc217392666"/>
      <w:bookmarkStart w:id="79" w:name="_Toc219030870"/>
      <w:bookmarkStart w:id="80" w:name="_Toc219064633"/>
      <w:bookmarkStart w:id="81" w:name="_Toc219884817"/>
      <w:r w:rsidRPr="00D27683">
        <w:t>Comparative effectiveness</w:t>
      </w:r>
      <w:bookmarkEnd w:id="75"/>
      <w:bookmarkEnd w:id="76"/>
      <w:bookmarkEnd w:id="77"/>
      <w:bookmarkEnd w:id="78"/>
      <w:bookmarkEnd w:id="79"/>
      <w:bookmarkEnd w:id="80"/>
      <w:bookmarkEnd w:id="81"/>
    </w:p>
    <w:p w14:paraId="3D196622" w14:textId="77777777" w:rsidR="008531AE" w:rsidRPr="00D27683" w:rsidRDefault="008531AE" w:rsidP="00135EE0">
      <w:pPr>
        <w:pStyle w:val="3-BodyText"/>
        <w:numPr>
          <w:ilvl w:val="0"/>
          <w:numId w:val="0"/>
        </w:numPr>
        <w:ind w:left="720" w:hanging="720"/>
        <w:rPr>
          <w:u w:val="single"/>
          <w:lang w:eastAsia="en-US"/>
        </w:rPr>
      </w:pPr>
      <w:r w:rsidRPr="00D27683">
        <w:rPr>
          <w:u w:val="single"/>
          <w:lang w:eastAsia="en-US"/>
        </w:rPr>
        <w:t>Primary endpoint: annualised rate of moderate or severe exacerbation</w:t>
      </w:r>
    </w:p>
    <w:p w14:paraId="127005AA" w14:textId="290E3523" w:rsidR="008531AE" w:rsidRPr="00D27683" w:rsidRDefault="008531AE" w:rsidP="00135EE0">
      <w:pPr>
        <w:pStyle w:val="3-BodyText"/>
        <w:numPr>
          <w:ilvl w:val="1"/>
          <w:numId w:val="1"/>
        </w:numPr>
      </w:pPr>
      <w:r w:rsidRPr="00D27683">
        <w:t>Overall, mepolizumab led to a statistically significant reduction (21%; p=0.011) in the annualised rate per patient year of moderate or severe exacerbation compared to placebo (rate ratio), exceeding the nominated MCID of a ≥ 20% reduction (</w:t>
      </w:r>
      <w:r w:rsidRPr="00D27683">
        <w:fldChar w:fldCharType="begin"/>
      </w:r>
      <w:r w:rsidRPr="00D27683">
        <w:instrText xml:space="preserve"> REF _Ref217407642 \h  \* MERGEFORMAT </w:instrText>
      </w:r>
      <w:r w:rsidRPr="00D27683">
        <w:fldChar w:fldCharType="separate"/>
      </w:r>
      <w:r w:rsidR="00733955" w:rsidRPr="00D27683" w:rsidDel="00774A72">
        <w:t xml:space="preserve">Table </w:t>
      </w:r>
      <w:r w:rsidR="00733955" w:rsidRPr="00D27683" w:rsidDel="00774A72">
        <w:rPr>
          <w:noProof/>
        </w:rPr>
        <w:t>4</w:t>
      </w:r>
      <w:r w:rsidRPr="00D27683">
        <w:fldChar w:fldCharType="end"/>
      </w:r>
      <w:r w:rsidRPr="00D27683">
        <w:t xml:space="preserve">). </w:t>
      </w:r>
      <w:proofErr w:type="gramStart"/>
      <w:r w:rsidRPr="00D27683">
        <w:t>The majority of</w:t>
      </w:r>
      <w:proofErr w:type="gramEnd"/>
      <w:r w:rsidRPr="00D27683">
        <w:t xml:space="preserve"> patients in both the mepolizumab and placebo arms had &lt;</w:t>
      </w:r>
      <w:r w:rsidR="001E1C97" w:rsidRPr="00D27683">
        <w:t xml:space="preserve"> </w:t>
      </w:r>
      <w:r w:rsidRPr="00D27683">
        <w:t xml:space="preserve">1 exacerbation per year (65% versus 61% respectively), including no exacerbations in 50% of mepolizumab patients and 44% of placebo patients. </w:t>
      </w:r>
      <w:r w:rsidR="00BC7FFC">
        <w:t>The evaluation considered that w</w:t>
      </w:r>
      <w:r w:rsidRPr="00D27683">
        <w:t>here exacerbations did occur, the efficacy difference appear</w:t>
      </w:r>
      <w:r w:rsidR="004F55A2">
        <w:t>ed</w:t>
      </w:r>
      <w:r w:rsidRPr="00D27683">
        <w:t xml:space="preserve"> to be driven by a subset of </w:t>
      </w:r>
      <w:r w:rsidR="00983251" w:rsidRPr="00D27683">
        <w:t xml:space="preserve">outlier patients </w:t>
      </w:r>
      <w:r w:rsidRPr="00D27683">
        <w:t>(</w:t>
      </w:r>
      <w:r w:rsidR="001E1C97" w:rsidRPr="00D27683">
        <w:t xml:space="preserve">n = </w:t>
      </w:r>
      <w:r w:rsidRPr="00D27683">
        <w:t xml:space="preserve">6, 1.5% of the placebo arm) with </w:t>
      </w:r>
      <w:r w:rsidR="006010FD" w:rsidRPr="00D27683">
        <w:t>≥</w:t>
      </w:r>
      <w:r w:rsidRPr="00D27683">
        <w:rPr>
          <w:rFonts w:ascii="Helvetica" w:hAnsi="Helvetica" w:cs="Helvetica"/>
          <w:lang w:eastAsia="en-US"/>
          <w14:ligatures w14:val="standardContextual"/>
        </w:rPr>
        <w:t xml:space="preserve"> </w:t>
      </w:r>
      <w:r w:rsidRPr="00D27683">
        <w:t xml:space="preserve">9 exacerbations; this makes the difference in the occurrence of exacerbations vulnerable to random </w:t>
      </w:r>
      <w:r w:rsidRPr="00D27683">
        <w:lastRenderedPageBreak/>
        <w:t xml:space="preserve">confounders, meaning the treatment effect could substantially change were the trial </w:t>
      </w:r>
      <w:r w:rsidR="003858BE" w:rsidRPr="00D27683">
        <w:t xml:space="preserve">to be </w:t>
      </w:r>
      <w:r w:rsidRPr="00D27683">
        <w:t xml:space="preserve">replicated. </w:t>
      </w:r>
      <w:r w:rsidR="006B2384">
        <w:rPr>
          <w:iCs/>
        </w:rPr>
        <w:t>The evaluation considered i</w:t>
      </w:r>
      <w:r w:rsidR="007528EC" w:rsidRPr="006D6FD8">
        <w:rPr>
          <w:iCs/>
        </w:rPr>
        <w:t>t also suggests that part of the treatment benefit is derived from reducing repeat exacerbations in patients who exacerbate frequently, rather than preventing exacerbations across a larger number of patients.</w:t>
      </w:r>
    </w:p>
    <w:p w14:paraId="5B412B93" w14:textId="77C1DFB7" w:rsidR="00010C25" w:rsidRPr="00D27683" w:rsidRDefault="00010C25" w:rsidP="00135EE0">
      <w:pPr>
        <w:pStyle w:val="3-BodyText"/>
        <w:numPr>
          <w:ilvl w:val="1"/>
          <w:numId w:val="1"/>
        </w:numPr>
      </w:pPr>
      <w:bookmarkStart w:id="82" w:name="_Ref222114190"/>
      <w:r w:rsidRPr="006D6FD8">
        <w:rPr>
          <w:iCs/>
        </w:rPr>
        <w:t xml:space="preserve">The </w:t>
      </w:r>
      <w:r w:rsidR="004C10F6" w:rsidRPr="006D6FD8">
        <w:rPr>
          <w:iCs/>
        </w:rPr>
        <w:t xml:space="preserve">Sub-Committees noted that the </w:t>
      </w:r>
      <w:r w:rsidRPr="006D6FD8">
        <w:rPr>
          <w:iCs/>
        </w:rPr>
        <w:t xml:space="preserve">PSCR </w:t>
      </w:r>
      <w:r w:rsidR="00BD17DC" w:rsidRPr="006D6FD8">
        <w:rPr>
          <w:iCs/>
        </w:rPr>
        <w:t xml:space="preserve">disagreed that the treatment effect was sensitive to outlier patients with </w:t>
      </w:r>
      <w:r w:rsidR="003E5F3F" w:rsidRPr="006D6FD8">
        <w:rPr>
          <w:iCs/>
        </w:rPr>
        <w:t>≥ 9 exacerbations</w:t>
      </w:r>
      <w:r w:rsidR="001C0A7C" w:rsidRPr="006D6FD8">
        <w:rPr>
          <w:iCs/>
        </w:rPr>
        <w:t xml:space="preserve">. The PSCR </w:t>
      </w:r>
      <w:r w:rsidR="00BD17DC" w:rsidRPr="006D6FD8">
        <w:rPr>
          <w:iCs/>
        </w:rPr>
        <w:t>noted the following:</w:t>
      </w:r>
      <w:bookmarkEnd w:id="82"/>
    </w:p>
    <w:p w14:paraId="79329234" w14:textId="6BC7AC33" w:rsidR="00BD17DC" w:rsidRPr="00D27683" w:rsidRDefault="003253BD" w:rsidP="00135EE0">
      <w:pPr>
        <w:pStyle w:val="3-BodyText"/>
        <w:numPr>
          <w:ilvl w:val="0"/>
          <w:numId w:val="36"/>
        </w:numPr>
        <w:ind w:left="1134"/>
      </w:pPr>
      <w:r w:rsidRPr="006D6FD8">
        <w:rPr>
          <w:iCs/>
        </w:rPr>
        <w:t xml:space="preserve">The </w:t>
      </w:r>
      <w:r w:rsidR="00983251" w:rsidRPr="006D6FD8">
        <w:rPr>
          <w:iCs/>
        </w:rPr>
        <w:t>evaluation’s definition of an outlier in the SoC arm</w:t>
      </w:r>
      <w:r w:rsidR="00E66D39" w:rsidRPr="006D6FD8">
        <w:rPr>
          <w:iCs/>
        </w:rPr>
        <w:t>,</w:t>
      </w:r>
      <w:r w:rsidR="00983251" w:rsidRPr="006D6FD8">
        <w:rPr>
          <w:iCs/>
        </w:rPr>
        <w:t xml:space="preserve"> based on the avoidance</w:t>
      </w:r>
      <w:r w:rsidR="00757FEA" w:rsidRPr="006D6FD8">
        <w:rPr>
          <w:iCs/>
        </w:rPr>
        <w:t xml:space="preserve"> of events in the mepolizumab arm</w:t>
      </w:r>
      <w:r w:rsidR="00E66D39" w:rsidRPr="006D6FD8">
        <w:rPr>
          <w:iCs/>
        </w:rPr>
        <w:t>, conflicts with the concept of a parallel trial design where there was a balan</w:t>
      </w:r>
      <w:r w:rsidR="006E00EA" w:rsidRPr="006D6FD8">
        <w:rPr>
          <w:iCs/>
        </w:rPr>
        <w:t>ced distribution of treatment effect modifiers</w:t>
      </w:r>
      <w:r w:rsidR="00EE07F3" w:rsidRPr="006D6FD8">
        <w:rPr>
          <w:iCs/>
        </w:rPr>
        <w:t xml:space="preserve"> across both arms</w:t>
      </w:r>
      <w:r w:rsidR="006E00EA" w:rsidRPr="006D6FD8">
        <w:rPr>
          <w:iCs/>
        </w:rPr>
        <w:t>.</w:t>
      </w:r>
      <w:r w:rsidR="00B73018" w:rsidRPr="006D6FD8">
        <w:rPr>
          <w:iCs/>
        </w:rPr>
        <w:t xml:space="preserve"> It should be assumed that there would be a similar breakdown of exacerbations if the treatment arms were switched at randomisation</w:t>
      </w:r>
      <w:r w:rsidR="0038515E" w:rsidRPr="006D6FD8">
        <w:rPr>
          <w:iCs/>
        </w:rPr>
        <w:t>.</w:t>
      </w:r>
    </w:p>
    <w:p w14:paraId="0A8E14BD" w14:textId="0877570F" w:rsidR="00EE07F3" w:rsidRPr="006D6FD8" w:rsidRDefault="003D3ADE" w:rsidP="00135EE0">
      <w:pPr>
        <w:pStyle w:val="3-BodyText"/>
        <w:numPr>
          <w:ilvl w:val="0"/>
          <w:numId w:val="36"/>
        </w:numPr>
        <w:ind w:left="1134"/>
        <w:rPr>
          <w:iCs/>
        </w:rPr>
      </w:pPr>
      <w:r w:rsidRPr="006D6FD8">
        <w:rPr>
          <w:iCs/>
        </w:rPr>
        <w:t xml:space="preserve">Patients with ≥ 9 exacerbations were not outliers. </w:t>
      </w:r>
      <w:r w:rsidR="00215CCD" w:rsidRPr="006D6FD8">
        <w:rPr>
          <w:iCs/>
        </w:rPr>
        <w:t>The exacerbation frequency in the 12 months prior to randomisation in the METREX and METREO</w:t>
      </w:r>
      <w:r w:rsidR="00E87566" w:rsidRPr="006D6FD8">
        <w:rPr>
          <w:iCs/>
        </w:rPr>
        <w:t xml:space="preserve"> trials ranged from 1 to 12, and ≥ 9</w:t>
      </w:r>
      <w:r w:rsidR="00DF2E18" w:rsidRPr="006D6FD8">
        <w:rPr>
          <w:iCs/>
        </w:rPr>
        <w:t xml:space="preserve">/year </w:t>
      </w:r>
      <w:r w:rsidR="00D67F7D">
        <w:rPr>
          <w:iCs/>
        </w:rPr>
        <w:t>wa</w:t>
      </w:r>
      <w:r w:rsidR="00DF2E18" w:rsidRPr="006D6FD8">
        <w:rPr>
          <w:iCs/>
        </w:rPr>
        <w:t>s not uncommon</w:t>
      </w:r>
      <w:r w:rsidR="00E87566" w:rsidRPr="006D6FD8">
        <w:rPr>
          <w:iCs/>
        </w:rPr>
        <w:t>.</w:t>
      </w:r>
    </w:p>
    <w:p w14:paraId="371D2ACE" w14:textId="4B2467A3" w:rsidR="00DF2E18" w:rsidRPr="006D6FD8" w:rsidRDefault="00DF2E18" w:rsidP="00135EE0">
      <w:pPr>
        <w:pStyle w:val="3-BodyText"/>
        <w:numPr>
          <w:ilvl w:val="0"/>
          <w:numId w:val="36"/>
        </w:numPr>
        <w:ind w:left="1134"/>
        <w:rPr>
          <w:iCs/>
        </w:rPr>
      </w:pPr>
      <w:r w:rsidRPr="006D6FD8">
        <w:rPr>
          <w:iCs/>
        </w:rPr>
        <w:t>MATINEE accounted for patient variability by analysing annualised exacerbation rates</w:t>
      </w:r>
      <w:r w:rsidR="00502C30" w:rsidRPr="006D6FD8">
        <w:rPr>
          <w:iCs/>
        </w:rPr>
        <w:t xml:space="preserve"> and therefore accounted for high values.</w:t>
      </w:r>
    </w:p>
    <w:p w14:paraId="1BE6E6F9" w14:textId="3F582CAD" w:rsidR="00502C30" w:rsidRPr="006D6FD8" w:rsidRDefault="00B47013" w:rsidP="00135EE0">
      <w:pPr>
        <w:pStyle w:val="3-BodyText"/>
        <w:numPr>
          <w:ilvl w:val="0"/>
          <w:numId w:val="36"/>
        </w:numPr>
        <w:ind w:left="1134"/>
        <w:rPr>
          <w:iCs/>
        </w:rPr>
      </w:pPr>
      <w:r w:rsidRPr="006D6FD8">
        <w:rPr>
          <w:iCs/>
        </w:rPr>
        <w:t xml:space="preserve">Treatment </w:t>
      </w:r>
      <w:r w:rsidR="00493010" w:rsidRPr="006D6FD8">
        <w:rPr>
          <w:iCs/>
        </w:rPr>
        <w:t>effect</w:t>
      </w:r>
      <w:r w:rsidR="00303439" w:rsidRPr="006D6FD8">
        <w:rPr>
          <w:iCs/>
        </w:rPr>
        <w:t xml:space="preserve"> did not substantially change </w:t>
      </w:r>
      <w:r w:rsidR="004F7CF4" w:rsidRPr="006D6FD8">
        <w:rPr>
          <w:iCs/>
        </w:rPr>
        <w:t xml:space="preserve">across </w:t>
      </w:r>
      <w:r w:rsidR="00CA3162" w:rsidRPr="006D6FD8">
        <w:rPr>
          <w:iCs/>
        </w:rPr>
        <w:t>similar trials</w:t>
      </w:r>
      <w:r w:rsidR="004F7CF4" w:rsidRPr="006D6FD8">
        <w:rPr>
          <w:iCs/>
        </w:rPr>
        <w:t xml:space="preserve"> </w:t>
      </w:r>
      <w:r w:rsidR="00CA3162" w:rsidRPr="006D6FD8">
        <w:rPr>
          <w:iCs/>
        </w:rPr>
        <w:t>(</w:t>
      </w:r>
      <w:r w:rsidR="004F7CF4" w:rsidRPr="006D6FD8">
        <w:rPr>
          <w:iCs/>
        </w:rPr>
        <w:t>METREX and METREO</w:t>
      </w:r>
      <w:r w:rsidR="00CA3162" w:rsidRPr="006D6FD8">
        <w:rPr>
          <w:iCs/>
        </w:rPr>
        <w:t>)</w:t>
      </w:r>
      <w:r w:rsidR="004F7CF4" w:rsidRPr="006D6FD8">
        <w:rPr>
          <w:iCs/>
        </w:rPr>
        <w:t xml:space="preserve">. </w:t>
      </w:r>
    </w:p>
    <w:p w14:paraId="6162335F" w14:textId="2A66CD76" w:rsidR="004C10F6" w:rsidRPr="006D6FD8" w:rsidRDefault="004C10F6" w:rsidP="00135EE0">
      <w:pPr>
        <w:pStyle w:val="3-BodyText"/>
        <w:numPr>
          <w:ilvl w:val="0"/>
          <w:numId w:val="0"/>
        </w:numPr>
        <w:ind w:left="774"/>
        <w:rPr>
          <w:iCs/>
        </w:rPr>
      </w:pPr>
      <w:r w:rsidRPr="006D6FD8">
        <w:rPr>
          <w:iCs/>
        </w:rPr>
        <w:t>However, the Sub-Committees noted that there were inconsistencies in the results in METREX and METREO, with METR</w:t>
      </w:r>
      <w:r w:rsidR="006D3602">
        <w:rPr>
          <w:iCs/>
        </w:rPr>
        <w:t>E</w:t>
      </w:r>
      <w:r w:rsidRPr="006D6FD8">
        <w:rPr>
          <w:iCs/>
        </w:rPr>
        <w:t>O not showing a statistically significant difference in exacerbation rates</w:t>
      </w:r>
      <w:r w:rsidR="009832D6" w:rsidRPr="006D6FD8">
        <w:rPr>
          <w:iCs/>
        </w:rPr>
        <w:t xml:space="preserve"> in patients with screening </w:t>
      </w:r>
      <w:r w:rsidR="008E38FB" w:rsidRPr="006D6FD8">
        <w:rPr>
          <w:iCs/>
        </w:rPr>
        <w:t xml:space="preserve">BEC </w:t>
      </w:r>
      <w:r w:rsidR="008E38FB" w:rsidRPr="006D6FD8">
        <w:rPr>
          <w:rFonts w:ascii="Calibri" w:hAnsi="Calibri" w:cs="Calibri"/>
          <w:iCs/>
        </w:rPr>
        <w:t>≥ 300 cells/µL</w:t>
      </w:r>
      <w:r w:rsidRPr="006D6FD8">
        <w:rPr>
          <w:iCs/>
        </w:rPr>
        <w:t xml:space="preserve"> (</w:t>
      </w:r>
      <w:r w:rsidR="002833DB" w:rsidRPr="006D6FD8">
        <w:rPr>
          <w:iCs/>
        </w:rPr>
        <w:t xml:space="preserve">RR = </w:t>
      </w:r>
      <w:r w:rsidRPr="006D6FD8">
        <w:rPr>
          <w:iCs/>
        </w:rPr>
        <w:t>0.85, 95% CI: 0.59</w:t>
      </w:r>
      <w:r w:rsidRPr="006D6FD8">
        <w:rPr>
          <w:rFonts w:cstheme="minorHAnsi"/>
          <w:iCs/>
        </w:rPr>
        <w:t>–</w:t>
      </w:r>
      <w:r w:rsidRPr="006D6FD8">
        <w:rPr>
          <w:iCs/>
        </w:rPr>
        <w:t>1.22</w:t>
      </w:r>
      <w:r w:rsidR="00B42776" w:rsidRPr="006D6FD8">
        <w:rPr>
          <w:iCs/>
        </w:rPr>
        <w:t xml:space="preserve">; </w:t>
      </w:r>
      <w:r w:rsidR="00B42776" w:rsidRPr="006D6FD8">
        <w:rPr>
          <w:iCs/>
        </w:rPr>
        <w:fldChar w:fldCharType="begin"/>
      </w:r>
      <w:r w:rsidR="00B42776" w:rsidRPr="006D6FD8">
        <w:rPr>
          <w:iCs/>
        </w:rPr>
        <w:instrText xml:space="preserve"> REF _Ref222113499 \h  \* MERGEFORMAT </w:instrText>
      </w:r>
      <w:r w:rsidR="00B42776" w:rsidRPr="006D6FD8">
        <w:rPr>
          <w:iCs/>
        </w:rPr>
      </w:r>
      <w:r w:rsidR="00B42776" w:rsidRPr="006D6FD8">
        <w:rPr>
          <w:iCs/>
        </w:rPr>
        <w:fldChar w:fldCharType="separate"/>
      </w:r>
      <w:r w:rsidR="00733955" w:rsidRPr="006D6FD8" w:rsidDel="00774A72">
        <w:rPr>
          <w:iCs/>
        </w:rPr>
        <w:t xml:space="preserve">Table </w:t>
      </w:r>
      <w:r w:rsidR="00733955" w:rsidRPr="006D6FD8" w:rsidDel="00774A72">
        <w:rPr>
          <w:iCs/>
          <w:noProof/>
        </w:rPr>
        <w:t>5</w:t>
      </w:r>
      <w:r w:rsidR="00B42776" w:rsidRPr="006D6FD8">
        <w:rPr>
          <w:iCs/>
        </w:rPr>
        <w:fldChar w:fldCharType="end"/>
      </w:r>
      <w:r w:rsidRPr="006D6FD8">
        <w:rPr>
          <w:iCs/>
        </w:rPr>
        <w:t>)</w:t>
      </w:r>
      <w:r w:rsidR="00611951" w:rsidRPr="006D6FD8">
        <w:rPr>
          <w:iCs/>
        </w:rPr>
        <w:t xml:space="preserve">. </w:t>
      </w:r>
      <w:r w:rsidR="00654EB7">
        <w:rPr>
          <w:iCs/>
        </w:rPr>
        <w:t xml:space="preserve">The Pre-PBAC Response noted that </w:t>
      </w:r>
      <w:r w:rsidR="00D14BB7">
        <w:rPr>
          <w:iCs/>
        </w:rPr>
        <w:t>METRE</w:t>
      </w:r>
      <w:r w:rsidR="00BC4E67">
        <w:rPr>
          <w:iCs/>
        </w:rPr>
        <w:t>X</w:t>
      </w:r>
      <w:r w:rsidR="00D14BB7">
        <w:rPr>
          <w:iCs/>
        </w:rPr>
        <w:t xml:space="preserve"> and METREO lacked statistical power for the </w:t>
      </w:r>
      <w:r w:rsidR="00D14BB7" w:rsidRPr="006D6FD8">
        <w:rPr>
          <w:iCs/>
        </w:rPr>
        <w:t xml:space="preserve">BEC </w:t>
      </w:r>
      <w:r w:rsidR="00D14BB7" w:rsidRPr="006D6FD8">
        <w:rPr>
          <w:rFonts w:ascii="Calibri" w:hAnsi="Calibri" w:cs="Calibri"/>
          <w:iCs/>
        </w:rPr>
        <w:t>≥ 300 cells/µL</w:t>
      </w:r>
      <w:r w:rsidR="00FA38AB">
        <w:rPr>
          <w:rFonts w:ascii="Calibri" w:hAnsi="Calibri" w:cs="Calibri"/>
          <w:iCs/>
        </w:rPr>
        <w:t xml:space="preserve"> subgroup</w:t>
      </w:r>
      <w:r w:rsidR="00BD5C68">
        <w:rPr>
          <w:rFonts w:ascii="Calibri" w:hAnsi="Calibri" w:cs="Calibri"/>
          <w:iCs/>
        </w:rPr>
        <w:t>, with small sample sizes (N=172 and N=170, respectively)</w:t>
      </w:r>
      <w:r w:rsidR="00CE71FE">
        <w:rPr>
          <w:rFonts w:ascii="Calibri" w:hAnsi="Calibri" w:cs="Calibri"/>
          <w:iCs/>
        </w:rPr>
        <w:t xml:space="preserve">, </w:t>
      </w:r>
      <w:r w:rsidR="000B1A33">
        <w:rPr>
          <w:rFonts w:ascii="Calibri" w:hAnsi="Calibri" w:cs="Calibri"/>
          <w:iCs/>
        </w:rPr>
        <w:t>whereas MATINEE was</w:t>
      </w:r>
      <w:r w:rsidR="00231ACE">
        <w:rPr>
          <w:rFonts w:ascii="Calibri" w:hAnsi="Calibri" w:cs="Calibri"/>
          <w:iCs/>
        </w:rPr>
        <w:t xml:space="preserve"> designed and powered for this subgroup</w:t>
      </w:r>
      <w:r w:rsidR="00E035DE">
        <w:rPr>
          <w:rFonts w:ascii="Calibri" w:hAnsi="Calibri" w:cs="Calibri"/>
          <w:iCs/>
        </w:rPr>
        <w:t>. T</w:t>
      </w:r>
      <w:r w:rsidR="007953DA">
        <w:rPr>
          <w:rFonts w:ascii="Calibri" w:hAnsi="Calibri" w:cs="Calibri"/>
          <w:iCs/>
        </w:rPr>
        <w:t>he</w:t>
      </w:r>
      <w:r w:rsidR="006F6284">
        <w:rPr>
          <w:rFonts w:ascii="Calibri" w:hAnsi="Calibri" w:cs="Calibri"/>
          <w:iCs/>
        </w:rPr>
        <w:t xml:space="preserve"> Pre-PBAC response argued that</w:t>
      </w:r>
      <w:r w:rsidR="007953DA">
        <w:rPr>
          <w:rFonts w:ascii="Calibri" w:hAnsi="Calibri" w:cs="Calibri"/>
          <w:iCs/>
        </w:rPr>
        <w:t xml:space="preserve">, </w:t>
      </w:r>
      <w:r w:rsidR="001B40FB">
        <w:rPr>
          <w:rFonts w:ascii="Calibri" w:hAnsi="Calibri" w:cs="Calibri"/>
          <w:iCs/>
        </w:rPr>
        <w:t>in</w:t>
      </w:r>
      <w:r w:rsidR="00FE1758">
        <w:rPr>
          <w:rFonts w:ascii="Calibri" w:hAnsi="Calibri" w:cs="Calibri"/>
          <w:iCs/>
        </w:rPr>
        <w:t xml:space="preserve"> </w:t>
      </w:r>
      <w:r w:rsidR="0061605B">
        <w:rPr>
          <w:rFonts w:ascii="Calibri" w:hAnsi="Calibri" w:cs="Calibri"/>
          <w:iCs/>
        </w:rPr>
        <w:t>addition</w:t>
      </w:r>
      <w:r w:rsidR="001B40FB">
        <w:rPr>
          <w:rFonts w:ascii="Calibri" w:hAnsi="Calibri" w:cs="Calibri"/>
          <w:iCs/>
        </w:rPr>
        <w:t xml:space="preserve"> to</w:t>
      </w:r>
      <w:r w:rsidR="0061605B">
        <w:rPr>
          <w:rFonts w:ascii="Calibri" w:hAnsi="Calibri" w:cs="Calibri"/>
          <w:iCs/>
        </w:rPr>
        <w:t xml:space="preserve"> the</w:t>
      </w:r>
      <w:r w:rsidR="00214F14">
        <w:rPr>
          <w:rFonts w:ascii="Calibri" w:hAnsi="Calibri" w:cs="Calibri"/>
          <w:iCs/>
        </w:rPr>
        <w:t xml:space="preserve"> meta-analys</w:t>
      </w:r>
      <w:r w:rsidR="00556575">
        <w:rPr>
          <w:rFonts w:ascii="Calibri" w:hAnsi="Calibri" w:cs="Calibri"/>
          <w:iCs/>
        </w:rPr>
        <w:t>i</w:t>
      </w:r>
      <w:r w:rsidR="00214F14">
        <w:rPr>
          <w:rFonts w:ascii="Calibri" w:hAnsi="Calibri" w:cs="Calibri"/>
          <w:iCs/>
        </w:rPr>
        <w:t>s</w:t>
      </w:r>
      <w:r w:rsidR="00556575">
        <w:rPr>
          <w:rFonts w:ascii="Calibri" w:hAnsi="Calibri" w:cs="Calibri"/>
          <w:iCs/>
        </w:rPr>
        <w:t xml:space="preserve"> (</w:t>
      </w:r>
      <w:r w:rsidR="003E71FF">
        <w:rPr>
          <w:rFonts w:ascii="Calibri" w:hAnsi="Calibri" w:cs="Calibri"/>
          <w:iCs/>
        </w:rPr>
        <w:t>N</w:t>
      </w:r>
      <w:r w:rsidR="000B1D8E">
        <w:rPr>
          <w:rFonts w:ascii="Calibri" w:hAnsi="Calibri" w:cs="Calibri"/>
          <w:iCs/>
        </w:rPr>
        <w:t>=1146, RR=0.79,</w:t>
      </w:r>
      <w:r w:rsidR="00966100">
        <w:rPr>
          <w:rFonts w:ascii="Calibri" w:hAnsi="Calibri" w:cs="Calibri"/>
          <w:iCs/>
        </w:rPr>
        <w:t xml:space="preserve"> 95%CI = </w:t>
      </w:r>
      <w:r w:rsidR="002444FB">
        <w:rPr>
          <w:rFonts w:ascii="Calibri" w:hAnsi="Calibri" w:cs="Calibri"/>
          <w:iCs/>
        </w:rPr>
        <w:t>0.68,0.91</w:t>
      </w:r>
      <w:r w:rsidR="00A306FC">
        <w:rPr>
          <w:rFonts w:ascii="Calibri" w:hAnsi="Calibri" w:cs="Calibri"/>
          <w:iCs/>
        </w:rPr>
        <w:t xml:space="preserve">, </w:t>
      </w:r>
      <w:r w:rsidR="00A306FC" w:rsidRPr="006D6FD8">
        <w:rPr>
          <w:iCs/>
        </w:rPr>
        <w:fldChar w:fldCharType="begin"/>
      </w:r>
      <w:r w:rsidR="00A306FC" w:rsidRPr="006D6FD8">
        <w:rPr>
          <w:iCs/>
        </w:rPr>
        <w:instrText xml:space="preserve"> REF _Ref222113499 \h  \* MERGEFORMAT </w:instrText>
      </w:r>
      <w:r w:rsidR="00A306FC" w:rsidRPr="006D6FD8">
        <w:rPr>
          <w:iCs/>
        </w:rPr>
      </w:r>
      <w:r w:rsidR="00A306FC" w:rsidRPr="006D6FD8">
        <w:rPr>
          <w:iCs/>
        </w:rPr>
        <w:fldChar w:fldCharType="separate"/>
      </w:r>
      <w:r w:rsidR="00A306FC" w:rsidRPr="006D6FD8">
        <w:rPr>
          <w:iCs/>
        </w:rPr>
        <w:t xml:space="preserve">Table </w:t>
      </w:r>
      <w:r w:rsidR="00A306FC">
        <w:rPr>
          <w:iCs/>
          <w:noProof/>
        </w:rPr>
        <w:t>5</w:t>
      </w:r>
      <w:r w:rsidR="00A306FC" w:rsidRPr="006D6FD8">
        <w:rPr>
          <w:iCs/>
        </w:rPr>
        <w:fldChar w:fldCharType="end"/>
      </w:r>
      <w:r w:rsidR="002444FB">
        <w:rPr>
          <w:rFonts w:ascii="Calibri" w:hAnsi="Calibri" w:cs="Calibri"/>
          <w:iCs/>
        </w:rPr>
        <w:t>)</w:t>
      </w:r>
      <w:r w:rsidR="00B55448" w:rsidRPr="00B55448">
        <w:rPr>
          <w:rFonts w:ascii="Calibri" w:eastAsia="Times New Roman" w:hAnsi="Calibri" w:cs="Calibri"/>
          <w:iCs/>
          <w:szCs w:val="24"/>
          <w:vertAlign w:val="superscript"/>
        </w:rPr>
        <w:t xml:space="preserve"> </w:t>
      </w:r>
      <w:r w:rsidR="00B55448" w:rsidRPr="00B55448">
        <w:rPr>
          <w:rFonts w:ascii="Calibri" w:hAnsi="Calibri" w:cs="Calibri"/>
          <w:iCs/>
          <w:vertAlign w:val="superscript"/>
        </w:rPr>
        <w:footnoteReference w:id="3"/>
      </w:r>
      <w:r w:rsidR="0008131C">
        <w:rPr>
          <w:rFonts w:ascii="Calibri" w:hAnsi="Calibri" w:cs="Calibri"/>
          <w:iCs/>
        </w:rPr>
        <w:t>,</w:t>
      </w:r>
      <w:r w:rsidR="00214F14">
        <w:rPr>
          <w:rFonts w:ascii="Calibri" w:hAnsi="Calibri" w:cs="Calibri"/>
          <w:iCs/>
        </w:rPr>
        <w:t xml:space="preserve"> </w:t>
      </w:r>
      <w:r w:rsidR="00477D09">
        <w:rPr>
          <w:rFonts w:ascii="Calibri" w:hAnsi="Calibri" w:cs="Calibri"/>
          <w:iCs/>
        </w:rPr>
        <w:t xml:space="preserve">the MATINEE trial </w:t>
      </w:r>
      <w:r w:rsidR="00D75132">
        <w:rPr>
          <w:rFonts w:ascii="Calibri" w:hAnsi="Calibri" w:cs="Calibri"/>
          <w:iCs/>
        </w:rPr>
        <w:t>wa</w:t>
      </w:r>
      <w:r w:rsidR="00220A07">
        <w:rPr>
          <w:rFonts w:ascii="Calibri" w:hAnsi="Calibri" w:cs="Calibri"/>
          <w:iCs/>
        </w:rPr>
        <w:t>s a</w:t>
      </w:r>
      <w:r w:rsidR="00416B6E">
        <w:rPr>
          <w:rFonts w:ascii="Calibri" w:hAnsi="Calibri" w:cs="Calibri"/>
          <w:iCs/>
        </w:rPr>
        <w:t xml:space="preserve"> more reliable source of evidence.</w:t>
      </w:r>
    </w:p>
    <w:p w14:paraId="6E960008" w14:textId="46DE0128" w:rsidR="008531AE" w:rsidRPr="00D27683" w:rsidRDefault="008531AE" w:rsidP="00135EE0">
      <w:pPr>
        <w:pStyle w:val="3-BodyText"/>
        <w:numPr>
          <w:ilvl w:val="1"/>
          <w:numId w:val="1"/>
        </w:numPr>
      </w:pPr>
      <w:r w:rsidRPr="00D27683">
        <w:t>The trial had a variable treatment duration of 52 to 104 weeks. Annualised exacerbation rates were used to account for this variability, resulting in an expression of an exacerbation rate per patient year of exposure (consistent with previous trials investigating treatments for COPD). However, this method assumes a constant event rate throughout the study period</w:t>
      </w:r>
      <w:r w:rsidR="004A7C7C" w:rsidRPr="006D6FD8">
        <w:rPr>
          <w:iCs/>
        </w:rPr>
        <w:t>.</w:t>
      </w:r>
      <w:r w:rsidR="000553E8" w:rsidRPr="006D6FD8">
        <w:rPr>
          <w:iCs/>
        </w:rPr>
        <w:t xml:space="preserve"> The PSCR </w:t>
      </w:r>
      <w:r w:rsidR="007F58E3" w:rsidRPr="006D6FD8">
        <w:rPr>
          <w:iCs/>
        </w:rPr>
        <w:t>maintained</w:t>
      </w:r>
      <w:r w:rsidR="002F2634" w:rsidRPr="006D6FD8">
        <w:rPr>
          <w:iCs/>
        </w:rPr>
        <w:t xml:space="preserve"> that the use of annualised exacerbation rates was an appropriate approach to account for study duration variability and </w:t>
      </w:r>
      <w:r w:rsidR="000553E8" w:rsidRPr="006D6FD8">
        <w:rPr>
          <w:iCs/>
        </w:rPr>
        <w:t xml:space="preserve">noted that </w:t>
      </w:r>
      <w:r w:rsidR="00454DA4" w:rsidRPr="006D6FD8">
        <w:rPr>
          <w:iCs/>
        </w:rPr>
        <w:t>although patient drop-off led to differences in event rates at Weeks 52 and 104, this did not influence the treatment difference between mepolizumab and placebo.</w:t>
      </w:r>
      <w:r w:rsidR="00A52285" w:rsidRPr="006D6FD8">
        <w:rPr>
          <w:iCs/>
        </w:rPr>
        <w:t xml:space="preserve"> </w:t>
      </w:r>
      <w:r w:rsidR="00D114A2" w:rsidRPr="006D6FD8">
        <w:rPr>
          <w:iCs/>
        </w:rPr>
        <w:t>The PSCR noted that the</w:t>
      </w:r>
      <w:r w:rsidR="00A52285" w:rsidRPr="006D6FD8">
        <w:rPr>
          <w:iCs/>
        </w:rPr>
        <w:t xml:space="preserve"> results for the primary endpoint up to week 52 (RR = 0.79, 95% CI: 0.65, 0.96) were consistent with the primary analyses</w:t>
      </w:r>
      <w:r w:rsidR="008B0965" w:rsidRPr="006D6FD8">
        <w:rPr>
          <w:iCs/>
        </w:rPr>
        <w:t xml:space="preserve"> up to week 104</w:t>
      </w:r>
      <w:r w:rsidR="00A52285" w:rsidRPr="006D6FD8">
        <w:rPr>
          <w:iCs/>
        </w:rPr>
        <w:t xml:space="preserve"> (RR= 0.79, 95% CI: 0.66, 0.94).</w:t>
      </w:r>
      <w:r w:rsidR="00D114A2" w:rsidRPr="006D6FD8">
        <w:rPr>
          <w:iCs/>
        </w:rPr>
        <w:t xml:space="preserve"> </w:t>
      </w:r>
    </w:p>
    <w:p w14:paraId="17A96383" w14:textId="2DC37167" w:rsidR="008531AE" w:rsidRPr="00D27683" w:rsidRDefault="008531AE" w:rsidP="00135EE0">
      <w:pPr>
        <w:pStyle w:val="3-BodyText"/>
        <w:numPr>
          <w:ilvl w:val="1"/>
          <w:numId w:val="1"/>
        </w:numPr>
      </w:pPr>
      <w:r w:rsidRPr="00D27683">
        <w:lastRenderedPageBreak/>
        <w:t>The annualised rate of moderate exacerbations was assessed as a post hoc analysis where treatment with mepolizumab led to a 21% reduction (p=0.018) compared with placebo. The annualised rate of severe exacerbations was assessed as an exploratory outcome where treatment with mepolizumab led to a 34% relative reduction (p=0.055) compared to placebo. The results of the ad hoc analysis were consistent with the demonstrated primary outcome, showing a reduction in exacerbation rates (moderate or severe) that exceeded the MCID.</w:t>
      </w:r>
    </w:p>
    <w:p w14:paraId="585B5761" w14:textId="38811D2B" w:rsidR="008531AE" w:rsidRPr="00D27683" w:rsidRDefault="008531AE" w:rsidP="00135EE0">
      <w:pPr>
        <w:pStyle w:val="Caption"/>
      </w:pPr>
      <w:bookmarkStart w:id="83" w:name="_Ref217407642"/>
      <w:r w:rsidRPr="00D27683">
        <w:t xml:space="preserve">Table </w:t>
      </w:r>
      <w:fldSimple w:instr=" SEQ Table \* ARABIC ">
        <w:r w:rsidR="00FA28CE">
          <w:rPr>
            <w:noProof/>
          </w:rPr>
          <w:t>4</w:t>
        </w:r>
      </w:fldSimple>
      <w:bookmarkEnd w:id="83"/>
      <w:r w:rsidRPr="00D27683">
        <w:t>: Annualised rate of moderate/severe exacerbations (mITT population) at 104 weeks</w:t>
      </w:r>
    </w:p>
    <w:tbl>
      <w:tblPr>
        <w:tblW w:w="5000" w:type="pct"/>
        <w:jc w:val="center"/>
        <w:tblLook w:val="0420" w:firstRow="1" w:lastRow="0" w:firstColumn="0" w:lastColumn="0" w:noHBand="0" w:noVBand="1"/>
        <w:tblCaption w:val="Table 4: Annualised rate of moderate/severe exacerbations (mITT population) at 104 weeks"/>
      </w:tblPr>
      <w:tblGrid>
        <w:gridCol w:w="5394"/>
        <w:gridCol w:w="1825"/>
        <w:gridCol w:w="1798"/>
      </w:tblGrid>
      <w:tr w:rsidR="000C214C" w:rsidRPr="00D27683" w14:paraId="09F7484C" w14:textId="77777777">
        <w:trPr>
          <w:tblHeader/>
          <w:jc w:val="center"/>
        </w:trPr>
        <w:tc>
          <w:tcPr>
            <w:tcW w:w="2991"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43340652"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rPr>
                <w:rFonts w:ascii="Arial Narrow" w:hAnsi="Arial Narrow"/>
                <w:sz w:val="20"/>
                <w:szCs w:val="20"/>
              </w:rPr>
            </w:pPr>
          </w:p>
        </w:tc>
        <w:tc>
          <w:tcPr>
            <w:tcW w:w="101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E348B6" w14:textId="2C4D8959" w:rsidR="008531AE" w:rsidRPr="00D27683" w:rsidRDefault="00F525F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eastAsia="Arial Narrow" w:hAnsi="Arial Narrow" w:cs="Arial Narrow"/>
                <w:b/>
                <w:color w:val="000000"/>
                <w:sz w:val="20"/>
                <w:szCs w:val="20"/>
              </w:rPr>
              <w:t>Mepolizumab</w:t>
            </w:r>
            <w:r w:rsidR="008531AE" w:rsidRPr="00D27683">
              <w:rPr>
                <w:rFonts w:ascii="Arial Narrow" w:eastAsia="Arial Narrow" w:hAnsi="Arial Narrow" w:cs="Arial Narrow"/>
                <w:b/>
                <w:color w:val="000000"/>
                <w:sz w:val="20"/>
                <w:szCs w:val="20"/>
              </w:rPr>
              <w:br/>
              <w:t>N = 403</w:t>
            </w:r>
          </w:p>
        </w:tc>
        <w:tc>
          <w:tcPr>
            <w:tcW w:w="99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694E8D"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eastAsia="Arial Narrow" w:hAnsi="Arial Narrow" w:cs="Arial Narrow"/>
                <w:b/>
                <w:color w:val="000000"/>
                <w:sz w:val="20"/>
                <w:szCs w:val="20"/>
              </w:rPr>
              <w:t>PBO</w:t>
            </w:r>
            <w:r w:rsidRPr="00D27683">
              <w:rPr>
                <w:rFonts w:ascii="Arial Narrow" w:eastAsia="Arial Narrow" w:hAnsi="Arial Narrow" w:cs="Arial Narrow"/>
                <w:b/>
                <w:color w:val="000000"/>
                <w:sz w:val="20"/>
                <w:szCs w:val="20"/>
              </w:rPr>
              <w:br/>
              <w:t>N = 401</w:t>
            </w:r>
          </w:p>
        </w:tc>
      </w:tr>
      <w:tr w:rsidR="00057197" w:rsidRPr="00D27683" w14:paraId="249D9D3B" w14:textId="77777777">
        <w:trPr>
          <w:jc w:val="center"/>
        </w:trPr>
        <w:tc>
          <w:tcPr>
            <w:tcW w:w="5000" w:type="pct"/>
            <w:gridSpan w:val="3"/>
            <w:tcBorders>
              <w:top w:val="single" w:sz="4" w:space="0" w:color="000000"/>
              <w:left w:val="single" w:sz="4" w:space="0" w:color="000000"/>
              <w:bottom w:val="none" w:sz="0" w:space="0" w:color="000000"/>
              <w:right w:val="single" w:sz="4" w:space="0" w:color="000000"/>
            </w:tcBorders>
            <w:tcMar>
              <w:top w:w="0" w:type="dxa"/>
              <w:left w:w="0" w:type="dxa"/>
              <w:bottom w:w="0" w:type="dxa"/>
              <w:right w:w="0" w:type="dxa"/>
            </w:tcMar>
          </w:tcPr>
          <w:p w14:paraId="6E9D539D"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rPr>
                <w:rFonts w:ascii="Arial Narrow" w:hAnsi="Arial Narrow"/>
                <w:b/>
                <w:bCs/>
                <w:sz w:val="20"/>
                <w:szCs w:val="20"/>
              </w:rPr>
            </w:pPr>
            <w:r w:rsidRPr="00D27683">
              <w:rPr>
                <w:rFonts w:ascii="Arial Narrow" w:hAnsi="Arial Narrow"/>
                <w:b/>
                <w:bCs/>
                <w:sz w:val="20"/>
                <w:szCs w:val="20"/>
              </w:rPr>
              <w:t>Primary outcome (moderate or severe exacerbations)</w:t>
            </w:r>
          </w:p>
        </w:tc>
      </w:tr>
      <w:tr w:rsidR="00850488" w:rsidRPr="00D27683" w14:paraId="33AB20BD" w14:textId="77777777">
        <w:trPr>
          <w:jc w:val="center"/>
        </w:trPr>
        <w:tc>
          <w:tcPr>
            <w:tcW w:w="2991" w:type="pct"/>
            <w:tcBorders>
              <w:top w:val="single" w:sz="4" w:space="0" w:color="000000"/>
              <w:left w:val="single" w:sz="4" w:space="0" w:color="000000"/>
              <w:bottom w:val="none" w:sz="0" w:space="0" w:color="000000"/>
              <w:right w:val="single" w:sz="4" w:space="0" w:color="000000"/>
            </w:tcBorders>
            <w:tcMar>
              <w:top w:w="0" w:type="dxa"/>
              <w:left w:w="0" w:type="dxa"/>
              <w:bottom w:w="0" w:type="dxa"/>
              <w:right w:w="0" w:type="dxa"/>
            </w:tcMar>
          </w:tcPr>
          <w:p w14:paraId="4DA5A930"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b/>
                <w:color w:val="000000"/>
                <w:sz w:val="20"/>
                <w:szCs w:val="20"/>
              </w:rPr>
              <w:t xml:space="preserve">Number of moderate or severe exacerbations per </w:t>
            </w:r>
            <w:proofErr w:type="spellStart"/>
            <w:r w:rsidRPr="00D27683">
              <w:rPr>
                <w:rFonts w:ascii="Arial Narrow" w:eastAsia="Arial Narrow" w:hAnsi="Arial Narrow" w:cs="Arial Narrow"/>
                <w:b/>
                <w:color w:val="000000"/>
                <w:sz w:val="20"/>
                <w:szCs w:val="20"/>
              </w:rPr>
              <w:t>year</w:t>
            </w:r>
            <w:r w:rsidRPr="00D27683">
              <w:rPr>
                <w:rFonts w:ascii="Arial Narrow" w:eastAsia="Arial Narrow" w:hAnsi="Arial Narrow" w:cs="Arial Narrow"/>
                <w:b/>
                <w:color w:val="000000"/>
                <w:sz w:val="20"/>
                <w:szCs w:val="20"/>
                <w:vertAlign w:val="superscript"/>
              </w:rPr>
              <w:t>a</w:t>
            </w:r>
            <w:proofErr w:type="spellEnd"/>
            <w:r w:rsidRPr="00D27683">
              <w:rPr>
                <w:rFonts w:ascii="Arial Narrow" w:eastAsia="Arial Narrow" w:hAnsi="Arial Narrow" w:cs="Arial Narrow"/>
                <w:b/>
                <w:color w:val="000000"/>
                <w:sz w:val="20"/>
                <w:szCs w:val="20"/>
              </w:rPr>
              <w:t>, n (%)</w:t>
            </w:r>
          </w:p>
        </w:tc>
        <w:tc>
          <w:tcPr>
            <w:tcW w:w="1012" w:type="pct"/>
            <w:tcBorders>
              <w:top w:val="single" w:sz="4" w:space="0" w:color="000000"/>
              <w:left w:val="single" w:sz="4" w:space="0" w:color="000000"/>
              <w:bottom w:val="none" w:sz="0" w:space="0" w:color="000000"/>
              <w:right w:val="single" w:sz="4" w:space="0" w:color="000000"/>
            </w:tcBorders>
            <w:tcMar>
              <w:top w:w="0" w:type="dxa"/>
              <w:left w:w="0" w:type="dxa"/>
              <w:bottom w:w="0" w:type="dxa"/>
              <w:right w:w="0" w:type="dxa"/>
            </w:tcMar>
          </w:tcPr>
          <w:p w14:paraId="67587E96"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p>
        </w:tc>
        <w:tc>
          <w:tcPr>
            <w:tcW w:w="997" w:type="pct"/>
            <w:tcBorders>
              <w:top w:val="single" w:sz="4" w:space="0" w:color="000000"/>
              <w:left w:val="single" w:sz="4" w:space="0" w:color="000000"/>
              <w:bottom w:val="none" w:sz="0" w:space="0" w:color="000000"/>
              <w:right w:val="single" w:sz="4" w:space="0" w:color="000000"/>
            </w:tcBorders>
            <w:tcMar>
              <w:top w:w="0" w:type="dxa"/>
              <w:left w:w="0" w:type="dxa"/>
              <w:bottom w:w="0" w:type="dxa"/>
              <w:right w:w="0" w:type="dxa"/>
            </w:tcMar>
          </w:tcPr>
          <w:p w14:paraId="48FD2CC3"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p>
        </w:tc>
      </w:tr>
      <w:tr w:rsidR="00850488" w:rsidRPr="00D27683" w14:paraId="5C0E0CAE"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4713BBB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0</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B15392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201 (50)</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83DF5DD"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175 (44)</w:t>
            </w:r>
          </w:p>
        </w:tc>
      </w:tr>
      <w:tr w:rsidR="00850488" w:rsidRPr="00D27683" w14:paraId="5CF42521"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2209508C"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&gt;0-&lt;1</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A63BC76"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62 (15)</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3F41DE26"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68 (17)</w:t>
            </w:r>
          </w:p>
        </w:tc>
      </w:tr>
      <w:tr w:rsidR="00850488" w:rsidRPr="00D27683" w14:paraId="6FDDBADB"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1D414E3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1-&lt;2</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6D6244AE"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70 (17)</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6DF1C9F5"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77 (19)</w:t>
            </w:r>
          </w:p>
        </w:tc>
      </w:tr>
      <w:tr w:rsidR="00850488" w:rsidRPr="00D27683" w14:paraId="3E77DE6B"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28565155"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2-&lt;3</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127AE16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30 (7)</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0F25F6C0"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36 (9)</w:t>
            </w:r>
          </w:p>
        </w:tc>
      </w:tr>
      <w:tr w:rsidR="00850488" w:rsidRPr="00D27683" w14:paraId="48541E79"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179C915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3-&lt;4</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6C8010EA"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21 (5)</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0815D33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16 (4)</w:t>
            </w:r>
          </w:p>
        </w:tc>
      </w:tr>
      <w:tr w:rsidR="00850488" w:rsidRPr="00D27683" w14:paraId="51023C7E"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E21E4B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4-&lt;5</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5503BBD"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8 (2)</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021093C9"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11 (3)</w:t>
            </w:r>
          </w:p>
        </w:tc>
      </w:tr>
      <w:tr w:rsidR="00850488" w:rsidRPr="00D27683" w14:paraId="4739FB93"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DD789A3"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5-&lt;6</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30C81738"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5 (1)</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072F937E"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6 (1)</w:t>
            </w:r>
          </w:p>
        </w:tc>
      </w:tr>
      <w:tr w:rsidR="00850488" w:rsidRPr="00D27683" w14:paraId="07816CA1"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1675161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6-&lt;7</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24DD221C"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3 (&lt;1)</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2725706"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 (&lt;1)</w:t>
            </w:r>
          </w:p>
        </w:tc>
      </w:tr>
      <w:tr w:rsidR="00850488" w:rsidRPr="00D27683" w14:paraId="3D545492"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0B31221A"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7-&lt;8</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76F5E91A"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1 (&lt;1)</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52FC8A59"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 (&lt;1)</w:t>
            </w:r>
          </w:p>
        </w:tc>
      </w:tr>
      <w:tr w:rsidR="00850488" w:rsidRPr="00D27683" w14:paraId="6ED6046D"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673D2F8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8-&lt;9</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3154C9EC"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 (&lt;1)</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1CD33CF3"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 (&lt;1)</w:t>
            </w:r>
          </w:p>
        </w:tc>
      </w:tr>
      <w:tr w:rsidR="00850488" w:rsidRPr="00D27683" w14:paraId="72DD1F68" w14:textId="77777777">
        <w:trPr>
          <w:jc w:val="center"/>
        </w:trPr>
        <w:tc>
          <w:tcPr>
            <w:tcW w:w="2991"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2374B4BF"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9-&lt;10</w:t>
            </w:r>
          </w:p>
        </w:tc>
        <w:tc>
          <w:tcPr>
            <w:tcW w:w="1012"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4F46D3A2"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0</w:t>
            </w:r>
          </w:p>
        </w:tc>
        <w:tc>
          <w:tcPr>
            <w:tcW w:w="997" w:type="pct"/>
            <w:tcBorders>
              <w:top w:val="none" w:sz="0" w:space="0" w:color="000000"/>
              <w:left w:val="single" w:sz="4" w:space="0" w:color="000000"/>
              <w:bottom w:val="none" w:sz="0" w:space="0" w:color="000000"/>
              <w:right w:val="single" w:sz="4" w:space="0" w:color="000000"/>
            </w:tcBorders>
            <w:tcMar>
              <w:top w:w="0" w:type="dxa"/>
              <w:left w:w="0" w:type="dxa"/>
              <w:bottom w:w="0" w:type="dxa"/>
              <w:right w:w="0" w:type="dxa"/>
            </w:tcMar>
          </w:tcPr>
          <w:p w14:paraId="6B31DC4B"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2 (&lt;1)</w:t>
            </w:r>
          </w:p>
        </w:tc>
      </w:tr>
      <w:tr w:rsidR="00850488" w:rsidRPr="00D27683" w14:paraId="0BD2693C" w14:textId="77777777">
        <w:trPr>
          <w:jc w:val="center"/>
        </w:trPr>
        <w:tc>
          <w:tcPr>
            <w:tcW w:w="2991" w:type="pct"/>
            <w:tcBorders>
              <w:top w:val="none" w:sz="0" w:space="0" w:color="000000"/>
              <w:left w:val="single" w:sz="4" w:space="0" w:color="000000"/>
              <w:bottom w:val="single" w:sz="4" w:space="0" w:color="000000"/>
              <w:right w:val="single" w:sz="4" w:space="0" w:color="000000"/>
            </w:tcBorders>
            <w:tcMar>
              <w:top w:w="0" w:type="dxa"/>
              <w:left w:w="0" w:type="dxa"/>
              <w:bottom w:w="0" w:type="dxa"/>
              <w:right w:w="0" w:type="dxa"/>
            </w:tcMar>
          </w:tcPr>
          <w:p w14:paraId="280AC3DB"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 xml:space="preserve"> ≥10</w:t>
            </w:r>
          </w:p>
        </w:tc>
        <w:tc>
          <w:tcPr>
            <w:tcW w:w="1012" w:type="pct"/>
            <w:tcBorders>
              <w:top w:val="none" w:sz="0" w:space="0" w:color="000000"/>
              <w:left w:val="single" w:sz="4" w:space="0" w:color="000000"/>
              <w:bottom w:val="single" w:sz="4" w:space="0" w:color="000000"/>
              <w:right w:val="single" w:sz="4" w:space="0" w:color="000000"/>
            </w:tcBorders>
            <w:tcMar>
              <w:top w:w="0" w:type="dxa"/>
              <w:left w:w="0" w:type="dxa"/>
              <w:bottom w:w="0" w:type="dxa"/>
              <w:right w:w="0" w:type="dxa"/>
            </w:tcMar>
          </w:tcPr>
          <w:p w14:paraId="400871C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0</w:t>
            </w:r>
          </w:p>
        </w:tc>
        <w:tc>
          <w:tcPr>
            <w:tcW w:w="997" w:type="pct"/>
            <w:tcBorders>
              <w:top w:val="none" w:sz="0" w:space="0" w:color="000000"/>
              <w:left w:val="single" w:sz="4" w:space="0" w:color="000000"/>
              <w:bottom w:val="single" w:sz="4" w:space="0" w:color="000000"/>
              <w:right w:val="single" w:sz="4" w:space="0" w:color="000000"/>
            </w:tcBorders>
            <w:tcMar>
              <w:top w:w="0" w:type="dxa"/>
              <w:left w:w="0" w:type="dxa"/>
              <w:bottom w:w="0" w:type="dxa"/>
              <w:right w:w="0" w:type="dxa"/>
            </w:tcMar>
          </w:tcPr>
          <w:p w14:paraId="1F013170"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sz w:val="20"/>
                <w:szCs w:val="20"/>
              </w:rPr>
            </w:pPr>
            <w:r w:rsidRPr="00D27683">
              <w:rPr>
                <w:rFonts w:ascii="Arial Narrow" w:hAnsi="Arial Narrow"/>
                <w:color w:val="000000"/>
                <w:sz w:val="20"/>
                <w:szCs w:val="20"/>
              </w:rPr>
              <w:t>4 (&lt;1)</w:t>
            </w:r>
          </w:p>
        </w:tc>
      </w:tr>
      <w:tr w:rsidR="00850488" w:rsidRPr="00D27683" w14:paraId="219A01EB" w14:textId="77777777">
        <w:trPr>
          <w:trHeight w:val="58"/>
          <w:jc w:val="center"/>
        </w:trPr>
        <w:tc>
          <w:tcPr>
            <w:tcW w:w="2991" w:type="pct"/>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221BEA95"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eastAsia="Arial Narrow" w:hAnsi="Arial Narrow" w:cs="Arial Narrow"/>
                <w:color w:val="000000"/>
                <w:sz w:val="20"/>
                <w:szCs w:val="20"/>
              </w:rPr>
            </w:pPr>
            <w:r w:rsidRPr="00D27683">
              <w:rPr>
                <w:rFonts w:ascii="Arial Narrow" w:eastAsia="Arial Narrow" w:hAnsi="Arial Narrow" w:cs="Arial Narrow"/>
                <w:color w:val="000000"/>
                <w:sz w:val="20"/>
                <w:szCs w:val="20"/>
              </w:rPr>
              <w:t>Annualised rate of moderate or severe exacerbations (95% CI)</w:t>
            </w:r>
          </w:p>
        </w:tc>
        <w:tc>
          <w:tcPr>
            <w:tcW w:w="1012" w:type="pct"/>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24030A0E"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eastAsia="Arial Narrow" w:hAnsi="Arial Narrow" w:cs="Arial Narrow"/>
                <w:color w:val="000000"/>
                <w:sz w:val="20"/>
                <w:szCs w:val="20"/>
              </w:rPr>
            </w:pPr>
            <w:r w:rsidRPr="00D27683">
              <w:rPr>
                <w:rFonts w:ascii="Arial Narrow" w:hAnsi="Arial Narrow"/>
                <w:color w:val="000000"/>
                <w:sz w:val="20"/>
                <w:szCs w:val="20"/>
              </w:rPr>
              <w:t>0.80 (0.70, 0.91)</w:t>
            </w:r>
          </w:p>
        </w:tc>
        <w:tc>
          <w:tcPr>
            <w:tcW w:w="997" w:type="pct"/>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23A59035"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eastAsia="Arial Narrow" w:hAnsi="Arial Narrow" w:cs="Arial Narrow"/>
                <w:color w:val="000000"/>
                <w:sz w:val="20"/>
                <w:szCs w:val="20"/>
              </w:rPr>
            </w:pPr>
            <w:r w:rsidRPr="00D27683">
              <w:rPr>
                <w:rFonts w:ascii="Arial Narrow" w:hAnsi="Arial Narrow"/>
                <w:color w:val="000000"/>
                <w:sz w:val="20"/>
                <w:szCs w:val="20"/>
              </w:rPr>
              <w:t>1.01 (0.89, 1.15)</w:t>
            </w:r>
          </w:p>
        </w:tc>
      </w:tr>
      <w:tr w:rsidR="00850488" w:rsidRPr="00D27683" w14:paraId="03F93EF2" w14:textId="77777777">
        <w:trPr>
          <w:jc w:val="center"/>
        </w:trPr>
        <w:tc>
          <w:tcPr>
            <w:tcW w:w="2991" w:type="pct"/>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C4864D8"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hAnsi="Arial Narrow"/>
                <w:sz w:val="20"/>
                <w:szCs w:val="20"/>
              </w:rPr>
            </w:pPr>
            <w:r w:rsidRPr="00D27683">
              <w:rPr>
                <w:rFonts w:ascii="Arial Narrow" w:eastAsia="Arial Narrow" w:hAnsi="Arial Narrow" w:cs="Arial Narrow"/>
                <w:color w:val="000000"/>
                <w:sz w:val="20"/>
                <w:szCs w:val="20"/>
              </w:rPr>
              <w:t>Rate ratio (95% CI); p value</w:t>
            </w:r>
          </w:p>
        </w:tc>
        <w:tc>
          <w:tcPr>
            <w:tcW w:w="2009" w:type="pct"/>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0518F74"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b/>
                <w:bCs/>
                <w:sz w:val="20"/>
                <w:szCs w:val="20"/>
              </w:rPr>
            </w:pPr>
            <w:r w:rsidRPr="00D27683">
              <w:rPr>
                <w:rFonts w:ascii="Arial Narrow" w:hAnsi="Arial Narrow"/>
                <w:b/>
                <w:bCs/>
                <w:color w:val="000000"/>
                <w:sz w:val="20"/>
                <w:szCs w:val="20"/>
              </w:rPr>
              <w:t>0.79 (0.66, 0.94); p = 0.011</w:t>
            </w:r>
          </w:p>
        </w:tc>
      </w:tr>
      <w:tr w:rsidR="00057197" w:rsidRPr="00D27683" w14:paraId="2104D9A9" w14:textId="77777777">
        <w:trPr>
          <w:jc w:val="center"/>
        </w:trPr>
        <w:tc>
          <w:tcPr>
            <w:tcW w:w="5000" w:type="pct"/>
            <w:gridSpan w:val="3"/>
            <w:tcBorders>
              <w:top w:val="single" w:sz="4" w:space="0" w:color="auto"/>
              <w:left w:val="single" w:sz="4" w:space="0" w:color="000000"/>
              <w:right w:val="single" w:sz="4" w:space="0" w:color="000000"/>
            </w:tcBorders>
            <w:tcMar>
              <w:top w:w="0" w:type="dxa"/>
              <w:left w:w="0" w:type="dxa"/>
              <w:bottom w:w="0" w:type="dxa"/>
              <w:right w:w="0" w:type="dxa"/>
            </w:tcMar>
          </w:tcPr>
          <w:p w14:paraId="0BF06950"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rPr>
                <w:rFonts w:ascii="Arial Narrow" w:hAnsi="Arial Narrow"/>
                <w:b/>
                <w:bCs/>
                <w:color w:val="000000"/>
                <w:sz w:val="20"/>
                <w:szCs w:val="20"/>
              </w:rPr>
            </w:pPr>
            <w:r w:rsidRPr="00D27683">
              <w:rPr>
                <w:rFonts w:ascii="Arial Narrow" w:hAnsi="Arial Narrow"/>
                <w:b/>
                <w:bCs/>
                <w:color w:val="000000"/>
                <w:sz w:val="20"/>
                <w:szCs w:val="20"/>
              </w:rPr>
              <w:t>Individual components</w:t>
            </w:r>
          </w:p>
        </w:tc>
      </w:tr>
      <w:tr w:rsidR="00850488" w:rsidRPr="00D27683" w14:paraId="703C7272" w14:textId="77777777">
        <w:trPr>
          <w:jc w:val="center"/>
        </w:trPr>
        <w:tc>
          <w:tcPr>
            <w:tcW w:w="2991" w:type="pct"/>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21EF9B1"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5" w:right="45"/>
              <w:rPr>
                <w:rFonts w:ascii="Arial Narrow" w:eastAsia="Arial Narrow" w:hAnsi="Arial Narrow" w:cs="Arial Narrow"/>
                <w:color w:val="000000"/>
                <w:sz w:val="20"/>
                <w:szCs w:val="20"/>
                <w:vertAlign w:val="superscript"/>
              </w:rPr>
            </w:pPr>
            <w:r w:rsidRPr="00D27683">
              <w:rPr>
                <w:rFonts w:ascii="Arial Narrow" w:eastAsia="Arial Narrow" w:hAnsi="Arial Narrow" w:cs="Arial Narrow"/>
                <w:color w:val="000000"/>
                <w:sz w:val="20"/>
                <w:szCs w:val="20"/>
              </w:rPr>
              <w:t xml:space="preserve">Rate ratio </w:t>
            </w:r>
            <w:r w:rsidRPr="00D27683">
              <w:rPr>
                <w:rFonts w:ascii="Arial Narrow" w:hAnsi="Arial Narrow"/>
                <w:sz w:val="20"/>
                <w:szCs w:val="20"/>
              </w:rPr>
              <w:t>for moderate exacerbations</w:t>
            </w:r>
            <w:r w:rsidRPr="00D27683">
              <w:rPr>
                <w:rFonts w:ascii="Arial Narrow" w:eastAsia="Arial Narrow" w:hAnsi="Arial Narrow" w:cs="Arial Narrow"/>
                <w:color w:val="000000"/>
                <w:sz w:val="20"/>
                <w:szCs w:val="20"/>
              </w:rPr>
              <w:t xml:space="preserve"> (95% CI); nominal p </w:t>
            </w:r>
            <w:proofErr w:type="spellStart"/>
            <w:r w:rsidRPr="00D27683">
              <w:rPr>
                <w:rFonts w:ascii="Arial Narrow" w:eastAsia="Arial Narrow" w:hAnsi="Arial Narrow" w:cs="Arial Narrow"/>
                <w:color w:val="000000"/>
                <w:sz w:val="20"/>
                <w:szCs w:val="20"/>
              </w:rPr>
              <w:t>value</w:t>
            </w:r>
            <w:r w:rsidRPr="00D27683">
              <w:rPr>
                <w:rFonts w:ascii="Arial Narrow" w:eastAsia="Arial Narrow" w:hAnsi="Arial Narrow" w:cs="Arial Narrow"/>
                <w:color w:val="000000"/>
                <w:sz w:val="20"/>
                <w:szCs w:val="20"/>
                <w:vertAlign w:val="superscript"/>
              </w:rPr>
              <w:t>b</w:t>
            </w:r>
            <w:proofErr w:type="spellEnd"/>
          </w:p>
        </w:tc>
        <w:tc>
          <w:tcPr>
            <w:tcW w:w="2009" w:type="pct"/>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095DD837" w14:textId="77777777" w:rsidR="008531AE" w:rsidRPr="00D27683" w:rsidRDefault="008531AE" w:rsidP="00135EE0">
            <w:pPr>
              <w:keepNext/>
              <w:pBdr>
                <w:top w:val="none" w:sz="0" w:space="0" w:color="000000"/>
                <w:left w:val="none" w:sz="0" w:space="0" w:color="000000"/>
                <w:bottom w:val="none" w:sz="0" w:space="0" w:color="000000"/>
                <w:right w:val="none" w:sz="0" w:space="0" w:color="000000"/>
              </w:pBdr>
              <w:ind w:left="40" w:right="43"/>
              <w:jc w:val="center"/>
              <w:rPr>
                <w:rFonts w:ascii="Arial Narrow" w:hAnsi="Arial Narrow"/>
                <w:b/>
                <w:bCs/>
                <w:color w:val="000000"/>
                <w:sz w:val="20"/>
                <w:szCs w:val="20"/>
              </w:rPr>
            </w:pPr>
            <w:r w:rsidRPr="00D27683">
              <w:rPr>
                <w:rFonts w:ascii="Arial Narrow" w:hAnsi="Arial Narrow"/>
                <w:b/>
                <w:bCs/>
                <w:color w:val="000000"/>
                <w:sz w:val="20"/>
                <w:szCs w:val="20"/>
              </w:rPr>
              <w:t>0.79 (0.65, 0.96); p = 0.018</w:t>
            </w:r>
          </w:p>
        </w:tc>
      </w:tr>
      <w:tr w:rsidR="00850488" w:rsidRPr="00D27683" w14:paraId="2CF90AF6" w14:textId="77777777">
        <w:trPr>
          <w:jc w:val="center"/>
        </w:trPr>
        <w:tc>
          <w:tcPr>
            <w:tcW w:w="2991" w:type="pct"/>
            <w:tcBorders>
              <w:left w:val="single" w:sz="4" w:space="0" w:color="000000"/>
              <w:bottom w:val="single" w:sz="4" w:space="0" w:color="auto"/>
              <w:right w:val="single" w:sz="4" w:space="0" w:color="000000"/>
            </w:tcBorders>
            <w:tcMar>
              <w:top w:w="0" w:type="dxa"/>
              <w:left w:w="0" w:type="dxa"/>
              <w:bottom w:w="0" w:type="dxa"/>
              <w:right w:w="0" w:type="dxa"/>
            </w:tcMar>
          </w:tcPr>
          <w:p w14:paraId="59FF6FA8" w14:textId="77777777" w:rsidR="008531AE" w:rsidRPr="00D27683" w:rsidRDefault="008531AE" w:rsidP="00135EE0">
            <w:pPr>
              <w:pBdr>
                <w:top w:val="none" w:sz="0" w:space="0" w:color="000000"/>
                <w:left w:val="none" w:sz="0" w:space="0" w:color="000000"/>
                <w:bottom w:val="none" w:sz="0" w:space="0" w:color="000000"/>
                <w:right w:val="none" w:sz="0" w:space="0" w:color="000000"/>
              </w:pBdr>
              <w:ind w:left="45" w:right="45"/>
              <w:rPr>
                <w:rFonts w:ascii="Arial Narrow" w:eastAsia="Arial Narrow" w:hAnsi="Arial Narrow" w:cs="Arial Narrow"/>
                <w:color w:val="000000"/>
                <w:sz w:val="20"/>
                <w:szCs w:val="20"/>
              </w:rPr>
            </w:pPr>
            <w:r w:rsidRPr="00D27683">
              <w:rPr>
                <w:rFonts w:ascii="Arial Narrow" w:eastAsia="Arial Narrow" w:hAnsi="Arial Narrow" w:cs="Arial Narrow"/>
                <w:color w:val="000000"/>
                <w:sz w:val="20"/>
                <w:szCs w:val="20"/>
              </w:rPr>
              <w:t xml:space="preserve">Rate ratio for severe exacerbations (95% CI); nominal p </w:t>
            </w:r>
            <w:proofErr w:type="spellStart"/>
            <w:r w:rsidRPr="00D27683">
              <w:rPr>
                <w:rFonts w:ascii="Arial Narrow" w:eastAsia="Arial Narrow" w:hAnsi="Arial Narrow" w:cs="Arial Narrow"/>
                <w:color w:val="000000"/>
                <w:sz w:val="20"/>
                <w:szCs w:val="20"/>
              </w:rPr>
              <w:t>value</w:t>
            </w:r>
            <w:r w:rsidRPr="00D27683">
              <w:rPr>
                <w:rFonts w:ascii="Arial Narrow" w:eastAsia="Arial Narrow" w:hAnsi="Arial Narrow" w:cs="Arial Narrow"/>
                <w:color w:val="000000"/>
                <w:sz w:val="20"/>
                <w:szCs w:val="20"/>
                <w:vertAlign w:val="superscript"/>
              </w:rPr>
              <w:t>c</w:t>
            </w:r>
            <w:proofErr w:type="spellEnd"/>
          </w:p>
        </w:tc>
        <w:tc>
          <w:tcPr>
            <w:tcW w:w="2009" w:type="pct"/>
            <w:gridSpan w:val="2"/>
            <w:tcBorders>
              <w:left w:val="single" w:sz="4" w:space="0" w:color="000000"/>
              <w:bottom w:val="single" w:sz="4" w:space="0" w:color="auto"/>
              <w:right w:val="single" w:sz="4" w:space="0" w:color="000000"/>
            </w:tcBorders>
            <w:tcMar>
              <w:top w:w="0" w:type="dxa"/>
              <w:left w:w="0" w:type="dxa"/>
              <w:bottom w:w="0" w:type="dxa"/>
              <w:right w:w="0" w:type="dxa"/>
            </w:tcMar>
          </w:tcPr>
          <w:p w14:paraId="376B5DC4" w14:textId="77777777" w:rsidR="008531AE" w:rsidRPr="00D27683" w:rsidRDefault="008531AE" w:rsidP="00135EE0">
            <w:pPr>
              <w:pBdr>
                <w:top w:val="none" w:sz="0" w:space="0" w:color="000000"/>
                <w:left w:val="none" w:sz="0" w:space="0" w:color="000000"/>
                <w:bottom w:val="none" w:sz="0" w:space="0" w:color="000000"/>
                <w:right w:val="none" w:sz="0" w:space="0" w:color="000000"/>
              </w:pBdr>
              <w:ind w:left="40" w:right="43"/>
              <w:jc w:val="center"/>
              <w:rPr>
                <w:rFonts w:ascii="Arial Narrow" w:hAnsi="Arial Narrow"/>
                <w:color w:val="000000"/>
                <w:sz w:val="20"/>
                <w:szCs w:val="20"/>
              </w:rPr>
            </w:pPr>
            <w:r w:rsidRPr="00D27683">
              <w:rPr>
                <w:rFonts w:ascii="Arial Narrow" w:hAnsi="Arial Narrow"/>
                <w:color w:val="000000"/>
                <w:sz w:val="20"/>
                <w:szCs w:val="20"/>
              </w:rPr>
              <w:t>0.66 (0.43, 1.01); p = 0.055</w:t>
            </w:r>
          </w:p>
        </w:tc>
      </w:tr>
    </w:tbl>
    <w:p w14:paraId="69264247" w14:textId="0EFFF065" w:rsidR="008531AE" w:rsidRPr="00D27683" w:rsidRDefault="008531AE" w:rsidP="003338A0">
      <w:pPr>
        <w:pStyle w:val="TableFigureFooter"/>
      </w:pPr>
      <w:r w:rsidRPr="00D27683">
        <w:t>Source: Table 2-17 p80 of the submission</w:t>
      </w:r>
      <w:r w:rsidR="003662BE" w:rsidRPr="00D27683">
        <w:t>.</w:t>
      </w:r>
    </w:p>
    <w:p w14:paraId="7BC97F7F" w14:textId="7E912085" w:rsidR="008531AE" w:rsidRPr="00D27683" w:rsidRDefault="008531AE" w:rsidP="003338A0">
      <w:pPr>
        <w:pStyle w:val="TableFigureFooter"/>
      </w:pPr>
      <w:r w:rsidRPr="00D27683">
        <w:t>CI = confidence interval; FEV</w:t>
      </w:r>
      <w:r w:rsidRPr="00D27683">
        <w:rPr>
          <w:vertAlign w:val="subscript"/>
        </w:rPr>
        <w:t>1</w:t>
      </w:r>
      <w:r w:rsidRPr="00D27683">
        <w:t xml:space="preserve"> = forced expiratory volume in 1 second; mITT = modified intent-to-treat; PBO = placebo</w:t>
      </w:r>
      <w:r w:rsidR="003662BE" w:rsidRPr="00D27683">
        <w:t>.</w:t>
      </w:r>
    </w:p>
    <w:p w14:paraId="7C2D25F1" w14:textId="77777777" w:rsidR="008531AE" w:rsidRPr="00D27683" w:rsidRDefault="008531AE" w:rsidP="003338A0">
      <w:pPr>
        <w:pStyle w:val="TableFigureFooter"/>
      </w:pPr>
      <w:r w:rsidRPr="00D27683">
        <w:rPr>
          <w:vertAlign w:val="superscript"/>
        </w:rPr>
        <w:t xml:space="preserve">a </w:t>
      </w:r>
      <w:r w:rsidRPr="00D27683">
        <w:t xml:space="preserve">Based on the crude annualised rate of exacerbations. </w:t>
      </w:r>
    </w:p>
    <w:p w14:paraId="6B1583A9" w14:textId="5D017C1C" w:rsidR="008531AE" w:rsidRPr="00D27683" w:rsidRDefault="008531AE" w:rsidP="003338A0">
      <w:pPr>
        <w:pStyle w:val="TableFigureFooter"/>
      </w:pPr>
      <w:r w:rsidRPr="00D27683">
        <w:rPr>
          <w:rFonts w:eastAsia="Arial Narrow" w:cs="Arial Narrow"/>
          <w:color w:val="000000"/>
          <w:sz w:val="20"/>
          <w:szCs w:val="20"/>
          <w:vertAlign w:val="superscript"/>
        </w:rPr>
        <w:t>b</w:t>
      </w:r>
      <w:r w:rsidRPr="00D27683" w:rsidDel="009F3CB1">
        <w:t xml:space="preserve"> </w:t>
      </w:r>
      <w:r w:rsidRPr="00D27683">
        <w:t xml:space="preserve">Post hoc analysis. </w:t>
      </w:r>
      <w:r w:rsidR="00BA788B">
        <w:t>No</w:t>
      </w:r>
      <w:r w:rsidR="00673826">
        <w:t>te that these results are derived from post-hoc analyses</w:t>
      </w:r>
      <w:r w:rsidR="00841138">
        <w:t xml:space="preserve"> </w:t>
      </w:r>
      <w:r w:rsidR="00841138" w:rsidRPr="00841138">
        <w:t>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3368E700" w14:textId="31D353F0" w:rsidR="008531AE" w:rsidRPr="00D27683" w:rsidRDefault="008531AE" w:rsidP="003338A0">
      <w:pPr>
        <w:pStyle w:val="TableFigureFooter"/>
      </w:pPr>
      <w:r w:rsidRPr="00D27683">
        <w:rPr>
          <w:vertAlign w:val="superscript"/>
        </w:rPr>
        <w:t xml:space="preserve">c </w:t>
      </w:r>
      <w:r w:rsidRPr="00D27683">
        <w:t>Exploratory analysis</w:t>
      </w:r>
      <w:r w:rsidR="003662BE" w:rsidRPr="00D27683">
        <w:t>.</w:t>
      </w:r>
    </w:p>
    <w:p w14:paraId="5A72C789" w14:textId="77777777" w:rsidR="008531AE" w:rsidRPr="00D27683" w:rsidRDefault="008531AE" w:rsidP="003338A0">
      <w:pPr>
        <w:pStyle w:val="TableFigureFooter"/>
      </w:pPr>
      <w:r w:rsidRPr="00D27683">
        <w:t>Analysis performed using a negative binomial model with covariates of treatment group, geographic region, number of moderate/severe exacerbations in previous year (</w:t>
      </w:r>
      <w:r w:rsidRPr="00D27683">
        <w:rPr>
          <w:rFonts w:ascii="Symbol" w:eastAsia="Symbol" w:hAnsi="Symbol" w:cs="Symbol"/>
        </w:rPr>
        <w:t>£</w:t>
      </w:r>
      <w:r w:rsidRPr="00D27683">
        <w:t xml:space="preserve">2, 3, </w:t>
      </w:r>
      <w:r w:rsidRPr="00D27683">
        <w:rPr>
          <w:rFonts w:ascii="Symbol" w:eastAsia="Symbol" w:hAnsi="Symbol" w:cs="Symbol"/>
        </w:rPr>
        <w:t>³</w:t>
      </w:r>
      <w:r w:rsidRPr="00D27683">
        <w:t>4 as ordinal), baseline % predicted FEV1 and smoking status (current versus former smoker), and with logarithm (time on- and off-treatment) as an offset variable. Estimates based on weighting applied to each level of class variable determined from observed proportions.</w:t>
      </w:r>
    </w:p>
    <w:p w14:paraId="59F108A1" w14:textId="48F74682" w:rsidR="00D576C7" w:rsidRPr="00D27683" w:rsidRDefault="008531AE" w:rsidP="003338A0">
      <w:pPr>
        <w:pStyle w:val="TableFigureFooter"/>
      </w:pPr>
      <w:r w:rsidRPr="00D27683">
        <w:t>Bold indicates a statistically significant difference.</w:t>
      </w:r>
    </w:p>
    <w:p w14:paraId="0C23531B" w14:textId="1B83EA5D" w:rsidR="008531AE" w:rsidRPr="00D27683" w:rsidRDefault="008531AE" w:rsidP="00135EE0">
      <w:pPr>
        <w:pStyle w:val="3-BodyText"/>
        <w:numPr>
          <w:ilvl w:val="1"/>
          <w:numId w:val="1"/>
        </w:numPr>
      </w:pPr>
      <w:r w:rsidRPr="00D27683">
        <w:t xml:space="preserve">The annualised rate of moderate or severe exacerbations during trial follow-up in the placebo arm (1.01) was substantially lower when compared to the rate reported in the 12 months prior to randomisation (unadjusted annualised rate of moderate/severe exacerbation = 2.3). Due to the COVID-19 pandemic, it is possible that stay-at-home and social distancing measures resulted in patients being less exposed to infection triggers. This may have affected the total number of exacerbations events observed in the trial. </w:t>
      </w:r>
      <w:r w:rsidR="00782DCA" w:rsidRPr="006D6FD8">
        <w:rPr>
          <w:iCs/>
        </w:rPr>
        <w:t>The Sub-Committees agreed with the evaluation that this wa</w:t>
      </w:r>
      <w:r w:rsidRPr="006D6FD8">
        <w:rPr>
          <w:iCs/>
        </w:rPr>
        <w:t xml:space="preserve">s unlikely to have affected the difference between treatment arms in the occurrence of </w:t>
      </w:r>
      <w:r w:rsidRPr="006D6FD8">
        <w:rPr>
          <w:iCs/>
        </w:rPr>
        <w:lastRenderedPageBreak/>
        <w:t>moderate/severe exacerbation events</w:t>
      </w:r>
      <w:r w:rsidR="00782DCA" w:rsidRPr="006D6FD8">
        <w:rPr>
          <w:iCs/>
        </w:rPr>
        <w:t>, however considered it remained an uncertainty</w:t>
      </w:r>
      <w:r w:rsidRPr="006D6FD8">
        <w:rPr>
          <w:iCs/>
        </w:rPr>
        <w:t>.</w:t>
      </w:r>
      <w:r w:rsidRPr="00D27683">
        <w:t xml:space="preserve"> </w:t>
      </w:r>
    </w:p>
    <w:p w14:paraId="4237DAE5" w14:textId="28BE05AD" w:rsidR="008531AE" w:rsidRPr="00D27683" w:rsidRDefault="008531AE" w:rsidP="00135EE0">
      <w:pPr>
        <w:pStyle w:val="3-BodyText"/>
        <w:numPr>
          <w:ilvl w:val="1"/>
          <w:numId w:val="1"/>
        </w:numPr>
      </w:pPr>
      <w:r w:rsidRPr="00D27683">
        <w:t>The time to first moderate or severe exacerbation was assessed as a secondary outcome. The Kaplan</w:t>
      </w:r>
      <w:r w:rsidR="00E314E0" w:rsidRPr="00D27683">
        <w:t>-</w:t>
      </w:r>
      <w:r w:rsidRPr="00D27683">
        <w:t>Meier (KM) median time to the first moderate or severe exacerbation was longer in the mepolizumab group (419 days) compared to placebo (321 days). The time to first event analysis showed a statistically significant 23% reduction (</w:t>
      </w:r>
      <w:r w:rsidR="00864739">
        <w:t>hazard ratio [</w:t>
      </w:r>
      <w:r w:rsidR="00864739" w:rsidRPr="00424F99">
        <w:t>HR</w:t>
      </w:r>
      <w:r w:rsidR="00864739">
        <w:t>] =</w:t>
      </w:r>
      <w:r w:rsidR="00864739" w:rsidRPr="00424F99">
        <w:t xml:space="preserve"> 0.77</w:t>
      </w:r>
      <w:r w:rsidR="00864739">
        <w:t>,</w:t>
      </w:r>
      <w:r w:rsidR="00864739" w:rsidRPr="00424F99">
        <w:t xml:space="preserve"> 95%</w:t>
      </w:r>
      <w:r w:rsidR="00864739">
        <w:t xml:space="preserve"> </w:t>
      </w:r>
      <w:r w:rsidR="00864739" w:rsidRPr="00424F99">
        <w:t>CI 0.64</w:t>
      </w:r>
      <w:r w:rsidR="00864739">
        <w:rPr>
          <w:rFonts w:cstheme="minorHAnsi"/>
        </w:rPr>
        <w:t>–</w:t>
      </w:r>
      <w:r w:rsidR="00864739" w:rsidRPr="00424F99">
        <w:t>0.9</w:t>
      </w:r>
      <w:r w:rsidR="002A1F02">
        <w:t>3</w:t>
      </w:r>
      <w:r w:rsidR="00864739">
        <w:t xml:space="preserve">, </w:t>
      </w:r>
      <w:r w:rsidRPr="00D27683">
        <w:t xml:space="preserve">p=0.009) in the hazard of the first exacerbation (moderate/severe exacerbation) event for mepolizumab compared with placebo. The risk was lower in the mepolizumab arm by 8 weeks, with the KM curves remaining divergent for the remainder of the study. </w:t>
      </w:r>
    </w:p>
    <w:p w14:paraId="73D563D9" w14:textId="34DADDD3" w:rsidR="008531AE" w:rsidRPr="006D6FD8" w:rsidRDefault="008531AE" w:rsidP="00135EE0">
      <w:pPr>
        <w:pStyle w:val="3-BodyText"/>
        <w:numPr>
          <w:ilvl w:val="1"/>
          <w:numId w:val="1"/>
        </w:numPr>
        <w:rPr>
          <w:iCs/>
        </w:rPr>
      </w:pPr>
      <w:r w:rsidRPr="00D27683">
        <w:t xml:space="preserve">Treatment with mepolizumab led to a 35% relative reduction (p=0.032) in the annualised rate of exacerbations requiring an </w:t>
      </w:r>
      <w:r w:rsidR="000C7804" w:rsidRPr="00D27683">
        <w:t>emergency department (</w:t>
      </w:r>
      <w:r w:rsidRPr="00D27683">
        <w:t>ED</w:t>
      </w:r>
      <w:r w:rsidR="000C7804" w:rsidRPr="00D27683">
        <w:t>)</w:t>
      </w:r>
      <w:r w:rsidRPr="00D27683">
        <w:t xml:space="preserve"> visit and/or hospitalisation compared with placebo. </w:t>
      </w:r>
      <w:r w:rsidR="001E6053" w:rsidRPr="006D6FD8">
        <w:rPr>
          <w:iCs/>
        </w:rPr>
        <w:t>The evaluation considered that the</w:t>
      </w:r>
      <w:r w:rsidR="001E6053" w:rsidRPr="00D27683">
        <w:t xml:space="preserve"> </w:t>
      </w:r>
      <w:r w:rsidRPr="00D27683">
        <w:t>rate reduction was driven by approximately</w:t>
      </w:r>
      <w:r w:rsidRPr="00D27683">
        <w:rPr>
          <w:rFonts w:eastAsia="Times New Roman"/>
        </w:rPr>
        <w:t> </w:t>
      </w:r>
      <w:r w:rsidRPr="00D27683">
        <w:t>15 patients</w:t>
      </w:r>
      <w:r w:rsidRPr="00D27683">
        <w:rPr>
          <w:rFonts w:eastAsia="Times New Roman"/>
        </w:rPr>
        <w:t> </w:t>
      </w:r>
      <w:r w:rsidRPr="00D27683">
        <w:t>(less than 4% of the total cohort). This suggests that the aggregate benefit is derived from a small subset of patients.</w:t>
      </w:r>
      <w:r w:rsidR="00B216E8" w:rsidRPr="00D27683">
        <w:t xml:space="preserve"> </w:t>
      </w:r>
      <w:r w:rsidR="00B216E8" w:rsidRPr="006D6FD8">
        <w:rPr>
          <w:iCs/>
        </w:rPr>
        <w:t xml:space="preserve">The PSCR </w:t>
      </w:r>
      <w:r w:rsidR="008800E1" w:rsidRPr="006D6FD8">
        <w:rPr>
          <w:iCs/>
        </w:rPr>
        <w:t>considered that this</w:t>
      </w:r>
      <w:r w:rsidR="003D0BAB" w:rsidRPr="00D27683">
        <w:rPr>
          <w:rFonts w:ascii="Calibri" w:eastAsia="Times New Roman" w:hAnsi="Calibri" w:cs="Calibri"/>
          <w:color w:val="000000"/>
          <w:sz w:val="22"/>
        </w:rPr>
        <w:t xml:space="preserve"> </w:t>
      </w:r>
      <w:r w:rsidR="003D0BAB" w:rsidRPr="006D6FD8">
        <w:rPr>
          <w:iCs/>
        </w:rPr>
        <w:t xml:space="preserve">would be an incorrect interpretation of the data which only considered those patients without an exacerbation (risk difference of 4% [17 patients]). Instead, the treatment benefit should be derived from reducing repeat exacerbations in patients who exacerbate frequently. </w:t>
      </w:r>
      <w:r w:rsidR="005B7923" w:rsidRPr="006D6FD8">
        <w:rPr>
          <w:iCs/>
        </w:rPr>
        <w:t>The PSCR argued that</w:t>
      </w:r>
      <w:r w:rsidR="003D0BAB" w:rsidRPr="006D6FD8">
        <w:rPr>
          <w:iCs/>
        </w:rPr>
        <w:t xml:space="preserve"> </w:t>
      </w:r>
      <w:r w:rsidR="005B7923" w:rsidRPr="006D6FD8">
        <w:rPr>
          <w:iCs/>
        </w:rPr>
        <w:t>mepolizumab</w:t>
      </w:r>
      <w:r w:rsidR="003D0BAB" w:rsidRPr="006D6FD8">
        <w:rPr>
          <w:iCs/>
        </w:rPr>
        <w:t xml:space="preserve"> consistently reduced the exacerbation frequency (ED visit/hospitalisation) compared to </w:t>
      </w:r>
      <w:r w:rsidR="005B7923" w:rsidRPr="006D6FD8">
        <w:rPr>
          <w:iCs/>
        </w:rPr>
        <w:t>placebo</w:t>
      </w:r>
      <w:r w:rsidR="003D0BAB" w:rsidRPr="006D6FD8">
        <w:rPr>
          <w:iCs/>
        </w:rPr>
        <w:t>, confirming the clinical benefit is driven by substantially more than 4% of the cohort.</w:t>
      </w:r>
    </w:p>
    <w:p w14:paraId="7DF0DAE8" w14:textId="616C4E34" w:rsidR="00303439" w:rsidRPr="006D6FD8" w:rsidRDefault="00303439" w:rsidP="00135EE0">
      <w:pPr>
        <w:pStyle w:val="3-BodyText"/>
        <w:numPr>
          <w:ilvl w:val="1"/>
          <w:numId w:val="1"/>
        </w:numPr>
        <w:rPr>
          <w:iCs/>
        </w:rPr>
      </w:pPr>
      <w:r w:rsidRPr="006D6FD8">
        <w:rPr>
          <w:iCs/>
        </w:rPr>
        <w:fldChar w:fldCharType="begin"/>
      </w:r>
      <w:r w:rsidRPr="006D6FD8">
        <w:rPr>
          <w:iCs/>
        </w:rPr>
        <w:instrText xml:space="preserve"> REF _Ref222113499 \h </w:instrText>
      </w:r>
      <w:r w:rsidR="00B216E8" w:rsidRPr="006D6FD8">
        <w:rPr>
          <w:iCs/>
        </w:rPr>
        <w:instrText xml:space="preserve"> \* MERGEFORMAT </w:instrText>
      </w:r>
      <w:r w:rsidRPr="006D6FD8">
        <w:rPr>
          <w:iCs/>
        </w:rPr>
      </w:r>
      <w:r w:rsidRPr="006D6FD8">
        <w:rPr>
          <w:iCs/>
        </w:rPr>
        <w:fldChar w:fldCharType="separate"/>
      </w:r>
      <w:r w:rsidR="00733955" w:rsidRPr="006D6FD8" w:rsidDel="00774A72">
        <w:rPr>
          <w:iCs/>
        </w:rPr>
        <w:t xml:space="preserve">Table </w:t>
      </w:r>
      <w:r w:rsidR="00733955" w:rsidRPr="006D6FD8" w:rsidDel="00774A72">
        <w:rPr>
          <w:iCs/>
          <w:noProof/>
        </w:rPr>
        <w:t>5</w:t>
      </w:r>
      <w:r w:rsidRPr="006D6FD8">
        <w:rPr>
          <w:iCs/>
        </w:rPr>
        <w:fldChar w:fldCharType="end"/>
      </w:r>
      <w:r w:rsidRPr="006D6FD8">
        <w:rPr>
          <w:iCs/>
        </w:rPr>
        <w:t xml:space="preserve"> shows the </w:t>
      </w:r>
      <w:r w:rsidR="00A57512" w:rsidRPr="006D6FD8">
        <w:rPr>
          <w:iCs/>
        </w:rPr>
        <w:t>exacerbation rates in patients across the MATINEE, METREX and METREO trials, and pooled results</w:t>
      </w:r>
      <w:r w:rsidR="0067162A" w:rsidRPr="006D6FD8">
        <w:rPr>
          <w:iCs/>
        </w:rPr>
        <w:t xml:space="preserve"> (as noted in the PSCR, p3)</w:t>
      </w:r>
      <w:r w:rsidR="00A57512" w:rsidRPr="006D6FD8">
        <w:rPr>
          <w:iCs/>
        </w:rPr>
        <w:t xml:space="preserve">. </w:t>
      </w:r>
    </w:p>
    <w:p w14:paraId="72A19608" w14:textId="228D0BD4" w:rsidR="004C10F6" w:rsidRPr="006D6FD8" w:rsidRDefault="004C10F6" w:rsidP="00135EE0">
      <w:pPr>
        <w:pStyle w:val="Caption"/>
        <w:rPr>
          <w:iCs/>
        </w:rPr>
      </w:pPr>
      <w:bookmarkStart w:id="84" w:name="_Ref222113499"/>
      <w:r w:rsidRPr="006D6FD8">
        <w:rPr>
          <w:iCs/>
        </w:rPr>
        <w:t xml:space="preserve">Table </w:t>
      </w:r>
      <w:r w:rsidRPr="006D6FD8">
        <w:rPr>
          <w:iCs/>
        </w:rPr>
        <w:fldChar w:fldCharType="begin"/>
      </w:r>
      <w:r w:rsidRPr="006D6FD8">
        <w:rPr>
          <w:iCs/>
        </w:rPr>
        <w:instrText xml:space="preserve"> SEQ Table \* ARABIC </w:instrText>
      </w:r>
      <w:r w:rsidRPr="006D6FD8">
        <w:rPr>
          <w:iCs/>
        </w:rPr>
        <w:fldChar w:fldCharType="separate"/>
      </w:r>
      <w:r w:rsidR="00FA28CE">
        <w:rPr>
          <w:iCs/>
          <w:noProof/>
        </w:rPr>
        <w:t>5</w:t>
      </w:r>
      <w:r w:rsidRPr="006D6FD8">
        <w:rPr>
          <w:iCs/>
        </w:rPr>
        <w:fldChar w:fldCharType="end"/>
      </w:r>
      <w:bookmarkEnd w:id="84"/>
      <w:r w:rsidRPr="006D6FD8">
        <w:rPr>
          <w:iCs/>
        </w:rPr>
        <w:t>: Moderate/severe exacerbations in patients with screening BEC ≥300 cells/μL - MATINEE, METREX, METREO</w:t>
      </w:r>
    </w:p>
    <w:tbl>
      <w:tblPr>
        <w:tblStyle w:val="TableGrid"/>
        <w:tblW w:w="5000" w:type="pct"/>
        <w:tblCellMar>
          <w:left w:w="57" w:type="dxa"/>
          <w:right w:w="57" w:type="dxa"/>
        </w:tblCellMar>
        <w:tblLook w:val="04A0" w:firstRow="1" w:lastRow="0" w:firstColumn="1" w:lastColumn="0" w:noHBand="0" w:noVBand="1"/>
        <w:tblCaption w:val="Table 5: Moderate/severe exacerbations in patients with screening BEC ≥300 cells/μL - MATINEE, METREX, METREO"/>
      </w:tblPr>
      <w:tblGrid>
        <w:gridCol w:w="1696"/>
        <w:gridCol w:w="915"/>
        <w:gridCol w:w="916"/>
        <w:gridCol w:w="914"/>
        <w:gridCol w:w="916"/>
        <w:gridCol w:w="914"/>
        <w:gridCol w:w="916"/>
        <w:gridCol w:w="914"/>
        <w:gridCol w:w="916"/>
      </w:tblGrid>
      <w:tr w:rsidR="00F75BF5" w:rsidRPr="006D6FD8" w14:paraId="0B5B1219" w14:textId="688BE4F0" w:rsidTr="0058109F">
        <w:tc>
          <w:tcPr>
            <w:tcW w:w="940" w:type="pct"/>
          </w:tcPr>
          <w:p w14:paraId="5EEC6E25" w14:textId="77777777" w:rsidR="00DB5697" w:rsidRPr="006D6FD8" w:rsidRDefault="00DB5697" w:rsidP="00135EE0">
            <w:pPr>
              <w:rPr>
                <w:rFonts w:ascii="Arial Narrow" w:hAnsi="Arial Narrow"/>
                <w:iCs/>
                <w:sz w:val="18"/>
                <w:szCs w:val="18"/>
              </w:rPr>
            </w:pPr>
          </w:p>
        </w:tc>
        <w:tc>
          <w:tcPr>
            <w:tcW w:w="1015" w:type="pct"/>
            <w:gridSpan w:val="2"/>
            <w:vAlign w:val="center"/>
          </w:tcPr>
          <w:p w14:paraId="54ECD030" w14:textId="27A2B889" w:rsidR="00DB5697" w:rsidRPr="006D6FD8" w:rsidRDefault="00DB5697" w:rsidP="00135EE0">
            <w:pPr>
              <w:jc w:val="center"/>
              <w:rPr>
                <w:rFonts w:ascii="Arial Narrow" w:hAnsi="Arial Narrow"/>
                <w:b/>
                <w:bCs/>
                <w:iCs/>
                <w:sz w:val="18"/>
                <w:szCs w:val="18"/>
                <w:vertAlign w:val="superscript"/>
              </w:rPr>
            </w:pPr>
            <w:proofErr w:type="spellStart"/>
            <w:r w:rsidRPr="006D6FD8">
              <w:rPr>
                <w:rFonts w:ascii="Arial Narrow" w:hAnsi="Arial Narrow"/>
                <w:b/>
                <w:bCs/>
                <w:iCs/>
                <w:sz w:val="18"/>
                <w:szCs w:val="18"/>
              </w:rPr>
              <w:t>MATINEE</w:t>
            </w:r>
            <w:r w:rsidRPr="006D6FD8">
              <w:rPr>
                <w:rFonts w:ascii="Arial Narrow" w:hAnsi="Arial Narrow"/>
                <w:b/>
                <w:bCs/>
                <w:iCs/>
                <w:sz w:val="18"/>
                <w:szCs w:val="18"/>
                <w:vertAlign w:val="superscript"/>
              </w:rPr>
              <w:t>a</w:t>
            </w:r>
            <w:proofErr w:type="spellEnd"/>
          </w:p>
        </w:tc>
        <w:tc>
          <w:tcPr>
            <w:tcW w:w="1015" w:type="pct"/>
            <w:gridSpan w:val="2"/>
            <w:vAlign w:val="center"/>
          </w:tcPr>
          <w:p w14:paraId="1DB1CDC7" w14:textId="3C26CB40" w:rsidR="00DB5697" w:rsidRPr="006D6FD8" w:rsidRDefault="00DB5697" w:rsidP="00135EE0">
            <w:pPr>
              <w:jc w:val="center"/>
              <w:rPr>
                <w:rFonts w:ascii="Arial Narrow" w:hAnsi="Arial Narrow"/>
                <w:b/>
                <w:bCs/>
                <w:iCs/>
                <w:sz w:val="18"/>
                <w:szCs w:val="18"/>
                <w:vertAlign w:val="superscript"/>
              </w:rPr>
            </w:pPr>
            <w:proofErr w:type="spellStart"/>
            <w:r w:rsidRPr="006D6FD8">
              <w:rPr>
                <w:rFonts w:ascii="Arial Narrow" w:hAnsi="Arial Narrow"/>
                <w:b/>
                <w:bCs/>
                <w:iCs/>
                <w:sz w:val="18"/>
                <w:szCs w:val="18"/>
              </w:rPr>
              <w:t>METERO</w:t>
            </w:r>
            <w:r w:rsidRPr="006D6FD8">
              <w:rPr>
                <w:rFonts w:ascii="Arial Narrow" w:hAnsi="Arial Narrow"/>
                <w:b/>
                <w:bCs/>
                <w:iCs/>
                <w:sz w:val="18"/>
                <w:szCs w:val="18"/>
                <w:vertAlign w:val="superscript"/>
              </w:rPr>
              <w:t>b</w:t>
            </w:r>
            <w:proofErr w:type="spellEnd"/>
          </w:p>
        </w:tc>
        <w:tc>
          <w:tcPr>
            <w:tcW w:w="1015" w:type="pct"/>
            <w:gridSpan w:val="2"/>
            <w:vAlign w:val="center"/>
          </w:tcPr>
          <w:p w14:paraId="55752D63" w14:textId="6FFFB78C" w:rsidR="00DB5697" w:rsidRPr="006D6FD8" w:rsidRDefault="00DB5697" w:rsidP="00135EE0">
            <w:pPr>
              <w:jc w:val="center"/>
              <w:rPr>
                <w:rFonts w:ascii="Arial Narrow" w:hAnsi="Arial Narrow"/>
                <w:b/>
                <w:bCs/>
                <w:iCs/>
                <w:sz w:val="18"/>
                <w:szCs w:val="18"/>
                <w:vertAlign w:val="superscript"/>
              </w:rPr>
            </w:pPr>
            <w:proofErr w:type="spellStart"/>
            <w:r w:rsidRPr="006D6FD8">
              <w:rPr>
                <w:rFonts w:ascii="Arial Narrow" w:hAnsi="Arial Narrow"/>
                <w:b/>
                <w:bCs/>
                <w:iCs/>
                <w:sz w:val="18"/>
                <w:szCs w:val="18"/>
              </w:rPr>
              <w:t>METRE</w:t>
            </w:r>
            <w:r w:rsidR="00E74BDB" w:rsidRPr="006D6FD8">
              <w:rPr>
                <w:rFonts w:ascii="Arial Narrow" w:hAnsi="Arial Narrow"/>
                <w:b/>
                <w:bCs/>
                <w:iCs/>
                <w:sz w:val="18"/>
                <w:szCs w:val="18"/>
              </w:rPr>
              <w:t>X</w:t>
            </w:r>
            <w:r w:rsidRPr="006D6FD8">
              <w:rPr>
                <w:rFonts w:ascii="Arial Narrow" w:hAnsi="Arial Narrow"/>
                <w:b/>
                <w:bCs/>
                <w:iCs/>
                <w:sz w:val="18"/>
                <w:szCs w:val="18"/>
                <w:vertAlign w:val="superscript"/>
              </w:rPr>
              <w:t>b</w:t>
            </w:r>
            <w:proofErr w:type="spellEnd"/>
          </w:p>
        </w:tc>
        <w:tc>
          <w:tcPr>
            <w:tcW w:w="1015" w:type="pct"/>
            <w:gridSpan w:val="2"/>
            <w:vAlign w:val="center"/>
          </w:tcPr>
          <w:p w14:paraId="59DAADB8" w14:textId="2C3FE8A6" w:rsidR="00DB5697" w:rsidRPr="006D6FD8" w:rsidRDefault="00DB5697" w:rsidP="00135EE0">
            <w:pPr>
              <w:jc w:val="center"/>
              <w:rPr>
                <w:rFonts w:ascii="Arial Narrow" w:hAnsi="Arial Narrow"/>
                <w:b/>
                <w:bCs/>
                <w:iCs/>
                <w:sz w:val="18"/>
                <w:szCs w:val="18"/>
                <w:vertAlign w:val="superscript"/>
              </w:rPr>
            </w:pPr>
            <w:proofErr w:type="spellStart"/>
            <w:r w:rsidRPr="006D6FD8">
              <w:rPr>
                <w:rFonts w:ascii="Arial Narrow" w:hAnsi="Arial Narrow"/>
                <w:b/>
                <w:bCs/>
                <w:iCs/>
                <w:sz w:val="18"/>
                <w:szCs w:val="18"/>
              </w:rPr>
              <w:t>Pooled</w:t>
            </w:r>
            <w:r w:rsidRPr="006D6FD8">
              <w:rPr>
                <w:rFonts w:ascii="Arial Narrow" w:hAnsi="Arial Narrow"/>
                <w:b/>
                <w:bCs/>
                <w:iCs/>
                <w:sz w:val="18"/>
                <w:szCs w:val="18"/>
                <w:vertAlign w:val="superscript"/>
              </w:rPr>
              <w:t>c</w:t>
            </w:r>
            <w:proofErr w:type="spellEnd"/>
          </w:p>
        </w:tc>
      </w:tr>
      <w:tr w:rsidR="00FD2FC3" w:rsidRPr="006D6FD8" w14:paraId="30566CE9" w14:textId="06AF747E" w:rsidTr="0058109F">
        <w:tc>
          <w:tcPr>
            <w:tcW w:w="940" w:type="pct"/>
          </w:tcPr>
          <w:p w14:paraId="3FD20879" w14:textId="467C0827" w:rsidR="007C21BC" w:rsidRPr="006D6FD8" w:rsidRDefault="007C21BC" w:rsidP="00135EE0">
            <w:pPr>
              <w:rPr>
                <w:rFonts w:ascii="Arial Narrow" w:hAnsi="Arial Narrow"/>
                <w:iCs/>
                <w:sz w:val="18"/>
                <w:szCs w:val="18"/>
              </w:rPr>
            </w:pPr>
          </w:p>
        </w:tc>
        <w:tc>
          <w:tcPr>
            <w:tcW w:w="507" w:type="pct"/>
          </w:tcPr>
          <w:p w14:paraId="779BD70E" w14:textId="39809E45"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PBO (N=401)</w:t>
            </w:r>
          </w:p>
        </w:tc>
        <w:tc>
          <w:tcPr>
            <w:tcW w:w="508" w:type="pct"/>
          </w:tcPr>
          <w:p w14:paraId="309630C5" w14:textId="16448DD8"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MEPO (N=403)</w:t>
            </w:r>
          </w:p>
        </w:tc>
        <w:tc>
          <w:tcPr>
            <w:tcW w:w="507" w:type="pct"/>
          </w:tcPr>
          <w:p w14:paraId="0CD9B2A3" w14:textId="5F02439A"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PBO (N=87)</w:t>
            </w:r>
          </w:p>
        </w:tc>
        <w:tc>
          <w:tcPr>
            <w:tcW w:w="508" w:type="pct"/>
          </w:tcPr>
          <w:p w14:paraId="5E1031A1" w14:textId="74E84442"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MEPO (N=83)</w:t>
            </w:r>
          </w:p>
        </w:tc>
        <w:tc>
          <w:tcPr>
            <w:tcW w:w="507" w:type="pct"/>
          </w:tcPr>
          <w:p w14:paraId="2E4CE7D9" w14:textId="0D8F859A"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PBO (N=90)</w:t>
            </w:r>
          </w:p>
        </w:tc>
        <w:tc>
          <w:tcPr>
            <w:tcW w:w="508" w:type="pct"/>
          </w:tcPr>
          <w:p w14:paraId="16A6CC1E" w14:textId="56050E88"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MEPO (N=82)</w:t>
            </w:r>
          </w:p>
        </w:tc>
        <w:tc>
          <w:tcPr>
            <w:tcW w:w="507" w:type="pct"/>
          </w:tcPr>
          <w:p w14:paraId="17F15785" w14:textId="1B0B49FB"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PBO (N=578)</w:t>
            </w:r>
          </w:p>
        </w:tc>
        <w:tc>
          <w:tcPr>
            <w:tcW w:w="508" w:type="pct"/>
          </w:tcPr>
          <w:p w14:paraId="20B73AC5" w14:textId="1B21DC1B" w:rsidR="007C21BC" w:rsidRPr="006D6FD8" w:rsidRDefault="007C21BC" w:rsidP="00135EE0">
            <w:pPr>
              <w:jc w:val="center"/>
              <w:rPr>
                <w:rFonts w:ascii="Arial Narrow" w:hAnsi="Arial Narrow"/>
                <w:b/>
                <w:bCs/>
                <w:iCs/>
                <w:sz w:val="18"/>
                <w:szCs w:val="18"/>
              </w:rPr>
            </w:pPr>
            <w:r w:rsidRPr="006D6FD8">
              <w:rPr>
                <w:rFonts w:ascii="Arial Narrow" w:hAnsi="Arial Narrow"/>
                <w:b/>
                <w:bCs/>
                <w:iCs/>
                <w:sz w:val="18"/>
                <w:szCs w:val="18"/>
              </w:rPr>
              <w:t>MEPO (N=568</w:t>
            </w:r>
          </w:p>
        </w:tc>
      </w:tr>
      <w:tr w:rsidR="00FD2FC3" w:rsidRPr="006D6FD8" w14:paraId="5768F062" w14:textId="01116C59" w:rsidTr="0058109F">
        <w:tc>
          <w:tcPr>
            <w:tcW w:w="940" w:type="pct"/>
          </w:tcPr>
          <w:p w14:paraId="02DFC5B9" w14:textId="7965CC81" w:rsidR="007C21BC" w:rsidRPr="006D6FD8" w:rsidRDefault="007C21BC" w:rsidP="00135EE0">
            <w:pPr>
              <w:rPr>
                <w:rFonts w:ascii="Arial Narrow" w:hAnsi="Arial Narrow"/>
                <w:iCs/>
                <w:sz w:val="18"/>
                <w:szCs w:val="18"/>
              </w:rPr>
            </w:pPr>
            <w:r w:rsidRPr="006D6FD8">
              <w:rPr>
                <w:rFonts w:ascii="Arial Narrow" w:hAnsi="Arial Narrow"/>
                <w:iCs/>
                <w:sz w:val="18"/>
                <w:szCs w:val="18"/>
              </w:rPr>
              <w:t>Exacerbations rate/year</w:t>
            </w:r>
          </w:p>
        </w:tc>
        <w:tc>
          <w:tcPr>
            <w:tcW w:w="507" w:type="pct"/>
          </w:tcPr>
          <w:p w14:paraId="5DB0F3DE" w14:textId="7D05BAF1"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1.01</w:t>
            </w:r>
          </w:p>
        </w:tc>
        <w:tc>
          <w:tcPr>
            <w:tcW w:w="508" w:type="pct"/>
          </w:tcPr>
          <w:p w14:paraId="68886530" w14:textId="5FE1A629"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0.80</w:t>
            </w:r>
          </w:p>
        </w:tc>
        <w:tc>
          <w:tcPr>
            <w:tcW w:w="507" w:type="pct"/>
          </w:tcPr>
          <w:p w14:paraId="539ED59A" w14:textId="6EB06169"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1.43</w:t>
            </w:r>
          </w:p>
        </w:tc>
        <w:tc>
          <w:tcPr>
            <w:tcW w:w="508" w:type="pct"/>
          </w:tcPr>
          <w:p w14:paraId="0262F46D" w14:textId="7F95F645"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1.22</w:t>
            </w:r>
          </w:p>
        </w:tc>
        <w:tc>
          <w:tcPr>
            <w:tcW w:w="507" w:type="pct"/>
          </w:tcPr>
          <w:p w14:paraId="29479B2B" w14:textId="3715C275"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1.94</w:t>
            </w:r>
          </w:p>
        </w:tc>
        <w:tc>
          <w:tcPr>
            <w:tcW w:w="508" w:type="pct"/>
          </w:tcPr>
          <w:p w14:paraId="0F7555C2" w14:textId="58D1D30D"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1.32</w:t>
            </w:r>
          </w:p>
        </w:tc>
        <w:tc>
          <w:tcPr>
            <w:tcW w:w="507" w:type="pct"/>
          </w:tcPr>
          <w:p w14:paraId="23679AAB" w14:textId="049A7DAE"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1.25</w:t>
            </w:r>
          </w:p>
        </w:tc>
        <w:tc>
          <w:tcPr>
            <w:tcW w:w="508" w:type="pct"/>
          </w:tcPr>
          <w:p w14:paraId="58A54585" w14:textId="35D43B87" w:rsidR="007C21BC" w:rsidRPr="006D6FD8" w:rsidRDefault="007C21BC" w:rsidP="00135EE0">
            <w:pPr>
              <w:jc w:val="center"/>
              <w:rPr>
                <w:rFonts w:ascii="Arial Narrow" w:hAnsi="Arial Narrow"/>
                <w:iCs/>
                <w:sz w:val="18"/>
                <w:szCs w:val="18"/>
              </w:rPr>
            </w:pPr>
            <w:r w:rsidRPr="006D6FD8">
              <w:rPr>
                <w:rFonts w:ascii="Arial Narrow" w:hAnsi="Arial Narrow"/>
                <w:iCs/>
                <w:sz w:val="18"/>
                <w:szCs w:val="18"/>
              </w:rPr>
              <w:t>0.98</w:t>
            </w:r>
          </w:p>
        </w:tc>
      </w:tr>
      <w:tr w:rsidR="000C214C" w:rsidRPr="006D6FD8" w14:paraId="4A26A7C2" w14:textId="1DA70CCF" w:rsidTr="0058109F">
        <w:tc>
          <w:tcPr>
            <w:tcW w:w="940" w:type="pct"/>
          </w:tcPr>
          <w:p w14:paraId="7E9CFC36" w14:textId="124E0AD5" w:rsidR="00FD7DE1" w:rsidRPr="006D6FD8" w:rsidRDefault="00FD7DE1" w:rsidP="00135EE0">
            <w:pPr>
              <w:rPr>
                <w:rFonts w:ascii="Arial Narrow" w:hAnsi="Arial Narrow"/>
                <w:iCs/>
                <w:sz w:val="18"/>
                <w:szCs w:val="18"/>
              </w:rPr>
            </w:pPr>
            <w:r w:rsidRPr="006D6FD8">
              <w:rPr>
                <w:rFonts w:ascii="Arial Narrow" w:hAnsi="Arial Narrow"/>
                <w:iCs/>
                <w:sz w:val="18"/>
                <w:szCs w:val="18"/>
              </w:rPr>
              <w:t>Rate ratio (95% CI)</w:t>
            </w:r>
          </w:p>
        </w:tc>
        <w:tc>
          <w:tcPr>
            <w:tcW w:w="1015" w:type="pct"/>
            <w:gridSpan w:val="2"/>
          </w:tcPr>
          <w:p w14:paraId="634BE68A" w14:textId="29FC702D" w:rsidR="00FD7DE1" w:rsidRPr="006D6FD8" w:rsidRDefault="00FD7DE1" w:rsidP="00135EE0">
            <w:pPr>
              <w:jc w:val="center"/>
              <w:rPr>
                <w:rFonts w:ascii="Arial Narrow" w:hAnsi="Arial Narrow"/>
                <w:iCs/>
                <w:sz w:val="18"/>
                <w:szCs w:val="18"/>
              </w:rPr>
            </w:pPr>
            <w:r w:rsidRPr="006D6FD8">
              <w:rPr>
                <w:rFonts w:ascii="Arial Narrow" w:hAnsi="Arial Narrow"/>
                <w:iCs/>
                <w:sz w:val="18"/>
                <w:szCs w:val="18"/>
              </w:rPr>
              <w:t>0.79 (0.66, 0.94)</w:t>
            </w:r>
          </w:p>
        </w:tc>
        <w:tc>
          <w:tcPr>
            <w:tcW w:w="1015" w:type="pct"/>
            <w:gridSpan w:val="2"/>
          </w:tcPr>
          <w:p w14:paraId="0BAA0DCB" w14:textId="546848C9" w:rsidR="00FD7DE1" w:rsidRPr="006D6FD8" w:rsidRDefault="00FD7DE1" w:rsidP="00135EE0">
            <w:pPr>
              <w:jc w:val="center"/>
              <w:rPr>
                <w:rFonts w:ascii="Arial Narrow" w:hAnsi="Arial Narrow"/>
                <w:iCs/>
                <w:sz w:val="18"/>
                <w:szCs w:val="18"/>
              </w:rPr>
            </w:pPr>
            <w:r w:rsidRPr="006D6FD8">
              <w:rPr>
                <w:rFonts w:ascii="Arial Narrow" w:hAnsi="Arial Narrow"/>
                <w:iCs/>
                <w:sz w:val="18"/>
                <w:szCs w:val="18"/>
              </w:rPr>
              <w:t>0.85 (0.59, 1.22)</w:t>
            </w:r>
          </w:p>
        </w:tc>
        <w:tc>
          <w:tcPr>
            <w:tcW w:w="1015" w:type="pct"/>
            <w:gridSpan w:val="2"/>
          </w:tcPr>
          <w:p w14:paraId="48FDC2CA" w14:textId="3FBD2A13" w:rsidR="00FD7DE1" w:rsidRPr="006D6FD8" w:rsidRDefault="00FD7DE1" w:rsidP="00135EE0">
            <w:pPr>
              <w:jc w:val="center"/>
              <w:rPr>
                <w:rFonts w:ascii="Arial Narrow" w:hAnsi="Arial Narrow"/>
                <w:iCs/>
                <w:sz w:val="18"/>
                <w:szCs w:val="18"/>
              </w:rPr>
            </w:pPr>
            <w:r w:rsidRPr="006D6FD8">
              <w:rPr>
                <w:rFonts w:ascii="Arial Narrow" w:hAnsi="Arial Narrow"/>
                <w:iCs/>
                <w:sz w:val="18"/>
                <w:szCs w:val="18"/>
              </w:rPr>
              <w:t>0.68 (0.50, 0.92)</w:t>
            </w:r>
          </w:p>
        </w:tc>
        <w:tc>
          <w:tcPr>
            <w:tcW w:w="1015" w:type="pct"/>
            <w:gridSpan w:val="2"/>
          </w:tcPr>
          <w:p w14:paraId="2CA32B74" w14:textId="5703F9B0" w:rsidR="00FD7DE1" w:rsidRPr="006D6FD8" w:rsidRDefault="00FD7DE1" w:rsidP="00135EE0">
            <w:pPr>
              <w:jc w:val="center"/>
              <w:rPr>
                <w:rFonts w:ascii="Arial Narrow" w:hAnsi="Arial Narrow"/>
                <w:iCs/>
                <w:sz w:val="18"/>
                <w:szCs w:val="18"/>
              </w:rPr>
            </w:pPr>
            <w:r w:rsidRPr="006D6FD8">
              <w:rPr>
                <w:rFonts w:ascii="Arial Narrow" w:hAnsi="Arial Narrow"/>
                <w:iCs/>
                <w:sz w:val="18"/>
                <w:szCs w:val="18"/>
              </w:rPr>
              <w:t>0.79 (0.68, 0.91)</w:t>
            </w:r>
          </w:p>
        </w:tc>
      </w:tr>
    </w:tbl>
    <w:p w14:paraId="21B0E8BB" w14:textId="0BD8934B" w:rsidR="00296DC6" w:rsidRPr="006D6FD8" w:rsidRDefault="00296DC6" w:rsidP="003338A0">
      <w:pPr>
        <w:pStyle w:val="TableFigureFooter"/>
      </w:pPr>
      <w:r w:rsidRPr="006D6FD8">
        <w:t xml:space="preserve">Source: </w:t>
      </w:r>
      <w:r w:rsidR="009878EC" w:rsidRPr="006D6FD8">
        <w:t xml:space="preserve">Table 1. </w:t>
      </w:r>
      <w:r w:rsidRPr="006D6FD8">
        <w:t xml:space="preserve">PSCR </w:t>
      </w:r>
    </w:p>
    <w:p w14:paraId="528B8FC9" w14:textId="3AE4870E" w:rsidR="0058109F" w:rsidRPr="006D6FD8" w:rsidRDefault="0058109F" w:rsidP="003338A0">
      <w:pPr>
        <w:pStyle w:val="TableFigureFooter"/>
      </w:pPr>
      <w:r w:rsidRPr="006D6FD8">
        <w:t>Abbreviations</w:t>
      </w:r>
      <w:r w:rsidRPr="006D6FD8">
        <w:rPr>
          <w:b/>
          <w:bCs/>
        </w:rPr>
        <w:t xml:space="preserve">: </w:t>
      </w:r>
      <w:r w:rsidRPr="006D6FD8">
        <w:t>BEC = blood eosinophil count; CI = confidence interval; MEPO = mepolizumab; PBO = placebo</w:t>
      </w:r>
    </w:p>
    <w:p w14:paraId="49C1CB18" w14:textId="46CD7197" w:rsidR="00296DC6" w:rsidRPr="006D6FD8" w:rsidRDefault="00415D10" w:rsidP="003338A0">
      <w:pPr>
        <w:pStyle w:val="TableFigureFooter"/>
      </w:pPr>
      <w:r w:rsidRPr="006D6FD8">
        <w:t xml:space="preserve">a </w:t>
      </w:r>
      <w:r w:rsidR="00296DC6" w:rsidRPr="006D6FD8">
        <w:t xml:space="preserve">Sciurba et al (2025) </w:t>
      </w:r>
    </w:p>
    <w:p w14:paraId="7B3E5073" w14:textId="799C8067" w:rsidR="00296DC6" w:rsidRPr="006D6FD8" w:rsidRDefault="00415D10" w:rsidP="003338A0">
      <w:pPr>
        <w:pStyle w:val="TableFigureFooter"/>
      </w:pPr>
      <w:r w:rsidRPr="006D6FD8">
        <w:t xml:space="preserve">b </w:t>
      </w:r>
      <w:r w:rsidR="00DB5697" w:rsidRPr="006D6FD8">
        <w:t>Sponsor</w:t>
      </w:r>
      <w:r w:rsidR="00296DC6" w:rsidRPr="006D6FD8">
        <w:t xml:space="preserve"> Data on File</w:t>
      </w:r>
      <w:r w:rsidR="00936D6A">
        <w:t>.</w:t>
      </w:r>
      <w:r w:rsidR="00CE09CF">
        <w:t xml:space="preserve"> Note that the</w:t>
      </w:r>
      <w:r w:rsidR="0095084A">
        <w:t xml:space="preserve"> </w:t>
      </w:r>
      <w:r w:rsidR="00294D74">
        <w:t>results in Table 5 are derived from</w:t>
      </w:r>
      <w:r w:rsidR="00CE09CF">
        <w:t xml:space="preserve"> </w:t>
      </w:r>
      <w:r w:rsidR="0095084A">
        <w:t>p</w:t>
      </w:r>
      <w:r w:rsidR="00CE09CF" w:rsidRPr="00CE09CF">
        <w:t>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rsidR="005D45D2">
        <w:t>.</w:t>
      </w:r>
    </w:p>
    <w:p w14:paraId="02CE7B4E" w14:textId="324532C3" w:rsidR="004C10F6" w:rsidRPr="006D6FD8" w:rsidRDefault="00415D10" w:rsidP="003338A0">
      <w:pPr>
        <w:pStyle w:val="TableFigureFooter"/>
      </w:pPr>
      <w:r w:rsidRPr="006D6FD8">
        <w:t xml:space="preserve">c </w:t>
      </w:r>
      <w:proofErr w:type="spellStart"/>
      <w:r w:rsidR="00296DC6" w:rsidRPr="006D6FD8">
        <w:t>Vogelmeir</w:t>
      </w:r>
      <w:proofErr w:type="spellEnd"/>
      <w:r w:rsidR="00296DC6" w:rsidRPr="006D6FD8">
        <w:t xml:space="preserve"> et al (2025)</w:t>
      </w:r>
    </w:p>
    <w:p w14:paraId="5C6461CF" w14:textId="4E3061B0" w:rsidR="008531AE" w:rsidRPr="00D27683" w:rsidRDefault="008531AE" w:rsidP="00135EE0">
      <w:pPr>
        <w:rPr>
          <w:u w:val="single"/>
        </w:rPr>
      </w:pPr>
      <w:r w:rsidRPr="00D27683">
        <w:rPr>
          <w:u w:val="single"/>
        </w:rPr>
        <w:t>QoL outcome changes</w:t>
      </w:r>
      <w:r w:rsidR="008E6B86">
        <w:rPr>
          <w:rStyle w:val="FootnoteReference"/>
          <w:u w:val="single"/>
        </w:rPr>
        <w:footnoteReference w:id="4"/>
      </w:r>
    </w:p>
    <w:p w14:paraId="12092449" w14:textId="4A3A2191" w:rsidR="008531AE" w:rsidRPr="00D27683" w:rsidRDefault="008531AE" w:rsidP="00135EE0">
      <w:pPr>
        <w:pStyle w:val="3-BodyText"/>
        <w:numPr>
          <w:ilvl w:val="1"/>
          <w:numId w:val="1"/>
        </w:numPr>
      </w:pPr>
      <w:r w:rsidRPr="00D27683">
        <w:t xml:space="preserve">The </w:t>
      </w:r>
      <w:r w:rsidR="004033CE" w:rsidRPr="00D27683">
        <w:t xml:space="preserve">results in MATINEE </w:t>
      </w:r>
      <w:r w:rsidRPr="00D27683">
        <w:t>did not meet any criteria for a meaningful difference in subjective quality of life as measured by three validated scales, as follow</w:t>
      </w:r>
      <w:r w:rsidR="0011297A" w:rsidRPr="00D27683">
        <w:t>s</w:t>
      </w:r>
      <w:r w:rsidRPr="00D27683">
        <w:t>:</w:t>
      </w:r>
    </w:p>
    <w:p w14:paraId="03C1AF15" w14:textId="64F25B7E" w:rsidR="008531AE" w:rsidRPr="00D27683" w:rsidRDefault="008531AE" w:rsidP="00135EE0">
      <w:pPr>
        <w:pStyle w:val="3-BodyText"/>
        <w:numPr>
          <w:ilvl w:val="1"/>
          <w:numId w:val="18"/>
        </w:numPr>
        <w:ind w:left="1134"/>
      </w:pPr>
      <w:r w:rsidRPr="00D27683">
        <w:t>The proportion of patients who achieved a CAT response at Week 52 (≥ 2-point decrease from baseline) between the mepolizumab and placebo treatment arms was 41% vs 46% (odds ratio [OR]=0.8</w:t>
      </w:r>
      <w:r w:rsidR="00275020" w:rsidRPr="00D27683">
        <w:t>1</w:t>
      </w:r>
      <w:r w:rsidRPr="00D27683">
        <w:t xml:space="preserve">; 95% CI 0.60, 1.09; p= 0.161). A 5% </w:t>
      </w:r>
      <w:r w:rsidRPr="00D27683">
        <w:lastRenderedPageBreak/>
        <w:t>difference for no change/worsening in the CAT score was noted in the mepolizumab arm compared to the placebo arm</w:t>
      </w:r>
      <w:r w:rsidR="000871DF" w:rsidRPr="00D27683">
        <w:t xml:space="preserve"> (</w:t>
      </w:r>
      <w:r w:rsidR="00C808AE" w:rsidRPr="00D27683">
        <w:t xml:space="preserve">mepolizumab = </w:t>
      </w:r>
      <w:r w:rsidR="000871DF" w:rsidRPr="00D27683">
        <w:t>4</w:t>
      </w:r>
      <w:r w:rsidR="00A034CA" w:rsidRPr="00D27683">
        <w:t>3</w:t>
      </w:r>
      <w:r w:rsidR="000871DF" w:rsidRPr="00D27683">
        <w:t>%</w:t>
      </w:r>
      <w:r w:rsidR="00C808AE" w:rsidRPr="00D27683">
        <w:t xml:space="preserve"> vs placebo = </w:t>
      </w:r>
      <w:r w:rsidR="00A034CA" w:rsidRPr="00D27683">
        <w:t>38</w:t>
      </w:r>
      <w:r w:rsidR="00C808AE" w:rsidRPr="00D27683">
        <w:t>%)</w:t>
      </w:r>
      <w:r w:rsidRPr="00D27683">
        <w:t xml:space="preserve">. </w:t>
      </w:r>
    </w:p>
    <w:p w14:paraId="386672B3" w14:textId="528FBED3" w:rsidR="008531AE" w:rsidRPr="00D27683" w:rsidRDefault="008531AE" w:rsidP="00135EE0">
      <w:pPr>
        <w:pStyle w:val="3-BodyText"/>
        <w:numPr>
          <w:ilvl w:val="1"/>
          <w:numId w:val="18"/>
        </w:numPr>
        <w:ind w:left="1134"/>
      </w:pPr>
      <w:r w:rsidRPr="00D27683">
        <w:t>The proportion of patients who achieved a</w:t>
      </w:r>
      <w:r w:rsidR="00177939" w:rsidRPr="00D27683">
        <w:t>n</w:t>
      </w:r>
      <w:r w:rsidRPr="00D27683">
        <w:t xml:space="preserve"> SGRQ response at Week 52 (≥ 4-point decrease from baseline) between the mepolizumab and placebo treatment arms was 50% vs 46% (OR = 1.17; 95% CI 0.87, 1.57; p= 0.291).</w:t>
      </w:r>
    </w:p>
    <w:p w14:paraId="431FCFC0" w14:textId="547D7C3B" w:rsidR="002C65BD" w:rsidRPr="00004860" w:rsidRDefault="008531AE" w:rsidP="00135EE0">
      <w:pPr>
        <w:pStyle w:val="3-BodyText"/>
        <w:numPr>
          <w:ilvl w:val="1"/>
          <w:numId w:val="18"/>
        </w:numPr>
        <w:ind w:left="1134"/>
      </w:pPr>
      <w:r w:rsidRPr="00D27683">
        <w:t>The proportion of patients who achieved an E-RS: COPD response (≥ 2-point decrease from baseline) between the mepolizumab and placebo groups was 31% vs 34% (OR = 0.82; 95% CI 0.60, 1.12; p=0.209).</w:t>
      </w:r>
    </w:p>
    <w:p w14:paraId="751F01F8" w14:textId="77777777" w:rsidR="008531AE" w:rsidRPr="00D27683" w:rsidRDefault="008531AE" w:rsidP="00135EE0">
      <w:pPr>
        <w:pStyle w:val="3-BodyText"/>
        <w:numPr>
          <w:ilvl w:val="0"/>
          <w:numId w:val="0"/>
        </w:numPr>
        <w:rPr>
          <w:u w:val="single"/>
        </w:rPr>
      </w:pPr>
      <w:r w:rsidRPr="00D27683">
        <w:rPr>
          <w:u w:val="single"/>
        </w:rPr>
        <w:t>ITC compared with dupilumab</w:t>
      </w:r>
    </w:p>
    <w:p w14:paraId="419B7636" w14:textId="71C3EE1E" w:rsidR="008531AE" w:rsidRPr="00D27683" w:rsidRDefault="00C55B2A" w:rsidP="00135EE0">
      <w:pPr>
        <w:pStyle w:val="3-BodyText"/>
        <w:numPr>
          <w:ilvl w:val="1"/>
          <w:numId w:val="1"/>
        </w:numPr>
      </w:pPr>
      <w:bookmarkStart w:id="85" w:name="_Ref219112665"/>
      <w:r w:rsidRPr="006D6FD8">
        <w:rPr>
          <w:iCs/>
        </w:rPr>
        <w:t>The Sub-Committees noted that a</w:t>
      </w:r>
      <w:r w:rsidR="008531AE" w:rsidRPr="006D6FD8">
        <w:rPr>
          <w:iCs/>
        </w:rPr>
        <w:t>t</w:t>
      </w:r>
      <w:r w:rsidR="008531AE" w:rsidRPr="00D27683">
        <w:t xml:space="preserve"> the time of evaluation, 2 ITCs of mepolizumab compared to dupilumab had been published.</w:t>
      </w:r>
      <w:bookmarkEnd w:id="85"/>
    </w:p>
    <w:p w14:paraId="0412DDD9" w14:textId="214D6D89" w:rsidR="008531AE" w:rsidRPr="00D27683" w:rsidRDefault="008531AE" w:rsidP="00135EE0">
      <w:pPr>
        <w:pStyle w:val="ListParagraph"/>
        <w:numPr>
          <w:ilvl w:val="0"/>
          <w:numId w:val="17"/>
        </w:numPr>
      </w:pPr>
      <w:r w:rsidRPr="00D27683">
        <w:t>Bhatt et al. (2025) conducted a placebo-adjusted Butcher ITC using aggregate clinical trial data from</w:t>
      </w:r>
      <w:r w:rsidR="00D51A24" w:rsidRPr="00D27683">
        <w:t xml:space="preserve"> the</w:t>
      </w:r>
      <w:r w:rsidRPr="00D27683">
        <w:t xml:space="preserve"> BOREAS and NOTUS </w:t>
      </w:r>
      <w:r w:rsidR="00D51A24" w:rsidRPr="00D27683">
        <w:t xml:space="preserve">trials </w:t>
      </w:r>
      <w:r w:rsidRPr="00D27683">
        <w:t xml:space="preserve">(dupilumab), and </w:t>
      </w:r>
      <w:r w:rsidR="00504009" w:rsidRPr="00D27683">
        <w:t xml:space="preserve">the </w:t>
      </w:r>
      <w:r w:rsidRPr="00D27683">
        <w:t xml:space="preserve">METREX, METREO and MATINEE </w:t>
      </w:r>
      <w:r w:rsidR="00504009" w:rsidRPr="00D27683">
        <w:t xml:space="preserve">trials </w:t>
      </w:r>
      <w:r w:rsidRPr="00D27683">
        <w:t xml:space="preserve">(mepolizumab). </w:t>
      </w:r>
      <w:r w:rsidR="00A711D1" w:rsidRPr="00D27683">
        <w:t xml:space="preserve">The </w:t>
      </w:r>
      <w:r w:rsidR="00A33D39" w:rsidRPr="00D27683">
        <w:t>study found</w:t>
      </w:r>
      <w:r w:rsidRPr="00D27683">
        <w:t xml:space="preserve"> that dupilumab provided a numerically favourable reduction (rate ratio of 0.82; 95% CI 0.66, 1.01) in the rate of moderate-to-severe exacerbations compared with mepolizumab (not statistically significant, METREO results not included in the primary ITC analysis). </w:t>
      </w:r>
      <w:r w:rsidR="003F0E30" w:rsidRPr="00D27683">
        <w:t>The placebo-adjusted Bucher ITC evaluating the change in pre-bronchodilator FEV</w:t>
      </w:r>
      <w:r w:rsidR="003F0E30" w:rsidRPr="00D27683">
        <w:rPr>
          <w:vertAlign w:val="subscript"/>
        </w:rPr>
        <w:t xml:space="preserve">1 </w:t>
      </w:r>
      <w:r w:rsidR="003F0E30" w:rsidRPr="00D27683">
        <w:t xml:space="preserve">at week 52, the proportion of patients with SGRQ total score </w:t>
      </w:r>
      <w:r w:rsidR="003F0E30" w:rsidRPr="00D27683">
        <w:rPr>
          <w:rFonts w:cstheme="minorHAnsi"/>
        </w:rPr>
        <w:t>≥</w:t>
      </w:r>
      <w:r w:rsidR="003F0E30" w:rsidRPr="00D27683">
        <w:t xml:space="preserve"> 4 points, and the proportion of patients with E-RS: COPD total score improvement ≥ 2 points significantly favoured dupilumab versus mepolizumab. </w:t>
      </w:r>
      <w:r w:rsidR="0098584D" w:rsidRPr="00D27683">
        <w:t xml:space="preserve">The trials differed in their eosinophil count inclusion criteria. BOREAS and NOTUS required </w:t>
      </w:r>
      <w:r w:rsidR="0098584D" w:rsidRPr="00D27683">
        <w:rPr>
          <w:rFonts w:cstheme="minorHAnsi"/>
        </w:rPr>
        <w:t>≥</w:t>
      </w:r>
      <w:r w:rsidR="0098584D" w:rsidRPr="00D27683">
        <w:t xml:space="preserve"> 300 cells/</w:t>
      </w:r>
      <w:r w:rsidR="0098584D" w:rsidRPr="00D27683">
        <w:rPr>
          <w:rFonts w:cstheme="minorHAnsi"/>
        </w:rPr>
        <w:t>µ</w:t>
      </w:r>
      <w:r w:rsidR="0098584D" w:rsidRPr="00D27683">
        <w:t xml:space="preserve">L in the year prior. METREO allowed counts </w:t>
      </w:r>
      <w:r w:rsidR="0098584D" w:rsidRPr="00D27683">
        <w:rPr>
          <w:rFonts w:cstheme="minorHAnsi"/>
        </w:rPr>
        <w:t>≥</w:t>
      </w:r>
      <w:r w:rsidR="0098584D" w:rsidRPr="00D27683">
        <w:t xml:space="preserve"> 150 cells/</w:t>
      </w:r>
      <w:r w:rsidR="0098584D" w:rsidRPr="00D27683">
        <w:rPr>
          <w:rFonts w:cstheme="minorHAnsi"/>
        </w:rPr>
        <w:t>µ</w:t>
      </w:r>
      <w:r w:rsidR="0098584D" w:rsidRPr="00D27683">
        <w:t xml:space="preserve">L at screening but </w:t>
      </w:r>
      <w:r w:rsidR="0098584D" w:rsidRPr="00D27683">
        <w:rPr>
          <w:rFonts w:cstheme="minorHAnsi"/>
        </w:rPr>
        <w:t>≥</w:t>
      </w:r>
      <w:r w:rsidR="0098584D" w:rsidRPr="00D27683">
        <w:t xml:space="preserve"> 300 cells/</w:t>
      </w:r>
      <w:r w:rsidR="0098584D" w:rsidRPr="00D27683">
        <w:rPr>
          <w:rFonts w:cstheme="minorHAnsi"/>
        </w:rPr>
        <w:t>µ</w:t>
      </w:r>
      <w:r w:rsidR="0098584D" w:rsidRPr="00D27683">
        <w:t xml:space="preserve">L in the prior year. MATINEE required </w:t>
      </w:r>
      <w:r w:rsidR="0098584D" w:rsidRPr="00D27683">
        <w:rPr>
          <w:rFonts w:cstheme="minorHAnsi"/>
        </w:rPr>
        <w:t>≥</w:t>
      </w:r>
      <w:r w:rsidR="0098584D" w:rsidRPr="00D27683">
        <w:t xml:space="preserve"> 300 cells/</w:t>
      </w:r>
      <w:r w:rsidR="0098584D" w:rsidRPr="00D27683">
        <w:rPr>
          <w:rFonts w:cstheme="minorHAnsi"/>
        </w:rPr>
        <w:t>µ</w:t>
      </w:r>
      <w:r w:rsidR="0098584D" w:rsidRPr="00D27683">
        <w:t xml:space="preserve">L at screening and historical counts </w:t>
      </w:r>
      <w:r w:rsidR="0098584D" w:rsidRPr="00D27683">
        <w:rPr>
          <w:rFonts w:cstheme="minorHAnsi"/>
        </w:rPr>
        <w:t>≥</w:t>
      </w:r>
      <w:r w:rsidR="0098584D" w:rsidRPr="00D27683">
        <w:t xml:space="preserve"> 150 cells/</w:t>
      </w:r>
      <w:r w:rsidR="0098584D" w:rsidRPr="00D27683">
        <w:rPr>
          <w:rFonts w:cstheme="minorHAnsi"/>
        </w:rPr>
        <w:t>µ</w:t>
      </w:r>
      <w:r w:rsidR="0098584D" w:rsidRPr="00D27683">
        <w:t>L and METREX enrolled patients with and without elevated eosinophil counts. These variations may have influenced the trial outcomes</w:t>
      </w:r>
      <w:r w:rsidR="006C616E" w:rsidRPr="00D27683">
        <w:t>.</w:t>
      </w:r>
      <w:r w:rsidRPr="00D27683">
        <w:rPr>
          <w:rStyle w:val="FootnoteReference"/>
        </w:rPr>
        <w:footnoteReference w:id="5"/>
      </w:r>
      <w:r w:rsidR="00C30AFE">
        <w:t xml:space="preserve"> </w:t>
      </w:r>
      <w:r w:rsidR="00403C53">
        <w:t xml:space="preserve">The authors </w:t>
      </w:r>
      <w:r w:rsidR="00AB3E4C">
        <w:t xml:space="preserve">stated that </w:t>
      </w:r>
      <w:r w:rsidR="00F661DA">
        <w:t xml:space="preserve">a comparison of safety between dupilumab and mepolizumab was not included in the Butcher ITC </w:t>
      </w:r>
      <w:r w:rsidR="00EB0461">
        <w:t xml:space="preserve">because no meaningful differences in </w:t>
      </w:r>
      <w:r w:rsidR="00E46707">
        <w:t>adverse events</w:t>
      </w:r>
      <w:r w:rsidR="008660E6">
        <w:t xml:space="preserve"> (AEs)</w:t>
      </w:r>
      <w:r w:rsidR="00E46707">
        <w:t xml:space="preserve"> or severe adverse events </w:t>
      </w:r>
      <w:r w:rsidR="008660E6">
        <w:t xml:space="preserve">(SAEs) </w:t>
      </w:r>
      <w:r w:rsidR="00E46707">
        <w:t xml:space="preserve">were </w:t>
      </w:r>
      <w:r w:rsidR="000B70B1">
        <w:t xml:space="preserve">observed </w:t>
      </w:r>
      <w:r w:rsidR="008660E6">
        <w:t xml:space="preserve">in the studies. </w:t>
      </w:r>
      <w:r w:rsidR="00BF7E01">
        <w:t xml:space="preserve">The PBAC </w:t>
      </w:r>
      <w:r w:rsidR="00BD5AE3">
        <w:t>recalled</w:t>
      </w:r>
      <w:r w:rsidR="00BF7E01">
        <w:t xml:space="preserve"> that in its consideration of dupilumab for </w:t>
      </w:r>
      <w:r w:rsidR="00C75A3A">
        <w:t xml:space="preserve">uncontrolled </w:t>
      </w:r>
      <w:r w:rsidR="00DA1DB0">
        <w:t xml:space="preserve">severe eosinophilic or allergic asthma </w:t>
      </w:r>
      <w:r w:rsidR="008912A1">
        <w:t xml:space="preserve">the Committee had </w:t>
      </w:r>
      <w:r w:rsidR="005D60BF">
        <w:t>considered a claim of non</w:t>
      </w:r>
      <w:r w:rsidR="00E869C1">
        <w:t>-inferior comparative safety</w:t>
      </w:r>
      <w:r w:rsidR="00204AC6">
        <w:t xml:space="preserve"> versus the </w:t>
      </w:r>
      <w:r w:rsidR="00BD5AE3">
        <w:t>nominated comparators (which included mepolizumab)</w:t>
      </w:r>
      <w:r w:rsidR="00E869C1">
        <w:t xml:space="preserve"> </w:t>
      </w:r>
      <w:r w:rsidR="00886FEF">
        <w:t xml:space="preserve">was reasonable </w:t>
      </w:r>
      <w:r w:rsidR="00A062A3">
        <w:t>(</w:t>
      </w:r>
      <w:r w:rsidR="00BD5AE3">
        <w:t xml:space="preserve">paragraph 7.7, dupilumab PSD, November 2020 PBAC Meeting). </w:t>
      </w:r>
    </w:p>
    <w:p w14:paraId="62D57458" w14:textId="033A7872" w:rsidR="008531AE" w:rsidRPr="00D27683" w:rsidRDefault="008531AE" w:rsidP="00135EE0">
      <w:pPr>
        <w:pStyle w:val="ListParagraph"/>
        <w:numPr>
          <w:ilvl w:val="0"/>
          <w:numId w:val="17"/>
        </w:numPr>
        <w:rPr>
          <w:rFonts w:eastAsiaTheme="minorHAnsi" w:cstheme="minorBidi"/>
          <w:szCs w:val="22"/>
        </w:rPr>
      </w:pPr>
      <w:r w:rsidRPr="00D27683">
        <w:rPr>
          <w:rFonts w:eastAsiaTheme="minorHAnsi" w:cstheme="minorBidi"/>
          <w:szCs w:val="22"/>
        </w:rPr>
        <w:t xml:space="preserve">Suter et al. (2025) conducted an indirect comparison using published crude data for rate ratios or mean differences and their corresponding 95% </w:t>
      </w:r>
      <w:r w:rsidR="000037FC" w:rsidRPr="00D27683">
        <w:rPr>
          <w:rFonts w:eastAsiaTheme="minorHAnsi" w:cstheme="minorBidi"/>
          <w:szCs w:val="22"/>
        </w:rPr>
        <w:t>C</w:t>
      </w:r>
      <w:r w:rsidR="00377818" w:rsidRPr="00D27683">
        <w:rPr>
          <w:rFonts w:eastAsiaTheme="minorHAnsi" w:cstheme="minorBidi"/>
          <w:szCs w:val="22"/>
        </w:rPr>
        <w:t>I</w:t>
      </w:r>
      <w:r w:rsidR="000037FC" w:rsidRPr="00D27683">
        <w:rPr>
          <w:rFonts w:eastAsiaTheme="minorHAnsi" w:cstheme="minorBidi"/>
          <w:szCs w:val="22"/>
        </w:rPr>
        <w:t xml:space="preserve">s </w:t>
      </w:r>
      <w:r w:rsidRPr="00D27683">
        <w:rPr>
          <w:rFonts w:eastAsiaTheme="minorHAnsi" w:cstheme="minorBidi"/>
          <w:szCs w:val="22"/>
        </w:rPr>
        <w:t>for dupilumab (BOREAS and NOTUS) and mepolizumab (MATINEE). The</w:t>
      </w:r>
      <w:r w:rsidR="00B767B7" w:rsidRPr="00D27683">
        <w:rPr>
          <w:rFonts w:eastAsiaTheme="minorHAnsi" w:cstheme="minorBidi"/>
          <w:szCs w:val="22"/>
        </w:rPr>
        <w:t xml:space="preserve"> study</w:t>
      </w:r>
      <w:r w:rsidRPr="00D27683">
        <w:rPr>
          <w:rFonts w:eastAsiaTheme="minorHAnsi" w:cstheme="minorBidi"/>
          <w:szCs w:val="22"/>
        </w:rPr>
        <w:t xml:space="preserve"> concluded that both treatments were effective in reducing exacerbations. When comparing </w:t>
      </w:r>
      <w:r w:rsidRPr="00D27683">
        <w:rPr>
          <w:rFonts w:eastAsiaTheme="minorHAnsi" w:cstheme="minorBidi"/>
          <w:szCs w:val="22"/>
        </w:rPr>
        <w:lastRenderedPageBreak/>
        <w:t>crude 95% CI for the primary outcome, no difference between dupilumab and mepolizumab was apparent, although there was a numerically shorter time interval required to prevent an exacerbation in patients receiving dupilumab (2.3 years in NOTUS and 3.1 years in BOREAS, compared to 4.8 years in MATINEE).</w:t>
      </w:r>
      <w:r w:rsidRPr="00D27683">
        <w:rPr>
          <w:rStyle w:val="FootnoteReference"/>
          <w:rFonts w:eastAsiaTheme="minorHAnsi" w:cstheme="minorBidi"/>
          <w:szCs w:val="22"/>
        </w:rPr>
        <w:footnoteReference w:id="6"/>
      </w:r>
    </w:p>
    <w:p w14:paraId="7AD6AB4B" w14:textId="12A0BB71" w:rsidR="00B0163C" w:rsidRPr="006D6FD8" w:rsidRDefault="00E319C6" w:rsidP="00135EE0">
      <w:pPr>
        <w:pStyle w:val="3-BodyText"/>
        <w:numPr>
          <w:ilvl w:val="1"/>
          <w:numId w:val="1"/>
        </w:numPr>
        <w:rPr>
          <w:iCs/>
        </w:rPr>
      </w:pPr>
      <w:bookmarkStart w:id="86" w:name="_Ref222566965"/>
      <w:r w:rsidRPr="006D6FD8">
        <w:rPr>
          <w:iCs/>
        </w:rPr>
        <w:t>The Sub-Committees noted</w:t>
      </w:r>
      <w:r w:rsidR="003C2E02" w:rsidRPr="006D6FD8">
        <w:rPr>
          <w:iCs/>
        </w:rPr>
        <w:t xml:space="preserve"> the</w:t>
      </w:r>
      <w:r w:rsidR="00AB3858" w:rsidRPr="006D6FD8">
        <w:rPr>
          <w:iCs/>
        </w:rPr>
        <w:t xml:space="preserve"> submission had also presented a</w:t>
      </w:r>
      <w:r w:rsidR="003C2E02" w:rsidRPr="006D6FD8">
        <w:rPr>
          <w:iCs/>
        </w:rPr>
        <w:t xml:space="preserve"> MAIC</w:t>
      </w:r>
      <w:r w:rsidR="00344381" w:rsidRPr="006D6FD8">
        <w:rPr>
          <w:iCs/>
        </w:rPr>
        <w:t xml:space="preserve"> comparing mepolizumab and dupilumab</w:t>
      </w:r>
      <w:r w:rsidR="003C2E02" w:rsidRPr="006D6FD8">
        <w:rPr>
          <w:iCs/>
        </w:rPr>
        <w:t xml:space="preserve"> </w:t>
      </w:r>
      <w:r w:rsidR="00AB3858" w:rsidRPr="006D6FD8">
        <w:rPr>
          <w:iCs/>
        </w:rPr>
        <w:t>(</w:t>
      </w:r>
      <w:r w:rsidR="00576724" w:rsidRPr="006D6FD8">
        <w:rPr>
          <w:iCs/>
        </w:rPr>
        <w:t>as</w:t>
      </w:r>
      <w:r w:rsidR="00AB3858" w:rsidRPr="006D6FD8">
        <w:rPr>
          <w:iCs/>
        </w:rPr>
        <w:t xml:space="preserve"> </w:t>
      </w:r>
      <w:r w:rsidR="003C2E02" w:rsidRPr="006D6FD8">
        <w:rPr>
          <w:iCs/>
        </w:rPr>
        <w:t>noted in the PSCR</w:t>
      </w:r>
      <w:r w:rsidR="00344381" w:rsidRPr="006D6FD8">
        <w:rPr>
          <w:iCs/>
        </w:rPr>
        <w:t xml:space="preserve"> p4</w:t>
      </w:r>
      <w:r w:rsidR="00AB3858" w:rsidRPr="006D6FD8">
        <w:rPr>
          <w:iCs/>
        </w:rPr>
        <w:t>)</w:t>
      </w:r>
      <w:r w:rsidR="003C2E02" w:rsidRPr="006D6FD8">
        <w:rPr>
          <w:iCs/>
        </w:rPr>
        <w:t xml:space="preserve">. </w:t>
      </w:r>
      <w:r w:rsidR="00D50BED" w:rsidRPr="006D6FD8">
        <w:rPr>
          <w:iCs/>
        </w:rPr>
        <w:t xml:space="preserve">The PSCR noted </w:t>
      </w:r>
      <w:r w:rsidR="00377B1D" w:rsidRPr="006D6FD8">
        <w:rPr>
          <w:iCs/>
        </w:rPr>
        <w:t>that based on</w:t>
      </w:r>
      <w:r w:rsidR="00576724" w:rsidRPr="006D6FD8">
        <w:rPr>
          <w:iCs/>
        </w:rPr>
        <w:t xml:space="preserve"> </w:t>
      </w:r>
      <w:r w:rsidR="00D50BED" w:rsidRPr="006D6FD8">
        <w:rPr>
          <w:iCs/>
        </w:rPr>
        <w:t xml:space="preserve">differences in eligibility criteria between the trials, ‘restricted’ analysis populations were identified from </w:t>
      </w:r>
      <w:r w:rsidR="00F074D9" w:rsidRPr="006D6FD8">
        <w:rPr>
          <w:iCs/>
        </w:rPr>
        <w:t>individual patient data from</w:t>
      </w:r>
      <w:r w:rsidR="00D50BED" w:rsidRPr="006D6FD8">
        <w:rPr>
          <w:iCs/>
        </w:rPr>
        <w:t xml:space="preserve"> METREO, METREX, and MATINEE trial</w:t>
      </w:r>
      <w:r w:rsidR="00532A79" w:rsidRPr="006D6FD8">
        <w:rPr>
          <w:iCs/>
        </w:rPr>
        <w:t xml:space="preserve">s. </w:t>
      </w:r>
      <w:r w:rsidR="00612221" w:rsidRPr="006D6FD8">
        <w:rPr>
          <w:iCs/>
        </w:rPr>
        <w:t>P</w:t>
      </w:r>
      <w:r w:rsidR="00D50BED" w:rsidRPr="006D6FD8">
        <w:rPr>
          <w:iCs/>
        </w:rPr>
        <w:t xml:space="preserve">atients from the ITT population </w:t>
      </w:r>
      <w:r w:rsidR="00612221" w:rsidRPr="006D6FD8">
        <w:rPr>
          <w:iCs/>
        </w:rPr>
        <w:t xml:space="preserve">were included </w:t>
      </w:r>
      <w:r w:rsidR="00DA6AF6" w:rsidRPr="006D6FD8">
        <w:rPr>
          <w:iCs/>
        </w:rPr>
        <w:t>if they had</w:t>
      </w:r>
      <w:r w:rsidR="00D50BED" w:rsidRPr="006D6FD8">
        <w:rPr>
          <w:iCs/>
        </w:rPr>
        <w:t xml:space="preserve"> BEC ≥300 cells/μL at screening, chronic bronchitis (per investigator-assessed or per response to SGRQ-C questionnaire), </w:t>
      </w:r>
      <w:proofErr w:type="spellStart"/>
      <w:r w:rsidR="00D50BED" w:rsidRPr="006D6FD8">
        <w:rPr>
          <w:iCs/>
        </w:rPr>
        <w:t>mMRC</w:t>
      </w:r>
      <w:proofErr w:type="spellEnd"/>
      <w:r w:rsidR="00D50BED" w:rsidRPr="006D6FD8">
        <w:rPr>
          <w:iCs/>
        </w:rPr>
        <w:t xml:space="preserve"> Dyspnoea Scale Score ≥2, and moderate to severe airflow limitation at baseline. </w:t>
      </w:r>
      <w:r w:rsidR="0065517E" w:rsidRPr="006D6FD8">
        <w:rPr>
          <w:iCs/>
        </w:rPr>
        <w:t xml:space="preserve">The Sub-Committees noted that aggregate data from BOREAS and NOTUS had also been used. </w:t>
      </w:r>
      <w:r w:rsidR="00D50BED" w:rsidRPr="006D6FD8">
        <w:rPr>
          <w:iCs/>
        </w:rPr>
        <w:t>The MAIC was additionally adjusted for differences in the distribution of baseline characteristics across the trials deemed potential confounders/treatment effect modifiers</w:t>
      </w:r>
      <w:r w:rsidR="00316CD3" w:rsidRPr="006D6FD8">
        <w:rPr>
          <w:iCs/>
        </w:rPr>
        <w:t xml:space="preserve">, which included age, sex, race, geographic location, body mass index, </w:t>
      </w:r>
      <w:r w:rsidR="007356B5" w:rsidRPr="006D6FD8">
        <w:rPr>
          <w:iCs/>
        </w:rPr>
        <w:t>number of moderate/severe exacerbations at baseline</w:t>
      </w:r>
      <w:r w:rsidR="009D0AF4" w:rsidRPr="006D6FD8">
        <w:rPr>
          <w:iCs/>
        </w:rPr>
        <w:t xml:space="preserve">, having </w:t>
      </w:r>
      <w:r w:rsidR="009D0AF4" w:rsidRPr="006D6FD8">
        <w:rPr>
          <w:rFonts w:cstheme="minorHAnsi"/>
          <w:iCs/>
        </w:rPr>
        <w:t>≥</w:t>
      </w:r>
      <w:r w:rsidR="009D0AF4" w:rsidRPr="006D6FD8">
        <w:rPr>
          <w:iCs/>
        </w:rPr>
        <w:t>1</w:t>
      </w:r>
      <w:r w:rsidR="002B58E8" w:rsidRPr="006D6FD8">
        <w:rPr>
          <w:iCs/>
        </w:rPr>
        <w:t xml:space="preserve"> severe exacerbation at baseline, smoking status, blood eosinophil count at screening, SGRQ-C total score at baseline, and E-RS:COPD score at baseline. </w:t>
      </w:r>
      <w:r w:rsidR="00252E17" w:rsidRPr="006D6FD8">
        <w:rPr>
          <w:iCs/>
        </w:rPr>
        <w:t>T</w:t>
      </w:r>
      <w:r w:rsidR="002434DF" w:rsidRPr="006D6FD8">
        <w:rPr>
          <w:iCs/>
        </w:rPr>
        <w:t>he t</w:t>
      </w:r>
      <w:r w:rsidR="00252E17" w:rsidRPr="006D6FD8">
        <w:rPr>
          <w:iCs/>
        </w:rPr>
        <w:t xml:space="preserve">wo subsets of patients presented </w:t>
      </w:r>
      <w:r w:rsidR="002434DF" w:rsidRPr="006D6FD8">
        <w:rPr>
          <w:iCs/>
        </w:rPr>
        <w:t xml:space="preserve">were </w:t>
      </w:r>
      <w:r w:rsidR="00252E17" w:rsidRPr="006D6FD8">
        <w:rPr>
          <w:iCs/>
        </w:rPr>
        <w:t xml:space="preserve">chronic </w:t>
      </w:r>
      <w:r w:rsidR="002A3144" w:rsidRPr="006D6FD8">
        <w:rPr>
          <w:iCs/>
        </w:rPr>
        <w:t xml:space="preserve">bronchitis based on investigator assessment </w:t>
      </w:r>
      <w:r w:rsidR="002434DF" w:rsidRPr="006D6FD8">
        <w:rPr>
          <w:iCs/>
        </w:rPr>
        <w:t>and</w:t>
      </w:r>
      <w:r w:rsidR="002A3144" w:rsidRPr="006D6FD8">
        <w:rPr>
          <w:iCs/>
        </w:rPr>
        <w:t xml:space="preserve"> the SGRQ-C questionnaire. The Sub-Committees</w:t>
      </w:r>
      <w:r w:rsidR="00631C70" w:rsidRPr="006D6FD8">
        <w:rPr>
          <w:iCs/>
        </w:rPr>
        <w:t xml:space="preserve"> considered that the weighted distribution appeared balanced between the two groups. </w:t>
      </w:r>
      <w:r w:rsidR="00B0163C" w:rsidRPr="006D6FD8">
        <w:rPr>
          <w:iCs/>
        </w:rPr>
        <w:t>Overall, the Sub-Committees considered the MAIC appeared to have been conducted in a methodologically sound manner.</w:t>
      </w:r>
      <w:bookmarkEnd w:id="86"/>
    </w:p>
    <w:p w14:paraId="3F227CA1" w14:textId="6636DD19" w:rsidR="007F10A1" w:rsidRPr="006D6FD8" w:rsidRDefault="0072386D" w:rsidP="00135EE0">
      <w:pPr>
        <w:pStyle w:val="3-BodyText"/>
        <w:numPr>
          <w:ilvl w:val="1"/>
          <w:numId w:val="1"/>
        </w:numPr>
        <w:rPr>
          <w:iCs/>
        </w:rPr>
      </w:pPr>
      <w:bookmarkStart w:id="87" w:name="_Ref222566973"/>
      <w:r w:rsidRPr="006D6FD8">
        <w:rPr>
          <w:iCs/>
        </w:rPr>
        <w:t>The Sub-Committees noted that</w:t>
      </w:r>
      <w:r w:rsidR="00D50BED" w:rsidRPr="006D6FD8">
        <w:rPr>
          <w:iCs/>
        </w:rPr>
        <w:t xml:space="preserve"> the MAIC demonstrated that there was no statistically significant difference between </w:t>
      </w:r>
      <w:r w:rsidR="002B6ABD" w:rsidRPr="006D6FD8">
        <w:rPr>
          <w:iCs/>
        </w:rPr>
        <w:t xml:space="preserve">mepolizumab </w:t>
      </w:r>
      <w:r w:rsidR="00D50BED" w:rsidRPr="006D6FD8">
        <w:rPr>
          <w:iCs/>
        </w:rPr>
        <w:t xml:space="preserve">and </w:t>
      </w:r>
      <w:r w:rsidR="002B6ABD" w:rsidRPr="006D6FD8">
        <w:rPr>
          <w:iCs/>
        </w:rPr>
        <w:t xml:space="preserve">dupilumab </w:t>
      </w:r>
      <w:r w:rsidR="00D50BED" w:rsidRPr="006D6FD8">
        <w:rPr>
          <w:iCs/>
        </w:rPr>
        <w:t xml:space="preserve">in reducing the annualised rate of moderate or severe exacerbations, the annualised rate of severe exacerbations </w:t>
      </w:r>
      <w:r w:rsidR="00AA06C6" w:rsidRPr="006D6FD8">
        <w:rPr>
          <w:iCs/>
        </w:rPr>
        <w:t>or</w:t>
      </w:r>
      <w:r w:rsidR="00D50BED" w:rsidRPr="006D6FD8">
        <w:rPr>
          <w:iCs/>
        </w:rPr>
        <w:t xml:space="preserve"> the time to first moderate or severe exacerbation</w:t>
      </w:r>
      <w:r w:rsidR="00833D6B" w:rsidRPr="006D6FD8">
        <w:rPr>
          <w:iCs/>
        </w:rPr>
        <w:t>,</w:t>
      </w:r>
      <w:r w:rsidR="00D50BED" w:rsidRPr="006D6FD8">
        <w:rPr>
          <w:iCs/>
        </w:rPr>
        <w:t xml:space="preserve"> </w:t>
      </w:r>
      <w:r w:rsidR="008F5922" w:rsidRPr="006D6FD8">
        <w:rPr>
          <w:iCs/>
        </w:rPr>
        <w:t xml:space="preserve">with all </w:t>
      </w:r>
      <w:r w:rsidR="008D75FE">
        <w:rPr>
          <w:iCs/>
        </w:rPr>
        <w:t>confidence interval</w:t>
      </w:r>
      <w:r w:rsidR="008F5922" w:rsidRPr="006D6FD8">
        <w:rPr>
          <w:iCs/>
        </w:rPr>
        <w:t xml:space="preserve">s crossing zero </w:t>
      </w:r>
      <w:r w:rsidR="00D50BED" w:rsidRPr="006D6FD8">
        <w:rPr>
          <w:iCs/>
        </w:rPr>
        <w:t>(</w:t>
      </w:r>
      <w:r w:rsidR="0003429F" w:rsidRPr="006D6FD8">
        <w:rPr>
          <w:iCs/>
        </w:rPr>
        <w:fldChar w:fldCharType="begin"/>
      </w:r>
      <w:r w:rsidR="0003429F" w:rsidRPr="006D6FD8">
        <w:rPr>
          <w:iCs/>
        </w:rPr>
        <w:instrText xml:space="preserve"> REF _Ref222045280 \h  \* MERGEFORMAT </w:instrText>
      </w:r>
      <w:r w:rsidR="0003429F" w:rsidRPr="006D6FD8">
        <w:rPr>
          <w:iCs/>
        </w:rPr>
      </w:r>
      <w:r w:rsidR="0003429F" w:rsidRPr="006D6FD8">
        <w:rPr>
          <w:iCs/>
        </w:rPr>
        <w:fldChar w:fldCharType="separate"/>
      </w:r>
      <w:r w:rsidR="00733955" w:rsidRPr="006D6FD8" w:rsidDel="00774A72">
        <w:rPr>
          <w:iCs/>
        </w:rPr>
        <w:t>Table 6</w:t>
      </w:r>
      <w:r w:rsidR="0003429F" w:rsidRPr="006D6FD8">
        <w:rPr>
          <w:iCs/>
        </w:rPr>
        <w:fldChar w:fldCharType="end"/>
      </w:r>
      <w:r w:rsidR="00D50BED" w:rsidRPr="006D6FD8">
        <w:rPr>
          <w:iCs/>
        </w:rPr>
        <w:t xml:space="preserve">). </w:t>
      </w:r>
      <w:r w:rsidR="002F7882" w:rsidRPr="006D6FD8">
        <w:rPr>
          <w:iCs/>
        </w:rPr>
        <w:t xml:space="preserve">The PSCR stated that </w:t>
      </w:r>
      <w:r w:rsidR="008B1C16" w:rsidRPr="006D6FD8">
        <w:rPr>
          <w:iCs/>
        </w:rPr>
        <w:t xml:space="preserve">the </w:t>
      </w:r>
      <w:r w:rsidR="00D50BED" w:rsidRPr="006D6FD8">
        <w:rPr>
          <w:iCs/>
        </w:rPr>
        <w:t xml:space="preserve">results demonstrate that </w:t>
      </w:r>
      <w:r w:rsidR="002B6ABD" w:rsidRPr="006D6FD8">
        <w:rPr>
          <w:iCs/>
        </w:rPr>
        <w:t xml:space="preserve">mepolizumab </w:t>
      </w:r>
      <w:r w:rsidR="00D50BED" w:rsidRPr="006D6FD8">
        <w:rPr>
          <w:iCs/>
        </w:rPr>
        <w:t xml:space="preserve">is non-inferior to </w:t>
      </w:r>
      <w:r w:rsidR="002F7882" w:rsidRPr="006D6FD8">
        <w:rPr>
          <w:iCs/>
        </w:rPr>
        <w:t>dupilumab</w:t>
      </w:r>
      <w:r w:rsidR="00D50BED" w:rsidRPr="006D6FD8">
        <w:rPr>
          <w:iCs/>
        </w:rPr>
        <w:t xml:space="preserve"> in terms of efficacy. </w:t>
      </w:r>
      <w:r w:rsidR="00645F11" w:rsidRPr="006D6FD8">
        <w:rPr>
          <w:iCs/>
        </w:rPr>
        <w:t xml:space="preserve">However, the </w:t>
      </w:r>
      <w:r w:rsidR="000A2D1E" w:rsidRPr="006D6FD8">
        <w:rPr>
          <w:iCs/>
        </w:rPr>
        <w:t>S</w:t>
      </w:r>
      <w:r w:rsidR="00645F11" w:rsidRPr="006D6FD8">
        <w:rPr>
          <w:iCs/>
        </w:rPr>
        <w:t xml:space="preserve">ub-Committees considered that </w:t>
      </w:r>
      <w:r w:rsidR="00731FC3" w:rsidRPr="006D6FD8">
        <w:rPr>
          <w:iCs/>
        </w:rPr>
        <w:t>it was unc</w:t>
      </w:r>
      <w:r w:rsidR="0094149B" w:rsidRPr="006D6FD8">
        <w:rPr>
          <w:iCs/>
        </w:rPr>
        <w:t>lear whether a conclusion of non-inferiority</w:t>
      </w:r>
      <w:r w:rsidR="00992083" w:rsidRPr="006D6FD8">
        <w:rPr>
          <w:iCs/>
        </w:rPr>
        <w:t xml:space="preserve"> could be claimed</w:t>
      </w:r>
      <w:r w:rsidR="00645F11" w:rsidRPr="006D6FD8">
        <w:rPr>
          <w:iCs/>
        </w:rPr>
        <w:t xml:space="preserve">, as no non-inferiority margin </w:t>
      </w:r>
      <w:r w:rsidR="000A2D1E" w:rsidRPr="006D6FD8">
        <w:rPr>
          <w:iCs/>
        </w:rPr>
        <w:t>had been</w:t>
      </w:r>
      <w:r w:rsidR="00645F11" w:rsidRPr="006D6FD8">
        <w:rPr>
          <w:iCs/>
        </w:rPr>
        <w:t xml:space="preserve"> specified.</w:t>
      </w:r>
      <w:bookmarkEnd w:id="87"/>
    </w:p>
    <w:p w14:paraId="7953907E" w14:textId="21AD39C7" w:rsidR="00A61263" w:rsidRPr="006D6FD8" w:rsidRDefault="00A61263" w:rsidP="00135EE0">
      <w:pPr>
        <w:pStyle w:val="Caption"/>
        <w:rPr>
          <w:iCs/>
        </w:rPr>
      </w:pPr>
      <w:bookmarkStart w:id="88" w:name="_Ref222045280"/>
      <w:bookmarkStart w:id="89" w:name="_Ref222045254"/>
      <w:r w:rsidRPr="006D6FD8">
        <w:rPr>
          <w:iCs/>
        </w:rPr>
        <w:t xml:space="preserve">Table </w:t>
      </w:r>
      <w:r w:rsidRPr="006D6FD8">
        <w:rPr>
          <w:iCs/>
        </w:rPr>
        <w:fldChar w:fldCharType="begin"/>
      </w:r>
      <w:r w:rsidRPr="006D6FD8">
        <w:rPr>
          <w:iCs/>
        </w:rPr>
        <w:instrText xml:space="preserve"> SEQ Table \* ARABIC </w:instrText>
      </w:r>
      <w:r w:rsidRPr="006D6FD8">
        <w:rPr>
          <w:iCs/>
        </w:rPr>
        <w:fldChar w:fldCharType="separate"/>
      </w:r>
      <w:r w:rsidR="00FA28CE">
        <w:rPr>
          <w:iCs/>
          <w:noProof/>
        </w:rPr>
        <w:t>6</w:t>
      </w:r>
      <w:r w:rsidRPr="006D6FD8">
        <w:rPr>
          <w:iCs/>
        </w:rPr>
        <w:fldChar w:fldCharType="end"/>
      </w:r>
      <w:bookmarkEnd w:id="88"/>
      <w:r w:rsidRPr="006D6FD8">
        <w:rPr>
          <w:iCs/>
        </w:rPr>
        <w:t>: MAIC estimates</w:t>
      </w:r>
      <w:r w:rsidR="00CE0853" w:rsidRPr="006D6FD8">
        <w:rPr>
          <w:iCs/>
        </w:rPr>
        <w:t xml:space="preserve"> of mepolizumab vs dupilumab, via placebo as the common reference arm</w:t>
      </w:r>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firstRow="1" w:lastRow="0" w:firstColumn="1" w:lastColumn="0" w:noHBand="0" w:noVBand="1"/>
        <w:tblCaption w:val="Table 6: MAIC estimates of mepolizumab vs dupilumab, via placebo as the common reference arm"/>
      </w:tblPr>
      <w:tblGrid>
        <w:gridCol w:w="3475"/>
        <w:gridCol w:w="1901"/>
        <w:gridCol w:w="1740"/>
        <w:gridCol w:w="1901"/>
      </w:tblGrid>
      <w:tr w:rsidR="000C214C" w:rsidRPr="006D6FD8" w14:paraId="3D26C433" w14:textId="77777777" w:rsidTr="00986C75">
        <w:trPr>
          <w:cantSplit/>
          <w:tblHeader/>
        </w:trPr>
        <w:tc>
          <w:tcPr>
            <w:tcW w:w="1927" w:type="pct"/>
          </w:tcPr>
          <w:p w14:paraId="1F10F571" w14:textId="7DD40013" w:rsidR="00986C75" w:rsidRPr="006D6FD8" w:rsidRDefault="00986C75" w:rsidP="00135EE0">
            <w:pPr>
              <w:jc w:val="left"/>
              <w:rPr>
                <w:rFonts w:ascii="Arial Narrow" w:hAnsi="Arial Narrow"/>
                <w:b/>
                <w:bCs/>
                <w:iCs/>
                <w:sz w:val="20"/>
                <w:szCs w:val="20"/>
              </w:rPr>
            </w:pPr>
            <w:r w:rsidRPr="006D6FD8">
              <w:rPr>
                <w:rFonts w:ascii="Arial Narrow" w:hAnsi="Arial Narrow"/>
                <w:b/>
                <w:bCs/>
                <w:iCs/>
                <w:sz w:val="20"/>
                <w:szCs w:val="20"/>
              </w:rPr>
              <w:t>Restricted population</w:t>
            </w:r>
          </w:p>
        </w:tc>
        <w:tc>
          <w:tcPr>
            <w:tcW w:w="1054" w:type="pct"/>
          </w:tcPr>
          <w:p w14:paraId="0294CB99" w14:textId="77777777" w:rsidR="00986C75" w:rsidRPr="006D6FD8" w:rsidRDefault="00BD2E3E" w:rsidP="00135EE0">
            <w:pPr>
              <w:jc w:val="center"/>
              <w:rPr>
                <w:rFonts w:ascii="Arial Narrow" w:hAnsi="Arial Narrow"/>
                <w:b/>
                <w:bCs/>
                <w:iCs/>
                <w:sz w:val="20"/>
                <w:szCs w:val="20"/>
              </w:rPr>
            </w:pPr>
            <w:r w:rsidRPr="006D6FD8">
              <w:rPr>
                <w:rFonts w:ascii="Arial Narrow" w:hAnsi="Arial Narrow"/>
                <w:b/>
                <w:bCs/>
                <w:iCs/>
                <w:sz w:val="20"/>
                <w:szCs w:val="20"/>
              </w:rPr>
              <w:t>Annualised rate of moderate/severe exacerbations</w:t>
            </w:r>
          </w:p>
          <w:p w14:paraId="12E81844" w14:textId="2B38B7D6" w:rsidR="00BD2E3E" w:rsidRPr="006D6FD8" w:rsidRDefault="00BD2E3E" w:rsidP="00135EE0">
            <w:pPr>
              <w:jc w:val="center"/>
              <w:rPr>
                <w:rFonts w:ascii="Arial Narrow" w:hAnsi="Arial Narrow"/>
                <w:b/>
                <w:bCs/>
                <w:iCs/>
                <w:sz w:val="20"/>
                <w:szCs w:val="20"/>
              </w:rPr>
            </w:pPr>
            <w:r w:rsidRPr="006D6FD8">
              <w:rPr>
                <w:rFonts w:ascii="Arial Narrow" w:hAnsi="Arial Narrow"/>
                <w:b/>
                <w:bCs/>
                <w:iCs/>
                <w:sz w:val="20"/>
                <w:szCs w:val="20"/>
              </w:rPr>
              <w:t>RR (</w:t>
            </w:r>
            <w:r w:rsidR="00C634C8" w:rsidRPr="006D6FD8">
              <w:rPr>
                <w:rFonts w:ascii="Arial Narrow" w:hAnsi="Arial Narrow"/>
                <w:b/>
                <w:bCs/>
                <w:iCs/>
                <w:sz w:val="20"/>
                <w:szCs w:val="20"/>
              </w:rPr>
              <w:t>95% CI)</w:t>
            </w:r>
          </w:p>
        </w:tc>
        <w:tc>
          <w:tcPr>
            <w:tcW w:w="965" w:type="pct"/>
          </w:tcPr>
          <w:p w14:paraId="7B99AEA7" w14:textId="77777777" w:rsidR="00986C75" w:rsidRPr="006D6FD8" w:rsidRDefault="00C634C8" w:rsidP="00135EE0">
            <w:pPr>
              <w:jc w:val="center"/>
              <w:rPr>
                <w:rFonts w:ascii="Arial Narrow" w:hAnsi="Arial Narrow"/>
                <w:b/>
                <w:bCs/>
                <w:iCs/>
                <w:sz w:val="20"/>
                <w:szCs w:val="20"/>
              </w:rPr>
            </w:pPr>
            <w:r w:rsidRPr="006D6FD8">
              <w:rPr>
                <w:rFonts w:ascii="Arial Narrow" w:hAnsi="Arial Narrow"/>
                <w:b/>
                <w:bCs/>
                <w:iCs/>
                <w:sz w:val="20"/>
                <w:szCs w:val="20"/>
              </w:rPr>
              <w:t xml:space="preserve">Annualised rate of severe exacerbations </w:t>
            </w:r>
          </w:p>
          <w:p w14:paraId="7194295D" w14:textId="1A147573" w:rsidR="00C634C8" w:rsidRPr="006D6FD8" w:rsidRDefault="00C634C8" w:rsidP="00135EE0">
            <w:pPr>
              <w:jc w:val="center"/>
              <w:rPr>
                <w:rFonts w:ascii="Arial Narrow" w:hAnsi="Arial Narrow"/>
                <w:b/>
                <w:bCs/>
                <w:iCs/>
                <w:sz w:val="20"/>
                <w:szCs w:val="20"/>
              </w:rPr>
            </w:pPr>
            <w:r w:rsidRPr="006D6FD8">
              <w:rPr>
                <w:rFonts w:ascii="Arial Narrow" w:hAnsi="Arial Narrow"/>
                <w:b/>
                <w:bCs/>
                <w:iCs/>
                <w:sz w:val="20"/>
                <w:szCs w:val="20"/>
              </w:rPr>
              <w:t>RR (95% CI)</w:t>
            </w:r>
          </w:p>
        </w:tc>
        <w:tc>
          <w:tcPr>
            <w:tcW w:w="1054" w:type="pct"/>
          </w:tcPr>
          <w:p w14:paraId="108263F6" w14:textId="77777777" w:rsidR="00986C75" w:rsidRPr="006D6FD8" w:rsidRDefault="00C634C8" w:rsidP="00135EE0">
            <w:pPr>
              <w:jc w:val="center"/>
              <w:rPr>
                <w:rFonts w:ascii="Arial Narrow" w:hAnsi="Arial Narrow"/>
                <w:b/>
                <w:bCs/>
                <w:iCs/>
                <w:sz w:val="20"/>
                <w:szCs w:val="20"/>
              </w:rPr>
            </w:pPr>
            <w:r w:rsidRPr="006D6FD8">
              <w:rPr>
                <w:rFonts w:ascii="Arial Narrow" w:hAnsi="Arial Narrow"/>
                <w:b/>
                <w:bCs/>
                <w:iCs/>
                <w:sz w:val="20"/>
                <w:szCs w:val="20"/>
              </w:rPr>
              <w:t xml:space="preserve">Time to first moderate or </w:t>
            </w:r>
            <w:r w:rsidR="008363F2" w:rsidRPr="006D6FD8">
              <w:rPr>
                <w:rFonts w:ascii="Arial Narrow" w:hAnsi="Arial Narrow"/>
                <w:b/>
                <w:bCs/>
                <w:iCs/>
                <w:sz w:val="20"/>
                <w:szCs w:val="20"/>
              </w:rPr>
              <w:t>severe exacerbation</w:t>
            </w:r>
          </w:p>
          <w:p w14:paraId="18D84DA0" w14:textId="13ED19B2" w:rsidR="008363F2" w:rsidRPr="006D6FD8" w:rsidRDefault="008363F2" w:rsidP="00135EE0">
            <w:pPr>
              <w:jc w:val="center"/>
              <w:rPr>
                <w:rFonts w:ascii="Arial Narrow" w:hAnsi="Arial Narrow"/>
                <w:b/>
                <w:bCs/>
                <w:iCs/>
                <w:sz w:val="20"/>
                <w:szCs w:val="20"/>
              </w:rPr>
            </w:pPr>
            <w:r w:rsidRPr="006D6FD8">
              <w:rPr>
                <w:rFonts w:ascii="Arial Narrow" w:hAnsi="Arial Narrow"/>
                <w:b/>
                <w:bCs/>
                <w:iCs/>
                <w:sz w:val="20"/>
                <w:szCs w:val="20"/>
              </w:rPr>
              <w:t>HR (95% CI)</w:t>
            </w:r>
          </w:p>
        </w:tc>
      </w:tr>
      <w:tr w:rsidR="000C214C" w:rsidRPr="006D6FD8" w14:paraId="16CBFC16" w14:textId="77777777" w:rsidTr="00986C75">
        <w:trPr>
          <w:cantSplit/>
          <w:tblHeader/>
        </w:trPr>
        <w:tc>
          <w:tcPr>
            <w:tcW w:w="1927" w:type="pct"/>
          </w:tcPr>
          <w:p w14:paraId="031E7B3A" w14:textId="2A0C05B5" w:rsidR="00986C75" w:rsidRPr="006D6FD8" w:rsidRDefault="008363F2" w:rsidP="00135EE0">
            <w:pPr>
              <w:rPr>
                <w:rFonts w:ascii="Arial Narrow" w:hAnsi="Arial Narrow"/>
                <w:iCs/>
                <w:sz w:val="20"/>
                <w:szCs w:val="20"/>
              </w:rPr>
            </w:pPr>
            <w:r w:rsidRPr="006D6FD8">
              <w:rPr>
                <w:rFonts w:ascii="Arial Narrow" w:hAnsi="Arial Narrow"/>
                <w:iCs/>
                <w:sz w:val="20"/>
                <w:szCs w:val="20"/>
              </w:rPr>
              <w:t>CB defined by investigator</w:t>
            </w:r>
          </w:p>
        </w:tc>
        <w:tc>
          <w:tcPr>
            <w:tcW w:w="1054" w:type="pct"/>
          </w:tcPr>
          <w:p w14:paraId="436A0A1B" w14:textId="2FD80FCE" w:rsidR="00986C75" w:rsidRPr="006D6FD8" w:rsidRDefault="008363F2" w:rsidP="00135EE0">
            <w:pPr>
              <w:jc w:val="center"/>
              <w:rPr>
                <w:rFonts w:ascii="Arial Narrow" w:hAnsi="Arial Narrow"/>
                <w:iCs/>
                <w:sz w:val="20"/>
                <w:szCs w:val="20"/>
              </w:rPr>
            </w:pPr>
            <w:r w:rsidRPr="006D6FD8">
              <w:rPr>
                <w:rFonts w:ascii="Arial Narrow" w:hAnsi="Arial Narrow"/>
                <w:iCs/>
                <w:sz w:val="20"/>
                <w:szCs w:val="20"/>
              </w:rPr>
              <w:t>0.91 (0.60, 1.37)</w:t>
            </w:r>
          </w:p>
        </w:tc>
        <w:tc>
          <w:tcPr>
            <w:tcW w:w="965" w:type="pct"/>
          </w:tcPr>
          <w:p w14:paraId="561283D4" w14:textId="6B854446" w:rsidR="00986C75" w:rsidRPr="006D6FD8" w:rsidRDefault="00E770AE" w:rsidP="00135EE0">
            <w:pPr>
              <w:jc w:val="center"/>
              <w:rPr>
                <w:rFonts w:ascii="Arial Narrow" w:hAnsi="Arial Narrow"/>
                <w:iCs/>
                <w:sz w:val="20"/>
                <w:szCs w:val="20"/>
              </w:rPr>
            </w:pPr>
            <w:r w:rsidRPr="006D6FD8">
              <w:rPr>
                <w:rFonts w:ascii="Arial Narrow" w:hAnsi="Arial Narrow"/>
                <w:iCs/>
                <w:sz w:val="20"/>
                <w:szCs w:val="20"/>
              </w:rPr>
              <w:t>0.68 (0.27, 1.72)</w:t>
            </w:r>
          </w:p>
        </w:tc>
        <w:tc>
          <w:tcPr>
            <w:tcW w:w="1054" w:type="pct"/>
          </w:tcPr>
          <w:p w14:paraId="1F583A94" w14:textId="365CAC90" w:rsidR="00986C75" w:rsidRPr="006D6FD8" w:rsidRDefault="00E770AE" w:rsidP="00135EE0">
            <w:pPr>
              <w:jc w:val="center"/>
              <w:rPr>
                <w:rFonts w:ascii="Arial Narrow" w:hAnsi="Arial Narrow"/>
                <w:iCs/>
                <w:sz w:val="20"/>
                <w:szCs w:val="20"/>
              </w:rPr>
            </w:pPr>
            <w:r w:rsidRPr="006D6FD8">
              <w:rPr>
                <w:rFonts w:ascii="Arial Narrow" w:hAnsi="Arial Narrow"/>
                <w:iCs/>
                <w:sz w:val="20"/>
                <w:szCs w:val="20"/>
              </w:rPr>
              <w:t>0.71 (0.46, 1.08)</w:t>
            </w:r>
          </w:p>
        </w:tc>
      </w:tr>
      <w:tr w:rsidR="00541D65" w:rsidRPr="006D6FD8" w14:paraId="1D66D551" w14:textId="77777777" w:rsidTr="00986C75">
        <w:trPr>
          <w:cantSplit/>
          <w:tblHeader/>
        </w:trPr>
        <w:tc>
          <w:tcPr>
            <w:tcW w:w="1927" w:type="pct"/>
            <w:tcBorders>
              <w:bottom w:val="single" w:sz="4" w:space="0" w:color="auto"/>
            </w:tcBorders>
          </w:tcPr>
          <w:p w14:paraId="71583C9D" w14:textId="596F3DDE" w:rsidR="00986C75" w:rsidRPr="006D6FD8" w:rsidRDefault="008363F2" w:rsidP="00135EE0">
            <w:pPr>
              <w:rPr>
                <w:rFonts w:ascii="Arial Narrow" w:hAnsi="Arial Narrow"/>
                <w:iCs/>
                <w:sz w:val="20"/>
                <w:szCs w:val="20"/>
              </w:rPr>
            </w:pPr>
            <w:r w:rsidRPr="006D6FD8">
              <w:rPr>
                <w:rFonts w:ascii="Arial Narrow" w:hAnsi="Arial Narrow"/>
                <w:iCs/>
                <w:sz w:val="20"/>
                <w:szCs w:val="20"/>
              </w:rPr>
              <w:t>CB based on SGRQ-C</w:t>
            </w:r>
          </w:p>
        </w:tc>
        <w:tc>
          <w:tcPr>
            <w:tcW w:w="1054" w:type="pct"/>
            <w:tcBorders>
              <w:bottom w:val="single" w:sz="4" w:space="0" w:color="auto"/>
            </w:tcBorders>
          </w:tcPr>
          <w:p w14:paraId="611A3E68" w14:textId="388F05DB" w:rsidR="00986C75" w:rsidRPr="006D6FD8" w:rsidRDefault="008363F2" w:rsidP="00135EE0">
            <w:pPr>
              <w:jc w:val="center"/>
              <w:rPr>
                <w:rFonts w:ascii="Arial Narrow" w:hAnsi="Arial Narrow"/>
                <w:iCs/>
                <w:sz w:val="20"/>
                <w:szCs w:val="20"/>
              </w:rPr>
            </w:pPr>
            <w:r w:rsidRPr="006D6FD8">
              <w:rPr>
                <w:rFonts w:ascii="Arial Narrow" w:hAnsi="Arial Narrow"/>
                <w:iCs/>
                <w:sz w:val="20"/>
                <w:szCs w:val="20"/>
              </w:rPr>
              <w:t>1.13 (0.80, 1.58)</w:t>
            </w:r>
          </w:p>
        </w:tc>
        <w:tc>
          <w:tcPr>
            <w:tcW w:w="965" w:type="pct"/>
            <w:tcBorders>
              <w:bottom w:val="single" w:sz="4" w:space="0" w:color="auto"/>
            </w:tcBorders>
          </w:tcPr>
          <w:p w14:paraId="46D900DC" w14:textId="3116156E" w:rsidR="00986C75" w:rsidRPr="006D6FD8" w:rsidRDefault="00E770AE" w:rsidP="00135EE0">
            <w:pPr>
              <w:jc w:val="center"/>
              <w:rPr>
                <w:rFonts w:ascii="Arial Narrow" w:hAnsi="Arial Narrow"/>
                <w:iCs/>
                <w:sz w:val="20"/>
                <w:szCs w:val="20"/>
              </w:rPr>
            </w:pPr>
            <w:r w:rsidRPr="006D6FD8">
              <w:rPr>
                <w:rFonts w:ascii="Arial Narrow" w:hAnsi="Arial Narrow"/>
                <w:iCs/>
                <w:sz w:val="20"/>
                <w:szCs w:val="20"/>
              </w:rPr>
              <w:t>1.01 (0.47, 2.16)</w:t>
            </w:r>
          </w:p>
        </w:tc>
        <w:tc>
          <w:tcPr>
            <w:tcW w:w="1054" w:type="pct"/>
            <w:tcBorders>
              <w:bottom w:val="single" w:sz="4" w:space="0" w:color="auto"/>
            </w:tcBorders>
          </w:tcPr>
          <w:p w14:paraId="0E02D30A" w14:textId="6D2E27A6" w:rsidR="00986C75" w:rsidRPr="006D6FD8" w:rsidRDefault="00E770AE" w:rsidP="00135EE0">
            <w:pPr>
              <w:jc w:val="center"/>
              <w:rPr>
                <w:rFonts w:ascii="Arial Narrow" w:hAnsi="Arial Narrow"/>
                <w:iCs/>
                <w:sz w:val="20"/>
                <w:szCs w:val="20"/>
              </w:rPr>
            </w:pPr>
            <w:r w:rsidRPr="006D6FD8">
              <w:rPr>
                <w:rFonts w:ascii="Arial Narrow" w:hAnsi="Arial Narrow"/>
                <w:iCs/>
                <w:sz w:val="20"/>
                <w:szCs w:val="20"/>
              </w:rPr>
              <w:t>0.83 (0.61, 1.14)</w:t>
            </w:r>
          </w:p>
        </w:tc>
      </w:tr>
    </w:tbl>
    <w:p w14:paraId="35B5E108" w14:textId="5842E6E9" w:rsidR="0091297C" w:rsidRPr="006D6FD8" w:rsidRDefault="0091297C" w:rsidP="003338A0">
      <w:pPr>
        <w:pStyle w:val="TableFigureFooter"/>
      </w:pPr>
      <w:r w:rsidRPr="006D6FD8">
        <w:t xml:space="preserve">Source: </w:t>
      </w:r>
      <w:r w:rsidR="00A0343E" w:rsidRPr="006D6FD8">
        <w:t>Figure A4 p</w:t>
      </w:r>
      <w:r w:rsidR="00BA24D6" w:rsidRPr="006D6FD8">
        <w:t xml:space="preserve">217 submission, </w:t>
      </w:r>
      <w:r w:rsidRPr="006D6FD8">
        <w:t xml:space="preserve">Table 3. PSCR </w:t>
      </w:r>
    </w:p>
    <w:p w14:paraId="555EBABE" w14:textId="32244D4A" w:rsidR="00CE0853" w:rsidRPr="006D6FD8" w:rsidRDefault="00DD59C7" w:rsidP="003338A0">
      <w:pPr>
        <w:pStyle w:val="TableFigureFooter"/>
      </w:pPr>
      <w:r w:rsidRPr="006D6FD8">
        <w:t>CB = chronic bronchitis; SGRQ = St. George Respiratory Questionnaire-COPD specific</w:t>
      </w:r>
    </w:p>
    <w:p w14:paraId="31DD3BBF" w14:textId="77777777" w:rsidR="008531AE" w:rsidRPr="00D27683" w:rsidRDefault="008531AE" w:rsidP="00135EE0">
      <w:pPr>
        <w:pStyle w:val="4-SubsectionHeading"/>
      </w:pPr>
      <w:bookmarkStart w:id="90" w:name="_Toc22897642"/>
      <w:bookmarkStart w:id="91" w:name="_Toc216174092"/>
      <w:bookmarkStart w:id="92" w:name="_Toc216697636"/>
      <w:bookmarkStart w:id="93" w:name="_Toc217392667"/>
      <w:bookmarkStart w:id="94" w:name="_Toc219030871"/>
      <w:bookmarkStart w:id="95" w:name="_Toc219064634"/>
      <w:bookmarkStart w:id="96" w:name="_Toc219884818"/>
      <w:r w:rsidRPr="00D27683">
        <w:lastRenderedPageBreak/>
        <w:t>Comparative harms</w:t>
      </w:r>
      <w:bookmarkEnd w:id="90"/>
      <w:bookmarkEnd w:id="91"/>
      <w:bookmarkEnd w:id="92"/>
      <w:bookmarkEnd w:id="93"/>
      <w:bookmarkEnd w:id="94"/>
      <w:bookmarkEnd w:id="95"/>
      <w:bookmarkEnd w:id="96"/>
    </w:p>
    <w:p w14:paraId="0F49D7D2" w14:textId="3BBEAB45" w:rsidR="008531AE" w:rsidRPr="00D27683" w:rsidRDefault="008531AE" w:rsidP="00135EE0">
      <w:pPr>
        <w:pStyle w:val="3-BodyText"/>
        <w:numPr>
          <w:ilvl w:val="1"/>
          <w:numId w:val="1"/>
        </w:numPr>
      </w:pPr>
      <w:r w:rsidRPr="00D27683">
        <w:t xml:space="preserve">Overall, mepolizumab was well tolerated with a safety profile </w:t>
      </w:r>
      <w:proofErr w:type="gramStart"/>
      <w:r w:rsidRPr="00D27683">
        <w:t>similar to</w:t>
      </w:r>
      <w:proofErr w:type="gramEnd"/>
      <w:r w:rsidRPr="00D27683">
        <w:t xml:space="preserve"> placebo</w:t>
      </w:r>
      <w:r w:rsidR="00E42516" w:rsidRPr="00D27683">
        <w:t xml:space="preserve"> (inhaled triple therapy alone)</w:t>
      </w:r>
      <w:r w:rsidRPr="00D27683">
        <w:t xml:space="preserve">. AEs were generally higher for the variable duration group (patients enrolled for up to 104 weeks) compared to the fixed duration group (patients enrolled for 52 weeks), which was considered consistent with longer treatment exposure. No new safety concerns were identified. An overview of AEs and SAEs in the overall safety population is presented in </w:t>
      </w:r>
      <w:r w:rsidRPr="00D27683">
        <w:fldChar w:fldCharType="begin"/>
      </w:r>
      <w:r w:rsidRPr="00D27683">
        <w:instrText xml:space="preserve"> REF _Ref219042761 \h </w:instrText>
      </w:r>
      <w:r w:rsidR="00E41E40" w:rsidRPr="00D27683">
        <w:instrText xml:space="preserve"> \* MERGEFORMAT </w:instrText>
      </w:r>
      <w:r w:rsidRPr="00D27683">
        <w:fldChar w:fldCharType="separate"/>
      </w:r>
      <w:r w:rsidR="00733955" w:rsidRPr="00D27683" w:rsidDel="00774A72">
        <w:t xml:space="preserve">Table </w:t>
      </w:r>
      <w:r w:rsidR="00733955" w:rsidRPr="00D27683" w:rsidDel="00774A72">
        <w:rPr>
          <w:noProof/>
        </w:rPr>
        <w:t>7</w:t>
      </w:r>
      <w:r w:rsidRPr="00D27683">
        <w:fldChar w:fldCharType="end"/>
      </w:r>
      <w:r w:rsidRPr="00D27683">
        <w:t xml:space="preserve">. The incidences of any AEs and SAEs during or after the treatment period were similar in both treatment arms. </w:t>
      </w:r>
    </w:p>
    <w:p w14:paraId="76581E5B" w14:textId="3571CAB0" w:rsidR="008531AE" w:rsidRPr="00D27683" w:rsidRDefault="008531AE" w:rsidP="00135EE0">
      <w:pPr>
        <w:pStyle w:val="Caption"/>
      </w:pPr>
      <w:bookmarkStart w:id="97" w:name="_Ref219042761"/>
      <w:bookmarkStart w:id="98" w:name="_Ref218677723"/>
      <w:r w:rsidRPr="00D27683">
        <w:t xml:space="preserve">Table </w:t>
      </w:r>
      <w:fldSimple w:instr=" SEQ Table \* ARABIC ">
        <w:r w:rsidR="00FA28CE">
          <w:rPr>
            <w:noProof/>
          </w:rPr>
          <w:t>7</w:t>
        </w:r>
      </w:fldSimple>
      <w:bookmarkEnd w:id="97"/>
      <w:r w:rsidRPr="00D27683">
        <w:t>: Overview of AEs and SAEs (overall safety population)</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firstRow="1" w:lastRow="0" w:firstColumn="1" w:lastColumn="0" w:noHBand="0" w:noVBand="1"/>
        <w:tblCaption w:val="Table 7: Overview of AEs and SAEs (overall safety population)"/>
      </w:tblPr>
      <w:tblGrid>
        <w:gridCol w:w="3003"/>
        <w:gridCol w:w="1641"/>
        <w:gridCol w:w="1502"/>
        <w:gridCol w:w="1641"/>
        <w:gridCol w:w="1230"/>
      </w:tblGrid>
      <w:tr w:rsidR="00F75BF5" w:rsidRPr="00D27683" w14:paraId="5387C7A7" w14:textId="77777777" w:rsidTr="00395315">
        <w:trPr>
          <w:cantSplit/>
          <w:tblHeader/>
        </w:trPr>
        <w:tc>
          <w:tcPr>
            <w:tcW w:w="1665" w:type="pct"/>
            <w:tcBorders>
              <w:bottom w:val="single" w:sz="4" w:space="0" w:color="auto"/>
            </w:tcBorders>
          </w:tcPr>
          <w:p w14:paraId="2D917854"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Outcome</w:t>
            </w:r>
          </w:p>
        </w:tc>
        <w:tc>
          <w:tcPr>
            <w:tcW w:w="910" w:type="pct"/>
            <w:tcBorders>
              <w:bottom w:val="single" w:sz="4" w:space="0" w:color="auto"/>
            </w:tcBorders>
          </w:tcPr>
          <w:p w14:paraId="40C1FE51" w14:textId="26C94F62" w:rsidR="008531AE" w:rsidRPr="00D27683" w:rsidRDefault="00964889" w:rsidP="00135EE0">
            <w:pPr>
              <w:jc w:val="center"/>
              <w:rPr>
                <w:rFonts w:ascii="Arial Narrow" w:hAnsi="Arial Narrow"/>
                <w:b/>
                <w:bCs/>
                <w:sz w:val="20"/>
                <w:szCs w:val="20"/>
              </w:rPr>
            </w:pPr>
            <w:r w:rsidRPr="00D27683">
              <w:rPr>
                <w:rFonts w:ascii="Arial Narrow" w:hAnsi="Arial Narrow"/>
                <w:b/>
                <w:bCs/>
                <w:sz w:val="20"/>
                <w:szCs w:val="20"/>
              </w:rPr>
              <w:t>Mepolizumab</w:t>
            </w:r>
          </w:p>
          <w:p w14:paraId="6D462E0F"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N = 403</w:t>
            </w:r>
          </w:p>
        </w:tc>
        <w:tc>
          <w:tcPr>
            <w:tcW w:w="833" w:type="pct"/>
            <w:tcBorders>
              <w:bottom w:val="single" w:sz="4" w:space="0" w:color="auto"/>
            </w:tcBorders>
          </w:tcPr>
          <w:p w14:paraId="3861DDFA"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PBO</w:t>
            </w:r>
          </w:p>
          <w:p w14:paraId="1D8D8249"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N = 401</w:t>
            </w:r>
          </w:p>
        </w:tc>
        <w:tc>
          <w:tcPr>
            <w:tcW w:w="910" w:type="pct"/>
            <w:tcBorders>
              <w:bottom w:val="single" w:sz="4" w:space="0" w:color="auto"/>
            </w:tcBorders>
          </w:tcPr>
          <w:p w14:paraId="58CBE26A" w14:textId="7951C620" w:rsidR="008531AE" w:rsidRPr="00D27683" w:rsidRDefault="008531AE" w:rsidP="00135EE0">
            <w:pPr>
              <w:jc w:val="center"/>
              <w:rPr>
                <w:rFonts w:ascii="Arial Narrow" w:hAnsi="Arial Narrow"/>
                <w:b/>
                <w:bCs/>
                <w:sz w:val="20"/>
                <w:szCs w:val="20"/>
                <w:vertAlign w:val="superscript"/>
              </w:rPr>
            </w:pPr>
            <w:proofErr w:type="spellStart"/>
            <w:r w:rsidRPr="00D27683">
              <w:rPr>
                <w:rFonts w:ascii="Arial Narrow" w:hAnsi="Arial Narrow"/>
                <w:b/>
                <w:bCs/>
                <w:sz w:val="20"/>
                <w:szCs w:val="20"/>
              </w:rPr>
              <w:t>RR</w:t>
            </w:r>
            <w:r w:rsidR="008823A4" w:rsidRPr="00D27683">
              <w:rPr>
                <w:rFonts w:ascii="Arial Narrow" w:hAnsi="Arial Narrow"/>
                <w:b/>
                <w:bCs/>
                <w:sz w:val="20"/>
                <w:szCs w:val="20"/>
                <w:vertAlign w:val="superscript"/>
              </w:rPr>
              <w:t>a</w:t>
            </w:r>
            <w:proofErr w:type="spellEnd"/>
          </w:p>
          <w:p w14:paraId="20B9E9AE"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(95% CI)</w:t>
            </w:r>
          </w:p>
        </w:tc>
        <w:tc>
          <w:tcPr>
            <w:tcW w:w="682" w:type="pct"/>
            <w:tcBorders>
              <w:bottom w:val="single" w:sz="4" w:space="0" w:color="auto"/>
            </w:tcBorders>
          </w:tcPr>
          <w:p w14:paraId="174684A4" w14:textId="512AAC31" w:rsidR="008531AE" w:rsidRPr="00D27683" w:rsidRDefault="008531AE" w:rsidP="00135EE0">
            <w:pPr>
              <w:jc w:val="center"/>
              <w:rPr>
                <w:rFonts w:ascii="Arial Narrow" w:hAnsi="Arial Narrow"/>
                <w:b/>
                <w:bCs/>
                <w:sz w:val="20"/>
                <w:szCs w:val="20"/>
                <w:vertAlign w:val="superscript"/>
              </w:rPr>
            </w:pPr>
            <w:proofErr w:type="spellStart"/>
            <w:r w:rsidRPr="00D27683">
              <w:rPr>
                <w:rFonts w:ascii="Arial Narrow" w:hAnsi="Arial Narrow"/>
                <w:b/>
                <w:bCs/>
                <w:sz w:val="20"/>
                <w:szCs w:val="20"/>
              </w:rPr>
              <w:t>RD</w:t>
            </w:r>
            <w:r w:rsidR="008823A4" w:rsidRPr="00D27683">
              <w:rPr>
                <w:rFonts w:ascii="Arial Narrow" w:hAnsi="Arial Narrow"/>
                <w:b/>
                <w:bCs/>
                <w:sz w:val="20"/>
                <w:szCs w:val="20"/>
                <w:vertAlign w:val="superscript"/>
              </w:rPr>
              <w:t>a</w:t>
            </w:r>
            <w:proofErr w:type="spellEnd"/>
          </w:p>
          <w:p w14:paraId="075B458C" w14:textId="77777777" w:rsidR="008531AE" w:rsidRPr="00D27683" w:rsidRDefault="008531AE" w:rsidP="00135EE0">
            <w:pPr>
              <w:jc w:val="center"/>
              <w:rPr>
                <w:rFonts w:ascii="Arial Narrow" w:hAnsi="Arial Narrow"/>
                <w:b/>
                <w:bCs/>
                <w:sz w:val="20"/>
                <w:szCs w:val="20"/>
              </w:rPr>
            </w:pPr>
            <w:r w:rsidRPr="00D27683">
              <w:rPr>
                <w:rFonts w:ascii="Arial Narrow" w:hAnsi="Arial Narrow"/>
                <w:b/>
                <w:bCs/>
                <w:sz w:val="20"/>
                <w:szCs w:val="20"/>
              </w:rPr>
              <w:t>(95% CI)</w:t>
            </w:r>
          </w:p>
        </w:tc>
      </w:tr>
      <w:tr w:rsidR="00F75BF5" w:rsidRPr="00D27683" w14:paraId="6D4EB6F5" w14:textId="77777777" w:rsidTr="00395315">
        <w:trPr>
          <w:cantSplit/>
          <w:tblHeader/>
        </w:trPr>
        <w:tc>
          <w:tcPr>
            <w:tcW w:w="1665" w:type="pct"/>
            <w:tcBorders>
              <w:bottom w:val="single" w:sz="4" w:space="0" w:color="auto"/>
            </w:tcBorders>
          </w:tcPr>
          <w:p w14:paraId="1B032990" w14:textId="77777777" w:rsidR="008531AE" w:rsidRPr="00D27683" w:rsidRDefault="008531AE" w:rsidP="00135EE0">
            <w:pPr>
              <w:pStyle w:val="tabletextNS10"/>
              <w:rPr>
                <w:lang w:val="en-AU"/>
              </w:rPr>
            </w:pPr>
            <w:r w:rsidRPr="00D27683">
              <w:rPr>
                <w:lang w:val="en-AU"/>
              </w:rPr>
              <w:t>Any on/post-treatment AE</w:t>
            </w:r>
          </w:p>
        </w:tc>
        <w:tc>
          <w:tcPr>
            <w:tcW w:w="910" w:type="pct"/>
            <w:tcBorders>
              <w:bottom w:val="single" w:sz="4" w:space="0" w:color="auto"/>
            </w:tcBorders>
          </w:tcPr>
          <w:p w14:paraId="635E2F42" w14:textId="77777777" w:rsidR="008531AE" w:rsidRPr="00D27683" w:rsidRDefault="008531AE" w:rsidP="00135EE0">
            <w:pPr>
              <w:pStyle w:val="tabletextNS10"/>
              <w:jc w:val="center"/>
              <w:rPr>
                <w:lang w:val="en-AU"/>
              </w:rPr>
            </w:pPr>
            <w:r w:rsidRPr="00D27683">
              <w:rPr>
                <w:lang w:val="en-AU"/>
              </w:rPr>
              <w:t>301 (75%)</w:t>
            </w:r>
          </w:p>
        </w:tc>
        <w:tc>
          <w:tcPr>
            <w:tcW w:w="833" w:type="pct"/>
            <w:tcBorders>
              <w:bottom w:val="single" w:sz="4" w:space="0" w:color="auto"/>
            </w:tcBorders>
          </w:tcPr>
          <w:p w14:paraId="2F47EECA" w14:textId="77777777" w:rsidR="008531AE" w:rsidRPr="00D27683" w:rsidRDefault="008531AE" w:rsidP="00135EE0">
            <w:pPr>
              <w:pStyle w:val="tabletextNS10"/>
              <w:jc w:val="center"/>
              <w:rPr>
                <w:lang w:val="en-AU"/>
              </w:rPr>
            </w:pPr>
            <w:r w:rsidRPr="00D27683">
              <w:rPr>
                <w:lang w:val="en-AU"/>
              </w:rPr>
              <w:t>308 (77%)</w:t>
            </w:r>
          </w:p>
        </w:tc>
        <w:tc>
          <w:tcPr>
            <w:tcW w:w="910" w:type="pct"/>
            <w:tcBorders>
              <w:bottom w:val="single" w:sz="4" w:space="0" w:color="auto"/>
            </w:tcBorders>
          </w:tcPr>
          <w:p w14:paraId="75A07FDD" w14:textId="77777777" w:rsidR="008531AE" w:rsidRPr="00D27683" w:rsidRDefault="008531AE" w:rsidP="00135EE0">
            <w:pPr>
              <w:pStyle w:val="tabletextNS10"/>
              <w:jc w:val="center"/>
              <w:rPr>
                <w:lang w:val="en-AU"/>
              </w:rPr>
            </w:pPr>
            <w:r w:rsidRPr="00D27683">
              <w:rPr>
                <w:lang w:val="en-AU"/>
              </w:rPr>
              <w:t xml:space="preserve">0.97 </w:t>
            </w:r>
          </w:p>
          <w:p w14:paraId="2956423D" w14:textId="77777777" w:rsidR="008531AE" w:rsidRPr="00D27683" w:rsidRDefault="008531AE" w:rsidP="00135EE0">
            <w:pPr>
              <w:pStyle w:val="tabletextNS10"/>
              <w:jc w:val="center"/>
              <w:rPr>
                <w:lang w:val="en-AU"/>
              </w:rPr>
            </w:pPr>
            <w:r w:rsidRPr="00D27683">
              <w:rPr>
                <w:lang w:val="en-AU"/>
              </w:rPr>
              <w:t>(0.90, 1.05)</w:t>
            </w:r>
          </w:p>
        </w:tc>
        <w:tc>
          <w:tcPr>
            <w:tcW w:w="682" w:type="pct"/>
            <w:tcBorders>
              <w:bottom w:val="single" w:sz="4" w:space="0" w:color="auto"/>
            </w:tcBorders>
          </w:tcPr>
          <w:p w14:paraId="6D37E8DC" w14:textId="77777777" w:rsidR="008531AE" w:rsidRPr="00D27683" w:rsidRDefault="008531AE" w:rsidP="00135EE0">
            <w:pPr>
              <w:pStyle w:val="tabletextNS10"/>
              <w:jc w:val="center"/>
              <w:rPr>
                <w:lang w:val="en-AU"/>
              </w:rPr>
            </w:pPr>
            <w:r w:rsidRPr="00D27683">
              <w:rPr>
                <w:lang w:val="en-AU"/>
              </w:rPr>
              <w:t>-0.02</w:t>
            </w:r>
          </w:p>
          <w:p w14:paraId="14ED43CC" w14:textId="77777777" w:rsidR="008531AE" w:rsidRPr="00D27683" w:rsidRDefault="008531AE" w:rsidP="00135EE0">
            <w:pPr>
              <w:pStyle w:val="tabletextNS10"/>
              <w:jc w:val="center"/>
              <w:rPr>
                <w:lang w:val="en-AU"/>
              </w:rPr>
            </w:pPr>
            <w:r w:rsidRPr="00D27683">
              <w:rPr>
                <w:lang w:val="en-AU"/>
              </w:rPr>
              <w:t xml:space="preserve"> (-0.08, 0.04)</w:t>
            </w:r>
          </w:p>
        </w:tc>
      </w:tr>
      <w:tr w:rsidR="00FD2FC3" w:rsidRPr="00D27683" w14:paraId="590B8ACF" w14:textId="77777777" w:rsidTr="00395315">
        <w:trPr>
          <w:cantSplit/>
          <w:tblHeader/>
        </w:trPr>
        <w:tc>
          <w:tcPr>
            <w:tcW w:w="1665" w:type="pct"/>
            <w:tcBorders>
              <w:top w:val="single" w:sz="4" w:space="0" w:color="auto"/>
              <w:bottom w:val="single" w:sz="4" w:space="0" w:color="auto"/>
              <w:right w:val="single" w:sz="4" w:space="0" w:color="auto"/>
            </w:tcBorders>
          </w:tcPr>
          <w:p w14:paraId="7FCDCAA3" w14:textId="77777777" w:rsidR="008531AE" w:rsidRPr="00D27683" w:rsidRDefault="008531AE" w:rsidP="00135EE0">
            <w:pPr>
              <w:pStyle w:val="tabletextNS10"/>
              <w:rPr>
                <w:lang w:val="en-AU"/>
              </w:rPr>
            </w:pPr>
            <w:r w:rsidRPr="00D27683">
              <w:rPr>
                <w:lang w:val="en-AU"/>
              </w:rPr>
              <w:t>AEs related to study treatment</w:t>
            </w:r>
          </w:p>
        </w:tc>
        <w:tc>
          <w:tcPr>
            <w:tcW w:w="910" w:type="pct"/>
            <w:tcBorders>
              <w:top w:val="single" w:sz="4" w:space="0" w:color="auto"/>
              <w:left w:val="single" w:sz="4" w:space="0" w:color="auto"/>
              <w:bottom w:val="single" w:sz="4" w:space="0" w:color="auto"/>
              <w:right w:val="single" w:sz="4" w:space="0" w:color="auto"/>
            </w:tcBorders>
          </w:tcPr>
          <w:p w14:paraId="14E3D650" w14:textId="77777777" w:rsidR="008531AE" w:rsidRPr="00D27683" w:rsidRDefault="008531AE" w:rsidP="00135EE0">
            <w:pPr>
              <w:pStyle w:val="tabletextNS10"/>
              <w:jc w:val="center"/>
              <w:rPr>
                <w:lang w:val="en-AU"/>
              </w:rPr>
            </w:pPr>
            <w:r w:rsidRPr="00D27683">
              <w:rPr>
                <w:lang w:val="en-AU"/>
              </w:rPr>
              <w:t>19 (5%)</w:t>
            </w:r>
          </w:p>
        </w:tc>
        <w:tc>
          <w:tcPr>
            <w:tcW w:w="833" w:type="pct"/>
            <w:tcBorders>
              <w:top w:val="single" w:sz="4" w:space="0" w:color="auto"/>
              <w:left w:val="single" w:sz="4" w:space="0" w:color="auto"/>
              <w:bottom w:val="single" w:sz="4" w:space="0" w:color="auto"/>
            </w:tcBorders>
          </w:tcPr>
          <w:p w14:paraId="03A181B9" w14:textId="77777777" w:rsidR="008531AE" w:rsidRPr="00D27683" w:rsidRDefault="008531AE" w:rsidP="00135EE0">
            <w:pPr>
              <w:pStyle w:val="tabletextNS10"/>
              <w:jc w:val="center"/>
              <w:rPr>
                <w:lang w:val="en-AU"/>
              </w:rPr>
            </w:pPr>
            <w:r w:rsidRPr="00D27683">
              <w:rPr>
                <w:lang w:val="en-AU"/>
              </w:rPr>
              <w:t>17 (4%)</w:t>
            </w:r>
          </w:p>
        </w:tc>
        <w:tc>
          <w:tcPr>
            <w:tcW w:w="910" w:type="pct"/>
            <w:tcBorders>
              <w:top w:val="single" w:sz="4" w:space="0" w:color="auto"/>
              <w:bottom w:val="single" w:sz="4" w:space="0" w:color="auto"/>
            </w:tcBorders>
          </w:tcPr>
          <w:p w14:paraId="65FA54B2" w14:textId="77777777" w:rsidR="008531AE" w:rsidRPr="00D27683" w:rsidRDefault="008531AE" w:rsidP="00135EE0">
            <w:pPr>
              <w:pStyle w:val="tabletextNS10"/>
              <w:jc w:val="center"/>
              <w:rPr>
                <w:lang w:val="en-AU"/>
              </w:rPr>
            </w:pPr>
            <w:r w:rsidRPr="00D27683">
              <w:rPr>
                <w:lang w:val="en-AU"/>
              </w:rPr>
              <w:t xml:space="preserve">1.11 </w:t>
            </w:r>
          </w:p>
          <w:p w14:paraId="4F901D3C" w14:textId="77777777" w:rsidR="008531AE" w:rsidRPr="00D27683" w:rsidRDefault="008531AE" w:rsidP="00135EE0">
            <w:pPr>
              <w:pStyle w:val="tabletextNS10"/>
              <w:jc w:val="center"/>
              <w:rPr>
                <w:lang w:val="en-AU"/>
              </w:rPr>
            </w:pPr>
            <w:r w:rsidRPr="00D27683">
              <w:rPr>
                <w:lang w:val="en-AU"/>
              </w:rPr>
              <w:t>(0.59, 2.11)</w:t>
            </w:r>
          </w:p>
        </w:tc>
        <w:tc>
          <w:tcPr>
            <w:tcW w:w="682" w:type="pct"/>
            <w:tcBorders>
              <w:top w:val="single" w:sz="4" w:space="0" w:color="auto"/>
              <w:bottom w:val="single" w:sz="4" w:space="0" w:color="auto"/>
            </w:tcBorders>
          </w:tcPr>
          <w:p w14:paraId="66BE6834" w14:textId="77777777" w:rsidR="008531AE" w:rsidRPr="00D27683" w:rsidRDefault="008531AE" w:rsidP="00135EE0">
            <w:pPr>
              <w:pStyle w:val="tabletextNS10"/>
              <w:jc w:val="center"/>
              <w:rPr>
                <w:lang w:val="en-AU"/>
              </w:rPr>
            </w:pPr>
            <w:r w:rsidRPr="00D27683">
              <w:rPr>
                <w:lang w:val="en-AU"/>
              </w:rPr>
              <w:t>0.01</w:t>
            </w:r>
          </w:p>
          <w:p w14:paraId="31B071D3" w14:textId="77777777" w:rsidR="008531AE" w:rsidRPr="00D27683" w:rsidRDefault="008531AE" w:rsidP="00135EE0">
            <w:pPr>
              <w:pStyle w:val="tabletextNS10"/>
              <w:jc w:val="center"/>
              <w:rPr>
                <w:lang w:val="en-AU"/>
              </w:rPr>
            </w:pPr>
            <w:r w:rsidRPr="00D27683">
              <w:rPr>
                <w:lang w:val="en-AU"/>
              </w:rPr>
              <w:t xml:space="preserve"> (-0.02, 0.03)</w:t>
            </w:r>
          </w:p>
        </w:tc>
      </w:tr>
      <w:tr w:rsidR="00FD2FC3" w:rsidRPr="00D27683" w14:paraId="1A1664B8" w14:textId="77777777" w:rsidTr="00395315">
        <w:trPr>
          <w:cantSplit/>
          <w:tblHeader/>
        </w:trPr>
        <w:tc>
          <w:tcPr>
            <w:tcW w:w="1665" w:type="pct"/>
            <w:tcBorders>
              <w:top w:val="single" w:sz="4" w:space="0" w:color="auto"/>
              <w:bottom w:val="single" w:sz="4" w:space="0" w:color="auto"/>
              <w:right w:val="single" w:sz="4" w:space="0" w:color="auto"/>
            </w:tcBorders>
          </w:tcPr>
          <w:p w14:paraId="2AD91B44" w14:textId="77777777" w:rsidR="008531AE" w:rsidRPr="00D27683" w:rsidRDefault="008531AE" w:rsidP="00135EE0">
            <w:pPr>
              <w:pStyle w:val="tabletextNS10"/>
              <w:rPr>
                <w:lang w:val="en-AU"/>
              </w:rPr>
            </w:pPr>
            <w:r w:rsidRPr="00D27683">
              <w:rPr>
                <w:lang w:val="en-AU"/>
              </w:rPr>
              <w:t>AEs leading to permanent discontinuation of study treatment</w:t>
            </w:r>
          </w:p>
        </w:tc>
        <w:tc>
          <w:tcPr>
            <w:tcW w:w="910" w:type="pct"/>
            <w:tcBorders>
              <w:top w:val="single" w:sz="4" w:space="0" w:color="auto"/>
              <w:left w:val="single" w:sz="4" w:space="0" w:color="auto"/>
              <w:bottom w:val="single" w:sz="4" w:space="0" w:color="auto"/>
              <w:right w:val="single" w:sz="4" w:space="0" w:color="auto"/>
            </w:tcBorders>
          </w:tcPr>
          <w:p w14:paraId="65F7C10A" w14:textId="77777777" w:rsidR="008531AE" w:rsidRPr="00D27683" w:rsidRDefault="008531AE" w:rsidP="00135EE0">
            <w:pPr>
              <w:pStyle w:val="tabletextNS10"/>
              <w:jc w:val="center"/>
              <w:rPr>
                <w:lang w:val="en-AU"/>
              </w:rPr>
            </w:pPr>
            <w:r w:rsidRPr="00D27683">
              <w:rPr>
                <w:lang w:val="en-AU"/>
              </w:rPr>
              <w:t>14 (3%)</w:t>
            </w:r>
          </w:p>
        </w:tc>
        <w:tc>
          <w:tcPr>
            <w:tcW w:w="833" w:type="pct"/>
            <w:tcBorders>
              <w:top w:val="single" w:sz="4" w:space="0" w:color="auto"/>
              <w:left w:val="single" w:sz="4" w:space="0" w:color="auto"/>
              <w:bottom w:val="single" w:sz="4" w:space="0" w:color="auto"/>
            </w:tcBorders>
          </w:tcPr>
          <w:p w14:paraId="6CB58575" w14:textId="77777777" w:rsidR="008531AE" w:rsidRPr="00D27683" w:rsidRDefault="008531AE" w:rsidP="00135EE0">
            <w:pPr>
              <w:pStyle w:val="tabletextNS10"/>
              <w:jc w:val="center"/>
              <w:rPr>
                <w:lang w:val="en-AU"/>
              </w:rPr>
            </w:pPr>
            <w:r w:rsidRPr="00D27683">
              <w:rPr>
                <w:lang w:val="en-AU"/>
              </w:rPr>
              <w:t>18 (4%)</w:t>
            </w:r>
          </w:p>
        </w:tc>
        <w:tc>
          <w:tcPr>
            <w:tcW w:w="910" w:type="pct"/>
            <w:tcBorders>
              <w:top w:val="single" w:sz="4" w:space="0" w:color="auto"/>
              <w:bottom w:val="single" w:sz="4" w:space="0" w:color="auto"/>
            </w:tcBorders>
          </w:tcPr>
          <w:p w14:paraId="0ACDB7C4" w14:textId="77777777" w:rsidR="008531AE" w:rsidRPr="00D27683" w:rsidRDefault="008531AE" w:rsidP="00135EE0">
            <w:pPr>
              <w:pStyle w:val="tabletextNS10"/>
              <w:jc w:val="center"/>
              <w:rPr>
                <w:lang w:val="en-AU"/>
              </w:rPr>
            </w:pPr>
            <w:r w:rsidRPr="00D27683">
              <w:rPr>
                <w:lang w:val="en-AU"/>
              </w:rPr>
              <w:t xml:space="preserve">0.77 </w:t>
            </w:r>
          </w:p>
          <w:p w14:paraId="110FA12A" w14:textId="77777777" w:rsidR="008531AE" w:rsidRPr="00D27683" w:rsidRDefault="008531AE" w:rsidP="00135EE0">
            <w:pPr>
              <w:pStyle w:val="tabletextNS10"/>
              <w:jc w:val="center"/>
              <w:rPr>
                <w:lang w:val="en-AU"/>
              </w:rPr>
            </w:pPr>
            <w:r w:rsidRPr="00D27683">
              <w:rPr>
                <w:lang w:val="en-AU"/>
              </w:rPr>
              <w:t>(0.39, 1.54)</w:t>
            </w:r>
          </w:p>
        </w:tc>
        <w:tc>
          <w:tcPr>
            <w:tcW w:w="682" w:type="pct"/>
            <w:tcBorders>
              <w:top w:val="single" w:sz="4" w:space="0" w:color="auto"/>
              <w:bottom w:val="single" w:sz="4" w:space="0" w:color="auto"/>
            </w:tcBorders>
          </w:tcPr>
          <w:p w14:paraId="1FA67C43" w14:textId="77777777" w:rsidR="008531AE" w:rsidRPr="00D27683" w:rsidRDefault="008531AE" w:rsidP="00135EE0">
            <w:pPr>
              <w:pStyle w:val="tabletextNS10"/>
              <w:jc w:val="center"/>
              <w:rPr>
                <w:lang w:val="en-AU"/>
              </w:rPr>
            </w:pPr>
            <w:r w:rsidRPr="00D27683">
              <w:rPr>
                <w:lang w:val="en-AU"/>
              </w:rPr>
              <w:t xml:space="preserve">-0.01 </w:t>
            </w:r>
          </w:p>
          <w:p w14:paraId="50F9CC10" w14:textId="77777777" w:rsidR="008531AE" w:rsidRPr="00D27683" w:rsidRDefault="008531AE" w:rsidP="00135EE0">
            <w:pPr>
              <w:pStyle w:val="tabletextNS10"/>
              <w:jc w:val="center"/>
              <w:rPr>
                <w:lang w:val="en-AU"/>
              </w:rPr>
            </w:pPr>
            <w:r w:rsidRPr="00D27683">
              <w:rPr>
                <w:lang w:val="en-AU"/>
              </w:rPr>
              <w:t>(-0.04, 0.02)</w:t>
            </w:r>
          </w:p>
        </w:tc>
      </w:tr>
      <w:tr w:rsidR="00FD2FC3" w:rsidRPr="00D27683" w14:paraId="3BAD57E1" w14:textId="77777777" w:rsidTr="00395315">
        <w:trPr>
          <w:cantSplit/>
          <w:tblHeader/>
        </w:trPr>
        <w:tc>
          <w:tcPr>
            <w:tcW w:w="1665" w:type="pct"/>
            <w:tcBorders>
              <w:top w:val="single" w:sz="4" w:space="0" w:color="auto"/>
              <w:bottom w:val="single" w:sz="4" w:space="0" w:color="auto"/>
              <w:right w:val="single" w:sz="4" w:space="0" w:color="auto"/>
            </w:tcBorders>
          </w:tcPr>
          <w:p w14:paraId="6822B7B0" w14:textId="77777777" w:rsidR="008531AE" w:rsidRPr="00D27683" w:rsidRDefault="008531AE" w:rsidP="00135EE0">
            <w:pPr>
              <w:pStyle w:val="tabletextNS10"/>
              <w:rPr>
                <w:lang w:val="en-AU"/>
              </w:rPr>
            </w:pPr>
            <w:r w:rsidRPr="00D27683">
              <w:rPr>
                <w:lang w:val="en-AU"/>
              </w:rPr>
              <w:t>AEs leading to withdrawal from the trial</w:t>
            </w:r>
          </w:p>
        </w:tc>
        <w:tc>
          <w:tcPr>
            <w:tcW w:w="910" w:type="pct"/>
            <w:tcBorders>
              <w:top w:val="single" w:sz="4" w:space="0" w:color="auto"/>
              <w:left w:val="single" w:sz="4" w:space="0" w:color="auto"/>
              <w:bottom w:val="single" w:sz="4" w:space="0" w:color="auto"/>
              <w:right w:val="single" w:sz="4" w:space="0" w:color="auto"/>
            </w:tcBorders>
          </w:tcPr>
          <w:p w14:paraId="16EDDAC5" w14:textId="77777777" w:rsidR="008531AE" w:rsidRPr="00D27683" w:rsidRDefault="008531AE" w:rsidP="00135EE0">
            <w:pPr>
              <w:pStyle w:val="tabletextNS10"/>
              <w:jc w:val="center"/>
              <w:rPr>
                <w:lang w:val="en-AU"/>
              </w:rPr>
            </w:pPr>
            <w:r w:rsidRPr="00D27683">
              <w:rPr>
                <w:lang w:val="en-AU"/>
              </w:rPr>
              <w:t>15 (4%)</w:t>
            </w:r>
          </w:p>
        </w:tc>
        <w:tc>
          <w:tcPr>
            <w:tcW w:w="833" w:type="pct"/>
            <w:tcBorders>
              <w:top w:val="single" w:sz="4" w:space="0" w:color="auto"/>
              <w:left w:val="single" w:sz="4" w:space="0" w:color="auto"/>
              <w:bottom w:val="single" w:sz="4" w:space="0" w:color="auto"/>
            </w:tcBorders>
          </w:tcPr>
          <w:p w14:paraId="3DEE6666" w14:textId="77777777" w:rsidR="008531AE" w:rsidRPr="00D27683" w:rsidRDefault="008531AE" w:rsidP="00135EE0">
            <w:pPr>
              <w:pStyle w:val="tabletextNS10"/>
              <w:jc w:val="center"/>
              <w:rPr>
                <w:lang w:val="en-AU"/>
              </w:rPr>
            </w:pPr>
            <w:r w:rsidRPr="00D27683">
              <w:rPr>
                <w:lang w:val="en-AU"/>
              </w:rPr>
              <w:t>16 (4%)</w:t>
            </w:r>
          </w:p>
        </w:tc>
        <w:tc>
          <w:tcPr>
            <w:tcW w:w="910" w:type="pct"/>
            <w:tcBorders>
              <w:top w:val="single" w:sz="4" w:space="0" w:color="auto"/>
              <w:bottom w:val="single" w:sz="4" w:space="0" w:color="auto"/>
            </w:tcBorders>
          </w:tcPr>
          <w:p w14:paraId="7DDB1EAF" w14:textId="77777777" w:rsidR="008531AE" w:rsidRPr="00D27683" w:rsidRDefault="008531AE" w:rsidP="00135EE0">
            <w:pPr>
              <w:pStyle w:val="tabletextNS10"/>
              <w:jc w:val="center"/>
              <w:rPr>
                <w:lang w:val="en-AU"/>
              </w:rPr>
            </w:pPr>
            <w:r w:rsidRPr="00D27683">
              <w:rPr>
                <w:lang w:val="en-AU"/>
              </w:rPr>
              <w:t xml:space="preserve">0.93 </w:t>
            </w:r>
          </w:p>
          <w:p w14:paraId="5A35124A" w14:textId="77777777" w:rsidR="008531AE" w:rsidRPr="00D27683" w:rsidRDefault="008531AE" w:rsidP="00135EE0">
            <w:pPr>
              <w:pStyle w:val="tabletextNS10"/>
              <w:jc w:val="center"/>
              <w:rPr>
                <w:lang w:val="en-AU"/>
              </w:rPr>
            </w:pPr>
            <w:r w:rsidRPr="00D27683">
              <w:rPr>
                <w:lang w:val="en-AU"/>
              </w:rPr>
              <w:t>(0.47, 1.86)</w:t>
            </w:r>
          </w:p>
        </w:tc>
        <w:tc>
          <w:tcPr>
            <w:tcW w:w="682" w:type="pct"/>
            <w:tcBorders>
              <w:top w:val="single" w:sz="4" w:space="0" w:color="auto"/>
              <w:bottom w:val="single" w:sz="4" w:space="0" w:color="auto"/>
            </w:tcBorders>
          </w:tcPr>
          <w:p w14:paraId="410B7E52" w14:textId="77777777" w:rsidR="008531AE" w:rsidRPr="00D27683" w:rsidRDefault="008531AE" w:rsidP="00135EE0">
            <w:pPr>
              <w:pStyle w:val="tabletextNS10"/>
              <w:jc w:val="center"/>
              <w:rPr>
                <w:lang w:val="en-AU"/>
              </w:rPr>
            </w:pPr>
            <w:r w:rsidRPr="00D27683">
              <w:rPr>
                <w:lang w:val="en-AU"/>
              </w:rPr>
              <w:t xml:space="preserve">0.00 </w:t>
            </w:r>
          </w:p>
          <w:p w14:paraId="70F9D6AB" w14:textId="77777777" w:rsidR="008531AE" w:rsidRPr="00D27683" w:rsidRDefault="008531AE" w:rsidP="00135EE0">
            <w:pPr>
              <w:pStyle w:val="tabletextNS10"/>
              <w:jc w:val="center"/>
              <w:rPr>
                <w:lang w:val="en-AU"/>
              </w:rPr>
            </w:pPr>
            <w:r w:rsidRPr="00D27683">
              <w:rPr>
                <w:lang w:val="en-AU"/>
              </w:rPr>
              <w:t>(-0.03, 0.02)</w:t>
            </w:r>
          </w:p>
        </w:tc>
      </w:tr>
      <w:tr w:rsidR="00DD65C7" w:rsidRPr="00D27683" w14:paraId="315E9902" w14:textId="77777777" w:rsidTr="00395315">
        <w:trPr>
          <w:cantSplit/>
          <w:tblHeader/>
        </w:trPr>
        <w:tc>
          <w:tcPr>
            <w:tcW w:w="1665" w:type="pct"/>
            <w:tcBorders>
              <w:top w:val="single" w:sz="4" w:space="0" w:color="auto"/>
              <w:bottom w:val="single" w:sz="4" w:space="0" w:color="auto"/>
            </w:tcBorders>
          </w:tcPr>
          <w:p w14:paraId="04113306" w14:textId="77777777" w:rsidR="008531AE" w:rsidRPr="00D27683" w:rsidRDefault="008531AE" w:rsidP="00135EE0">
            <w:pPr>
              <w:pStyle w:val="tabletextNS10"/>
              <w:rPr>
                <w:lang w:val="en-AU"/>
              </w:rPr>
            </w:pPr>
            <w:r w:rsidRPr="00D27683">
              <w:rPr>
                <w:lang w:val="en-AU"/>
              </w:rPr>
              <w:t>AEs leading to dose interruption/delay</w:t>
            </w:r>
          </w:p>
        </w:tc>
        <w:tc>
          <w:tcPr>
            <w:tcW w:w="910" w:type="pct"/>
            <w:tcBorders>
              <w:top w:val="single" w:sz="4" w:space="0" w:color="auto"/>
            </w:tcBorders>
          </w:tcPr>
          <w:p w14:paraId="22DF3051" w14:textId="77777777" w:rsidR="008531AE" w:rsidRPr="00D27683" w:rsidRDefault="008531AE" w:rsidP="00135EE0">
            <w:pPr>
              <w:pStyle w:val="tabletextNS10"/>
              <w:jc w:val="center"/>
              <w:rPr>
                <w:lang w:val="en-AU"/>
              </w:rPr>
            </w:pPr>
            <w:r w:rsidRPr="00D27683">
              <w:rPr>
                <w:lang w:val="en-AU"/>
              </w:rPr>
              <w:t>12 (3%)</w:t>
            </w:r>
          </w:p>
        </w:tc>
        <w:tc>
          <w:tcPr>
            <w:tcW w:w="833" w:type="pct"/>
            <w:tcBorders>
              <w:top w:val="single" w:sz="4" w:space="0" w:color="auto"/>
            </w:tcBorders>
          </w:tcPr>
          <w:p w14:paraId="674D63AC" w14:textId="77777777" w:rsidR="008531AE" w:rsidRPr="00D27683" w:rsidRDefault="008531AE" w:rsidP="00135EE0">
            <w:pPr>
              <w:pStyle w:val="tabletextNS10"/>
              <w:jc w:val="center"/>
              <w:rPr>
                <w:lang w:val="en-AU"/>
              </w:rPr>
            </w:pPr>
            <w:r w:rsidRPr="00D27683">
              <w:rPr>
                <w:lang w:val="en-AU"/>
              </w:rPr>
              <w:t>21 (5%)</w:t>
            </w:r>
          </w:p>
        </w:tc>
        <w:tc>
          <w:tcPr>
            <w:tcW w:w="910" w:type="pct"/>
            <w:tcBorders>
              <w:top w:val="single" w:sz="4" w:space="0" w:color="auto"/>
            </w:tcBorders>
          </w:tcPr>
          <w:p w14:paraId="1EF5ABEE" w14:textId="77777777" w:rsidR="008531AE" w:rsidRPr="00D27683" w:rsidRDefault="008531AE" w:rsidP="00135EE0">
            <w:pPr>
              <w:pStyle w:val="tabletextNS10"/>
              <w:jc w:val="center"/>
              <w:rPr>
                <w:lang w:val="en-AU"/>
              </w:rPr>
            </w:pPr>
            <w:r w:rsidRPr="00D27683">
              <w:rPr>
                <w:lang w:val="en-AU"/>
              </w:rPr>
              <w:t xml:space="preserve">0.57 </w:t>
            </w:r>
          </w:p>
          <w:p w14:paraId="51D19942" w14:textId="77777777" w:rsidR="008531AE" w:rsidRPr="00D27683" w:rsidRDefault="008531AE" w:rsidP="00135EE0">
            <w:pPr>
              <w:pStyle w:val="tabletextNS10"/>
              <w:jc w:val="center"/>
              <w:rPr>
                <w:lang w:val="en-AU"/>
              </w:rPr>
            </w:pPr>
            <w:r w:rsidRPr="00D27683">
              <w:rPr>
                <w:lang w:val="en-AU"/>
              </w:rPr>
              <w:t>(0.28, 1.14)</w:t>
            </w:r>
          </w:p>
        </w:tc>
        <w:tc>
          <w:tcPr>
            <w:tcW w:w="682" w:type="pct"/>
            <w:tcBorders>
              <w:top w:val="single" w:sz="4" w:space="0" w:color="auto"/>
            </w:tcBorders>
          </w:tcPr>
          <w:p w14:paraId="70F163F9" w14:textId="77777777" w:rsidR="008531AE" w:rsidRPr="00D27683" w:rsidRDefault="008531AE" w:rsidP="00135EE0">
            <w:pPr>
              <w:pStyle w:val="tabletextNS10"/>
              <w:jc w:val="center"/>
              <w:rPr>
                <w:lang w:val="en-AU"/>
              </w:rPr>
            </w:pPr>
            <w:r w:rsidRPr="00D27683">
              <w:rPr>
                <w:lang w:val="en-AU"/>
              </w:rPr>
              <w:t xml:space="preserve">-0.02 </w:t>
            </w:r>
          </w:p>
          <w:p w14:paraId="77952FFB" w14:textId="77777777" w:rsidR="008531AE" w:rsidRPr="00D27683" w:rsidRDefault="008531AE" w:rsidP="00135EE0">
            <w:pPr>
              <w:pStyle w:val="tabletextNS10"/>
              <w:jc w:val="center"/>
              <w:rPr>
                <w:lang w:val="en-AU"/>
              </w:rPr>
            </w:pPr>
            <w:r w:rsidRPr="00D27683">
              <w:rPr>
                <w:lang w:val="en-AU"/>
              </w:rPr>
              <w:t>(-0.05, 0.01)</w:t>
            </w:r>
          </w:p>
        </w:tc>
      </w:tr>
      <w:tr w:rsidR="00F75BF5" w:rsidRPr="00D27683" w14:paraId="36F72073" w14:textId="77777777" w:rsidTr="00395315">
        <w:trPr>
          <w:cantSplit/>
          <w:tblHeader/>
        </w:trPr>
        <w:tc>
          <w:tcPr>
            <w:tcW w:w="1665" w:type="pct"/>
            <w:tcBorders>
              <w:bottom w:val="single" w:sz="4" w:space="0" w:color="auto"/>
            </w:tcBorders>
          </w:tcPr>
          <w:p w14:paraId="1520C010" w14:textId="77777777" w:rsidR="008531AE" w:rsidRPr="00D27683" w:rsidRDefault="008531AE" w:rsidP="00135EE0">
            <w:pPr>
              <w:pStyle w:val="tabletextNS10"/>
              <w:rPr>
                <w:lang w:val="en-AU"/>
              </w:rPr>
            </w:pPr>
            <w:r w:rsidRPr="00D27683">
              <w:rPr>
                <w:lang w:val="en-AU"/>
              </w:rPr>
              <w:t>Any on/post-treatment SAE</w:t>
            </w:r>
          </w:p>
        </w:tc>
        <w:tc>
          <w:tcPr>
            <w:tcW w:w="910" w:type="pct"/>
            <w:tcBorders>
              <w:bottom w:val="single" w:sz="4" w:space="0" w:color="auto"/>
            </w:tcBorders>
          </w:tcPr>
          <w:p w14:paraId="2474F397" w14:textId="77777777" w:rsidR="008531AE" w:rsidRPr="00D27683" w:rsidRDefault="008531AE" w:rsidP="00135EE0">
            <w:pPr>
              <w:pStyle w:val="tabletextNS10"/>
              <w:jc w:val="center"/>
              <w:rPr>
                <w:lang w:val="en-AU"/>
              </w:rPr>
            </w:pPr>
            <w:r w:rsidRPr="00D27683">
              <w:rPr>
                <w:lang w:val="en-AU"/>
              </w:rPr>
              <w:t>101 (25%)</w:t>
            </w:r>
          </w:p>
        </w:tc>
        <w:tc>
          <w:tcPr>
            <w:tcW w:w="833" w:type="pct"/>
            <w:tcBorders>
              <w:bottom w:val="single" w:sz="4" w:space="0" w:color="auto"/>
            </w:tcBorders>
          </w:tcPr>
          <w:p w14:paraId="35B1B02A" w14:textId="77777777" w:rsidR="008531AE" w:rsidRPr="00D27683" w:rsidRDefault="008531AE" w:rsidP="00135EE0">
            <w:pPr>
              <w:pStyle w:val="tabletextNS10"/>
              <w:jc w:val="center"/>
              <w:rPr>
                <w:lang w:val="en-AU"/>
              </w:rPr>
            </w:pPr>
            <w:r w:rsidRPr="00D27683">
              <w:rPr>
                <w:lang w:val="en-AU"/>
              </w:rPr>
              <w:t>115 (29%)</w:t>
            </w:r>
          </w:p>
        </w:tc>
        <w:tc>
          <w:tcPr>
            <w:tcW w:w="910" w:type="pct"/>
            <w:tcBorders>
              <w:bottom w:val="single" w:sz="4" w:space="0" w:color="auto"/>
            </w:tcBorders>
          </w:tcPr>
          <w:p w14:paraId="7CBFF998" w14:textId="77777777" w:rsidR="008531AE" w:rsidRPr="00D27683" w:rsidRDefault="008531AE" w:rsidP="00135EE0">
            <w:pPr>
              <w:pStyle w:val="tabletextNS10"/>
              <w:jc w:val="center"/>
              <w:rPr>
                <w:lang w:val="en-AU"/>
              </w:rPr>
            </w:pPr>
            <w:r w:rsidRPr="00D27683">
              <w:rPr>
                <w:lang w:val="en-AU"/>
              </w:rPr>
              <w:t xml:space="preserve">0.87 </w:t>
            </w:r>
          </w:p>
          <w:p w14:paraId="6BD74137" w14:textId="77777777" w:rsidR="008531AE" w:rsidRPr="00D27683" w:rsidRDefault="008531AE" w:rsidP="00135EE0">
            <w:pPr>
              <w:pStyle w:val="tabletextNS10"/>
              <w:jc w:val="center"/>
              <w:rPr>
                <w:lang w:val="en-AU"/>
              </w:rPr>
            </w:pPr>
            <w:r w:rsidRPr="00D27683">
              <w:rPr>
                <w:lang w:val="en-AU"/>
              </w:rPr>
              <w:t>(0.70, 1.10)</w:t>
            </w:r>
          </w:p>
        </w:tc>
        <w:tc>
          <w:tcPr>
            <w:tcW w:w="682" w:type="pct"/>
            <w:tcBorders>
              <w:bottom w:val="single" w:sz="4" w:space="0" w:color="auto"/>
            </w:tcBorders>
          </w:tcPr>
          <w:p w14:paraId="3BEDC4B4" w14:textId="77777777" w:rsidR="008531AE" w:rsidRPr="00D27683" w:rsidRDefault="008531AE" w:rsidP="00135EE0">
            <w:pPr>
              <w:pStyle w:val="tabletextNS10"/>
              <w:jc w:val="center"/>
              <w:rPr>
                <w:lang w:val="en-AU"/>
              </w:rPr>
            </w:pPr>
            <w:r w:rsidRPr="00D27683">
              <w:rPr>
                <w:lang w:val="en-AU"/>
              </w:rPr>
              <w:t xml:space="preserve">-0.04 </w:t>
            </w:r>
          </w:p>
          <w:p w14:paraId="2BA0129F" w14:textId="77777777" w:rsidR="008531AE" w:rsidRPr="00D27683" w:rsidRDefault="008531AE" w:rsidP="00135EE0">
            <w:pPr>
              <w:pStyle w:val="tabletextNS10"/>
              <w:jc w:val="center"/>
              <w:rPr>
                <w:lang w:val="en-AU"/>
              </w:rPr>
            </w:pPr>
            <w:r w:rsidRPr="00D27683">
              <w:rPr>
                <w:lang w:val="en-AU"/>
              </w:rPr>
              <w:t>(-0.10, 0.03)</w:t>
            </w:r>
          </w:p>
        </w:tc>
      </w:tr>
      <w:tr w:rsidR="00F75BF5" w:rsidRPr="00D27683" w14:paraId="721AA68E" w14:textId="77777777" w:rsidTr="00395315">
        <w:trPr>
          <w:cantSplit/>
          <w:tblHeader/>
        </w:trPr>
        <w:tc>
          <w:tcPr>
            <w:tcW w:w="1665" w:type="pct"/>
            <w:tcBorders>
              <w:top w:val="single" w:sz="4" w:space="0" w:color="auto"/>
              <w:bottom w:val="single" w:sz="4" w:space="0" w:color="auto"/>
            </w:tcBorders>
          </w:tcPr>
          <w:p w14:paraId="41A4A894" w14:textId="77777777" w:rsidR="008531AE" w:rsidRPr="00D27683" w:rsidRDefault="008531AE" w:rsidP="00135EE0">
            <w:pPr>
              <w:pStyle w:val="tabletextNS10"/>
              <w:rPr>
                <w:lang w:val="en-AU"/>
              </w:rPr>
            </w:pPr>
            <w:r w:rsidRPr="00D27683">
              <w:rPr>
                <w:lang w:val="en-AU"/>
              </w:rPr>
              <w:t>SAEs related to study treatment</w:t>
            </w:r>
          </w:p>
        </w:tc>
        <w:tc>
          <w:tcPr>
            <w:tcW w:w="910" w:type="pct"/>
            <w:tcBorders>
              <w:top w:val="single" w:sz="4" w:space="0" w:color="auto"/>
              <w:bottom w:val="single" w:sz="4" w:space="0" w:color="auto"/>
            </w:tcBorders>
          </w:tcPr>
          <w:p w14:paraId="64E41692" w14:textId="77777777" w:rsidR="008531AE" w:rsidRPr="00D27683" w:rsidRDefault="008531AE" w:rsidP="00135EE0">
            <w:pPr>
              <w:pStyle w:val="tabletextNS10"/>
              <w:jc w:val="center"/>
              <w:rPr>
                <w:lang w:val="en-AU"/>
              </w:rPr>
            </w:pPr>
            <w:r w:rsidRPr="00D27683">
              <w:rPr>
                <w:lang w:val="en-AU"/>
              </w:rPr>
              <w:t>0</w:t>
            </w:r>
          </w:p>
        </w:tc>
        <w:tc>
          <w:tcPr>
            <w:tcW w:w="833" w:type="pct"/>
            <w:tcBorders>
              <w:top w:val="single" w:sz="4" w:space="0" w:color="auto"/>
              <w:bottom w:val="single" w:sz="4" w:space="0" w:color="auto"/>
            </w:tcBorders>
          </w:tcPr>
          <w:p w14:paraId="1D42D2F5" w14:textId="77777777" w:rsidR="008531AE" w:rsidRPr="00D27683" w:rsidRDefault="008531AE" w:rsidP="00135EE0">
            <w:pPr>
              <w:pStyle w:val="tabletextNS10"/>
              <w:jc w:val="center"/>
              <w:rPr>
                <w:lang w:val="en-AU"/>
              </w:rPr>
            </w:pPr>
            <w:r w:rsidRPr="00D27683">
              <w:rPr>
                <w:lang w:val="en-AU"/>
              </w:rPr>
              <w:t>0</w:t>
            </w:r>
          </w:p>
        </w:tc>
        <w:tc>
          <w:tcPr>
            <w:tcW w:w="910" w:type="pct"/>
            <w:tcBorders>
              <w:top w:val="single" w:sz="4" w:space="0" w:color="auto"/>
              <w:bottom w:val="single" w:sz="4" w:space="0" w:color="auto"/>
            </w:tcBorders>
          </w:tcPr>
          <w:p w14:paraId="27A3B468" w14:textId="77777777" w:rsidR="008531AE" w:rsidRPr="00D27683" w:rsidRDefault="008531AE" w:rsidP="00135EE0">
            <w:pPr>
              <w:pStyle w:val="tabletextNS10"/>
              <w:jc w:val="center"/>
              <w:rPr>
                <w:lang w:val="en-AU"/>
              </w:rPr>
            </w:pPr>
            <w:r w:rsidRPr="00D27683">
              <w:rPr>
                <w:lang w:val="en-AU"/>
              </w:rPr>
              <w:t>0</w:t>
            </w:r>
          </w:p>
        </w:tc>
        <w:tc>
          <w:tcPr>
            <w:tcW w:w="682" w:type="pct"/>
            <w:tcBorders>
              <w:top w:val="single" w:sz="4" w:space="0" w:color="auto"/>
              <w:bottom w:val="single" w:sz="4" w:space="0" w:color="auto"/>
            </w:tcBorders>
          </w:tcPr>
          <w:p w14:paraId="4E4CC47C" w14:textId="77777777" w:rsidR="008531AE" w:rsidRPr="00D27683" w:rsidRDefault="008531AE" w:rsidP="00135EE0">
            <w:pPr>
              <w:pStyle w:val="tabletextNS10"/>
              <w:jc w:val="center"/>
              <w:rPr>
                <w:lang w:val="en-AU"/>
              </w:rPr>
            </w:pPr>
            <w:r w:rsidRPr="00D27683">
              <w:rPr>
                <w:lang w:val="en-AU"/>
              </w:rPr>
              <w:t>0</w:t>
            </w:r>
          </w:p>
        </w:tc>
      </w:tr>
      <w:tr w:rsidR="00F75BF5" w:rsidRPr="00D27683" w14:paraId="6D02796F" w14:textId="77777777" w:rsidTr="00395315">
        <w:trPr>
          <w:cantSplit/>
          <w:tblHeader/>
        </w:trPr>
        <w:tc>
          <w:tcPr>
            <w:tcW w:w="1665" w:type="pct"/>
            <w:tcBorders>
              <w:top w:val="single" w:sz="4" w:space="0" w:color="auto"/>
              <w:bottom w:val="single" w:sz="4" w:space="0" w:color="auto"/>
            </w:tcBorders>
          </w:tcPr>
          <w:p w14:paraId="037489CE" w14:textId="77777777" w:rsidR="008531AE" w:rsidRPr="00D27683" w:rsidRDefault="008531AE" w:rsidP="00135EE0">
            <w:pPr>
              <w:pStyle w:val="tabletextNS10"/>
              <w:rPr>
                <w:lang w:val="en-AU"/>
              </w:rPr>
            </w:pPr>
            <w:r w:rsidRPr="00D27683">
              <w:rPr>
                <w:lang w:val="en-AU"/>
              </w:rPr>
              <w:t>Fatal SAEs</w:t>
            </w:r>
          </w:p>
        </w:tc>
        <w:tc>
          <w:tcPr>
            <w:tcW w:w="910" w:type="pct"/>
            <w:tcBorders>
              <w:top w:val="single" w:sz="4" w:space="0" w:color="auto"/>
              <w:bottom w:val="single" w:sz="4" w:space="0" w:color="auto"/>
            </w:tcBorders>
          </w:tcPr>
          <w:p w14:paraId="28D74CD3" w14:textId="77777777" w:rsidR="008531AE" w:rsidRPr="00D27683" w:rsidRDefault="008531AE" w:rsidP="00135EE0">
            <w:pPr>
              <w:pStyle w:val="tabletextNS10"/>
              <w:jc w:val="center"/>
              <w:rPr>
                <w:lang w:val="en-AU"/>
              </w:rPr>
            </w:pPr>
            <w:r w:rsidRPr="00D27683">
              <w:rPr>
                <w:lang w:val="en-AU"/>
              </w:rPr>
              <w:t>11 (3%)</w:t>
            </w:r>
          </w:p>
        </w:tc>
        <w:tc>
          <w:tcPr>
            <w:tcW w:w="833" w:type="pct"/>
            <w:tcBorders>
              <w:top w:val="single" w:sz="4" w:space="0" w:color="auto"/>
              <w:bottom w:val="single" w:sz="4" w:space="0" w:color="auto"/>
            </w:tcBorders>
          </w:tcPr>
          <w:p w14:paraId="66AAFBD7" w14:textId="77777777" w:rsidR="008531AE" w:rsidRPr="00D27683" w:rsidRDefault="008531AE" w:rsidP="00135EE0">
            <w:pPr>
              <w:pStyle w:val="tabletextNS10"/>
              <w:jc w:val="center"/>
              <w:rPr>
                <w:lang w:val="en-AU"/>
              </w:rPr>
            </w:pPr>
            <w:r w:rsidRPr="00D27683">
              <w:rPr>
                <w:lang w:val="en-AU"/>
              </w:rPr>
              <w:t>11 (3%)</w:t>
            </w:r>
          </w:p>
        </w:tc>
        <w:tc>
          <w:tcPr>
            <w:tcW w:w="910" w:type="pct"/>
            <w:tcBorders>
              <w:top w:val="single" w:sz="4" w:space="0" w:color="auto"/>
              <w:bottom w:val="single" w:sz="4" w:space="0" w:color="auto"/>
            </w:tcBorders>
          </w:tcPr>
          <w:p w14:paraId="488C41FE" w14:textId="77777777" w:rsidR="008531AE" w:rsidRPr="00D27683" w:rsidRDefault="008531AE" w:rsidP="00135EE0">
            <w:pPr>
              <w:pStyle w:val="tabletextNS10"/>
              <w:jc w:val="center"/>
              <w:rPr>
                <w:lang w:val="en-AU"/>
              </w:rPr>
            </w:pPr>
            <w:r w:rsidRPr="00D27683">
              <w:rPr>
                <w:lang w:val="en-AU"/>
              </w:rPr>
              <w:t xml:space="preserve">1.00 </w:t>
            </w:r>
          </w:p>
          <w:p w14:paraId="47CC93C6" w14:textId="77777777" w:rsidR="008531AE" w:rsidRPr="00D27683" w:rsidRDefault="008531AE" w:rsidP="00135EE0">
            <w:pPr>
              <w:pStyle w:val="tabletextNS10"/>
              <w:jc w:val="center"/>
              <w:rPr>
                <w:lang w:val="en-AU"/>
              </w:rPr>
            </w:pPr>
            <w:r w:rsidRPr="00D27683">
              <w:rPr>
                <w:lang w:val="en-AU"/>
              </w:rPr>
              <w:t>(0.44, 2.27)</w:t>
            </w:r>
          </w:p>
        </w:tc>
        <w:tc>
          <w:tcPr>
            <w:tcW w:w="682" w:type="pct"/>
            <w:tcBorders>
              <w:top w:val="single" w:sz="4" w:space="0" w:color="auto"/>
              <w:bottom w:val="single" w:sz="4" w:space="0" w:color="auto"/>
            </w:tcBorders>
          </w:tcPr>
          <w:p w14:paraId="0E4DFF5B" w14:textId="77777777" w:rsidR="008531AE" w:rsidRPr="00D27683" w:rsidRDefault="008531AE" w:rsidP="00135EE0">
            <w:pPr>
              <w:pStyle w:val="tabletextNS10"/>
              <w:jc w:val="center"/>
              <w:rPr>
                <w:lang w:val="en-AU"/>
              </w:rPr>
            </w:pPr>
            <w:r w:rsidRPr="00D27683">
              <w:rPr>
                <w:lang w:val="en-AU"/>
              </w:rPr>
              <w:t xml:space="preserve">0.00 </w:t>
            </w:r>
          </w:p>
          <w:p w14:paraId="6149F32A" w14:textId="77777777" w:rsidR="008531AE" w:rsidRPr="00D27683" w:rsidRDefault="008531AE" w:rsidP="00135EE0">
            <w:pPr>
              <w:pStyle w:val="tabletextNS10"/>
              <w:jc w:val="center"/>
              <w:rPr>
                <w:lang w:val="en-AU"/>
              </w:rPr>
            </w:pPr>
            <w:r w:rsidRPr="00D27683">
              <w:rPr>
                <w:lang w:val="en-AU"/>
              </w:rPr>
              <w:t>(-0.02, 0.02)</w:t>
            </w:r>
          </w:p>
        </w:tc>
      </w:tr>
      <w:tr w:rsidR="00DD65C7" w:rsidRPr="00D27683" w14:paraId="7251620C" w14:textId="77777777" w:rsidTr="00395315">
        <w:trPr>
          <w:cantSplit/>
          <w:tblHeader/>
        </w:trPr>
        <w:tc>
          <w:tcPr>
            <w:tcW w:w="1665" w:type="pct"/>
            <w:tcBorders>
              <w:top w:val="single" w:sz="4" w:space="0" w:color="auto"/>
              <w:bottom w:val="single" w:sz="4" w:space="0" w:color="auto"/>
            </w:tcBorders>
          </w:tcPr>
          <w:p w14:paraId="12F975BD" w14:textId="77777777" w:rsidR="008531AE" w:rsidRPr="00D27683" w:rsidRDefault="008531AE" w:rsidP="00135EE0">
            <w:pPr>
              <w:pStyle w:val="tabletextNS10"/>
              <w:rPr>
                <w:lang w:val="en-AU"/>
              </w:rPr>
            </w:pPr>
            <w:r w:rsidRPr="00D27683">
              <w:rPr>
                <w:lang w:val="en-AU"/>
              </w:rPr>
              <w:t>Fatal SAEs related to study treatment</w:t>
            </w:r>
          </w:p>
        </w:tc>
        <w:tc>
          <w:tcPr>
            <w:tcW w:w="910" w:type="pct"/>
            <w:tcBorders>
              <w:top w:val="single" w:sz="4" w:space="0" w:color="auto"/>
            </w:tcBorders>
          </w:tcPr>
          <w:p w14:paraId="0726820B" w14:textId="77777777" w:rsidR="008531AE" w:rsidRPr="00D27683" w:rsidRDefault="008531AE" w:rsidP="00135EE0">
            <w:pPr>
              <w:pStyle w:val="tabletextNS10"/>
              <w:jc w:val="center"/>
              <w:rPr>
                <w:lang w:val="en-AU"/>
              </w:rPr>
            </w:pPr>
            <w:r w:rsidRPr="00D27683">
              <w:rPr>
                <w:lang w:val="en-AU"/>
              </w:rPr>
              <w:t>0</w:t>
            </w:r>
          </w:p>
        </w:tc>
        <w:tc>
          <w:tcPr>
            <w:tcW w:w="833" w:type="pct"/>
            <w:tcBorders>
              <w:top w:val="single" w:sz="4" w:space="0" w:color="auto"/>
            </w:tcBorders>
          </w:tcPr>
          <w:p w14:paraId="6B57A42E" w14:textId="77777777" w:rsidR="008531AE" w:rsidRPr="00D27683" w:rsidRDefault="008531AE" w:rsidP="00135EE0">
            <w:pPr>
              <w:pStyle w:val="tabletextNS10"/>
              <w:jc w:val="center"/>
              <w:rPr>
                <w:lang w:val="en-AU"/>
              </w:rPr>
            </w:pPr>
            <w:r w:rsidRPr="00D27683">
              <w:rPr>
                <w:lang w:val="en-AU"/>
              </w:rPr>
              <w:t>0</w:t>
            </w:r>
          </w:p>
        </w:tc>
        <w:tc>
          <w:tcPr>
            <w:tcW w:w="910" w:type="pct"/>
            <w:tcBorders>
              <w:top w:val="single" w:sz="4" w:space="0" w:color="auto"/>
            </w:tcBorders>
          </w:tcPr>
          <w:p w14:paraId="1C425DCB" w14:textId="77777777" w:rsidR="008531AE" w:rsidRPr="00D27683" w:rsidRDefault="008531AE" w:rsidP="00135EE0">
            <w:pPr>
              <w:pStyle w:val="tabletextNS10"/>
              <w:jc w:val="center"/>
              <w:rPr>
                <w:lang w:val="en-AU"/>
              </w:rPr>
            </w:pPr>
            <w:r w:rsidRPr="00D27683">
              <w:rPr>
                <w:lang w:val="en-AU"/>
              </w:rPr>
              <w:t>0</w:t>
            </w:r>
          </w:p>
        </w:tc>
        <w:tc>
          <w:tcPr>
            <w:tcW w:w="682" w:type="pct"/>
            <w:tcBorders>
              <w:top w:val="single" w:sz="4" w:space="0" w:color="auto"/>
            </w:tcBorders>
          </w:tcPr>
          <w:p w14:paraId="3914E992" w14:textId="77777777" w:rsidR="008531AE" w:rsidRPr="00D27683" w:rsidRDefault="008531AE" w:rsidP="00135EE0">
            <w:pPr>
              <w:pStyle w:val="tabletextNS10"/>
              <w:jc w:val="center"/>
              <w:rPr>
                <w:lang w:val="en-AU"/>
              </w:rPr>
            </w:pPr>
            <w:r w:rsidRPr="00D27683">
              <w:rPr>
                <w:lang w:val="en-AU"/>
              </w:rPr>
              <w:t>0</w:t>
            </w:r>
          </w:p>
        </w:tc>
      </w:tr>
      <w:tr w:rsidR="00F75BF5" w:rsidRPr="00D27683" w14:paraId="4DF49117" w14:textId="77777777" w:rsidTr="00395315">
        <w:trPr>
          <w:cantSplit/>
          <w:tblHeader/>
        </w:trPr>
        <w:tc>
          <w:tcPr>
            <w:tcW w:w="1665" w:type="pct"/>
            <w:tcBorders>
              <w:bottom w:val="single" w:sz="4" w:space="0" w:color="auto"/>
            </w:tcBorders>
          </w:tcPr>
          <w:p w14:paraId="372B68A9" w14:textId="77777777" w:rsidR="008531AE" w:rsidRPr="00D27683" w:rsidRDefault="008531AE" w:rsidP="00135EE0">
            <w:pPr>
              <w:pStyle w:val="tabletextNS10"/>
              <w:rPr>
                <w:lang w:val="en-AU"/>
              </w:rPr>
            </w:pPr>
            <w:r w:rsidRPr="00D27683">
              <w:rPr>
                <w:lang w:val="en-AU"/>
              </w:rPr>
              <w:t>Any on-treatment AE</w:t>
            </w:r>
          </w:p>
        </w:tc>
        <w:tc>
          <w:tcPr>
            <w:tcW w:w="910" w:type="pct"/>
            <w:tcBorders>
              <w:bottom w:val="single" w:sz="4" w:space="0" w:color="auto"/>
            </w:tcBorders>
          </w:tcPr>
          <w:p w14:paraId="175AF071" w14:textId="77777777" w:rsidR="008531AE" w:rsidRPr="00D27683" w:rsidRDefault="008531AE" w:rsidP="00135EE0">
            <w:pPr>
              <w:pStyle w:val="tabletextNS10"/>
              <w:jc w:val="center"/>
              <w:rPr>
                <w:lang w:val="en-AU"/>
              </w:rPr>
            </w:pPr>
            <w:r w:rsidRPr="00D27683">
              <w:rPr>
                <w:lang w:val="en-AU"/>
              </w:rPr>
              <w:t>299 (74%)</w:t>
            </w:r>
          </w:p>
        </w:tc>
        <w:tc>
          <w:tcPr>
            <w:tcW w:w="833" w:type="pct"/>
            <w:tcBorders>
              <w:bottom w:val="single" w:sz="4" w:space="0" w:color="auto"/>
            </w:tcBorders>
          </w:tcPr>
          <w:p w14:paraId="16C6D8C0" w14:textId="77777777" w:rsidR="008531AE" w:rsidRPr="00D27683" w:rsidRDefault="008531AE" w:rsidP="00135EE0">
            <w:pPr>
              <w:pStyle w:val="tabletextNS10"/>
              <w:jc w:val="center"/>
              <w:rPr>
                <w:lang w:val="en-AU"/>
              </w:rPr>
            </w:pPr>
            <w:r w:rsidRPr="00D27683">
              <w:rPr>
                <w:lang w:val="en-AU"/>
              </w:rPr>
              <w:t>307 (77%)</w:t>
            </w:r>
          </w:p>
        </w:tc>
        <w:tc>
          <w:tcPr>
            <w:tcW w:w="910" w:type="pct"/>
            <w:tcBorders>
              <w:bottom w:val="single" w:sz="4" w:space="0" w:color="auto"/>
            </w:tcBorders>
          </w:tcPr>
          <w:p w14:paraId="6575EBFB" w14:textId="77777777" w:rsidR="008531AE" w:rsidRPr="00D27683" w:rsidRDefault="008531AE" w:rsidP="00135EE0">
            <w:pPr>
              <w:pStyle w:val="tabletextNS10"/>
              <w:jc w:val="center"/>
              <w:rPr>
                <w:lang w:val="en-AU"/>
              </w:rPr>
            </w:pPr>
            <w:r w:rsidRPr="00D27683">
              <w:rPr>
                <w:lang w:val="en-AU"/>
              </w:rPr>
              <w:t xml:space="preserve">0.97 </w:t>
            </w:r>
          </w:p>
          <w:p w14:paraId="77EAD8CB" w14:textId="77777777" w:rsidR="008531AE" w:rsidRPr="00D27683" w:rsidRDefault="008531AE" w:rsidP="00135EE0">
            <w:pPr>
              <w:pStyle w:val="tabletextNS10"/>
              <w:jc w:val="center"/>
              <w:rPr>
                <w:lang w:val="en-AU"/>
              </w:rPr>
            </w:pPr>
            <w:r w:rsidRPr="00D27683">
              <w:rPr>
                <w:lang w:val="en-AU"/>
              </w:rPr>
              <w:t>(0.90, 1.05)</w:t>
            </w:r>
          </w:p>
        </w:tc>
        <w:tc>
          <w:tcPr>
            <w:tcW w:w="682" w:type="pct"/>
            <w:tcBorders>
              <w:bottom w:val="single" w:sz="4" w:space="0" w:color="auto"/>
            </w:tcBorders>
          </w:tcPr>
          <w:p w14:paraId="078BD112" w14:textId="77777777" w:rsidR="008531AE" w:rsidRPr="00D27683" w:rsidRDefault="008531AE" w:rsidP="00135EE0">
            <w:pPr>
              <w:pStyle w:val="tabletextNS10"/>
              <w:jc w:val="center"/>
              <w:rPr>
                <w:lang w:val="en-AU"/>
              </w:rPr>
            </w:pPr>
            <w:r w:rsidRPr="00D27683">
              <w:rPr>
                <w:lang w:val="en-AU"/>
              </w:rPr>
              <w:t xml:space="preserve">-0.02 </w:t>
            </w:r>
          </w:p>
          <w:p w14:paraId="19E0539E" w14:textId="77777777" w:rsidR="008531AE" w:rsidRPr="00D27683" w:rsidRDefault="008531AE" w:rsidP="00135EE0">
            <w:pPr>
              <w:pStyle w:val="tabletextNS10"/>
              <w:jc w:val="center"/>
              <w:rPr>
                <w:lang w:val="en-AU"/>
              </w:rPr>
            </w:pPr>
            <w:r w:rsidRPr="00D27683">
              <w:rPr>
                <w:lang w:val="en-AU"/>
              </w:rPr>
              <w:t>(-0.08, 0.04)</w:t>
            </w:r>
          </w:p>
        </w:tc>
      </w:tr>
      <w:tr w:rsidR="00DD65C7" w:rsidRPr="00D27683" w14:paraId="5F9441D6" w14:textId="77777777" w:rsidTr="00395315">
        <w:trPr>
          <w:cantSplit/>
          <w:tblHeader/>
        </w:trPr>
        <w:tc>
          <w:tcPr>
            <w:tcW w:w="1665" w:type="pct"/>
            <w:tcBorders>
              <w:top w:val="single" w:sz="4" w:space="0" w:color="auto"/>
              <w:bottom w:val="single" w:sz="4" w:space="0" w:color="auto"/>
            </w:tcBorders>
          </w:tcPr>
          <w:p w14:paraId="3A6EFE24" w14:textId="77777777" w:rsidR="008531AE" w:rsidRPr="00D27683" w:rsidRDefault="008531AE" w:rsidP="00135EE0">
            <w:pPr>
              <w:pStyle w:val="tabletextNS10"/>
              <w:rPr>
                <w:lang w:val="en-AU"/>
              </w:rPr>
            </w:pPr>
            <w:r w:rsidRPr="00D27683">
              <w:rPr>
                <w:lang w:val="en-AU"/>
              </w:rPr>
              <w:t>Any on-treatment SAE</w:t>
            </w:r>
          </w:p>
        </w:tc>
        <w:tc>
          <w:tcPr>
            <w:tcW w:w="910" w:type="pct"/>
            <w:tcBorders>
              <w:top w:val="single" w:sz="4" w:space="0" w:color="auto"/>
            </w:tcBorders>
          </w:tcPr>
          <w:p w14:paraId="4F187C4D" w14:textId="77777777" w:rsidR="008531AE" w:rsidRPr="00D27683" w:rsidRDefault="008531AE" w:rsidP="00135EE0">
            <w:pPr>
              <w:pStyle w:val="tabletextNS10"/>
              <w:jc w:val="center"/>
              <w:rPr>
                <w:lang w:val="en-AU"/>
              </w:rPr>
            </w:pPr>
            <w:r w:rsidRPr="00D27683">
              <w:rPr>
                <w:lang w:val="en-AU"/>
              </w:rPr>
              <w:t>99 (25%)</w:t>
            </w:r>
          </w:p>
        </w:tc>
        <w:tc>
          <w:tcPr>
            <w:tcW w:w="833" w:type="pct"/>
            <w:tcBorders>
              <w:top w:val="single" w:sz="4" w:space="0" w:color="auto"/>
            </w:tcBorders>
          </w:tcPr>
          <w:p w14:paraId="79656BEA" w14:textId="77777777" w:rsidR="008531AE" w:rsidRPr="00D27683" w:rsidRDefault="008531AE" w:rsidP="00135EE0">
            <w:pPr>
              <w:pStyle w:val="tabletextNS10"/>
              <w:jc w:val="center"/>
              <w:rPr>
                <w:lang w:val="en-AU"/>
              </w:rPr>
            </w:pPr>
            <w:r w:rsidRPr="00D27683">
              <w:rPr>
                <w:lang w:val="en-AU"/>
              </w:rPr>
              <w:t>112 (28%)</w:t>
            </w:r>
          </w:p>
        </w:tc>
        <w:tc>
          <w:tcPr>
            <w:tcW w:w="910" w:type="pct"/>
            <w:tcBorders>
              <w:top w:val="single" w:sz="4" w:space="0" w:color="auto"/>
            </w:tcBorders>
          </w:tcPr>
          <w:p w14:paraId="42E9D6F6" w14:textId="77777777" w:rsidR="008531AE" w:rsidRPr="00D27683" w:rsidRDefault="008531AE" w:rsidP="00135EE0">
            <w:pPr>
              <w:pStyle w:val="tabletextNS10"/>
              <w:jc w:val="center"/>
              <w:rPr>
                <w:lang w:val="en-AU"/>
              </w:rPr>
            </w:pPr>
            <w:r w:rsidRPr="00D27683">
              <w:rPr>
                <w:lang w:val="en-AU"/>
              </w:rPr>
              <w:t>0.88</w:t>
            </w:r>
          </w:p>
          <w:p w14:paraId="1FE86506" w14:textId="77777777" w:rsidR="008531AE" w:rsidRPr="00D27683" w:rsidRDefault="008531AE" w:rsidP="00135EE0">
            <w:pPr>
              <w:pStyle w:val="tabletextNS10"/>
              <w:jc w:val="center"/>
              <w:rPr>
                <w:lang w:val="en-AU"/>
              </w:rPr>
            </w:pPr>
            <w:r w:rsidRPr="00D27683">
              <w:rPr>
                <w:lang w:val="en-AU"/>
              </w:rPr>
              <w:t xml:space="preserve"> (0.70, 1.11)</w:t>
            </w:r>
          </w:p>
        </w:tc>
        <w:tc>
          <w:tcPr>
            <w:tcW w:w="682" w:type="pct"/>
            <w:tcBorders>
              <w:top w:val="single" w:sz="4" w:space="0" w:color="auto"/>
            </w:tcBorders>
          </w:tcPr>
          <w:p w14:paraId="31785FDD" w14:textId="77777777" w:rsidR="008531AE" w:rsidRPr="00D27683" w:rsidRDefault="008531AE" w:rsidP="00135EE0">
            <w:pPr>
              <w:pStyle w:val="tabletextNS10"/>
              <w:jc w:val="center"/>
              <w:rPr>
                <w:lang w:val="en-AU"/>
              </w:rPr>
            </w:pPr>
            <w:r w:rsidRPr="00D27683">
              <w:rPr>
                <w:lang w:val="en-AU"/>
              </w:rPr>
              <w:t>-0.03</w:t>
            </w:r>
          </w:p>
          <w:p w14:paraId="72025C1A" w14:textId="77777777" w:rsidR="008531AE" w:rsidRPr="00D27683" w:rsidRDefault="008531AE" w:rsidP="00135EE0">
            <w:pPr>
              <w:pStyle w:val="tabletextNS10"/>
              <w:jc w:val="center"/>
              <w:rPr>
                <w:lang w:val="en-AU"/>
              </w:rPr>
            </w:pPr>
            <w:r w:rsidRPr="00D27683">
              <w:rPr>
                <w:lang w:val="en-AU"/>
              </w:rPr>
              <w:t xml:space="preserve"> (-0.09, 0.03)</w:t>
            </w:r>
          </w:p>
        </w:tc>
      </w:tr>
      <w:tr w:rsidR="00F75BF5" w:rsidRPr="00D27683" w14:paraId="05A13060" w14:textId="77777777" w:rsidTr="00395315">
        <w:trPr>
          <w:cantSplit/>
          <w:tblHeader/>
        </w:trPr>
        <w:tc>
          <w:tcPr>
            <w:tcW w:w="1665" w:type="pct"/>
            <w:tcBorders>
              <w:bottom w:val="single" w:sz="4" w:space="0" w:color="auto"/>
            </w:tcBorders>
          </w:tcPr>
          <w:p w14:paraId="55AE9A43" w14:textId="77777777" w:rsidR="008531AE" w:rsidRPr="00D27683" w:rsidRDefault="008531AE" w:rsidP="00135EE0">
            <w:pPr>
              <w:pStyle w:val="tabletextNS10"/>
              <w:rPr>
                <w:lang w:val="en-AU"/>
              </w:rPr>
            </w:pPr>
            <w:r w:rsidRPr="00D27683">
              <w:rPr>
                <w:lang w:val="en-AU"/>
              </w:rPr>
              <w:t>Any post-treatment AE</w:t>
            </w:r>
          </w:p>
        </w:tc>
        <w:tc>
          <w:tcPr>
            <w:tcW w:w="910" w:type="pct"/>
            <w:tcBorders>
              <w:bottom w:val="single" w:sz="4" w:space="0" w:color="auto"/>
            </w:tcBorders>
          </w:tcPr>
          <w:p w14:paraId="2660EF48" w14:textId="77777777" w:rsidR="008531AE" w:rsidRPr="00D27683" w:rsidRDefault="008531AE" w:rsidP="00135EE0">
            <w:pPr>
              <w:pStyle w:val="tabletextNS10"/>
              <w:jc w:val="center"/>
              <w:rPr>
                <w:lang w:val="en-AU"/>
              </w:rPr>
            </w:pPr>
            <w:r w:rsidRPr="00D27683">
              <w:rPr>
                <w:lang w:val="en-AU"/>
              </w:rPr>
              <w:t>23 (6%)</w:t>
            </w:r>
          </w:p>
        </w:tc>
        <w:tc>
          <w:tcPr>
            <w:tcW w:w="833" w:type="pct"/>
            <w:tcBorders>
              <w:bottom w:val="single" w:sz="4" w:space="0" w:color="auto"/>
            </w:tcBorders>
          </w:tcPr>
          <w:p w14:paraId="6FC8690E" w14:textId="77777777" w:rsidR="008531AE" w:rsidRPr="00D27683" w:rsidRDefault="008531AE" w:rsidP="00135EE0">
            <w:pPr>
              <w:pStyle w:val="tabletextNS10"/>
              <w:jc w:val="center"/>
              <w:rPr>
                <w:lang w:val="en-AU"/>
              </w:rPr>
            </w:pPr>
            <w:r w:rsidRPr="00D27683">
              <w:rPr>
                <w:lang w:val="en-AU"/>
              </w:rPr>
              <w:t>20 (5%)</w:t>
            </w:r>
          </w:p>
        </w:tc>
        <w:tc>
          <w:tcPr>
            <w:tcW w:w="910" w:type="pct"/>
            <w:tcBorders>
              <w:bottom w:val="single" w:sz="4" w:space="0" w:color="auto"/>
            </w:tcBorders>
          </w:tcPr>
          <w:p w14:paraId="76733E5C" w14:textId="77777777" w:rsidR="008531AE" w:rsidRPr="00D27683" w:rsidRDefault="008531AE" w:rsidP="00135EE0">
            <w:pPr>
              <w:pStyle w:val="tabletextNS10"/>
              <w:jc w:val="center"/>
              <w:rPr>
                <w:lang w:val="en-AU"/>
              </w:rPr>
            </w:pPr>
            <w:r w:rsidRPr="00D27683">
              <w:rPr>
                <w:lang w:val="en-AU"/>
              </w:rPr>
              <w:t>1.14</w:t>
            </w:r>
          </w:p>
          <w:p w14:paraId="3E2C4E6D" w14:textId="77777777" w:rsidR="008531AE" w:rsidRPr="00D27683" w:rsidRDefault="008531AE" w:rsidP="00135EE0">
            <w:pPr>
              <w:pStyle w:val="tabletextNS10"/>
              <w:jc w:val="center"/>
              <w:rPr>
                <w:lang w:val="en-AU"/>
              </w:rPr>
            </w:pPr>
            <w:r w:rsidRPr="00D27683">
              <w:rPr>
                <w:lang w:val="en-AU"/>
              </w:rPr>
              <w:t xml:space="preserve"> (0.64, 2.05)</w:t>
            </w:r>
          </w:p>
        </w:tc>
        <w:tc>
          <w:tcPr>
            <w:tcW w:w="682" w:type="pct"/>
            <w:tcBorders>
              <w:bottom w:val="single" w:sz="4" w:space="0" w:color="auto"/>
            </w:tcBorders>
          </w:tcPr>
          <w:p w14:paraId="44C980F1" w14:textId="77777777" w:rsidR="008531AE" w:rsidRPr="00D27683" w:rsidRDefault="008531AE" w:rsidP="00135EE0">
            <w:pPr>
              <w:pStyle w:val="tabletextNS10"/>
              <w:jc w:val="center"/>
              <w:rPr>
                <w:lang w:val="en-AU"/>
              </w:rPr>
            </w:pPr>
            <w:r w:rsidRPr="00D27683">
              <w:rPr>
                <w:lang w:val="en-AU"/>
              </w:rPr>
              <w:t>0.01</w:t>
            </w:r>
          </w:p>
          <w:p w14:paraId="0164731F" w14:textId="77777777" w:rsidR="008531AE" w:rsidRPr="00D27683" w:rsidRDefault="008531AE" w:rsidP="00135EE0">
            <w:pPr>
              <w:pStyle w:val="tabletextNS10"/>
              <w:jc w:val="center"/>
              <w:rPr>
                <w:lang w:val="en-AU"/>
              </w:rPr>
            </w:pPr>
            <w:r w:rsidRPr="00D27683">
              <w:rPr>
                <w:lang w:val="en-AU"/>
              </w:rPr>
              <w:t xml:space="preserve"> (-0.02, 0.04)</w:t>
            </w:r>
          </w:p>
        </w:tc>
      </w:tr>
      <w:tr w:rsidR="00DD65C7" w:rsidRPr="00D27683" w14:paraId="21206906" w14:textId="77777777" w:rsidTr="00395315">
        <w:trPr>
          <w:cantSplit/>
          <w:tblHeader/>
        </w:trPr>
        <w:tc>
          <w:tcPr>
            <w:tcW w:w="1665" w:type="pct"/>
            <w:tcBorders>
              <w:top w:val="single" w:sz="4" w:space="0" w:color="auto"/>
              <w:bottom w:val="single" w:sz="4" w:space="0" w:color="auto"/>
            </w:tcBorders>
          </w:tcPr>
          <w:p w14:paraId="13C98AA0" w14:textId="77777777" w:rsidR="008531AE" w:rsidRPr="00D27683" w:rsidRDefault="008531AE" w:rsidP="00135EE0">
            <w:pPr>
              <w:pStyle w:val="tabletextNS10"/>
              <w:rPr>
                <w:b/>
                <w:lang w:val="en-AU"/>
              </w:rPr>
            </w:pPr>
            <w:r w:rsidRPr="00D27683">
              <w:rPr>
                <w:lang w:val="en-AU"/>
              </w:rPr>
              <w:t>Any post-treatment SAE</w:t>
            </w:r>
          </w:p>
        </w:tc>
        <w:tc>
          <w:tcPr>
            <w:tcW w:w="910" w:type="pct"/>
            <w:tcBorders>
              <w:top w:val="single" w:sz="4" w:space="0" w:color="auto"/>
            </w:tcBorders>
          </w:tcPr>
          <w:p w14:paraId="35D7E07E" w14:textId="77777777" w:rsidR="008531AE" w:rsidRPr="00D27683" w:rsidRDefault="008531AE" w:rsidP="00135EE0">
            <w:pPr>
              <w:pStyle w:val="tabletextNS10"/>
              <w:jc w:val="center"/>
              <w:rPr>
                <w:lang w:val="en-AU"/>
              </w:rPr>
            </w:pPr>
            <w:r w:rsidRPr="00D27683">
              <w:rPr>
                <w:color w:val="000000"/>
                <w:szCs w:val="20"/>
                <w:lang w:val="en-AU"/>
              </w:rPr>
              <w:t>12 (3%)</w:t>
            </w:r>
          </w:p>
        </w:tc>
        <w:tc>
          <w:tcPr>
            <w:tcW w:w="833" w:type="pct"/>
            <w:tcBorders>
              <w:top w:val="single" w:sz="4" w:space="0" w:color="auto"/>
            </w:tcBorders>
          </w:tcPr>
          <w:p w14:paraId="35CC1D78" w14:textId="77777777" w:rsidR="008531AE" w:rsidRPr="00D27683" w:rsidRDefault="008531AE" w:rsidP="00135EE0">
            <w:pPr>
              <w:pStyle w:val="tabletextNS10"/>
              <w:jc w:val="center"/>
              <w:rPr>
                <w:lang w:val="en-AU"/>
              </w:rPr>
            </w:pPr>
            <w:r w:rsidRPr="00D27683">
              <w:rPr>
                <w:color w:val="000000"/>
                <w:szCs w:val="20"/>
                <w:lang w:val="en-AU"/>
              </w:rPr>
              <w:t>9 (2%)</w:t>
            </w:r>
          </w:p>
        </w:tc>
        <w:tc>
          <w:tcPr>
            <w:tcW w:w="910" w:type="pct"/>
            <w:tcBorders>
              <w:top w:val="single" w:sz="4" w:space="0" w:color="auto"/>
            </w:tcBorders>
          </w:tcPr>
          <w:p w14:paraId="72934C86" w14:textId="77777777" w:rsidR="008531AE" w:rsidRPr="00D27683" w:rsidRDefault="008531AE" w:rsidP="00135EE0">
            <w:pPr>
              <w:pStyle w:val="tabletextNS10"/>
              <w:jc w:val="center"/>
              <w:rPr>
                <w:color w:val="000000"/>
                <w:szCs w:val="20"/>
                <w:lang w:val="en-AU"/>
              </w:rPr>
            </w:pPr>
            <w:r w:rsidRPr="00D27683">
              <w:rPr>
                <w:color w:val="000000"/>
                <w:szCs w:val="20"/>
                <w:lang w:val="en-AU"/>
              </w:rPr>
              <w:t>1.33</w:t>
            </w:r>
          </w:p>
          <w:p w14:paraId="17EB98E8" w14:textId="77777777" w:rsidR="008531AE" w:rsidRPr="00D27683" w:rsidRDefault="008531AE" w:rsidP="00135EE0">
            <w:pPr>
              <w:pStyle w:val="tabletextNS10"/>
              <w:jc w:val="center"/>
              <w:rPr>
                <w:color w:val="000000"/>
                <w:szCs w:val="20"/>
                <w:lang w:val="en-AU"/>
              </w:rPr>
            </w:pPr>
            <w:r w:rsidRPr="00D27683">
              <w:rPr>
                <w:color w:val="000000"/>
                <w:szCs w:val="20"/>
                <w:lang w:val="en-AU"/>
              </w:rPr>
              <w:t xml:space="preserve"> (0.57, 3.11)</w:t>
            </w:r>
          </w:p>
        </w:tc>
        <w:tc>
          <w:tcPr>
            <w:tcW w:w="682" w:type="pct"/>
            <w:tcBorders>
              <w:top w:val="single" w:sz="4" w:space="0" w:color="auto"/>
            </w:tcBorders>
          </w:tcPr>
          <w:p w14:paraId="4455C93C" w14:textId="77777777" w:rsidR="008531AE" w:rsidRPr="00D27683" w:rsidRDefault="008531AE" w:rsidP="00135EE0">
            <w:pPr>
              <w:pStyle w:val="tabletextNS10"/>
              <w:jc w:val="center"/>
              <w:rPr>
                <w:color w:val="000000"/>
                <w:szCs w:val="20"/>
                <w:lang w:val="en-AU"/>
              </w:rPr>
            </w:pPr>
            <w:r w:rsidRPr="00D27683">
              <w:rPr>
                <w:color w:val="000000"/>
                <w:szCs w:val="20"/>
                <w:lang w:val="en-AU"/>
              </w:rPr>
              <w:t xml:space="preserve">0.01 </w:t>
            </w:r>
          </w:p>
          <w:p w14:paraId="2A15CB2E" w14:textId="77777777" w:rsidR="008531AE" w:rsidRPr="00D27683" w:rsidRDefault="008531AE" w:rsidP="00135EE0">
            <w:pPr>
              <w:pStyle w:val="tabletextNS10"/>
              <w:jc w:val="center"/>
              <w:rPr>
                <w:color w:val="000000"/>
                <w:szCs w:val="20"/>
                <w:lang w:val="en-AU"/>
              </w:rPr>
            </w:pPr>
            <w:r w:rsidRPr="00D27683">
              <w:rPr>
                <w:color w:val="000000"/>
                <w:szCs w:val="20"/>
                <w:lang w:val="en-AU"/>
              </w:rPr>
              <w:t>(-0.02, 0.03)</w:t>
            </w:r>
          </w:p>
        </w:tc>
      </w:tr>
    </w:tbl>
    <w:p w14:paraId="7369BF54" w14:textId="77777777" w:rsidR="008531AE" w:rsidRPr="00D27683" w:rsidRDefault="008531AE" w:rsidP="00135EE0">
      <w:pPr>
        <w:pStyle w:val="TableNotes"/>
        <w:spacing w:after="0"/>
      </w:pPr>
      <w:r w:rsidRPr="00D27683">
        <w:t>Source: Table 2-25 p92 of the submission; Table 48 p183 MATINEE CSR.</w:t>
      </w:r>
    </w:p>
    <w:p w14:paraId="3ADDE38A" w14:textId="4CEF9AD6" w:rsidR="008531AE" w:rsidRPr="00D27683" w:rsidRDefault="008531AE" w:rsidP="00135EE0">
      <w:pPr>
        <w:pStyle w:val="TableNotes"/>
        <w:spacing w:after="0"/>
      </w:pPr>
      <w:r w:rsidRPr="00D27683">
        <w:t>AE = adverse event; RR = relative risk; RD = risk difference; PBO = placebo; SAE = serious adverse event.</w:t>
      </w:r>
    </w:p>
    <w:p w14:paraId="36806FF8" w14:textId="6AC9F5E7" w:rsidR="008823A4" w:rsidRPr="00D27683" w:rsidRDefault="008823A4" w:rsidP="003338A0">
      <w:pPr>
        <w:pStyle w:val="TableFigureFooter"/>
      </w:pPr>
      <w:r w:rsidRPr="00D27683">
        <w:rPr>
          <w:vertAlign w:val="superscript"/>
        </w:rPr>
        <w:t>a</w:t>
      </w:r>
      <w:r w:rsidRPr="00D27683">
        <w:t xml:space="preserve"> Calculated during the evaluation</w:t>
      </w:r>
      <w:r w:rsidR="00395315" w:rsidRPr="00D27683">
        <w:t>; these results should be considered as indicative only as the underlying studies were not powered to detect differences in safety outcomes.</w:t>
      </w:r>
    </w:p>
    <w:p w14:paraId="2B5F40A4" w14:textId="1C44FA1D" w:rsidR="008531AE" w:rsidRPr="00607288" w:rsidRDefault="008531AE" w:rsidP="00135EE0">
      <w:pPr>
        <w:pStyle w:val="3-BodyText"/>
        <w:numPr>
          <w:ilvl w:val="1"/>
          <w:numId w:val="1"/>
        </w:numPr>
      </w:pPr>
      <w:r w:rsidRPr="00D27683">
        <w:t xml:space="preserve">A summary of adverse effects of special interest (AESI) is presented in </w:t>
      </w:r>
      <w:r w:rsidRPr="00D27683">
        <w:fldChar w:fldCharType="begin"/>
      </w:r>
      <w:r w:rsidRPr="00D27683">
        <w:instrText xml:space="preserve"> REF _Ref217407751 \h  \* MERGEFORMAT </w:instrText>
      </w:r>
      <w:r w:rsidRPr="00D27683">
        <w:fldChar w:fldCharType="separate"/>
      </w:r>
      <w:r w:rsidR="00733955" w:rsidRPr="00D27683" w:rsidDel="00774A72">
        <w:t xml:space="preserve">Table </w:t>
      </w:r>
      <w:r w:rsidR="00733955" w:rsidRPr="00D27683" w:rsidDel="00774A72">
        <w:rPr>
          <w:noProof/>
        </w:rPr>
        <w:t>8</w:t>
      </w:r>
      <w:r w:rsidRPr="00D27683">
        <w:fldChar w:fldCharType="end"/>
      </w:r>
      <w:r w:rsidRPr="00D27683">
        <w:t xml:space="preserve">. On-treatment AESI with a difference in incidence of ≥ 3% between treatment groups were all infections (higher in the mepolizumab arm 47% vs 43% for placebo) and cardiac disorders (higher in the placebo arm </w:t>
      </w:r>
      <w:r w:rsidR="007A2809" w:rsidRPr="006D6FD8">
        <w:rPr>
          <w:iCs/>
        </w:rPr>
        <w:t>11</w:t>
      </w:r>
      <w:r w:rsidRPr="00D27683">
        <w:t xml:space="preserve">% vs </w:t>
      </w:r>
      <w:r w:rsidR="00FF15A1" w:rsidRPr="006D6FD8">
        <w:rPr>
          <w:iCs/>
        </w:rPr>
        <w:t>8</w:t>
      </w:r>
      <w:r w:rsidRPr="00D27683">
        <w:t>% for mepolizumab). The most common infections across the treatment groups (</w:t>
      </w:r>
      <w:r w:rsidRPr="00D27683">
        <w:fldChar w:fldCharType="begin"/>
      </w:r>
      <w:r w:rsidRPr="00D27683">
        <w:instrText xml:space="preserve"> REF _Ref217407801 \h  \* MERGEFORMAT </w:instrText>
      </w:r>
      <w:r w:rsidRPr="00D27683">
        <w:fldChar w:fldCharType="separate"/>
      </w:r>
      <w:r w:rsidR="00733955" w:rsidRPr="00D27683" w:rsidDel="00774A72">
        <w:t xml:space="preserve">Table </w:t>
      </w:r>
      <w:r w:rsidR="00733955" w:rsidRPr="00D27683" w:rsidDel="00774A72">
        <w:rPr>
          <w:noProof/>
        </w:rPr>
        <w:t>9</w:t>
      </w:r>
      <w:r w:rsidRPr="00D27683">
        <w:fldChar w:fldCharType="end"/>
      </w:r>
      <w:r w:rsidRPr="00D27683">
        <w:t>), were COVID-19, nasopharyngitis, pneumonia, upper respiratory tract infection, and influenza. The AEs with &gt; 2% difference between treatment groups were nasopharyngitis (10% in mepolizumab vs 8% in placebo) and urinary tract infection (4% in mepolizumab vs 2% in placebo).</w:t>
      </w:r>
    </w:p>
    <w:p w14:paraId="003F9359" w14:textId="70E238A1" w:rsidR="008531AE" w:rsidRPr="00D27683" w:rsidRDefault="008531AE" w:rsidP="00135EE0">
      <w:pPr>
        <w:pStyle w:val="Caption"/>
        <w:rPr>
          <w:rStyle w:val="CommentReference"/>
          <w:b/>
        </w:rPr>
      </w:pPr>
      <w:bookmarkStart w:id="99" w:name="_Ref217407751"/>
      <w:r w:rsidRPr="00D27683">
        <w:lastRenderedPageBreak/>
        <w:t xml:space="preserve">Table </w:t>
      </w:r>
      <w:fldSimple w:instr=" SEQ Table \* ARABIC ">
        <w:r w:rsidR="00FA28CE">
          <w:rPr>
            <w:noProof/>
          </w:rPr>
          <w:t>8</w:t>
        </w:r>
      </w:fldSimple>
      <w:bookmarkEnd w:id="99"/>
      <w:r w:rsidRPr="00D27683">
        <w:t>: AESI experienced during the treatment period (overall safety population) at 104 weeks</w:t>
      </w:r>
    </w:p>
    <w:tbl>
      <w:tblPr>
        <w:tblW w:w="5000" w:type="pct"/>
        <w:tblLook w:val="04A0" w:firstRow="1" w:lastRow="0" w:firstColumn="1" w:lastColumn="0" w:noHBand="0" w:noVBand="1"/>
        <w:tblCaption w:val="Table 8: AESI experienced during the treatment period (overall safety population) at 104 weeks"/>
      </w:tblPr>
      <w:tblGrid>
        <w:gridCol w:w="5505"/>
        <w:gridCol w:w="1757"/>
        <w:gridCol w:w="1755"/>
      </w:tblGrid>
      <w:tr w:rsidR="006902C2" w:rsidRPr="00D27683" w14:paraId="748FD8DF" w14:textId="77777777">
        <w:tc>
          <w:tcPr>
            <w:tcW w:w="3053" w:type="pct"/>
            <w:tcBorders>
              <w:top w:val="single" w:sz="4" w:space="0" w:color="auto"/>
              <w:left w:val="single" w:sz="4" w:space="0" w:color="auto"/>
              <w:bottom w:val="single" w:sz="4" w:space="0" w:color="auto"/>
              <w:right w:val="single" w:sz="4" w:space="0" w:color="auto"/>
            </w:tcBorders>
          </w:tcPr>
          <w:p w14:paraId="2204608D" w14:textId="77777777" w:rsidR="008531AE" w:rsidRPr="00D27683" w:rsidRDefault="008531AE" w:rsidP="00135EE0">
            <w:pPr>
              <w:pStyle w:val="tabletextNS"/>
              <w:keepNext/>
              <w:rPr>
                <w:b/>
                <w:bCs/>
                <w:sz w:val="20"/>
                <w:szCs w:val="20"/>
                <w:lang w:val="en-AU"/>
              </w:rPr>
            </w:pPr>
            <w:r w:rsidRPr="00D27683">
              <w:rPr>
                <w:b/>
                <w:bCs/>
                <w:sz w:val="20"/>
                <w:szCs w:val="20"/>
                <w:lang w:val="en-AU"/>
              </w:rPr>
              <w:t>Outcome</w:t>
            </w:r>
          </w:p>
        </w:tc>
        <w:tc>
          <w:tcPr>
            <w:tcW w:w="974" w:type="pct"/>
            <w:tcBorders>
              <w:top w:val="single" w:sz="4" w:space="0" w:color="auto"/>
              <w:bottom w:val="single" w:sz="4" w:space="0" w:color="auto"/>
              <w:right w:val="single" w:sz="4" w:space="0" w:color="auto"/>
            </w:tcBorders>
            <w:vAlign w:val="center"/>
          </w:tcPr>
          <w:p w14:paraId="1CF8C2F0" w14:textId="3269DF4C" w:rsidR="008531AE" w:rsidRPr="00D27683" w:rsidRDefault="00964889" w:rsidP="00135EE0">
            <w:pPr>
              <w:keepNext/>
              <w:jc w:val="center"/>
              <w:rPr>
                <w:rFonts w:ascii="Arial Narrow" w:hAnsi="Arial Narrow"/>
                <w:b/>
                <w:bCs/>
                <w:sz w:val="20"/>
                <w:szCs w:val="20"/>
              </w:rPr>
            </w:pPr>
            <w:r w:rsidRPr="00D27683">
              <w:rPr>
                <w:rFonts w:ascii="Arial Narrow" w:hAnsi="Arial Narrow"/>
                <w:b/>
                <w:bCs/>
                <w:sz w:val="20"/>
                <w:szCs w:val="20"/>
              </w:rPr>
              <w:t>Mepolizumab</w:t>
            </w:r>
          </w:p>
          <w:p w14:paraId="0E5B3E84" w14:textId="77777777" w:rsidR="008531AE" w:rsidRPr="00D27683" w:rsidRDefault="008531AE" w:rsidP="00135EE0">
            <w:pPr>
              <w:pStyle w:val="tabletextNS"/>
              <w:keepNext/>
              <w:jc w:val="center"/>
              <w:rPr>
                <w:b/>
                <w:bCs/>
                <w:sz w:val="20"/>
                <w:szCs w:val="20"/>
                <w:lang w:val="en-AU"/>
              </w:rPr>
            </w:pPr>
            <w:r w:rsidRPr="00D27683">
              <w:rPr>
                <w:b/>
                <w:bCs/>
                <w:sz w:val="20"/>
                <w:szCs w:val="20"/>
                <w:lang w:val="en-AU"/>
              </w:rPr>
              <w:t>N = 403</w:t>
            </w:r>
          </w:p>
        </w:tc>
        <w:tc>
          <w:tcPr>
            <w:tcW w:w="973" w:type="pct"/>
            <w:tcBorders>
              <w:top w:val="single" w:sz="4" w:space="0" w:color="auto"/>
              <w:left w:val="single" w:sz="4" w:space="0" w:color="auto"/>
              <w:bottom w:val="single" w:sz="4" w:space="0" w:color="auto"/>
              <w:right w:val="single" w:sz="4" w:space="0" w:color="auto"/>
            </w:tcBorders>
            <w:vAlign w:val="center"/>
          </w:tcPr>
          <w:p w14:paraId="5D7A12D0" w14:textId="36191704" w:rsidR="008531AE" w:rsidRPr="00D27683" w:rsidRDefault="00964889" w:rsidP="00135EE0">
            <w:pPr>
              <w:keepNext/>
              <w:jc w:val="center"/>
              <w:rPr>
                <w:rFonts w:ascii="Arial Narrow" w:hAnsi="Arial Narrow"/>
                <w:b/>
                <w:bCs/>
                <w:sz w:val="20"/>
                <w:szCs w:val="20"/>
              </w:rPr>
            </w:pPr>
            <w:r w:rsidRPr="00D27683">
              <w:rPr>
                <w:rFonts w:ascii="Arial Narrow" w:hAnsi="Arial Narrow"/>
                <w:b/>
                <w:bCs/>
                <w:sz w:val="20"/>
                <w:szCs w:val="20"/>
              </w:rPr>
              <w:t>Placebo</w:t>
            </w:r>
          </w:p>
          <w:p w14:paraId="2F308CA1" w14:textId="77777777" w:rsidR="008531AE" w:rsidRPr="00D27683" w:rsidRDefault="008531AE" w:rsidP="00135EE0">
            <w:pPr>
              <w:pStyle w:val="tabletextNS"/>
              <w:keepNext/>
              <w:jc w:val="center"/>
              <w:rPr>
                <w:b/>
                <w:bCs/>
                <w:sz w:val="20"/>
                <w:szCs w:val="20"/>
                <w:lang w:val="en-AU"/>
              </w:rPr>
            </w:pPr>
            <w:r w:rsidRPr="00D27683">
              <w:rPr>
                <w:b/>
                <w:bCs/>
                <w:sz w:val="20"/>
                <w:szCs w:val="20"/>
                <w:lang w:val="en-AU"/>
              </w:rPr>
              <w:t>N = 401</w:t>
            </w:r>
          </w:p>
        </w:tc>
      </w:tr>
      <w:tr w:rsidR="004452EA" w:rsidRPr="00D27683" w14:paraId="5EDAAFD2" w14:textId="77777777">
        <w:tc>
          <w:tcPr>
            <w:tcW w:w="3053" w:type="pct"/>
            <w:tcBorders>
              <w:top w:val="single" w:sz="4" w:space="0" w:color="auto"/>
              <w:left w:val="single" w:sz="4" w:space="0" w:color="auto"/>
              <w:right w:val="single" w:sz="4" w:space="0" w:color="auto"/>
            </w:tcBorders>
          </w:tcPr>
          <w:p w14:paraId="4D7FE1CA" w14:textId="77777777" w:rsidR="008531AE" w:rsidRPr="00D27683" w:rsidRDefault="008531AE" w:rsidP="00135EE0">
            <w:pPr>
              <w:pStyle w:val="tabletextNS"/>
              <w:keepNext/>
              <w:rPr>
                <w:b/>
                <w:bCs/>
                <w:sz w:val="20"/>
                <w:szCs w:val="20"/>
                <w:lang w:val="en-AU"/>
              </w:rPr>
            </w:pPr>
            <w:r w:rsidRPr="00D27683">
              <w:rPr>
                <w:b/>
                <w:bCs/>
                <w:sz w:val="20"/>
                <w:szCs w:val="20"/>
                <w:lang w:val="en-AU"/>
              </w:rPr>
              <w:t>Systemic reactions*</w:t>
            </w:r>
          </w:p>
        </w:tc>
        <w:tc>
          <w:tcPr>
            <w:tcW w:w="974" w:type="pct"/>
            <w:tcBorders>
              <w:top w:val="single" w:sz="4" w:space="0" w:color="auto"/>
              <w:right w:val="single" w:sz="4" w:space="0" w:color="auto"/>
            </w:tcBorders>
          </w:tcPr>
          <w:p w14:paraId="3E05E91C" w14:textId="77777777" w:rsidR="008531AE" w:rsidRPr="00D27683" w:rsidRDefault="008531AE" w:rsidP="00135EE0">
            <w:pPr>
              <w:pStyle w:val="tabletextNS"/>
              <w:keepNext/>
              <w:jc w:val="center"/>
              <w:rPr>
                <w:sz w:val="20"/>
                <w:szCs w:val="20"/>
                <w:lang w:val="en-AU"/>
              </w:rPr>
            </w:pPr>
            <w:r w:rsidRPr="00D27683">
              <w:rPr>
                <w:sz w:val="20"/>
                <w:szCs w:val="20"/>
                <w:lang w:val="en-AU"/>
              </w:rPr>
              <w:t>5 (1%)</w:t>
            </w:r>
          </w:p>
        </w:tc>
        <w:tc>
          <w:tcPr>
            <w:tcW w:w="973" w:type="pct"/>
            <w:tcBorders>
              <w:top w:val="single" w:sz="4" w:space="0" w:color="auto"/>
              <w:left w:val="single" w:sz="4" w:space="0" w:color="auto"/>
              <w:right w:val="single" w:sz="4" w:space="0" w:color="auto"/>
            </w:tcBorders>
          </w:tcPr>
          <w:p w14:paraId="03CCB224" w14:textId="77777777" w:rsidR="008531AE" w:rsidRPr="00D27683" w:rsidRDefault="008531AE" w:rsidP="00135EE0">
            <w:pPr>
              <w:pStyle w:val="tabletextNS"/>
              <w:keepNext/>
              <w:jc w:val="center"/>
              <w:rPr>
                <w:sz w:val="20"/>
                <w:szCs w:val="20"/>
                <w:lang w:val="en-AU"/>
              </w:rPr>
            </w:pPr>
            <w:r w:rsidRPr="00D27683">
              <w:rPr>
                <w:sz w:val="20"/>
                <w:szCs w:val="20"/>
                <w:lang w:val="en-AU"/>
              </w:rPr>
              <w:t>5 (1%)</w:t>
            </w:r>
          </w:p>
        </w:tc>
      </w:tr>
      <w:tr w:rsidR="00062178" w:rsidRPr="00D27683" w14:paraId="04E1F462" w14:textId="77777777">
        <w:tc>
          <w:tcPr>
            <w:tcW w:w="3053" w:type="pct"/>
            <w:tcBorders>
              <w:left w:val="single" w:sz="4" w:space="0" w:color="auto"/>
              <w:right w:val="single" w:sz="4" w:space="0" w:color="auto"/>
            </w:tcBorders>
          </w:tcPr>
          <w:p w14:paraId="0697F398" w14:textId="77777777" w:rsidR="008531AE" w:rsidRPr="00D27683" w:rsidRDefault="008531AE" w:rsidP="00135EE0">
            <w:pPr>
              <w:pStyle w:val="tabletextNS"/>
              <w:keepNext/>
              <w:rPr>
                <w:sz w:val="20"/>
                <w:szCs w:val="20"/>
                <w:lang w:val="en-AU"/>
              </w:rPr>
            </w:pPr>
            <w:r w:rsidRPr="00D27683">
              <w:rPr>
                <w:sz w:val="20"/>
                <w:szCs w:val="20"/>
                <w:lang w:val="en-AU"/>
              </w:rPr>
              <w:t>Allergic (type I hypersensitivity)</w:t>
            </w:r>
          </w:p>
        </w:tc>
        <w:tc>
          <w:tcPr>
            <w:tcW w:w="974" w:type="pct"/>
            <w:tcBorders>
              <w:right w:val="single" w:sz="4" w:space="0" w:color="auto"/>
            </w:tcBorders>
          </w:tcPr>
          <w:p w14:paraId="0E68BBB4" w14:textId="77777777" w:rsidR="008531AE" w:rsidRPr="00D27683" w:rsidRDefault="008531AE" w:rsidP="00135EE0">
            <w:pPr>
              <w:pStyle w:val="tabletextNS"/>
              <w:keepNext/>
              <w:jc w:val="center"/>
              <w:rPr>
                <w:sz w:val="20"/>
                <w:szCs w:val="20"/>
                <w:lang w:val="en-AU"/>
              </w:rPr>
            </w:pPr>
            <w:r w:rsidRPr="00D27683">
              <w:rPr>
                <w:sz w:val="20"/>
                <w:szCs w:val="20"/>
                <w:lang w:val="en-AU"/>
              </w:rPr>
              <w:t>1 (&lt;1%)</w:t>
            </w:r>
          </w:p>
        </w:tc>
        <w:tc>
          <w:tcPr>
            <w:tcW w:w="973" w:type="pct"/>
            <w:tcBorders>
              <w:left w:val="single" w:sz="4" w:space="0" w:color="auto"/>
              <w:right w:val="single" w:sz="4" w:space="0" w:color="auto"/>
            </w:tcBorders>
          </w:tcPr>
          <w:p w14:paraId="62F5A5AE" w14:textId="77777777" w:rsidR="008531AE" w:rsidRPr="00D27683" w:rsidRDefault="008531AE" w:rsidP="00135EE0">
            <w:pPr>
              <w:pStyle w:val="tabletextNS"/>
              <w:keepNext/>
              <w:jc w:val="center"/>
              <w:rPr>
                <w:sz w:val="20"/>
                <w:szCs w:val="20"/>
                <w:lang w:val="en-AU"/>
              </w:rPr>
            </w:pPr>
            <w:r w:rsidRPr="00D27683">
              <w:rPr>
                <w:sz w:val="20"/>
                <w:szCs w:val="20"/>
                <w:lang w:val="en-AU"/>
              </w:rPr>
              <w:t>0</w:t>
            </w:r>
          </w:p>
        </w:tc>
      </w:tr>
      <w:tr w:rsidR="00062178" w:rsidRPr="00D27683" w14:paraId="346F6625" w14:textId="77777777">
        <w:tc>
          <w:tcPr>
            <w:tcW w:w="3053" w:type="pct"/>
            <w:tcBorders>
              <w:left w:val="single" w:sz="4" w:space="0" w:color="auto"/>
              <w:right w:val="single" w:sz="4" w:space="0" w:color="auto"/>
            </w:tcBorders>
          </w:tcPr>
          <w:p w14:paraId="6B6903DA" w14:textId="77777777" w:rsidR="008531AE" w:rsidRPr="00D27683" w:rsidRDefault="008531AE" w:rsidP="00135EE0">
            <w:pPr>
              <w:pStyle w:val="tabletextNS"/>
              <w:keepNext/>
              <w:rPr>
                <w:sz w:val="20"/>
                <w:szCs w:val="20"/>
                <w:lang w:val="en-AU"/>
              </w:rPr>
            </w:pPr>
            <w:r w:rsidRPr="00D27683">
              <w:rPr>
                <w:sz w:val="20"/>
                <w:szCs w:val="20"/>
                <w:lang w:val="en-AU"/>
              </w:rPr>
              <w:t>Other reactions*</w:t>
            </w:r>
          </w:p>
        </w:tc>
        <w:tc>
          <w:tcPr>
            <w:tcW w:w="974" w:type="pct"/>
            <w:tcBorders>
              <w:right w:val="single" w:sz="4" w:space="0" w:color="auto"/>
            </w:tcBorders>
          </w:tcPr>
          <w:p w14:paraId="36C5C180" w14:textId="77777777" w:rsidR="008531AE" w:rsidRPr="00D27683" w:rsidRDefault="008531AE" w:rsidP="00135EE0">
            <w:pPr>
              <w:pStyle w:val="tabletextNS"/>
              <w:keepNext/>
              <w:jc w:val="center"/>
              <w:rPr>
                <w:sz w:val="20"/>
                <w:szCs w:val="20"/>
                <w:lang w:val="en-AU"/>
              </w:rPr>
            </w:pPr>
            <w:r w:rsidRPr="00D27683">
              <w:rPr>
                <w:sz w:val="20"/>
                <w:szCs w:val="20"/>
                <w:lang w:val="en-AU"/>
              </w:rPr>
              <w:t>4 (&lt;1%)</w:t>
            </w:r>
          </w:p>
        </w:tc>
        <w:tc>
          <w:tcPr>
            <w:tcW w:w="973" w:type="pct"/>
            <w:tcBorders>
              <w:left w:val="single" w:sz="4" w:space="0" w:color="auto"/>
              <w:right w:val="single" w:sz="4" w:space="0" w:color="auto"/>
            </w:tcBorders>
          </w:tcPr>
          <w:p w14:paraId="5B9D165A" w14:textId="77777777" w:rsidR="008531AE" w:rsidRPr="00D27683" w:rsidRDefault="008531AE" w:rsidP="00135EE0">
            <w:pPr>
              <w:pStyle w:val="tabletextNS"/>
              <w:keepNext/>
              <w:jc w:val="center"/>
              <w:rPr>
                <w:sz w:val="20"/>
                <w:szCs w:val="20"/>
                <w:lang w:val="en-AU"/>
              </w:rPr>
            </w:pPr>
            <w:r w:rsidRPr="00D27683">
              <w:rPr>
                <w:sz w:val="20"/>
                <w:szCs w:val="20"/>
                <w:lang w:val="en-AU"/>
              </w:rPr>
              <w:t>4 (&lt;1%)</w:t>
            </w:r>
          </w:p>
        </w:tc>
      </w:tr>
      <w:tr w:rsidR="004452EA" w:rsidRPr="00D27683" w14:paraId="7D812542" w14:textId="77777777">
        <w:tc>
          <w:tcPr>
            <w:tcW w:w="3053" w:type="pct"/>
            <w:tcBorders>
              <w:left w:val="single" w:sz="4" w:space="0" w:color="auto"/>
              <w:bottom w:val="single" w:sz="4" w:space="0" w:color="auto"/>
              <w:right w:val="single" w:sz="4" w:space="0" w:color="auto"/>
            </w:tcBorders>
          </w:tcPr>
          <w:p w14:paraId="30AE5F0D" w14:textId="77777777" w:rsidR="008531AE" w:rsidRPr="00D27683" w:rsidRDefault="008531AE" w:rsidP="00135EE0">
            <w:pPr>
              <w:pStyle w:val="tabletextNS"/>
              <w:keepNext/>
              <w:rPr>
                <w:b/>
                <w:bCs/>
                <w:sz w:val="20"/>
                <w:szCs w:val="20"/>
                <w:lang w:val="en-AU"/>
              </w:rPr>
            </w:pPr>
            <w:r w:rsidRPr="00D27683">
              <w:rPr>
                <w:b/>
                <w:bCs/>
                <w:sz w:val="20"/>
                <w:szCs w:val="20"/>
                <w:lang w:val="en-AU"/>
              </w:rPr>
              <w:t>Anaphylaxis</w:t>
            </w:r>
          </w:p>
        </w:tc>
        <w:tc>
          <w:tcPr>
            <w:tcW w:w="974" w:type="pct"/>
            <w:tcBorders>
              <w:bottom w:val="single" w:sz="4" w:space="0" w:color="auto"/>
              <w:right w:val="single" w:sz="4" w:space="0" w:color="auto"/>
            </w:tcBorders>
          </w:tcPr>
          <w:p w14:paraId="2C8145BF" w14:textId="77777777" w:rsidR="008531AE" w:rsidRPr="00D27683" w:rsidRDefault="008531AE" w:rsidP="00135EE0">
            <w:pPr>
              <w:pStyle w:val="tabletextNS"/>
              <w:keepNext/>
              <w:jc w:val="center"/>
              <w:rPr>
                <w:sz w:val="20"/>
                <w:szCs w:val="20"/>
                <w:lang w:val="en-AU"/>
              </w:rPr>
            </w:pPr>
            <w:r w:rsidRPr="00D27683">
              <w:rPr>
                <w:sz w:val="20"/>
                <w:szCs w:val="20"/>
                <w:lang w:val="en-AU"/>
              </w:rPr>
              <w:t>0</w:t>
            </w:r>
          </w:p>
        </w:tc>
        <w:tc>
          <w:tcPr>
            <w:tcW w:w="973" w:type="pct"/>
            <w:tcBorders>
              <w:left w:val="single" w:sz="4" w:space="0" w:color="auto"/>
              <w:bottom w:val="single" w:sz="4" w:space="0" w:color="auto"/>
              <w:right w:val="single" w:sz="4" w:space="0" w:color="auto"/>
            </w:tcBorders>
          </w:tcPr>
          <w:p w14:paraId="765D89EC" w14:textId="77777777" w:rsidR="008531AE" w:rsidRPr="00D27683" w:rsidRDefault="008531AE" w:rsidP="00135EE0">
            <w:pPr>
              <w:pStyle w:val="tabletextNS"/>
              <w:keepNext/>
              <w:jc w:val="center"/>
              <w:rPr>
                <w:sz w:val="20"/>
                <w:szCs w:val="20"/>
                <w:lang w:val="en-AU"/>
              </w:rPr>
            </w:pPr>
            <w:r w:rsidRPr="00D27683">
              <w:rPr>
                <w:sz w:val="20"/>
                <w:szCs w:val="20"/>
                <w:lang w:val="en-AU"/>
              </w:rPr>
              <w:t>0</w:t>
            </w:r>
          </w:p>
        </w:tc>
      </w:tr>
      <w:tr w:rsidR="00F75BF5" w:rsidRPr="00D27683" w14:paraId="2429835F" w14:textId="77777777">
        <w:tc>
          <w:tcPr>
            <w:tcW w:w="3053" w:type="pct"/>
            <w:tcBorders>
              <w:left w:val="single" w:sz="4" w:space="0" w:color="auto"/>
              <w:bottom w:val="single" w:sz="4" w:space="0" w:color="auto"/>
              <w:right w:val="single" w:sz="4" w:space="0" w:color="auto"/>
            </w:tcBorders>
          </w:tcPr>
          <w:p w14:paraId="5E7F3F00" w14:textId="77777777" w:rsidR="008531AE" w:rsidRPr="00D27683" w:rsidRDefault="008531AE" w:rsidP="00135EE0">
            <w:pPr>
              <w:pStyle w:val="tabletextNS"/>
              <w:keepNext/>
              <w:rPr>
                <w:b/>
                <w:bCs/>
                <w:sz w:val="20"/>
                <w:szCs w:val="20"/>
                <w:lang w:val="en-AU"/>
              </w:rPr>
            </w:pPr>
            <w:r w:rsidRPr="00D27683">
              <w:rPr>
                <w:b/>
                <w:bCs/>
                <w:sz w:val="20"/>
                <w:szCs w:val="20"/>
                <w:lang w:val="en-AU"/>
              </w:rPr>
              <w:t>Local site reactions</w:t>
            </w:r>
          </w:p>
        </w:tc>
        <w:tc>
          <w:tcPr>
            <w:tcW w:w="974" w:type="pct"/>
            <w:tcBorders>
              <w:top w:val="single" w:sz="4" w:space="0" w:color="auto"/>
              <w:bottom w:val="single" w:sz="4" w:space="0" w:color="auto"/>
              <w:right w:val="single" w:sz="4" w:space="0" w:color="auto"/>
            </w:tcBorders>
          </w:tcPr>
          <w:p w14:paraId="52A0BDBD"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2 (&lt;1%)</w:t>
            </w:r>
          </w:p>
        </w:tc>
        <w:tc>
          <w:tcPr>
            <w:tcW w:w="973" w:type="pct"/>
            <w:tcBorders>
              <w:top w:val="single" w:sz="4" w:space="0" w:color="auto"/>
              <w:left w:val="single" w:sz="4" w:space="0" w:color="auto"/>
              <w:bottom w:val="single" w:sz="4" w:space="0" w:color="auto"/>
              <w:right w:val="single" w:sz="4" w:space="0" w:color="auto"/>
            </w:tcBorders>
          </w:tcPr>
          <w:p w14:paraId="7B9BD439" w14:textId="77777777" w:rsidR="008531AE" w:rsidRPr="00D27683" w:rsidRDefault="008531AE" w:rsidP="00135EE0">
            <w:pPr>
              <w:pStyle w:val="tabletextNS"/>
              <w:keepNext/>
              <w:jc w:val="center"/>
              <w:rPr>
                <w:sz w:val="20"/>
                <w:szCs w:val="20"/>
                <w:lang w:val="en-AU"/>
              </w:rPr>
            </w:pPr>
            <w:r w:rsidRPr="00D27683">
              <w:rPr>
                <w:sz w:val="20"/>
                <w:szCs w:val="20"/>
                <w:lang w:val="en-AU"/>
              </w:rPr>
              <w:t>3 (&lt;1%)</w:t>
            </w:r>
          </w:p>
        </w:tc>
      </w:tr>
      <w:tr w:rsidR="004452EA" w:rsidRPr="00D27683" w14:paraId="0EEC7B4D" w14:textId="77777777">
        <w:tc>
          <w:tcPr>
            <w:tcW w:w="3053" w:type="pct"/>
            <w:tcBorders>
              <w:top w:val="single" w:sz="4" w:space="0" w:color="auto"/>
              <w:left w:val="single" w:sz="4" w:space="0" w:color="auto"/>
              <w:right w:val="single" w:sz="4" w:space="0" w:color="auto"/>
            </w:tcBorders>
          </w:tcPr>
          <w:p w14:paraId="67A1A64E" w14:textId="77777777" w:rsidR="008531AE" w:rsidRPr="00D27683" w:rsidRDefault="008531AE" w:rsidP="00135EE0">
            <w:pPr>
              <w:pStyle w:val="tabletextNS"/>
              <w:keepNext/>
              <w:rPr>
                <w:b/>
                <w:bCs/>
                <w:sz w:val="20"/>
                <w:szCs w:val="20"/>
                <w:lang w:val="en-AU"/>
              </w:rPr>
            </w:pPr>
            <w:r w:rsidRPr="00D27683">
              <w:rPr>
                <w:b/>
                <w:bCs/>
                <w:sz w:val="20"/>
                <w:szCs w:val="20"/>
                <w:lang w:val="en-AU"/>
              </w:rPr>
              <w:t xml:space="preserve">All </w:t>
            </w:r>
            <w:proofErr w:type="spellStart"/>
            <w:r w:rsidRPr="00D27683">
              <w:rPr>
                <w:b/>
                <w:bCs/>
                <w:sz w:val="20"/>
                <w:szCs w:val="20"/>
                <w:lang w:val="en-AU"/>
              </w:rPr>
              <w:t>Infections</w:t>
            </w:r>
            <w:r w:rsidRPr="00D27683">
              <w:rPr>
                <w:rFonts w:eastAsiaTheme="minorHAnsi" w:cs="CourierNew"/>
                <w:b/>
                <w:bCs/>
                <w:sz w:val="20"/>
                <w:szCs w:val="20"/>
                <w:vertAlign w:val="superscript"/>
                <w:lang w:val="en-AU"/>
              </w:rPr>
              <w:t>a</w:t>
            </w:r>
            <w:proofErr w:type="spellEnd"/>
          </w:p>
        </w:tc>
        <w:tc>
          <w:tcPr>
            <w:tcW w:w="974" w:type="pct"/>
            <w:tcBorders>
              <w:top w:val="single" w:sz="4" w:space="0" w:color="auto"/>
              <w:right w:val="single" w:sz="4" w:space="0" w:color="auto"/>
            </w:tcBorders>
          </w:tcPr>
          <w:p w14:paraId="3F75F386"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190 (47%)</w:t>
            </w:r>
          </w:p>
        </w:tc>
        <w:tc>
          <w:tcPr>
            <w:tcW w:w="973" w:type="pct"/>
            <w:tcBorders>
              <w:top w:val="single" w:sz="4" w:space="0" w:color="auto"/>
              <w:left w:val="single" w:sz="4" w:space="0" w:color="auto"/>
              <w:right w:val="single" w:sz="4" w:space="0" w:color="auto"/>
            </w:tcBorders>
          </w:tcPr>
          <w:p w14:paraId="2B0C38D1"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172 (43%)</w:t>
            </w:r>
          </w:p>
        </w:tc>
      </w:tr>
      <w:tr w:rsidR="004452EA" w:rsidRPr="00D27683" w14:paraId="45F0AD04" w14:textId="77777777">
        <w:tc>
          <w:tcPr>
            <w:tcW w:w="3053" w:type="pct"/>
            <w:tcBorders>
              <w:left w:val="single" w:sz="4" w:space="0" w:color="auto"/>
              <w:bottom w:val="single" w:sz="4" w:space="0" w:color="auto"/>
              <w:right w:val="single" w:sz="4" w:space="0" w:color="auto"/>
            </w:tcBorders>
          </w:tcPr>
          <w:p w14:paraId="2142F67E" w14:textId="77777777" w:rsidR="008531AE" w:rsidRPr="00D27683" w:rsidRDefault="008531AE" w:rsidP="00135EE0">
            <w:pPr>
              <w:pStyle w:val="tabletextNS"/>
              <w:keepNext/>
              <w:rPr>
                <w:sz w:val="20"/>
                <w:szCs w:val="20"/>
                <w:lang w:val="en-AU"/>
              </w:rPr>
            </w:pPr>
            <w:r w:rsidRPr="00D27683">
              <w:rPr>
                <w:sz w:val="20"/>
                <w:szCs w:val="20"/>
                <w:lang w:val="en-AU"/>
              </w:rPr>
              <w:t>Serious infections</w:t>
            </w:r>
          </w:p>
        </w:tc>
        <w:tc>
          <w:tcPr>
            <w:tcW w:w="974" w:type="pct"/>
            <w:tcBorders>
              <w:bottom w:val="single" w:sz="4" w:space="0" w:color="auto"/>
              <w:right w:val="single" w:sz="4" w:space="0" w:color="auto"/>
            </w:tcBorders>
          </w:tcPr>
          <w:p w14:paraId="20F6F81F"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32 (8%)</w:t>
            </w:r>
          </w:p>
        </w:tc>
        <w:tc>
          <w:tcPr>
            <w:tcW w:w="973" w:type="pct"/>
            <w:tcBorders>
              <w:left w:val="single" w:sz="4" w:space="0" w:color="auto"/>
              <w:bottom w:val="single" w:sz="4" w:space="0" w:color="auto"/>
              <w:right w:val="single" w:sz="4" w:space="0" w:color="auto"/>
            </w:tcBorders>
          </w:tcPr>
          <w:p w14:paraId="3D998784"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31 (8%)</w:t>
            </w:r>
          </w:p>
        </w:tc>
      </w:tr>
      <w:tr w:rsidR="000C214C" w:rsidRPr="00D27683" w14:paraId="2A199389" w14:textId="77777777">
        <w:tc>
          <w:tcPr>
            <w:tcW w:w="3053" w:type="pct"/>
            <w:tcBorders>
              <w:top w:val="single" w:sz="4" w:space="0" w:color="auto"/>
              <w:left w:val="single" w:sz="4" w:space="0" w:color="auto"/>
              <w:bottom w:val="single" w:sz="4" w:space="0" w:color="auto"/>
              <w:right w:val="single" w:sz="4" w:space="0" w:color="auto"/>
            </w:tcBorders>
          </w:tcPr>
          <w:p w14:paraId="3D2A5908" w14:textId="77777777" w:rsidR="008531AE" w:rsidRPr="00D27683" w:rsidRDefault="008531AE" w:rsidP="00135EE0">
            <w:pPr>
              <w:pStyle w:val="tabletextNS"/>
              <w:keepNext/>
              <w:rPr>
                <w:b/>
                <w:bCs/>
                <w:sz w:val="20"/>
                <w:szCs w:val="20"/>
                <w:lang w:val="en-AU"/>
              </w:rPr>
            </w:pPr>
            <w:r w:rsidRPr="00D27683">
              <w:rPr>
                <w:b/>
                <w:bCs/>
                <w:sz w:val="20"/>
                <w:szCs w:val="20"/>
                <w:lang w:val="en-AU"/>
              </w:rPr>
              <w:t xml:space="preserve">Potential opportunistic </w:t>
            </w:r>
            <w:proofErr w:type="spellStart"/>
            <w:r w:rsidRPr="00D27683">
              <w:rPr>
                <w:b/>
                <w:bCs/>
                <w:sz w:val="20"/>
                <w:szCs w:val="20"/>
                <w:lang w:val="en-AU"/>
              </w:rPr>
              <w:t>infections</w:t>
            </w:r>
            <w:r w:rsidRPr="00D27683">
              <w:rPr>
                <w:b/>
                <w:bCs/>
                <w:sz w:val="20"/>
                <w:szCs w:val="20"/>
                <w:vertAlign w:val="superscript"/>
                <w:lang w:val="en-AU"/>
              </w:rPr>
              <w:t>b</w:t>
            </w:r>
            <w:proofErr w:type="spellEnd"/>
          </w:p>
        </w:tc>
        <w:tc>
          <w:tcPr>
            <w:tcW w:w="974" w:type="pct"/>
            <w:tcBorders>
              <w:top w:val="single" w:sz="4" w:space="0" w:color="auto"/>
              <w:bottom w:val="single" w:sz="4" w:space="0" w:color="auto"/>
              <w:right w:val="single" w:sz="4" w:space="0" w:color="auto"/>
            </w:tcBorders>
          </w:tcPr>
          <w:p w14:paraId="1CA654EF"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4 (&lt;1%)</w:t>
            </w:r>
          </w:p>
        </w:tc>
        <w:tc>
          <w:tcPr>
            <w:tcW w:w="973" w:type="pct"/>
            <w:tcBorders>
              <w:top w:val="single" w:sz="4" w:space="0" w:color="auto"/>
              <w:left w:val="single" w:sz="4" w:space="0" w:color="auto"/>
              <w:bottom w:val="single" w:sz="4" w:space="0" w:color="auto"/>
              <w:right w:val="single" w:sz="4" w:space="0" w:color="auto"/>
            </w:tcBorders>
          </w:tcPr>
          <w:p w14:paraId="3415242D"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7 (2%)</w:t>
            </w:r>
          </w:p>
        </w:tc>
      </w:tr>
      <w:tr w:rsidR="000C214C" w:rsidRPr="00D27683" w14:paraId="6CDC697C" w14:textId="77777777">
        <w:tc>
          <w:tcPr>
            <w:tcW w:w="3053" w:type="pct"/>
            <w:tcBorders>
              <w:top w:val="single" w:sz="4" w:space="0" w:color="auto"/>
              <w:left w:val="single" w:sz="4" w:space="0" w:color="auto"/>
              <w:bottom w:val="single" w:sz="4" w:space="0" w:color="auto"/>
              <w:right w:val="single" w:sz="4" w:space="0" w:color="auto"/>
            </w:tcBorders>
          </w:tcPr>
          <w:p w14:paraId="323DC9A9" w14:textId="77777777" w:rsidR="008531AE" w:rsidRPr="00D27683" w:rsidRDefault="008531AE" w:rsidP="00135EE0">
            <w:pPr>
              <w:pStyle w:val="tabletextNS"/>
              <w:keepNext/>
              <w:rPr>
                <w:b/>
                <w:bCs/>
                <w:sz w:val="20"/>
                <w:szCs w:val="20"/>
                <w:lang w:val="en-AU"/>
              </w:rPr>
            </w:pPr>
            <w:proofErr w:type="spellStart"/>
            <w:r w:rsidRPr="00D27683">
              <w:rPr>
                <w:b/>
                <w:bCs/>
                <w:sz w:val="20"/>
                <w:szCs w:val="20"/>
                <w:lang w:val="en-AU"/>
              </w:rPr>
              <w:t>Neoplasms</w:t>
            </w:r>
            <w:r w:rsidRPr="00D27683">
              <w:rPr>
                <w:b/>
                <w:bCs/>
                <w:sz w:val="20"/>
                <w:szCs w:val="20"/>
                <w:vertAlign w:val="superscript"/>
                <w:lang w:val="en-AU"/>
              </w:rPr>
              <w:t>a</w:t>
            </w:r>
            <w:proofErr w:type="spellEnd"/>
          </w:p>
        </w:tc>
        <w:tc>
          <w:tcPr>
            <w:tcW w:w="974" w:type="pct"/>
            <w:tcBorders>
              <w:top w:val="single" w:sz="4" w:space="0" w:color="auto"/>
              <w:bottom w:val="single" w:sz="4" w:space="0" w:color="auto"/>
              <w:right w:val="single" w:sz="4" w:space="0" w:color="auto"/>
            </w:tcBorders>
          </w:tcPr>
          <w:p w14:paraId="076E1889" w14:textId="77777777" w:rsidR="008531AE" w:rsidRPr="00D27683" w:rsidRDefault="008531AE" w:rsidP="00135EE0">
            <w:pPr>
              <w:pStyle w:val="tabletextNS"/>
              <w:keepNext/>
              <w:jc w:val="center"/>
              <w:rPr>
                <w:rFonts w:eastAsia="Arial Narrow"/>
                <w:color w:val="000000"/>
                <w:sz w:val="20"/>
                <w:szCs w:val="20"/>
                <w:lang w:val="en-AU"/>
              </w:rPr>
            </w:pPr>
            <w:r w:rsidRPr="00D27683">
              <w:rPr>
                <w:color w:val="000000"/>
                <w:sz w:val="20"/>
                <w:szCs w:val="20"/>
                <w:lang w:val="en-AU"/>
              </w:rPr>
              <w:t>9 (2%)</w:t>
            </w:r>
          </w:p>
        </w:tc>
        <w:tc>
          <w:tcPr>
            <w:tcW w:w="973" w:type="pct"/>
            <w:tcBorders>
              <w:top w:val="single" w:sz="4" w:space="0" w:color="auto"/>
              <w:left w:val="single" w:sz="4" w:space="0" w:color="auto"/>
              <w:bottom w:val="single" w:sz="4" w:space="0" w:color="auto"/>
              <w:right w:val="single" w:sz="4" w:space="0" w:color="auto"/>
            </w:tcBorders>
          </w:tcPr>
          <w:p w14:paraId="25B005D4" w14:textId="77777777" w:rsidR="008531AE" w:rsidRPr="00D27683" w:rsidRDefault="008531AE" w:rsidP="00135EE0">
            <w:pPr>
              <w:pStyle w:val="tabletextNS"/>
              <w:keepNext/>
              <w:jc w:val="center"/>
              <w:rPr>
                <w:rFonts w:eastAsia="Arial Narrow"/>
                <w:color w:val="000000"/>
                <w:sz w:val="20"/>
                <w:szCs w:val="20"/>
                <w:lang w:val="en-AU"/>
              </w:rPr>
            </w:pPr>
            <w:r w:rsidRPr="00D27683">
              <w:rPr>
                <w:color w:val="000000"/>
                <w:sz w:val="20"/>
                <w:szCs w:val="20"/>
                <w:lang w:val="en-AU"/>
              </w:rPr>
              <w:t>17 (4%)</w:t>
            </w:r>
          </w:p>
        </w:tc>
      </w:tr>
      <w:tr w:rsidR="000C214C" w:rsidRPr="00D27683" w14:paraId="5D0BA504" w14:textId="77777777">
        <w:tc>
          <w:tcPr>
            <w:tcW w:w="3053" w:type="pct"/>
            <w:tcBorders>
              <w:top w:val="single" w:sz="4" w:space="0" w:color="auto"/>
              <w:left w:val="single" w:sz="4" w:space="0" w:color="auto"/>
              <w:bottom w:val="single" w:sz="4" w:space="0" w:color="auto"/>
              <w:right w:val="single" w:sz="4" w:space="0" w:color="auto"/>
            </w:tcBorders>
          </w:tcPr>
          <w:p w14:paraId="5EC7A139" w14:textId="77777777" w:rsidR="008531AE" w:rsidRPr="00D27683" w:rsidRDefault="008531AE" w:rsidP="00135EE0">
            <w:pPr>
              <w:pStyle w:val="tabletextNS"/>
              <w:keepNext/>
              <w:rPr>
                <w:b/>
                <w:bCs/>
                <w:sz w:val="20"/>
                <w:szCs w:val="20"/>
                <w:lang w:val="en-AU"/>
              </w:rPr>
            </w:pPr>
            <w:proofErr w:type="spellStart"/>
            <w:r w:rsidRPr="00D27683">
              <w:rPr>
                <w:b/>
                <w:bCs/>
                <w:sz w:val="20"/>
                <w:szCs w:val="20"/>
                <w:lang w:val="en-AU"/>
              </w:rPr>
              <w:t>Malignancies</w:t>
            </w:r>
            <w:r w:rsidRPr="00D27683">
              <w:rPr>
                <w:b/>
                <w:bCs/>
                <w:sz w:val="20"/>
                <w:szCs w:val="20"/>
                <w:vertAlign w:val="superscript"/>
                <w:lang w:val="en-AU"/>
              </w:rPr>
              <w:t>c</w:t>
            </w:r>
            <w:proofErr w:type="spellEnd"/>
          </w:p>
        </w:tc>
        <w:tc>
          <w:tcPr>
            <w:tcW w:w="974" w:type="pct"/>
            <w:tcBorders>
              <w:top w:val="single" w:sz="4" w:space="0" w:color="auto"/>
              <w:bottom w:val="single" w:sz="4" w:space="0" w:color="auto"/>
              <w:right w:val="single" w:sz="4" w:space="0" w:color="auto"/>
            </w:tcBorders>
          </w:tcPr>
          <w:p w14:paraId="2B80E631"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8 (2%)</w:t>
            </w:r>
          </w:p>
        </w:tc>
        <w:tc>
          <w:tcPr>
            <w:tcW w:w="973" w:type="pct"/>
            <w:tcBorders>
              <w:top w:val="single" w:sz="4" w:space="0" w:color="auto"/>
              <w:left w:val="single" w:sz="4" w:space="0" w:color="auto"/>
              <w:bottom w:val="single" w:sz="4" w:space="0" w:color="auto"/>
              <w:right w:val="single" w:sz="4" w:space="0" w:color="auto"/>
            </w:tcBorders>
          </w:tcPr>
          <w:p w14:paraId="0B0BC184"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13 (3%)</w:t>
            </w:r>
          </w:p>
        </w:tc>
      </w:tr>
      <w:tr w:rsidR="004452EA" w:rsidRPr="00D27683" w14:paraId="2F6D587F" w14:textId="77777777">
        <w:tc>
          <w:tcPr>
            <w:tcW w:w="3053" w:type="pct"/>
            <w:tcBorders>
              <w:top w:val="single" w:sz="4" w:space="0" w:color="auto"/>
              <w:left w:val="single" w:sz="4" w:space="0" w:color="auto"/>
              <w:right w:val="single" w:sz="4" w:space="0" w:color="auto"/>
            </w:tcBorders>
          </w:tcPr>
          <w:p w14:paraId="22C66FE8" w14:textId="77777777" w:rsidR="008531AE" w:rsidRPr="00D27683" w:rsidRDefault="008531AE" w:rsidP="00135EE0">
            <w:pPr>
              <w:pStyle w:val="tabletextNS"/>
              <w:keepNext/>
              <w:rPr>
                <w:b/>
                <w:bCs/>
                <w:sz w:val="20"/>
                <w:szCs w:val="20"/>
                <w:lang w:val="en-AU"/>
              </w:rPr>
            </w:pPr>
            <w:r w:rsidRPr="00D27683">
              <w:rPr>
                <w:b/>
                <w:bCs/>
                <w:sz w:val="20"/>
                <w:szCs w:val="20"/>
                <w:lang w:val="en-AU"/>
              </w:rPr>
              <w:t xml:space="preserve">Cardiac </w:t>
            </w:r>
            <w:proofErr w:type="spellStart"/>
            <w:r w:rsidRPr="00D27683">
              <w:rPr>
                <w:b/>
                <w:bCs/>
                <w:sz w:val="20"/>
                <w:szCs w:val="20"/>
                <w:lang w:val="en-AU"/>
              </w:rPr>
              <w:t>Disorders</w:t>
            </w:r>
            <w:r w:rsidRPr="00D27683">
              <w:rPr>
                <w:b/>
                <w:bCs/>
                <w:sz w:val="20"/>
                <w:szCs w:val="20"/>
                <w:vertAlign w:val="superscript"/>
                <w:lang w:val="en-AU"/>
              </w:rPr>
              <w:t>a</w:t>
            </w:r>
            <w:proofErr w:type="spellEnd"/>
          </w:p>
        </w:tc>
        <w:tc>
          <w:tcPr>
            <w:tcW w:w="974" w:type="pct"/>
            <w:tcBorders>
              <w:top w:val="single" w:sz="4" w:space="0" w:color="auto"/>
              <w:right w:val="single" w:sz="4" w:space="0" w:color="auto"/>
            </w:tcBorders>
          </w:tcPr>
          <w:p w14:paraId="31BFEEE0"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31 (8%)</w:t>
            </w:r>
          </w:p>
        </w:tc>
        <w:tc>
          <w:tcPr>
            <w:tcW w:w="973" w:type="pct"/>
            <w:tcBorders>
              <w:top w:val="single" w:sz="4" w:space="0" w:color="auto"/>
              <w:left w:val="single" w:sz="4" w:space="0" w:color="auto"/>
              <w:right w:val="single" w:sz="4" w:space="0" w:color="auto"/>
            </w:tcBorders>
          </w:tcPr>
          <w:p w14:paraId="2B3BC7D1"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44 (11%)</w:t>
            </w:r>
          </w:p>
        </w:tc>
      </w:tr>
      <w:tr w:rsidR="004452EA" w:rsidRPr="00D27683" w14:paraId="08273FA5" w14:textId="77777777">
        <w:tc>
          <w:tcPr>
            <w:tcW w:w="3053" w:type="pct"/>
            <w:tcBorders>
              <w:left w:val="single" w:sz="4" w:space="0" w:color="auto"/>
              <w:bottom w:val="single" w:sz="4" w:space="0" w:color="auto"/>
              <w:right w:val="single" w:sz="4" w:space="0" w:color="auto"/>
            </w:tcBorders>
          </w:tcPr>
          <w:p w14:paraId="10E8C320" w14:textId="77777777" w:rsidR="008531AE" w:rsidRPr="00D27683" w:rsidRDefault="008531AE" w:rsidP="00135EE0">
            <w:pPr>
              <w:pStyle w:val="tabletextNS"/>
              <w:keepNext/>
              <w:rPr>
                <w:sz w:val="20"/>
                <w:szCs w:val="20"/>
                <w:lang w:val="en-AU"/>
              </w:rPr>
            </w:pPr>
            <w:r w:rsidRPr="00D27683">
              <w:rPr>
                <w:sz w:val="20"/>
                <w:szCs w:val="20"/>
                <w:lang w:val="en-AU"/>
              </w:rPr>
              <w:t>Serious cardiac disorders</w:t>
            </w:r>
          </w:p>
        </w:tc>
        <w:tc>
          <w:tcPr>
            <w:tcW w:w="974" w:type="pct"/>
            <w:tcBorders>
              <w:bottom w:val="single" w:sz="4" w:space="0" w:color="auto"/>
              <w:right w:val="single" w:sz="4" w:space="0" w:color="auto"/>
            </w:tcBorders>
          </w:tcPr>
          <w:p w14:paraId="4C9264F0"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13 (3%)</w:t>
            </w:r>
          </w:p>
        </w:tc>
        <w:tc>
          <w:tcPr>
            <w:tcW w:w="973" w:type="pct"/>
            <w:tcBorders>
              <w:left w:val="single" w:sz="4" w:space="0" w:color="auto"/>
              <w:bottom w:val="single" w:sz="4" w:space="0" w:color="auto"/>
              <w:right w:val="single" w:sz="4" w:space="0" w:color="auto"/>
            </w:tcBorders>
          </w:tcPr>
          <w:p w14:paraId="27371B83"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16 (4%)</w:t>
            </w:r>
          </w:p>
        </w:tc>
      </w:tr>
      <w:tr w:rsidR="004452EA" w:rsidRPr="00D27683" w14:paraId="31A12F5E" w14:textId="77777777">
        <w:tc>
          <w:tcPr>
            <w:tcW w:w="3053" w:type="pct"/>
            <w:tcBorders>
              <w:top w:val="single" w:sz="4" w:space="0" w:color="auto"/>
              <w:left w:val="single" w:sz="4" w:space="0" w:color="auto"/>
              <w:right w:val="single" w:sz="4" w:space="0" w:color="auto"/>
            </w:tcBorders>
          </w:tcPr>
          <w:p w14:paraId="64C14241" w14:textId="77777777" w:rsidR="008531AE" w:rsidRPr="00D27683" w:rsidRDefault="008531AE" w:rsidP="00135EE0">
            <w:pPr>
              <w:pStyle w:val="tabletextNS"/>
              <w:keepNext/>
              <w:rPr>
                <w:b/>
                <w:bCs/>
                <w:sz w:val="20"/>
                <w:szCs w:val="20"/>
                <w:lang w:val="en-AU"/>
              </w:rPr>
            </w:pPr>
            <w:r w:rsidRPr="00D27683">
              <w:rPr>
                <w:b/>
                <w:bCs/>
                <w:sz w:val="20"/>
                <w:szCs w:val="20"/>
                <w:lang w:val="en-AU"/>
              </w:rPr>
              <w:t xml:space="preserve">Serious CVT </w:t>
            </w:r>
            <w:proofErr w:type="spellStart"/>
            <w:r w:rsidRPr="00D27683">
              <w:rPr>
                <w:b/>
                <w:bCs/>
                <w:sz w:val="20"/>
                <w:szCs w:val="20"/>
                <w:lang w:val="en-AU"/>
              </w:rPr>
              <w:t>Events</w:t>
            </w:r>
            <w:r w:rsidRPr="00D27683">
              <w:rPr>
                <w:b/>
                <w:bCs/>
                <w:sz w:val="20"/>
                <w:szCs w:val="20"/>
                <w:vertAlign w:val="superscript"/>
                <w:lang w:val="en-AU"/>
              </w:rPr>
              <w:t>d</w:t>
            </w:r>
            <w:proofErr w:type="spellEnd"/>
          </w:p>
        </w:tc>
        <w:tc>
          <w:tcPr>
            <w:tcW w:w="974" w:type="pct"/>
            <w:tcBorders>
              <w:top w:val="single" w:sz="4" w:space="0" w:color="auto"/>
              <w:right w:val="single" w:sz="4" w:space="0" w:color="auto"/>
            </w:tcBorders>
          </w:tcPr>
          <w:p w14:paraId="6517A2FC"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20 (5%)</w:t>
            </w:r>
          </w:p>
        </w:tc>
        <w:tc>
          <w:tcPr>
            <w:tcW w:w="973" w:type="pct"/>
            <w:tcBorders>
              <w:top w:val="single" w:sz="4" w:space="0" w:color="auto"/>
              <w:left w:val="single" w:sz="4" w:space="0" w:color="auto"/>
              <w:right w:val="single" w:sz="4" w:space="0" w:color="auto"/>
            </w:tcBorders>
          </w:tcPr>
          <w:p w14:paraId="56D4828D" w14:textId="77777777" w:rsidR="008531AE" w:rsidRPr="00D27683" w:rsidRDefault="008531AE" w:rsidP="00135EE0">
            <w:pPr>
              <w:pStyle w:val="tabletextNS"/>
              <w:keepNext/>
              <w:jc w:val="center"/>
              <w:rPr>
                <w:sz w:val="20"/>
                <w:szCs w:val="20"/>
                <w:lang w:val="en-AU"/>
              </w:rPr>
            </w:pPr>
            <w:r w:rsidRPr="00D27683">
              <w:rPr>
                <w:color w:val="000000"/>
                <w:sz w:val="20"/>
                <w:szCs w:val="20"/>
                <w:lang w:val="en-AU"/>
              </w:rPr>
              <w:t>29 (7%)</w:t>
            </w:r>
          </w:p>
        </w:tc>
      </w:tr>
      <w:tr w:rsidR="004452EA" w:rsidRPr="00D27683" w14:paraId="338A20B8" w14:textId="77777777">
        <w:tc>
          <w:tcPr>
            <w:tcW w:w="3053" w:type="pct"/>
            <w:tcBorders>
              <w:left w:val="single" w:sz="4" w:space="0" w:color="auto"/>
              <w:bottom w:val="single" w:sz="4" w:space="0" w:color="auto"/>
              <w:right w:val="single" w:sz="4" w:space="0" w:color="auto"/>
            </w:tcBorders>
          </w:tcPr>
          <w:p w14:paraId="0FA30251" w14:textId="77777777" w:rsidR="008531AE" w:rsidRPr="00D27683" w:rsidRDefault="008531AE" w:rsidP="00135EE0">
            <w:pPr>
              <w:pStyle w:val="tabletextNS"/>
              <w:rPr>
                <w:sz w:val="20"/>
                <w:szCs w:val="20"/>
                <w:lang w:val="en-AU"/>
              </w:rPr>
            </w:pPr>
            <w:r w:rsidRPr="00D27683">
              <w:rPr>
                <w:sz w:val="20"/>
                <w:szCs w:val="20"/>
                <w:lang w:val="en-AU"/>
              </w:rPr>
              <w:t xml:space="preserve">Serious ischemic </w:t>
            </w:r>
            <w:proofErr w:type="spellStart"/>
            <w:r w:rsidRPr="00D27683">
              <w:rPr>
                <w:sz w:val="20"/>
                <w:szCs w:val="20"/>
                <w:lang w:val="en-AU"/>
              </w:rPr>
              <w:t>events</w:t>
            </w:r>
            <w:r w:rsidRPr="00D27683">
              <w:rPr>
                <w:sz w:val="20"/>
                <w:szCs w:val="20"/>
                <w:vertAlign w:val="superscript"/>
                <w:lang w:val="en-AU"/>
              </w:rPr>
              <w:t>e</w:t>
            </w:r>
            <w:proofErr w:type="spellEnd"/>
          </w:p>
        </w:tc>
        <w:tc>
          <w:tcPr>
            <w:tcW w:w="974" w:type="pct"/>
            <w:tcBorders>
              <w:bottom w:val="single" w:sz="4" w:space="0" w:color="auto"/>
              <w:right w:val="single" w:sz="4" w:space="0" w:color="auto"/>
            </w:tcBorders>
          </w:tcPr>
          <w:p w14:paraId="7B9C96BE" w14:textId="77777777" w:rsidR="008531AE" w:rsidRPr="00D27683" w:rsidRDefault="008531AE" w:rsidP="00135EE0">
            <w:pPr>
              <w:pStyle w:val="tabletextNS"/>
              <w:jc w:val="center"/>
              <w:rPr>
                <w:sz w:val="20"/>
                <w:szCs w:val="20"/>
                <w:lang w:val="en-AU"/>
              </w:rPr>
            </w:pPr>
            <w:r w:rsidRPr="00D27683">
              <w:rPr>
                <w:color w:val="000000"/>
                <w:sz w:val="20"/>
                <w:szCs w:val="20"/>
                <w:lang w:val="en-AU"/>
              </w:rPr>
              <w:t>6 (1%)</w:t>
            </w:r>
          </w:p>
        </w:tc>
        <w:tc>
          <w:tcPr>
            <w:tcW w:w="973" w:type="pct"/>
            <w:tcBorders>
              <w:left w:val="single" w:sz="4" w:space="0" w:color="auto"/>
              <w:bottom w:val="single" w:sz="4" w:space="0" w:color="auto"/>
              <w:right w:val="single" w:sz="4" w:space="0" w:color="auto"/>
            </w:tcBorders>
          </w:tcPr>
          <w:p w14:paraId="414FF581" w14:textId="77777777" w:rsidR="008531AE" w:rsidRPr="00D27683" w:rsidRDefault="008531AE" w:rsidP="00135EE0">
            <w:pPr>
              <w:pStyle w:val="tabletextNS"/>
              <w:jc w:val="center"/>
              <w:rPr>
                <w:sz w:val="20"/>
                <w:szCs w:val="20"/>
                <w:lang w:val="en-AU"/>
              </w:rPr>
            </w:pPr>
            <w:r w:rsidRPr="00D27683">
              <w:rPr>
                <w:color w:val="000000"/>
                <w:sz w:val="20"/>
                <w:szCs w:val="20"/>
                <w:lang w:val="en-AU"/>
              </w:rPr>
              <w:t>15 (4%)</w:t>
            </w:r>
          </w:p>
        </w:tc>
      </w:tr>
    </w:tbl>
    <w:p w14:paraId="5515F7ED" w14:textId="77777777" w:rsidR="008531AE" w:rsidRPr="00D27683" w:rsidRDefault="008531AE" w:rsidP="00135EE0">
      <w:pPr>
        <w:pStyle w:val="TableNotes"/>
        <w:spacing w:after="0"/>
      </w:pPr>
      <w:r w:rsidRPr="00D27683">
        <w:t>Source: Table 2-26 p93 of the submission; Table 66 p206 MATINEE CSR.</w:t>
      </w:r>
    </w:p>
    <w:p w14:paraId="46D52B12" w14:textId="5E7E843F" w:rsidR="008531AE" w:rsidRPr="00D27683" w:rsidRDefault="008531AE" w:rsidP="00135EE0">
      <w:pPr>
        <w:pStyle w:val="TableNotes"/>
        <w:spacing w:after="0"/>
      </w:pPr>
      <w:r w:rsidRPr="00D27683">
        <w:t>AESI = adverse event of special interest; CVT = cardiovascular thromboembolic; PBO = placebo; SMQ = Standard MedDRA query; SOC = System Organ Class.</w:t>
      </w:r>
    </w:p>
    <w:p w14:paraId="7AE2218F" w14:textId="77777777" w:rsidR="008531AE" w:rsidRPr="00D27683" w:rsidRDefault="008531AE" w:rsidP="00135EE0">
      <w:pPr>
        <w:pStyle w:val="TableNotes"/>
        <w:spacing w:after="0"/>
      </w:pPr>
      <w:r w:rsidRPr="00D27683">
        <w:rPr>
          <w:vertAlign w:val="superscript"/>
        </w:rPr>
        <w:t xml:space="preserve">a </w:t>
      </w:r>
      <w:r w:rsidRPr="00D27683">
        <w:t>Infections from Infections and infestations SOC. Neoplasms from Neoplasms benign, malignant and unspecified (including cysts and polyps) SOC. Cardiac disorders from Cardiac disorders SOC.</w:t>
      </w:r>
    </w:p>
    <w:p w14:paraId="502E6ADA" w14:textId="77777777" w:rsidR="008531AE" w:rsidRPr="00D27683" w:rsidRDefault="008531AE" w:rsidP="00135EE0">
      <w:pPr>
        <w:pStyle w:val="TableNotes"/>
        <w:spacing w:after="0"/>
      </w:pPr>
      <w:r w:rsidRPr="00D27683">
        <w:t xml:space="preserve"> </w:t>
      </w:r>
      <w:r w:rsidRPr="00D27683">
        <w:rPr>
          <w:vertAlign w:val="superscript"/>
        </w:rPr>
        <w:t xml:space="preserve">b </w:t>
      </w:r>
      <w:r w:rsidRPr="00D27683">
        <w:t xml:space="preserve">Identified from SMQ or events with the preferred term of Herpes Zoster. </w:t>
      </w:r>
    </w:p>
    <w:p w14:paraId="1FC6096F" w14:textId="77777777" w:rsidR="008531AE" w:rsidRPr="00D27683" w:rsidRDefault="008531AE" w:rsidP="00135EE0">
      <w:pPr>
        <w:pStyle w:val="TableNotes"/>
        <w:spacing w:after="0"/>
      </w:pPr>
      <w:r w:rsidRPr="00D27683">
        <w:rPr>
          <w:vertAlign w:val="superscript"/>
        </w:rPr>
        <w:t xml:space="preserve">c </w:t>
      </w:r>
      <w:r w:rsidRPr="00D27683">
        <w:t xml:space="preserve">Identified from SMQs. </w:t>
      </w:r>
    </w:p>
    <w:p w14:paraId="0B64B1CE" w14:textId="77777777" w:rsidR="008531AE" w:rsidRPr="00D27683" w:rsidRDefault="008531AE" w:rsidP="00135EE0">
      <w:pPr>
        <w:pStyle w:val="TableNotes"/>
        <w:spacing w:after="0"/>
      </w:pPr>
      <w:r w:rsidRPr="00D27683">
        <w:rPr>
          <w:vertAlign w:val="superscript"/>
        </w:rPr>
        <w:t xml:space="preserve">d </w:t>
      </w:r>
      <w:r w:rsidRPr="00D27683">
        <w:t>Serious CVT events identified from Cardiac disorders SOC, Vascular disorders SOC and SMQs.</w:t>
      </w:r>
    </w:p>
    <w:p w14:paraId="3105F471" w14:textId="77777777" w:rsidR="008531AE" w:rsidRPr="00D27683" w:rsidRDefault="008531AE" w:rsidP="00135EE0">
      <w:pPr>
        <w:pStyle w:val="TableNotes"/>
        <w:spacing w:after="0"/>
      </w:pPr>
      <w:r w:rsidRPr="00D27683">
        <w:rPr>
          <w:vertAlign w:val="superscript"/>
        </w:rPr>
        <w:t xml:space="preserve">e </w:t>
      </w:r>
      <w:r w:rsidRPr="00D27683">
        <w:t>Subset of Serious CVT events identified through SMQs. *In the PBO group, there was 1 participant for whom information was not provided on the type of systemic reaction within their eCRF, therefore they had no value to count in the sublevel.</w:t>
      </w:r>
    </w:p>
    <w:p w14:paraId="4C7F6D44" w14:textId="77777777" w:rsidR="008531AE" w:rsidRPr="00D27683" w:rsidRDefault="008531AE" w:rsidP="00135EE0">
      <w:pPr>
        <w:pStyle w:val="TableNotes"/>
        <w:spacing w:after="0"/>
      </w:pPr>
    </w:p>
    <w:p w14:paraId="4F8F97DA" w14:textId="2B5CC638" w:rsidR="008531AE" w:rsidRPr="00D27683" w:rsidRDefault="008531AE" w:rsidP="00135EE0">
      <w:pPr>
        <w:pStyle w:val="Caption"/>
      </w:pPr>
      <w:bookmarkStart w:id="100" w:name="_Ref217407801"/>
      <w:r w:rsidRPr="00D27683">
        <w:t xml:space="preserve">Table </w:t>
      </w:r>
      <w:fldSimple w:instr=" SEQ Table \* ARABIC ">
        <w:r w:rsidR="00FA28CE">
          <w:rPr>
            <w:noProof/>
          </w:rPr>
          <w:t>9</w:t>
        </w:r>
      </w:fldSimple>
      <w:bookmarkEnd w:id="100"/>
      <w:r w:rsidRPr="00D27683">
        <w:t>: All infections reported in at least 1% of participants in any treatment group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All infections reported in at least 1% of participants in any treatment group (safety population)"/>
      </w:tblPr>
      <w:tblGrid>
        <w:gridCol w:w="5763"/>
        <w:gridCol w:w="1627"/>
        <w:gridCol w:w="1627"/>
      </w:tblGrid>
      <w:tr w:rsidR="00493604" w:rsidRPr="00D27683" w14:paraId="1442829E" w14:textId="77777777">
        <w:trPr>
          <w:trHeight w:val="241"/>
          <w:tblHeader/>
        </w:trPr>
        <w:tc>
          <w:tcPr>
            <w:tcW w:w="3196" w:type="pct"/>
            <w:hideMark/>
          </w:tcPr>
          <w:p w14:paraId="52C17158" w14:textId="77777777" w:rsidR="008531AE" w:rsidRPr="00D27683" w:rsidRDefault="008531AE" w:rsidP="00135EE0">
            <w:pPr>
              <w:pStyle w:val="SanofiTableText"/>
              <w:keepNext/>
              <w:rPr>
                <w:b/>
                <w:bCs w:val="0"/>
                <w:lang w:eastAsia="en-AU"/>
              </w:rPr>
            </w:pPr>
            <w:r w:rsidRPr="00D27683">
              <w:rPr>
                <w:b/>
                <w:bCs w:val="0"/>
                <w:lang w:eastAsia="en-AU"/>
              </w:rPr>
              <w:t>Preferred Term, n (%)</w:t>
            </w:r>
          </w:p>
        </w:tc>
        <w:tc>
          <w:tcPr>
            <w:tcW w:w="902" w:type="pct"/>
          </w:tcPr>
          <w:p w14:paraId="62260D11" w14:textId="64B8B8AD" w:rsidR="008531AE" w:rsidRPr="00D27683" w:rsidRDefault="00964889" w:rsidP="00135EE0">
            <w:pPr>
              <w:pStyle w:val="SanofiTableText"/>
              <w:keepNext/>
              <w:jc w:val="center"/>
              <w:rPr>
                <w:b/>
                <w:lang w:eastAsia="en-AU"/>
              </w:rPr>
            </w:pPr>
            <w:r w:rsidRPr="00D27683">
              <w:rPr>
                <w:b/>
                <w:lang w:eastAsia="en-AU"/>
              </w:rPr>
              <w:t>Mepolizumab</w:t>
            </w:r>
            <w:r w:rsidR="008531AE" w:rsidRPr="00D27683">
              <w:rPr>
                <w:b/>
                <w:lang w:eastAsia="en-AU"/>
              </w:rPr>
              <w:t xml:space="preserve"> </w:t>
            </w:r>
            <w:r w:rsidR="008531AE" w:rsidRPr="00D27683">
              <w:rPr>
                <w:b/>
                <w:lang w:eastAsia="en-AU"/>
              </w:rPr>
              <w:br/>
              <w:t>N=403</w:t>
            </w:r>
          </w:p>
        </w:tc>
        <w:tc>
          <w:tcPr>
            <w:tcW w:w="902" w:type="pct"/>
          </w:tcPr>
          <w:p w14:paraId="68D025AE" w14:textId="5213647F" w:rsidR="008531AE" w:rsidRPr="00D27683" w:rsidRDefault="00964889" w:rsidP="00135EE0">
            <w:pPr>
              <w:pStyle w:val="SanofiTableText"/>
              <w:keepNext/>
              <w:jc w:val="center"/>
              <w:rPr>
                <w:b/>
                <w:lang w:eastAsia="en-AU"/>
              </w:rPr>
            </w:pPr>
            <w:r w:rsidRPr="00D27683">
              <w:rPr>
                <w:b/>
                <w:lang w:eastAsia="en-AU"/>
              </w:rPr>
              <w:t>Placebo</w:t>
            </w:r>
            <w:r w:rsidR="008531AE" w:rsidRPr="00D27683">
              <w:rPr>
                <w:b/>
                <w:lang w:eastAsia="en-AU"/>
              </w:rPr>
              <w:br/>
              <w:t>N=401</w:t>
            </w:r>
          </w:p>
        </w:tc>
      </w:tr>
      <w:tr w:rsidR="00493604" w:rsidRPr="00D27683" w14:paraId="0114DE63" w14:textId="77777777">
        <w:trPr>
          <w:trHeight w:val="27"/>
        </w:trPr>
        <w:tc>
          <w:tcPr>
            <w:tcW w:w="3196" w:type="pct"/>
            <w:hideMark/>
          </w:tcPr>
          <w:p w14:paraId="5699AB48" w14:textId="77777777" w:rsidR="008531AE" w:rsidRPr="00D27683" w:rsidRDefault="008531AE" w:rsidP="00135EE0">
            <w:pPr>
              <w:pStyle w:val="SanofiTableText"/>
              <w:keepNext/>
              <w:rPr>
                <w:b/>
                <w:bCs w:val="0"/>
                <w:lang w:eastAsia="en-AU"/>
              </w:rPr>
            </w:pPr>
            <w:r w:rsidRPr="00D27683">
              <w:rPr>
                <w:b/>
                <w:bCs w:val="0"/>
                <w:lang w:eastAsia="en-AU"/>
              </w:rPr>
              <w:t>Infections and infestations, n (%)</w:t>
            </w:r>
          </w:p>
        </w:tc>
        <w:tc>
          <w:tcPr>
            <w:tcW w:w="902" w:type="pct"/>
          </w:tcPr>
          <w:p w14:paraId="604CD8B9" w14:textId="77777777" w:rsidR="008531AE" w:rsidRPr="00D27683" w:rsidRDefault="008531AE" w:rsidP="00135EE0">
            <w:pPr>
              <w:pStyle w:val="SanofiTableText"/>
              <w:keepNext/>
              <w:jc w:val="center"/>
              <w:rPr>
                <w:lang w:eastAsia="en-AU"/>
              </w:rPr>
            </w:pPr>
            <w:r w:rsidRPr="00D27683">
              <w:rPr>
                <w:lang w:eastAsia="en-AU"/>
              </w:rPr>
              <w:t>190 (47)</w:t>
            </w:r>
          </w:p>
        </w:tc>
        <w:tc>
          <w:tcPr>
            <w:tcW w:w="902" w:type="pct"/>
          </w:tcPr>
          <w:p w14:paraId="7F231CCD" w14:textId="77777777" w:rsidR="008531AE" w:rsidRPr="00D27683" w:rsidRDefault="008531AE" w:rsidP="00135EE0">
            <w:pPr>
              <w:pStyle w:val="SanofiTableText"/>
              <w:keepNext/>
              <w:jc w:val="center"/>
              <w:rPr>
                <w:lang w:eastAsia="en-AU"/>
              </w:rPr>
            </w:pPr>
            <w:r w:rsidRPr="00D27683">
              <w:rPr>
                <w:lang w:eastAsia="en-AU"/>
              </w:rPr>
              <w:t>172 (43)</w:t>
            </w:r>
          </w:p>
        </w:tc>
      </w:tr>
      <w:tr w:rsidR="00493604" w:rsidRPr="00D27683" w14:paraId="66C37C67" w14:textId="77777777">
        <w:trPr>
          <w:trHeight w:val="27"/>
        </w:trPr>
        <w:tc>
          <w:tcPr>
            <w:tcW w:w="3196" w:type="pct"/>
          </w:tcPr>
          <w:p w14:paraId="18A41D76" w14:textId="77777777" w:rsidR="008531AE" w:rsidRPr="00D27683" w:rsidRDefault="008531AE" w:rsidP="00135EE0">
            <w:pPr>
              <w:pStyle w:val="SanofiTableText"/>
              <w:keepNext/>
              <w:ind w:left="177" w:right="113"/>
              <w:rPr>
                <w:lang w:eastAsia="en-AU"/>
              </w:rPr>
            </w:pPr>
            <w:r w:rsidRPr="00D27683">
              <w:rPr>
                <w:lang w:eastAsia="en-AU"/>
              </w:rPr>
              <w:t>COVID-19</w:t>
            </w:r>
          </w:p>
        </w:tc>
        <w:tc>
          <w:tcPr>
            <w:tcW w:w="902" w:type="pct"/>
          </w:tcPr>
          <w:p w14:paraId="6B0AF2C2" w14:textId="77777777" w:rsidR="008531AE" w:rsidRPr="00D27683" w:rsidRDefault="008531AE" w:rsidP="00135EE0">
            <w:pPr>
              <w:pStyle w:val="SanofiTableText"/>
              <w:keepNext/>
              <w:jc w:val="center"/>
              <w:rPr>
                <w:lang w:eastAsia="en-AU"/>
              </w:rPr>
            </w:pPr>
            <w:r w:rsidRPr="00D27683">
              <w:rPr>
                <w:lang w:eastAsia="en-AU"/>
              </w:rPr>
              <w:t>50 (12)</w:t>
            </w:r>
          </w:p>
        </w:tc>
        <w:tc>
          <w:tcPr>
            <w:tcW w:w="902" w:type="pct"/>
          </w:tcPr>
          <w:p w14:paraId="1E0FFF57" w14:textId="77777777" w:rsidR="008531AE" w:rsidRPr="00D27683" w:rsidRDefault="008531AE" w:rsidP="00135EE0">
            <w:pPr>
              <w:pStyle w:val="SanofiTableText"/>
              <w:keepNext/>
              <w:jc w:val="center"/>
              <w:rPr>
                <w:lang w:eastAsia="en-AU"/>
              </w:rPr>
            </w:pPr>
            <w:r w:rsidRPr="00D27683">
              <w:rPr>
                <w:lang w:eastAsia="en-AU"/>
              </w:rPr>
              <w:t>49 (12)</w:t>
            </w:r>
          </w:p>
        </w:tc>
      </w:tr>
      <w:tr w:rsidR="00493604" w:rsidRPr="00D27683" w14:paraId="701F1431" w14:textId="77777777">
        <w:trPr>
          <w:trHeight w:val="27"/>
        </w:trPr>
        <w:tc>
          <w:tcPr>
            <w:tcW w:w="3196" w:type="pct"/>
            <w:hideMark/>
          </w:tcPr>
          <w:p w14:paraId="7488666A" w14:textId="77777777" w:rsidR="008531AE" w:rsidRPr="00D27683" w:rsidRDefault="008531AE" w:rsidP="00135EE0">
            <w:pPr>
              <w:pStyle w:val="SanofiTableText"/>
              <w:keepNext/>
              <w:ind w:left="177" w:right="113"/>
              <w:rPr>
                <w:lang w:eastAsia="en-AU"/>
              </w:rPr>
            </w:pPr>
            <w:r w:rsidRPr="00D27683">
              <w:rPr>
                <w:lang w:eastAsia="en-AU"/>
              </w:rPr>
              <w:t>Nasopharyngitis</w:t>
            </w:r>
          </w:p>
        </w:tc>
        <w:tc>
          <w:tcPr>
            <w:tcW w:w="902" w:type="pct"/>
          </w:tcPr>
          <w:p w14:paraId="2FCDD909" w14:textId="77777777" w:rsidR="008531AE" w:rsidRPr="00D27683" w:rsidRDefault="008531AE" w:rsidP="00135EE0">
            <w:pPr>
              <w:pStyle w:val="SanofiTableText"/>
              <w:keepNext/>
              <w:jc w:val="center"/>
              <w:rPr>
                <w:lang w:eastAsia="en-AU"/>
              </w:rPr>
            </w:pPr>
            <w:r w:rsidRPr="00D27683">
              <w:rPr>
                <w:lang w:eastAsia="en-AU"/>
              </w:rPr>
              <w:t>41 (10)</w:t>
            </w:r>
          </w:p>
        </w:tc>
        <w:tc>
          <w:tcPr>
            <w:tcW w:w="902" w:type="pct"/>
          </w:tcPr>
          <w:p w14:paraId="070BF0BC" w14:textId="77777777" w:rsidR="008531AE" w:rsidRPr="00D27683" w:rsidRDefault="008531AE" w:rsidP="00135EE0">
            <w:pPr>
              <w:pStyle w:val="SanofiTableText"/>
              <w:keepNext/>
              <w:jc w:val="center"/>
              <w:rPr>
                <w:lang w:eastAsia="en-AU"/>
              </w:rPr>
            </w:pPr>
            <w:r w:rsidRPr="00D27683">
              <w:rPr>
                <w:lang w:eastAsia="en-AU"/>
              </w:rPr>
              <w:t>32 (8)</w:t>
            </w:r>
          </w:p>
        </w:tc>
      </w:tr>
      <w:tr w:rsidR="00493604" w:rsidRPr="00D27683" w14:paraId="0A23C5E2" w14:textId="77777777">
        <w:trPr>
          <w:trHeight w:val="27"/>
        </w:trPr>
        <w:tc>
          <w:tcPr>
            <w:tcW w:w="3196" w:type="pct"/>
            <w:hideMark/>
          </w:tcPr>
          <w:p w14:paraId="735688F8" w14:textId="77777777" w:rsidR="008531AE" w:rsidRPr="00D27683" w:rsidRDefault="008531AE" w:rsidP="00135EE0">
            <w:pPr>
              <w:pStyle w:val="SanofiTableText"/>
              <w:keepNext/>
              <w:ind w:left="177" w:right="113"/>
              <w:rPr>
                <w:lang w:eastAsia="en-AU"/>
              </w:rPr>
            </w:pPr>
            <w:r w:rsidRPr="00D27683">
              <w:rPr>
                <w:lang w:eastAsia="en-AU"/>
              </w:rPr>
              <w:t>Pneumonia</w:t>
            </w:r>
          </w:p>
        </w:tc>
        <w:tc>
          <w:tcPr>
            <w:tcW w:w="902" w:type="pct"/>
          </w:tcPr>
          <w:p w14:paraId="59D184F5" w14:textId="77777777" w:rsidR="008531AE" w:rsidRPr="00D27683" w:rsidRDefault="008531AE" w:rsidP="00135EE0">
            <w:pPr>
              <w:pStyle w:val="SanofiTableText"/>
              <w:keepNext/>
              <w:jc w:val="center"/>
              <w:rPr>
                <w:lang w:eastAsia="en-AU"/>
              </w:rPr>
            </w:pPr>
            <w:r w:rsidRPr="00D27683">
              <w:rPr>
                <w:lang w:eastAsia="en-AU"/>
              </w:rPr>
              <w:t>30 (7)</w:t>
            </w:r>
          </w:p>
        </w:tc>
        <w:tc>
          <w:tcPr>
            <w:tcW w:w="902" w:type="pct"/>
          </w:tcPr>
          <w:p w14:paraId="55E69660" w14:textId="77777777" w:rsidR="008531AE" w:rsidRPr="00D27683" w:rsidRDefault="008531AE" w:rsidP="00135EE0">
            <w:pPr>
              <w:pStyle w:val="SanofiTableText"/>
              <w:keepNext/>
              <w:jc w:val="center"/>
              <w:rPr>
                <w:lang w:eastAsia="en-AU"/>
              </w:rPr>
            </w:pPr>
            <w:r w:rsidRPr="00D27683">
              <w:rPr>
                <w:lang w:eastAsia="en-AU"/>
              </w:rPr>
              <w:t>27(7)</w:t>
            </w:r>
          </w:p>
        </w:tc>
      </w:tr>
      <w:tr w:rsidR="00493604" w:rsidRPr="00D27683" w14:paraId="7D9CB914" w14:textId="77777777">
        <w:trPr>
          <w:trHeight w:val="27"/>
        </w:trPr>
        <w:tc>
          <w:tcPr>
            <w:tcW w:w="3196" w:type="pct"/>
            <w:hideMark/>
          </w:tcPr>
          <w:p w14:paraId="196B1CE3" w14:textId="77777777" w:rsidR="008531AE" w:rsidRPr="00D27683" w:rsidRDefault="008531AE" w:rsidP="00135EE0">
            <w:pPr>
              <w:pStyle w:val="SanofiTableText"/>
              <w:keepNext/>
              <w:ind w:left="177" w:right="113"/>
              <w:rPr>
                <w:lang w:eastAsia="en-AU"/>
              </w:rPr>
            </w:pPr>
            <w:r w:rsidRPr="00D27683">
              <w:rPr>
                <w:lang w:eastAsia="en-AU"/>
              </w:rPr>
              <w:t>Upper respiratory tract infection</w:t>
            </w:r>
          </w:p>
        </w:tc>
        <w:tc>
          <w:tcPr>
            <w:tcW w:w="902" w:type="pct"/>
          </w:tcPr>
          <w:p w14:paraId="3D3FE344" w14:textId="77777777" w:rsidR="008531AE" w:rsidRPr="00D27683" w:rsidRDefault="008531AE" w:rsidP="00135EE0">
            <w:pPr>
              <w:pStyle w:val="SanofiTableText"/>
              <w:keepNext/>
              <w:jc w:val="center"/>
              <w:rPr>
                <w:lang w:eastAsia="en-AU"/>
              </w:rPr>
            </w:pPr>
            <w:r w:rsidRPr="00D27683">
              <w:rPr>
                <w:lang w:eastAsia="en-AU"/>
              </w:rPr>
              <w:t>25 (6)</w:t>
            </w:r>
          </w:p>
        </w:tc>
        <w:tc>
          <w:tcPr>
            <w:tcW w:w="902" w:type="pct"/>
          </w:tcPr>
          <w:p w14:paraId="56FE8763" w14:textId="77777777" w:rsidR="008531AE" w:rsidRPr="00D27683" w:rsidRDefault="008531AE" w:rsidP="00135EE0">
            <w:pPr>
              <w:pStyle w:val="SanofiTableText"/>
              <w:keepNext/>
              <w:jc w:val="center"/>
              <w:rPr>
                <w:lang w:eastAsia="en-AU"/>
              </w:rPr>
            </w:pPr>
            <w:r w:rsidRPr="00D27683">
              <w:rPr>
                <w:lang w:eastAsia="en-AU"/>
              </w:rPr>
              <w:t>20 (5)</w:t>
            </w:r>
          </w:p>
        </w:tc>
      </w:tr>
      <w:tr w:rsidR="00493604" w:rsidRPr="00D27683" w14:paraId="2304CEC9" w14:textId="77777777">
        <w:trPr>
          <w:trHeight w:val="27"/>
        </w:trPr>
        <w:tc>
          <w:tcPr>
            <w:tcW w:w="3196" w:type="pct"/>
          </w:tcPr>
          <w:p w14:paraId="0075257D" w14:textId="77777777" w:rsidR="008531AE" w:rsidRPr="00D27683" w:rsidRDefault="008531AE" w:rsidP="00135EE0">
            <w:pPr>
              <w:pStyle w:val="SanofiTableText"/>
              <w:keepNext/>
              <w:ind w:left="177" w:right="113"/>
              <w:rPr>
                <w:lang w:eastAsia="en-AU"/>
              </w:rPr>
            </w:pPr>
            <w:r w:rsidRPr="00D27683">
              <w:rPr>
                <w:lang w:eastAsia="en-AU"/>
              </w:rPr>
              <w:t>Influenza</w:t>
            </w:r>
          </w:p>
        </w:tc>
        <w:tc>
          <w:tcPr>
            <w:tcW w:w="902" w:type="pct"/>
          </w:tcPr>
          <w:p w14:paraId="292BCB35" w14:textId="77777777" w:rsidR="008531AE" w:rsidRPr="00D27683" w:rsidRDefault="008531AE" w:rsidP="00135EE0">
            <w:pPr>
              <w:pStyle w:val="SanofiTableText"/>
              <w:keepNext/>
              <w:jc w:val="center"/>
              <w:rPr>
                <w:lang w:eastAsia="en-AU"/>
              </w:rPr>
            </w:pPr>
            <w:r w:rsidRPr="00D27683">
              <w:rPr>
                <w:lang w:eastAsia="en-AU"/>
              </w:rPr>
              <w:t>19 (5)</w:t>
            </w:r>
          </w:p>
        </w:tc>
        <w:tc>
          <w:tcPr>
            <w:tcW w:w="902" w:type="pct"/>
          </w:tcPr>
          <w:p w14:paraId="101F7CD6" w14:textId="77777777" w:rsidR="008531AE" w:rsidRPr="00D27683" w:rsidRDefault="008531AE" w:rsidP="00135EE0">
            <w:pPr>
              <w:pStyle w:val="SanofiTableText"/>
              <w:keepNext/>
              <w:jc w:val="center"/>
              <w:rPr>
                <w:lang w:eastAsia="en-AU"/>
              </w:rPr>
            </w:pPr>
            <w:r w:rsidRPr="00D27683">
              <w:rPr>
                <w:lang w:eastAsia="en-AU"/>
              </w:rPr>
              <w:t>19 (5)</w:t>
            </w:r>
          </w:p>
        </w:tc>
      </w:tr>
      <w:tr w:rsidR="00493604" w:rsidRPr="00D27683" w14:paraId="53054DEC" w14:textId="77777777">
        <w:trPr>
          <w:trHeight w:val="27"/>
        </w:trPr>
        <w:tc>
          <w:tcPr>
            <w:tcW w:w="3196" w:type="pct"/>
            <w:hideMark/>
          </w:tcPr>
          <w:p w14:paraId="0A7DB739" w14:textId="77777777" w:rsidR="008531AE" w:rsidRPr="00D27683" w:rsidRDefault="008531AE" w:rsidP="00135EE0">
            <w:pPr>
              <w:pStyle w:val="SanofiTableText"/>
              <w:keepNext/>
              <w:ind w:left="177" w:right="113"/>
              <w:rPr>
                <w:lang w:eastAsia="en-AU"/>
              </w:rPr>
            </w:pPr>
            <w:r w:rsidRPr="00D27683">
              <w:rPr>
                <w:lang w:eastAsia="en-AU"/>
              </w:rPr>
              <w:t>Urinary tract infection</w:t>
            </w:r>
          </w:p>
        </w:tc>
        <w:tc>
          <w:tcPr>
            <w:tcW w:w="902" w:type="pct"/>
          </w:tcPr>
          <w:p w14:paraId="13EAB866" w14:textId="77777777" w:rsidR="008531AE" w:rsidRPr="00D27683" w:rsidRDefault="008531AE" w:rsidP="00135EE0">
            <w:pPr>
              <w:pStyle w:val="SanofiTableText"/>
              <w:keepNext/>
              <w:jc w:val="center"/>
              <w:rPr>
                <w:lang w:eastAsia="en-AU"/>
              </w:rPr>
            </w:pPr>
            <w:r w:rsidRPr="00D27683">
              <w:rPr>
                <w:lang w:eastAsia="en-AU"/>
              </w:rPr>
              <w:t>18 (4)</w:t>
            </w:r>
          </w:p>
        </w:tc>
        <w:tc>
          <w:tcPr>
            <w:tcW w:w="902" w:type="pct"/>
          </w:tcPr>
          <w:p w14:paraId="2EB0E31B" w14:textId="77777777" w:rsidR="008531AE" w:rsidRPr="00D27683" w:rsidRDefault="008531AE" w:rsidP="00135EE0">
            <w:pPr>
              <w:pStyle w:val="SanofiTableText"/>
              <w:keepNext/>
              <w:jc w:val="center"/>
              <w:rPr>
                <w:lang w:eastAsia="en-AU"/>
              </w:rPr>
            </w:pPr>
            <w:r w:rsidRPr="00D27683">
              <w:rPr>
                <w:lang w:eastAsia="en-AU"/>
              </w:rPr>
              <w:t>7 (2)</w:t>
            </w:r>
          </w:p>
        </w:tc>
      </w:tr>
      <w:tr w:rsidR="00493604" w:rsidRPr="00D27683" w14:paraId="3A233745" w14:textId="77777777">
        <w:trPr>
          <w:trHeight w:val="27"/>
        </w:trPr>
        <w:tc>
          <w:tcPr>
            <w:tcW w:w="3196" w:type="pct"/>
            <w:hideMark/>
          </w:tcPr>
          <w:p w14:paraId="0D8B4764" w14:textId="77777777" w:rsidR="008531AE" w:rsidRPr="00D27683" w:rsidRDefault="008531AE" w:rsidP="00135EE0">
            <w:pPr>
              <w:pStyle w:val="SanofiTableText"/>
              <w:keepNext/>
              <w:ind w:left="177" w:right="113"/>
              <w:rPr>
                <w:lang w:eastAsia="en-AU"/>
              </w:rPr>
            </w:pPr>
            <w:r w:rsidRPr="00D27683">
              <w:rPr>
                <w:lang w:eastAsia="en-AU"/>
              </w:rPr>
              <w:t>Bronchitis</w:t>
            </w:r>
          </w:p>
        </w:tc>
        <w:tc>
          <w:tcPr>
            <w:tcW w:w="902" w:type="pct"/>
          </w:tcPr>
          <w:p w14:paraId="333E91A8" w14:textId="77777777" w:rsidR="008531AE" w:rsidRPr="00D27683" w:rsidRDefault="008531AE" w:rsidP="00135EE0">
            <w:pPr>
              <w:pStyle w:val="SanofiTableText"/>
              <w:keepNext/>
              <w:jc w:val="center"/>
              <w:rPr>
                <w:lang w:eastAsia="en-AU"/>
              </w:rPr>
            </w:pPr>
            <w:r w:rsidRPr="00D27683">
              <w:rPr>
                <w:lang w:eastAsia="en-AU"/>
              </w:rPr>
              <w:t>8 (2)</w:t>
            </w:r>
          </w:p>
        </w:tc>
        <w:tc>
          <w:tcPr>
            <w:tcW w:w="902" w:type="pct"/>
          </w:tcPr>
          <w:p w14:paraId="0266BB11" w14:textId="77777777" w:rsidR="008531AE" w:rsidRPr="00D27683" w:rsidRDefault="008531AE" w:rsidP="00135EE0">
            <w:pPr>
              <w:pStyle w:val="SanofiTableText"/>
              <w:keepNext/>
              <w:jc w:val="center"/>
              <w:rPr>
                <w:lang w:eastAsia="en-AU"/>
              </w:rPr>
            </w:pPr>
            <w:r w:rsidRPr="00D27683">
              <w:rPr>
                <w:lang w:eastAsia="en-AU"/>
              </w:rPr>
              <w:t>11 (3)</w:t>
            </w:r>
          </w:p>
        </w:tc>
      </w:tr>
      <w:tr w:rsidR="00493604" w:rsidRPr="00D27683" w14:paraId="47E731C7" w14:textId="77777777">
        <w:trPr>
          <w:trHeight w:val="27"/>
        </w:trPr>
        <w:tc>
          <w:tcPr>
            <w:tcW w:w="3196" w:type="pct"/>
            <w:hideMark/>
          </w:tcPr>
          <w:p w14:paraId="740C1F78" w14:textId="77777777" w:rsidR="008531AE" w:rsidRPr="00D27683" w:rsidRDefault="008531AE" w:rsidP="00135EE0">
            <w:pPr>
              <w:pStyle w:val="SanofiTableText"/>
              <w:keepNext/>
              <w:ind w:left="177" w:right="113"/>
              <w:rPr>
                <w:lang w:eastAsia="en-AU"/>
              </w:rPr>
            </w:pPr>
            <w:r w:rsidRPr="00D27683">
              <w:rPr>
                <w:lang w:eastAsia="en-AU"/>
              </w:rPr>
              <w:t>Sinusitis</w:t>
            </w:r>
          </w:p>
        </w:tc>
        <w:tc>
          <w:tcPr>
            <w:tcW w:w="902" w:type="pct"/>
          </w:tcPr>
          <w:p w14:paraId="1020216D" w14:textId="77777777" w:rsidR="008531AE" w:rsidRPr="00D27683" w:rsidRDefault="008531AE" w:rsidP="00135EE0">
            <w:pPr>
              <w:pStyle w:val="SanofiTableText"/>
              <w:keepNext/>
              <w:jc w:val="center"/>
              <w:rPr>
                <w:lang w:eastAsia="en-AU"/>
              </w:rPr>
            </w:pPr>
            <w:r w:rsidRPr="00D27683">
              <w:rPr>
                <w:lang w:eastAsia="en-AU"/>
              </w:rPr>
              <w:t>9 (2)</w:t>
            </w:r>
          </w:p>
        </w:tc>
        <w:tc>
          <w:tcPr>
            <w:tcW w:w="902" w:type="pct"/>
          </w:tcPr>
          <w:p w14:paraId="3BAF1C8D" w14:textId="77777777" w:rsidR="008531AE" w:rsidRPr="00D27683" w:rsidRDefault="008531AE" w:rsidP="00135EE0">
            <w:pPr>
              <w:pStyle w:val="SanofiTableText"/>
              <w:keepNext/>
              <w:jc w:val="center"/>
              <w:rPr>
                <w:lang w:eastAsia="en-AU"/>
              </w:rPr>
            </w:pPr>
            <w:r w:rsidRPr="00D27683">
              <w:rPr>
                <w:lang w:eastAsia="en-AU"/>
              </w:rPr>
              <w:t>7 (2)</w:t>
            </w:r>
          </w:p>
        </w:tc>
      </w:tr>
      <w:tr w:rsidR="00493604" w:rsidRPr="00D27683" w14:paraId="729AF086" w14:textId="77777777">
        <w:trPr>
          <w:trHeight w:val="27"/>
        </w:trPr>
        <w:tc>
          <w:tcPr>
            <w:tcW w:w="3196" w:type="pct"/>
            <w:hideMark/>
          </w:tcPr>
          <w:p w14:paraId="0B6D6FFF" w14:textId="77777777" w:rsidR="008531AE" w:rsidRPr="00D27683" w:rsidRDefault="008531AE" w:rsidP="00135EE0">
            <w:pPr>
              <w:pStyle w:val="SanofiTableText"/>
              <w:keepNext/>
              <w:ind w:left="177" w:right="113"/>
              <w:rPr>
                <w:lang w:eastAsia="en-AU"/>
              </w:rPr>
            </w:pPr>
            <w:r w:rsidRPr="00D27683">
              <w:rPr>
                <w:lang w:eastAsia="en-AU"/>
              </w:rPr>
              <w:t>Lower respiratory tract infection</w:t>
            </w:r>
          </w:p>
        </w:tc>
        <w:tc>
          <w:tcPr>
            <w:tcW w:w="902" w:type="pct"/>
          </w:tcPr>
          <w:p w14:paraId="006E2ECE" w14:textId="77777777" w:rsidR="008531AE" w:rsidRPr="00D27683" w:rsidRDefault="008531AE" w:rsidP="00135EE0">
            <w:pPr>
              <w:pStyle w:val="SanofiTableText"/>
              <w:keepNext/>
              <w:jc w:val="center"/>
              <w:rPr>
                <w:lang w:eastAsia="en-AU"/>
              </w:rPr>
            </w:pPr>
            <w:r w:rsidRPr="00D27683">
              <w:rPr>
                <w:lang w:eastAsia="en-AU"/>
              </w:rPr>
              <w:t>7 (2)</w:t>
            </w:r>
          </w:p>
        </w:tc>
        <w:tc>
          <w:tcPr>
            <w:tcW w:w="902" w:type="pct"/>
          </w:tcPr>
          <w:p w14:paraId="1E064BE9" w14:textId="77777777" w:rsidR="008531AE" w:rsidRPr="00D27683" w:rsidRDefault="008531AE" w:rsidP="00135EE0">
            <w:pPr>
              <w:pStyle w:val="SanofiTableText"/>
              <w:keepNext/>
              <w:jc w:val="center"/>
              <w:rPr>
                <w:lang w:eastAsia="en-AU"/>
              </w:rPr>
            </w:pPr>
            <w:r w:rsidRPr="00D27683">
              <w:rPr>
                <w:lang w:eastAsia="en-AU"/>
              </w:rPr>
              <w:t>7 (2)</w:t>
            </w:r>
          </w:p>
        </w:tc>
      </w:tr>
      <w:tr w:rsidR="00493604" w:rsidRPr="00D27683" w14:paraId="2F7FE88A" w14:textId="77777777">
        <w:trPr>
          <w:trHeight w:val="27"/>
        </w:trPr>
        <w:tc>
          <w:tcPr>
            <w:tcW w:w="3196" w:type="pct"/>
            <w:hideMark/>
          </w:tcPr>
          <w:p w14:paraId="3D0A49F1" w14:textId="77777777" w:rsidR="008531AE" w:rsidRPr="00D27683" w:rsidRDefault="008531AE" w:rsidP="00135EE0">
            <w:pPr>
              <w:pStyle w:val="SanofiTableText"/>
              <w:keepNext/>
              <w:ind w:left="177"/>
              <w:rPr>
                <w:lang w:eastAsia="en-AU"/>
              </w:rPr>
            </w:pPr>
            <w:r w:rsidRPr="00D27683">
              <w:rPr>
                <w:lang w:eastAsia="en-AU"/>
              </w:rPr>
              <w:t>Rhinitis</w:t>
            </w:r>
          </w:p>
        </w:tc>
        <w:tc>
          <w:tcPr>
            <w:tcW w:w="902" w:type="pct"/>
          </w:tcPr>
          <w:p w14:paraId="4EC36B28" w14:textId="77777777" w:rsidR="008531AE" w:rsidRPr="00D27683" w:rsidRDefault="008531AE" w:rsidP="00135EE0">
            <w:pPr>
              <w:pStyle w:val="SanofiTableText"/>
              <w:keepNext/>
              <w:jc w:val="center"/>
              <w:rPr>
                <w:lang w:eastAsia="en-AU"/>
              </w:rPr>
            </w:pPr>
            <w:r w:rsidRPr="00D27683">
              <w:rPr>
                <w:lang w:eastAsia="en-AU"/>
              </w:rPr>
              <w:t>7 (2)</w:t>
            </w:r>
          </w:p>
        </w:tc>
        <w:tc>
          <w:tcPr>
            <w:tcW w:w="902" w:type="pct"/>
          </w:tcPr>
          <w:p w14:paraId="39F2B7BF" w14:textId="77777777" w:rsidR="008531AE" w:rsidRPr="00D27683" w:rsidRDefault="008531AE" w:rsidP="00135EE0">
            <w:pPr>
              <w:pStyle w:val="SanofiTableText"/>
              <w:keepNext/>
              <w:jc w:val="center"/>
              <w:rPr>
                <w:lang w:eastAsia="en-AU"/>
              </w:rPr>
            </w:pPr>
            <w:r w:rsidRPr="00D27683">
              <w:rPr>
                <w:lang w:eastAsia="en-AU"/>
              </w:rPr>
              <w:t>5 (1)</w:t>
            </w:r>
          </w:p>
        </w:tc>
      </w:tr>
      <w:tr w:rsidR="00493604" w:rsidRPr="00D27683" w14:paraId="6D4ACA7C" w14:textId="77777777">
        <w:trPr>
          <w:trHeight w:val="27"/>
        </w:trPr>
        <w:tc>
          <w:tcPr>
            <w:tcW w:w="3196" w:type="pct"/>
            <w:hideMark/>
          </w:tcPr>
          <w:p w14:paraId="5908BAEA" w14:textId="77777777" w:rsidR="008531AE" w:rsidRPr="00D27683" w:rsidRDefault="008531AE" w:rsidP="00135EE0">
            <w:pPr>
              <w:pStyle w:val="SanofiTableText"/>
              <w:keepNext/>
              <w:ind w:left="177"/>
              <w:rPr>
                <w:lang w:eastAsia="en-AU"/>
              </w:rPr>
            </w:pPr>
            <w:r w:rsidRPr="00D27683">
              <w:rPr>
                <w:lang w:eastAsia="en-AU"/>
              </w:rPr>
              <w:t>Respiratory tract infection</w:t>
            </w:r>
          </w:p>
        </w:tc>
        <w:tc>
          <w:tcPr>
            <w:tcW w:w="902" w:type="pct"/>
          </w:tcPr>
          <w:p w14:paraId="3EF79978" w14:textId="77777777" w:rsidR="008531AE" w:rsidRPr="00D27683" w:rsidRDefault="008531AE" w:rsidP="00135EE0">
            <w:pPr>
              <w:pStyle w:val="SanofiTableText"/>
              <w:keepNext/>
              <w:jc w:val="center"/>
              <w:rPr>
                <w:lang w:eastAsia="en-AU"/>
              </w:rPr>
            </w:pPr>
            <w:r w:rsidRPr="00D27683">
              <w:rPr>
                <w:lang w:eastAsia="en-AU"/>
              </w:rPr>
              <w:t>3 (&lt;1)</w:t>
            </w:r>
          </w:p>
        </w:tc>
        <w:tc>
          <w:tcPr>
            <w:tcW w:w="902" w:type="pct"/>
          </w:tcPr>
          <w:p w14:paraId="3BC7711A" w14:textId="77777777" w:rsidR="008531AE" w:rsidRPr="00D27683" w:rsidRDefault="008531AE" w:rsidP="00135EE0">
            <w:pPr>
              <w:pStyle w:val="SanofiTableText"/>
              <w:keepNext/>
              <w:jc w:val="center"/>
              <w:rPr>
                <w:lang w:eastAsia="en-AU"/>
              </w:rPr>
            </w:pPr>
            <w:r w:rsidRPr="00D27683">
              <w:rPr>
                <w:lang w:eastAsia="en-AU"/>
              </w:rPr>
              <w:t>8 (2)</w:t>
            </w:r>
          </w:p>
        </w:tc>
      </w:tr>
      <w:tr w:rsidR="00493604" w:rsidRPr="00D27683" w14:paraId="35AF1839" w14:textId="77777777">
        <w:trPr>
          <w:trHeight w:val="27"/>
        </w:trPr>
        <w:tc>
          <w:tcPr>
            <w:tcW w:w="3196" w:type="pct"/>
            <w:hideMark/>
          </w:tcPr>
          <w:p w14:paraId="6946E14B" w14:textId="77777777" w:rsidR="008531AE" w:rsidRPr="00D27683" w:rsidRDefault="008531AE" w:rsidP="00135EE0">
            <w:pPr>
              <w:pStyle w:val="SanofiTableText"/>
              <w:ind w:left="177" w:right="113"/>
              <w:rPr>
                <w:lang w:eastAsia="en-AU"/>
              </w:rPr>
            </w:pPr>
            <w:r w:rsidRPr="00D27683">
              <w:rPr>
                <w:lang w:eastAsia="en-AU"/>
              </w:rPr>
              <w:t>Pharyngitis</w:t>
            </w:r>
          </w:p>
        </w:tc>
        <w:tc>
          <w:tcPr>
            <w:tcW w:w="902" w:type="pct"/>
          </w:tcPr>
          <w:p w14:paraId="5F3DE9F6" w14:textId="77777777" w:rsidR="008531AE" w:rsidRPr="00D27683" w:rsidRDefault="008531AE" w:rsidP="00135EE0">
            <w:pPr>
              <w:pStyle w:val="SanofiTableText"/>
              <w:jc w:val="center"/>
              <w:rPr>
                <w:lang w:eastAsia="en-AU"/>
              </w:rPr>
            </w:pPr>
            <w:r w:rsidRPr="00D27683">
              <w:rPr>
                <w:lang w:eastAsia="en-AU"/>
              </w:rPr>
              <w:t>6 (1)</w:t>
            </w:r>
          </w:p>
        </w:tc>
        <w:tc>
          <w:tcPr>
            <w:tcW w:w="902" w:type="pct"/>
          </w:tcPr>
          <w:p w14:paraId="65457BE6" w14:textId="77777777" w:rsidR="008531AE" w:rsidRPr="00D27683" w:rsidRDefault="008531AE" w:rsidP="00135EE0">
            <w:pPr>
              <w:pStyle w:val="SanofiTableText"/>
              <w:jc w:val="center"/>
              <w:rPr>
                <w:lang w:eastAsia="en-AU"/>
              </w:rPr>
            </w:pPr>
            <w:r w:rsidRPr="00D27683">
              <w:rPr>
                <w:lang w:eastAsia="en-AU"/>
              </w:rPr>
              <w:t>4 (&lt;1)</w:t>
            </w:r>
          </w:p>
        </w:tc>
      </w:tr>
    </w:tbl>
    <w:p w14:paraId="19410B3E" w14:textId="77777777" w:rsidR="008531AE" w:rsidRPr="00D27683" w:rsidRDefault="008531AE" w:rsidP="003338A0">
      <w:pPr>
        <w:pStyle w:val="TableFigureFooter"/>
      </w:pPr>
      <w:r w:rsidRPr="00D27683">
        <w:t>Source: Table 71, p212 MATINEE CSR.</w:t>
      </w:r>
    </w:p>
    <w:p w14:paraId="492FD8E2" w14:textId="148DC47C" w:rsidR="00383E89" w:rsidRPr="00D27683" w:rsidRDefault="00383E89" w:rsidP="003338A0">
      <w:pPr>
        <w:pStyle w:val="TableFigureFooter"/>
      </w:pPr>
    </w:p>
    <w:p w14:paraId="42F1C60D" w14:textId="2626D8D0" w:rsidR="008531AE" w:rsidRPr="00D27683" w:rsidRDefault="008531AE" w:rsidP="00135EE0">
      <w:pPr>
        <w:pStyle w:val="3-BodyText"/>
        <w:numPr>
          <w:ilvl w:val="1"/>
          <w:numId w:val="1"/>
        </w:numPr>
      </w:pPr>
      <w:r w:rsidRPr="00D27683">
        <w:t xml:space="preserve">Although the overall incidence of adjudicated </w:t>
      </w:r>
      <w:r w:rsidR="008323DA" w:rsidRPr="00D27683">
        <w:t>major adverse cardiovascular events (</w:t>
      </w:r>
      <w:r w:rsidRPr="00D27683">
        <w:t>MACE</w:t>
      </w:r>
      <w:r w:rsidR="008323DA" w:rsidRPr="00D27683">
        <w:t>)</w:t>
      </w:r>
      <w:r w:rsidRPr="00D27683">
        <w:t xml:space="preserve"> was balanced between groups (11 events in each arm), there was a numeric imbalance</w:t>
      </w:r>
      <w:r w:rsidR="00076D78">
        <w:t xml:space="preserve"> </w:t>
      </w:r>
      <w:r w:rsidRPr="00D27683">
        <w:t>in deaths from a cardiovascular cause (6 (1.5%) in the mepolizumab group vs. 3 (0.7%) in the placebo group).</w:t>
      </w:r>
      <w:r w:rsidRPr="006D6FD8">
        <w:rPr>
          <w:iCs/>
        </w:rPr>
        <w:t xml:space="preserve"> </w:t>
      </w:r>
      <w:r w:rsidR="00294EC3" w:rsidRPr="006D6FD8">
        <w:rPr>
          <w:iCs/>
        </w:rPr>
        <w:t>The evaluation considered that g</w:t>
      </w:r>
      <w:r w:rsidRPr="006D6FD8">
        <w:rPr>
          <w:iCs/>
        </w:rPr>
        <w:t>iven</w:t>
      </w:r>
      <w:r w:rsidRPr="00D27683">
        <w:t xml:space="preserve"> the low total number of events and the lack of statistical power for rare safety endpoints, it is difficult to determine if this imbalance represents a genuine safety signal or random variation.</w:t>
      </w:r>
    </w:p>
    <w:p w14:paraId="5047CBA5" w14:textId="77777777" w:rsidR="008531AE" w:rsidRPr="00D27683" w:rsidRDefault="008531AE" w:rsidP="00135EE0">
      <w:pPr>
        <w:pStyle w:val="4-SubsectionHeading"/>
      </w:pPr>
      <w:bookmarkStart w:id="101" w:name="_Toc216697637"/>
      <w:bookmarkStart w:id="102" w:name="_Toc219030872"/>
      <w:bookmarkStart w:id="103" w:name="_Toc219064635"/>
      <w:bookmarkStart w:id="104" w:name="_Toc219884819"/>
      <w:bookmarkStart w:id="105" w:name="_Toc22897644"/>
      <w:bookmarkStart w:id="106" w:name="_Toc216174094"/>
      <w:bookmarkStart w:id="107" w:name="_Toc216697638"/>
      <w:bookmarkStart w:id="108" w:name="_Toc217392668"/>
      <w:r w:rsidRPr="00D27683">
        <w:lastRenderedPageBreak/>
        <w:t>Benefits/harms</w:t>
      </w:r>
      <w:bookmarkEnd w:id="101"/>
      <w:bookmarkEnd w:id="102"/>
      <w:bookmarkEnd w:id="103"/>
      <w:bookmarkEnd w:id="104"/>
    </w:p>
    <w:p w14:paraId="0B08A703" w14:textId="333EDD9F" w:rsidR="008531AE" w:rsidRPr="00D27683" w:rsidRDefault="008531AE" w:rsidP="00135EE0">
      <w:pPr>
        <w:pStyle w:val="3-BodyText"/>
        <w:numPr>
          <w:ilvl w:val="1"/>
          <w:numId w:val="1"/>
        </w:numPr>
        <w:rPr>
          <w:rStyle w:val="CommentReference"/>
          <w:rFonts w:asciiTheme="minorHAnsi" w:hAnsiTheme="minorHAnsi"/>
          <w:b w:val="0"/>
          <w:sz w:val="24"/>
          <w:szCs w:val="22"/>
        </w:rPr>
      </w:pPr>
      <w:bookmarkStart w:id="109" w:name="_Toc22897643"/>
      <w:r w:rsidRPr="00D27683">
        <w:t xml:space="preserve">A summary of the comparative benefits and harms for mepolizumab versus placebo is presented in </w:t>
      </w:r>
      <w:r w:rsidRPr="00D27683">
        <w:fldChar w:fldCharType="begin"/>
      </w:r>
      <w:r w:rsidRPr="00D27683">
        <w:instrText xml:space="preserve"> REF _Ref104805037 \h  \* MERGEFORMAT </w:instrText>
      </w:r>
      <w:r w:rsidRPr="00D27683">
        <w:fldChar w:fldCharType="separate"/>
      </w:r>
      <w:r w:rsidR="00733955" w:rsidRPr="00D27683" w:rsidDel="00774A72">
        <w:t xml:space="preserve">Table </w:t>
      </w:r>
      <w:r w:rsidR="00733955" w:rsidRPr="00D27683" w:rsidDel="00774A72">
        <w:rPr>
          <w:noProof/>
        </w:rPr>
        <w:t>10</w:t>
      </w:r>
      <w:r w:rsidRPr="00D27683">
        <w:fldChar w:fldCharType="end"/>
      </w:r>
      <w:bookmarkEnd w:id="109"/>
      <w:r w:rsidRPr="00D27683">
        <w:t>.</w:t>
      </w:r>
    </w:p>
    <w:p w14:paraId="65FBCEB7" w14:textId="6C34D654" w:rsidR="008531AE" w:rsidRPr="00D27683" w:rsidRDefault="008531AE" w:rsidP="00135EE0">
      <w:pPr>
        <w:pStyle w:val="TableFigureHeading"/>
      </w:pPr>
      <w:bookmarkStart w:id="110" w:name="_Ref104805037"/>
      <w:r w:rsidRPr="00D27683">
        <w:t xml:space="preserve">Table </w:t>
      </w:r>
      <w:fldSimple w:instr=" SEQ Table \* ARABIC ">
        <w:r w:rsidR="00FA28CE">
          <w:rPr>
            <w:noProof/>
          </w:rPr>
          <w:t>10</w:t>
        </w:r>
      </w:fldSimple>
      <w:bookmarkEnd w:id="110"/>
      <w:r w:rsidRPr="00D27683">
        <w:t xml:space="preserve">: </w:t>
      </w:r>
      <w:r w:rsidRPr="00D27683">
        <w:rPr>
          <w:rStyle w:val="CommentReference"/>
          <w:b/>
          <w:szCs w:val="24"/>
        </w:rPr>
        <w:t xml:space="preserve">Summary of comparative benefits and harms for mepolizumab versus placebo </w:t>
      </w:r>
    </w:p>
    <w:tbl>
      <w:tblPr>
        <w:tblW w:w="5000" w:type="pct"/>
        <w:tblLayout w:type="fixed"/>
        <w:tblCellMar>
          <w:left w:w="28" w:type="dxa"/>
          <w:right w:w="28" w:type="dxa"/>
        </w:tblCellMar>
        <w:tblLook w:val="04A0" w:firstRow="1" w:lastRow="0" w:firstColumn="1" w:lastColumn="0" w:noHBand="0" w:noVBand="1"/>
        <w:tblCaption w:val="Table 10: Summary of comparative benefits and harms for mepolizumab versus placebo "/>
      </w:tblPr>
      <w:tblGrid>
        <w:gridCol w:w="1125"/>
        <w:gridCol w:w="1425"/>
        <w:gridCol w:w="1416"/>
        <w:gridCol w:w="1273"/>
        <w:gridCol w:w="1214"/>
        <w:gridCol w:w="1064"/>
        <w:gridCol w:w="1500"/>
      </w:tblGrid>
      <w:tr w:rsidR="008531AE" w:rsidRPr="00D27683" w14:paraId="23FF6CE1" w14:textId="77777777">
        <w:trPr>
          <w:trHeight w:val="15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8363E44"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Benefits</w:t>
            </w:r>
          </w:p>
        </w:tc>
      </w:tr>
      <w:tr w:rsidR="008531AE" w:rsidRPr="00D27683" w14:paraId="02B80614" w14:textId="77777777" w:rsidTr="00B4024B">
        <w:trPr>
          <w:trHeight w:val="150"/>
        </w:trPr>
        <w:tc>
          <w:tcPr>
            <w:tcW w:w="624" w:type="pct"/>
            <w:vMerge w:val="restart"/>
            <w:tcBorders>
              <w:top w:val="single" w:sz="4" w:space="0" w:color="auto"/>
              <w:left w:val="single" w:sz="4" w:space="0" w:color="auto"/>
              <w:bottom w:val="single" w:sz="4" w:space="0" w:color="auto"/>
              <w:right w:val="single" w:sz="4" w:space="0" w:color="auto"/>
            </w:tcBorders>
            <w:vAlign w:val="center"/>
          </w:tcPr>
          <w:p w14:paraId="1900B3BB"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Outcome</w:t>
            </w:r>
          </w:p>
        </w:tc>
        <w:tc>
          <w:tcPr>
            <w:tcW w:w="790" w:type="pct"/>
            <w:vMerge w:val="restart"/>
            <w:tcBorders>
              <w:top w:val="single" w:sz="4" w:space="0" w:color="auto"/>
              <w:left w:val="single" w:sz="4" w:space="0" w:color="auto"/>
              <w:bottom w:val="single" w:sz="4" w:space="0" w:color="auto"/>
              <w:right w:val="single" w:sz="4" w:space="0" w:color="auto"/>
            </w:tcBorders>
            <w:vAlign w:val="center"/>
          </w:tcPr>
          <w:p w14:paraId="4AFBC50E" w14:textId="7928AEEF" w:rsidR="008531AE" w:rsidRPr="00D27683" w:rsidRDefault="00964889"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Mepolizumab</w:t>
            </w:r>
          </w:p>
          <w:p w14:paraId="37C385CD"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(95% CI)</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62F0C989" w14:textId="5C35CF6D" w:rsidR="008531AE" w:rsidRPr="00D27683" w:rsidRDefault="00964889"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Placebo</w:t>
            </w:r>
          </w:p>
          <w:p w14:paraId="4A707239"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(95% CI)</w:t>
            </w:r>
          </w:p>
        </w:tc>
        <w:tc>
          <w:tcPr>
            <w:tcW w:w="706" w:type="pct"/>
            <w:vMerge w:val="restart"/>
            <w:tcBorders>
              <w:top w:val="single" w:sz="4" w:space="0" w:color="auto"/>
              <w:left w:val="single" w:sz="4" w:space="0" w:color="auto"/>
              <w:bottom w:val="single" w:sz="4" w:space="0" w:color="auto"/>
              <w:right w:val="single" w:sz="4" w:space="0" w:color="auto"/>
            </w:tcBorders>
            <w:vAlign w:val="center"/>
          </w:tcPr>
          <w:p w14:paraId="56DACC4C"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Rate ratio</w:t>
            </w:r>
          </w:p>
          <w:p w14:paraId="22DC666A" w14:textId="77777777" w:rsidR="008531AE" w:rsidRPr="00D27683" w:rsidRDefault="008531AE" w:rsidP="00135EE0">
            <w:pPr>
              <w:keepNext/>
              <w:keepLines/>
              <w:jc w:val="center"/>
              <w:rPr>
                <w:rFonts w:ascii="Arial Narrow" w:hAnsi="Arial Narrow"/>
                <w:b/>
                <w:color w:val="000000"/>
                <w:sz w:val="20"/>
                <w:szCs w:val="18"/>
              </w:rPr>
            </w:pPr>
            <w:r w:rsidRPr="00D27683">
              <w:rPr>
                <w:rFonts w:ascii="Arial Narrow" w:hAnsi="Arial Narrow"/>
                <w:b/>
                <w:color w:val="000000"/>
                <w:sz w:val="20"/>
                <w:szCs w:val="18"/>
              </w:rPr>
              <w:t xml:space="preserve"> (95% CI)</w:t>
            </w:r>
          </w:p>
        </w:tc>
        <w:tc>
          <w:tcPr>
            <w:tcW w:w="1263" w:type="pct"/>
            <w:gridSpan w:val="2"/>
            <w:tcBorders>
              <w:top w:val="single" w:sz="4" w:space="0" w:color="auto"/>
              <w:left w:val="single" w:sz="4" w:space="0" w:color="auto"/>
              <w:bottom w:val="single" w:sz="4" w:space="0" w:color="auto"/>
              <w:right w:val="single" w:sz="4" w:space="0" w:color="auto"/>
            </w:tcBorders>
            <w:vAlign w:val="center"/>
          </w:tcPr>
          <w:p w14:paraId="7C51AC13" w14:textId="21FE5365" w:rsidR="008531AE" w:rsidRPr="00D27683" w:rsidRDefault="008531AE" w:rsidP="00135EE0">
            <w:pPr>
              <w:keepNext/>
              <w:keepLines/>
              <w:jc w:val="left"/>
              <w:rPr>
                <w:rFonts w:ascii="Arial Narrow" w:hAnsi="Arial Narrow"/>
                <w:b/>
                <w:color w:val="000000"/>
                <w:sz w:val="20"/>
                <w:szCs w:val="18"/>
                <w:vertAlign w:val="superscript"/>
              </w:rPr>
            </w:pPr>
            <w:r w:rsidRPr="00D27683">
              <w:rPr>
                <w:rFonts w:ascii="Arial Narrow" w:hAnsi="Arial Narrow"/>
                <w:b/>
                <w:color w:val="000000"/>
                <w:sz w:val="20"/>
                <w:szCs w:val="18"/>
              </w:rPr>
              <w:t>Event rate/100 patient-</w:t>
            </w:r>
            <w:proofErr w:type="spellStart"/>
            <w:r w:rsidRPr="00D27683">
              <w:rPr>
                <w:rFonts w:ascii="Arial Narrow" w:hAnsi="Arial Narrow"/>
                <w:b/>
                <w:color w:val="000000"/>
                <w:sz w:val="20"/>
                <w:szCs w:val="18"/>
              </w:rPr>
              <w:t>yrs</w:t>
            </w:r>
            <w:r w:rsidR="00DA3193" w:rsidRPr="00D27683">
              <w:rPr>
                <w:rFonts w:ascii="Arial Narrow" w:hAnsi="Arial Narrow"/>
                <w:b/>
                <w:color w:val="000000"/>
                <w:sz w:val="20"/>
                <w:szCs w:val="18"/>
                <w:vertAlign w:val="superscript"/>
              </w:rPr>
              <w:t>b</w:t>
            </w:r>
            <w:proofErr w:type="spellEnd"/>
          </w:p>
        </w:tc>
        <w:tc>
          <w:tcPr>
            <w:tcW w:w="831" w:type="pct"/>
            <w:vMerge w:val="restart"/>
            <w:tcBorders>
              <w:top w:val="single" w:sz="4" w:space="0" w:color="auto"/>
              <w:left w:val="single" w:sz="4" w:space="0" w:color="auto"/>
              <w:bottom w:val="single" w:sz="4" w:space="0" w:color="auto"/>
              <w:right w:val="single" w:sz="4" w:space="0" w:color="auto"/>
            </w:tcBorders>
            <w:vAlign w:val="center"/>
          </w:tcPr>
          <w:p w14:paraId="64433E40" w14:textId="4B938128" w:rsidR="008531AE" w:rsidRPr="00D27683" w:rsidRDefault="008531AE" w:rsidP="00135EE0">
            <w:pPr>
              <w:keepNext/>
              <w:keepLines/>
              <w:jc w:val="center"/>
              <w:rPr>
                <w:rFonts w:ascii="Arial Narrow" w:hAnsi="Arial Narrow"/>
                <w:b/>
                <w:color w:val="000000"/>
                <w:sz w:val="20"/>
                <w:szCs w:val="18"/>
                <w:vertAlign w:val="superscript"/>
              </w:rPr>
            </w:pPr>
            <w:r w:rsidRPr="00D27683">
              <w:rPr>
                <w:rFonts w:ascii="Arial Narrow" w:hAnsi="Arial Narrow"/>
                <w:b/>
                <w:color w:val="000000"/>
                <w:sz w:val="20"/>
                <w:szCs w:val="18"/>
              </w:rPr>
              <w:t xml:space="preserve">Rate </w:t>
            </w:r>
            <w:proofErr w:type="spellStart"/>
            <w:r w:rsidRPr="00D27683">
              <w:rPr>
                <w:rFonts w:ascii="Arial Narrow" w:hAnsi="Arial Narrow"/>
                <w:b/>
                <w:color w:val="000000"/>
                <w:sz w:val="20"/>
                <w:szCs w:val="18"/>
              </w:rPr>
              <w:t>difference</w:t>
            </w:r>
            <w:r w:rsidR="00DA3193" w:rsidRPr="00D27683">
              <w:rPr>
                <w:rFonts w:ascii="Arial Narrow" w:hAnsi="Arial Narrow"/>
                <w:b/>
                <w:color w:val="000000"/>
                <w:sz w:val="20"/>
                <w:szCs w:val="18"/>
                <w:vertAlign w:val="superscript"/>
              </w:rPr>
              <w:t>b</w:t>
            </w:r>
            <w:proofErr w:type="spellEnd"/>
          </w:p>
        </w:tc>
      </w:tr>
      <w:tr w:rsidR="008531AE" w:rsidRPr="00D27683" w14:paraId="6E05F623" w14:textId="77777777" w:rsidTr="00B4024B">
        <w:trPr>
          <w:trHeight w:val="315"/>
        </w:trPr>
        <w:tc>
          <w:tcPr>
            <w:tcW w:w="624" w:type="pct"/>
            <w:vMerge/>
            <w:tcBorders>
              <w:top w:val="single" w:sz="4" w:space="0" w:color="auto"/>
              <w:left w:val="single" w:sz="4" w:space="0" w:color="auto"/>
              <w:bottom w:val="single" w:sz="4" w:space="0" w:color="auto"/>
              <w:right w:val="single" w:sz="4" w:space="0" w:color="auto"/>
            </w:tcBorders>
            <w:vAlign w:val="center"/>
          </w:tcPr>
          <w:p w14:paraId="68CDE529" w14:textId="77777777" w:rsidR="008531AE" w:rsidRPr="00D27683" w:rsidRDefault="008531AE" w:rsidP="00135EE0">
            <w:pPr>
              <w:keepNext/>
              <w:rPr>
                <w:rFonts w:ascii="Arial Narrow" w:hAnsi="Arial Narrow"/>
                <w:b/>
                <w:color w:val="000000"/>
                <w:sz w:val="20"/>
                <w:szCs w:val="18"/>
              </w:rPr>
            </w:pPr>
          </w:p>
        </w:tc>
        <w:tc>
          <w:tcPr>
            <w:tcW w:w="790" w:type="pct"/>
            <w:vMerge/>
            <w:tcBorders>
              <w:top w:val="single" w:sz="4" w:space="0" w:color="auto"/>
              <w:left w:val="single" w:sz="4" w:space="0" w:color="auto"/>
              <w:bottom w:val="single" w:sz="4" w:space="0" w:color="auto"/>
              <w:right w:val="single" w:sz="4" w:space="0" w:color="auto"/>
            </w:tcBorders>
            <w:vAlign w:val="center"/>
          </w:tcPr>
          <w:p w14:paraId="3DDD4311" w14:textId="77777777" w:rsidR="008531AE" w:rsidRPr="00D27683" w:rsidRDefault="008531AE" w:rsidP="00135EE0">
            <w:pPr>
              <w:keepNext/>
              <w:jc w:val="center"/>
              <w:rPr>
                <w:rFonts w:ascii="Arial Narrow" w:hAnsi="Arial Narrow"/>
                <w:b/>
                <w:color w:val="000000"/>
                <w:sz w:val="20"/>
                <w:szCs w:val="18"/>
              </w:rPr>
            </w:pPr>
          </w:p>
        </w:tc>
        <w:tc>
          <w:tcPr>
            <w:tcW w:w="785" w:type="pct"/>
            <w:vMerge/>
            <w:tcBorders>
              <w:top w:val="single" w:sz="4" w:space="0" w:color="auto"/>
              <w:left w:val="single" w:sz="4" w:space="0" w:color="auto"/>
              <w:bottom w:val="single" w:sz="4" w:space="0" w:color="auto"/>
              <w:right w:val="single" w:sz="4" w:space="0" w:color="auto"/>
            </w:tcBorders>
            <w:vAlign w:val="center"/>
          </w:tcPr>
          <w:p w14:paraId="6C62C69A" w14:textId="77777777" w:rsidR="008531AE" w:rsidRPr="00D27683" w:rsidRDefault="008531AE" w:rsidP="00135EE0">
            <w:pPr>
              <w:keepNext/>
              <w:jc w:val="center"/>
              <w:rPr>
                <w:rFonts w:ascii="Arial Narrow" w:hAnsi="Arial Narrow"/>
                <w:b/>
                <w:color w:val="000000"/>
                <w:sz w:val="20"/>
                <w:szCs w:val="18"/>
              </w:rPr>
            </w:pPr>
          </w:p>
        </w:tc>
        <w:tc>
          <w:tcPr>
            <w:tcW w:w="706" w:type="pct"/>
            <w:vMerge/>
            <w:tcBorders>
              <w:top w:val="single" w:sz="4" w:space="0" w:color="auto"/>
              <w:left w:val="single" w:sz="4" w:space="0" w:color="auto"/>
              <w:bottom w:val="single" w:sz="4" w:space="0" w:color="auto"/>
              <w:right w:val="single" w:sz="4" w:space="0" w:color="auto"/>
            </w:tcBorders>
            <w:vAlign w:val="center"/>
          </w:tcPr>
          <w:p w14:paraId="246A0393" w14:textId="77777777" w:rsidR="008531AE" w:rsidRPr="00D27683" w:rsidRDefault="008531AE" w:rsidP="00135EE0">
            <w:pPr>
              <w:keepNext/>
              <w:jc w:val="center"/>
              <w:rPr>
                <w:rFonts w:ascii="Arial Narrow" w:hAnsi="Arial Narrow"/>
                <w:b/>
                <w:color w:val="000000"/>
                <w:sz w:val="20"/>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1217DB2C" w14:textId="6F9FBB40" w:rsidR="008531AE" w:rsidRPr="00D27683" w:rsidRDefault="00964889" w:rsidP="00135EE0">
            <w:pPr>
              <w:keepNext/>
              <w:jc w:val="center"/>
              <w:rPr>
                <w:rFonts w:ascii="Arial Narrow" w:hAnsi="Arial Narrow"/>
                <w:b/>
                <w:color w:val="000000"/>
                <w:sz w:val="20"/>
                <w:szCs w:val="18"/>
              </w:rPr>
            </w:pPr>
            <w:r w:rsidRPr="00D27683">
              <w:rPr>
                <w:rFonts w:ascii="Arial Narrow" w:hAnsi="Arial Narrow"/>
                <w:b/>
                <w:color w:val="000000"/>
                <w:sz w:val="20"/>
                <w:szCs w:val="18"/>
              </w:rPr>
              <w:t>Mepolizumab</w:t>
            </w:r>
          </w:p>
        </w:tc>
        <w:tc>
          <w:tcPr>
            <w:tcW w:w="590" w:type="pct"/>
            <w:tcBorders>
              <w:top w:val="single" w:sz="4" w:space="0" w:color="auto"/>
              <w:left w:val="single" w:sz="4" w:space="0" w:color="auto"/>
              <w:bottom w:val="single" w:sz="4" w:space="0" w:color="auto"/>
              <w:right w:val="single" w:sz="4" w:space="0" w:color="auto"/>
            </w:tcBorders>
            <w:vAlign w:val="center"/>
          </w:tcPr>
          <w:p w14:paraId="383FE660" w14:textId="01EAB85E" w:rsidR="008531AE" w:rsidRPr="00D27683" w:rsidRDefault="00964889" w:rsidP="00135EE0">
            <w:pPr>
              <w:keepNext/>
              <w:jc w:val="center"/>
              <w:rPr>
                <w:rFonts w:ascii="Arial Narrow" w:hAnsi="Arial Narrow"/>
                <w:b/>
                <w:color w:val="000000"/>
                <w:sz w:val="20"/>
                <w:szCs w:val="18"/>
              </w:rPr>
            </w:pPr>
            <w:r w:rsidRPr="00D27683">
              <w:rPr>
                <w:rFonts w:ascii="Arial Narrow" w:hAnsi="Arial Narrow"/>
                <w:b/>
                <w:color w:val="000000"/>
                <w:sz w:val="20"/>
                <w:szCs w:val="18"/>
              </w:rPr>
              <w:t>Placebo</w:t>
            </w:r>
          </w:p>
        </w:tc>
        <w:tc>
          <w:tcPr>
            <w:tcW w:w="831" w:type="pct"/>
            <w:vMerge/>
            <w:tcBorders>
              <w:top w:val="single" w:sz="4" w:space="0" w:color="auto"/>
              <w:left w:val="single" w:sz="4" w:space="0" w:color="auto"/>
              <w:bottom w:val="single" w:sz="4" w:space="0" w:color="auto"/>
              <w:right w:val="single" w:sz="4" w:space="0" w:color="auto"/>
            </w:tcBorders>
            <w:vAlign w:val="center"/>
          </w:tcPr>
          <w:p w14:paraId="0675BDFB" w14:textId="77777777" w:rsidR="008531AE" w:rsidRPr="00D27683" w:rsidRDefault="008531AE" w:rsidP="00135EE0">
            <w:pPr>
              <w:keepNext/>
              <w:jc w:val="center"/>
              <w:rPr>
                <w:rFonts w:ascii="Arial Narrow" w:hAnsi="Arial Narrow"/>
                <w:b/>
                <w:color w:val="000000"/>
                <w:sz w:val="20"/>
                <w:szCs w:val="18"/>
              </w:rPr>
            </w:pPr>
          </w:p>
        </w:tc>
      </w:tr>
      <w:tr w:rsidR="008531AE" w:rsidRPr="00D27683" w14:paraId="7500E6C7"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75C08024" w14:textId="77777777" w:rsidR="008531AE" w:rsidRPr="00D27683" w:rsidRDefault="008531AE" w:rsidP="00135EE0">
            <w:pPr>
              <w:keepNext/>
              <w:jc w:val="left"/>
              <w:rPr>
                <w:rFonts w:ascii="Arial Narrow" w:hAnsi="Arial Narrow"/>
                <w:b/>
                <w:bCs/>
                <w:color w:val="000000"/>
                <w:sz w:val="20"/>
                <w:szCs w:val="18"/>
              </w:rPr>
            </w:pPr>
            <w:proofErr w:type="spellStart"/>
            <w:r w:rsidRPr="00D27683">
              <w:rPr>
                <w:rFonts w:ascii="Arial Narrow" w:hAnsi="Arial Narrow"/>
                <w:b/>
                <w:bCs/>
                <w:sz w:val="20"/>
                <w:szCs w:val="20"/>
                <w:vertAlign w:val="superscript"/>
              </w:rPr>
              <w:t>a</w:t>
            </w:r>
            <w:r w:rsidRPr="00D27683">
              <w:rPr>
                <w:rFonts w:ascii="Arial Narrow" w:hAnsi="Arial Narrow"/>
                <w:b/>
                <w:bCs/>
                <w:color w:val="000000"/>
                <w:sz w:val="20"/>
                <w:szCs w:val="18"/>
              </w:rPr>
              <w:t>Annualized</w:t>
            </w:r>
            <w:proofErr w:type="spellEnd"/>
            <w:r w:rsidRPr="00D27683">
              <w:rPr>
                <w:rFonts w:ascii="Arial Narrow" w:hAnsi="Arial Narrow"/>
                <w:b/>
                <w:bCs/>
                <w:color w:val="000000"/>
                <w:sz w:val="20"/>
                <w:szCs w:val="18"/>
              </w:rPr>
              <w:t xml:space="preserve"> rate of moderate/severe exacerbation (on &amp; off treatment)</w:t>
            </w:r>
          </w:p>
        </w:tc>
      </w:tr>
      <w:tr w:rsidR="008531AE" w:rsidRPr="00D27683" w14:paraId="29DF683F" w14:textId="77777777" w:rsidTr="00B4024B">
        <w:tc>
          <w:tcPr>
            <w:tcW w:w="624" w:type="pct"/>
            <w:tcBorders>
              <w:top w:val="single" w:sz="4" w:space="0" w:color="auto"/>
              <w:left w:val="single" w:sz="4" w:space="0" w:color="auto"/>
              <w:bottom w:val="single" w:sz="4" w:space="0" w:color="auto"/>
              <w:right w:val="single" w:sz="4" w:space="0" w:color="auto"/>
            </w:tcBorders>
            <w:vAlign w:val="center"/>
          </w:tcPr>
          <w:p w14:paraId="3EA24A51" w14:textId="77777777" w:rsidR="008531AE" w:rsidRPr="00D27683" w:rsidRDefault="008531AE" w:rsidP="00135EE0">
            <w:pPr>
              <w:keepNext/>
              <w:jc w:val="left"/>
              <w:rPr>
                <w:rFonts w:ascii="Arial Narrow" w:hAnsi="Arial Narrow"/>
                <w:color w:val="000000"/>
                <w:sz w:val="20"/>
                <w:szCs w:val="18"/>
              </w:rPr>
            </w:pPr>
            <w:r w:rsidRPr="00D27683">
              <w:rPr>
                <w:rFonts w:ascii="Arial Narrow" w:hAnsi="Arial Narrow"/>
                <w:color w:val="000000"/>
                <w:sz w:val="20"/>
                <w:szCs w:val="18"/>
              </w:rPr>
              <w:t>Moderate/ severe</w:t>
            </w:r>
          </w:p>
        </w:tc>
        <w:tc>
          <w:tcPr>
            <w:tcW w:w="790" w:type="pct"/>
            <w:tcBorders>
              <w:top w:val="single" w:sz="4" w:space="0" w:color="auto"/>
              <w:left w:val="single" w:sz="4" w:space="0" w:color="auto"/>
              <w:bottom w:val="single" w:sz="4" w:space="0" w:color="auto"/>
              <w:right w:val="single" w:sz="4" w:space="0" w:color="auto"/>
            </w:tcBorders>
            <w:vAlign w:val="center"/>
          </w:tcPr>
          <w:p w14:paraId="7309E029"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 xml:space="preserve">0.80 </w:t>
            </w:r>
          </w:p>
          <w:p w14:paraId="5CE983D2"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(0.70, 0.91)</w:t>
            </w:r>
          </w:p>
        </w:tc>
        <w:tc>
          <w:tcPr>
            <w:tcW w:w="785" w:type="pct"/>
            <w:tcBorders>
              <w:top w:val="single" w:sz="4" w:space="0" w:color="auto"/>
              <w:left w:val="single" w:sz="4" w:space="0" w:color="auto"/>
              <w:bottom w:val="single" w:sz="4" w:space="0" w:color="auto"/>
              <w:right w:val="single" w:sz="4" w:space="0" w:color="auto"/>
            </w:tcBorders>
            <w:vAlign w:val="center"/>
          </w:tcPr>
          <w:p w14:paraId="0573041B"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 xml:space="preserve">1.01 </w:t>
            </w:r>
          </w:p>
          <w:p w14:paraId="28713A1B"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(0.89, 1.15)</w:t>
            </w:r>
          </w:p>
        </w:tc>
        <w:tc>
          <w:tcPr>
            <w:tcW w:w="706" w:type="pct"/>
            <w:tcBorders>
              <w:top w:val="single" w:sz="4" w:space="0" w:color="auto"/>
              <w:left w:val="single" w:sz="4" w:space="0" w:color="auto"/>
              <w:bottom w:val="single" w:sz="4" w:space="0" w:color="auto"/>
              <w:right w:val="single" w:sz="4" w:space="0" w:color="auto"/>
            </w:tcBorders>
            <w:vAlign w:val="center"/>
          </w:tcPr>
          <w:p w14:paraId="1ACEDD6D" w14:textId="77777777" w:rsidR="008531AE" w:rsidRPr="00D27683" w:rsidRDefault="008531AE" w:rsidP="00135EE0">
            <w:pPr>
              <w:keepNext/>
              <w:jc w:val="center"/>
              <w:rPr>
                <w:rFonts w:ascii="Arial Narrow" w:hAnsi="Arial Narrow"/>
                <w:b/>
                <w:bCs/>
                <w:color w:val="000000"/>
                <w:sz w:val="20"/>
                <w:szCs w:val="18"/>
              </w:rPr>
            </w:pPr>
            <w:r w:rsidRPr="00D27683">
              <w:rPr>
                <w:rFonts w:ascii="Arial Narrow" w:hAnsi="Arial Narrow"/>
                <w:b/>
                <w:bCs/>
                <w:color w:val="000000"/>
                <w:sz w:val="20"/>
                <w:szCs w:val="18"/>
              </w:rPr>
              <w:t>0.79</w:t>
            </w:r>
          </w:p>
          <w:p w14:paraId="0D115A3E" w14:textId="77777777" w:rsidR="008531AE" w:rsidRPr="00D27683" w:rsidRDefault="008531AE" w:rsidP="00135EE0">
            <w:pPr>
              <w:keepNext/>
              <w:jc w:val="center"/>
              <w:rPr>
                <w:rFonts w:ascii="Arial Narrow" w:hAnsi="Arial Narrow"/>
                <w:b/>
                <w:bCs/>
                <w:color w:val="000000"/>
                <w:sz w:val="20"/>
                <w:szCs w:val="18"/>
              </w:rPr>
            </w:pPr>
            <w:r w:rsidRPr="00D27683">
              <w:rPr>
                <w:rFonts w:ascii="Arial Narrow" w:hAnsi="Arial Narrow"/>
                <w:b/>
                <w:bCs/>
                <w:color w:val="000000"/>
                <w:sz w:val="20"/>
                <w:szCs w:val="18"/>
              </w:rPr>
              <w:t>(0.66, 0.94)</w:t>
            </w:r>
          </w:p>
        </w:tc>
        <w:tc>
          <w:tcPr>
            <w:tcW w:w="673" w:type="pct"/>
            <w:tcBorders>
              <w:top w:val="single" w:sz="4" w:space="0" w:color="auto"/>
              <w:left w:val="single" w:sz="4" w:space="0" w:color="auto"/>
              <w:bottom w:val="single" w:sz="4" w:space="0" w:color="auto"/>
              <w:right w:val="single" w:sz="4" w:space="0" w:color="auto"/>
            </w:tcBorders>
            <w:vAlign w:val="center"/>
          </w:tcPr>
          <w:p w14:paraId="6DBFC67A"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80</w:t>
            </w:r>
          </w:p>
        </w:tc>
        <w:tc>
          <w:tcPr>
            <w:tcW w:w="590" w:type="pct"/>
            <w:tcBorders>
              <w:top w:val="single" w:sz="4" w:space="0" w:color="auto"/>
              <w:left w:val="single" w:sz="4" w:space="0" w:color="auto"/>
              <w:bottom w:val="single" w:sz="4" w:space="0" w:color="auto"/>
              <w:right w:val="single" w:sz="4" w:space="0" w:color="auto"/>
            </w:tcBorders>
            <w:vAlign w:val="center"/>
          </w:tcPr>
          <w:p w14:paraId="712E1ADF"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101</w:t>
            </w:r>
          </w:p>
        </w:tc>
        <w:tc>
          <w:tcPr>
            <w:tcW w:w="831" w:type="pct"/>
            <w:tcBorders>
              <w:top w:val="single" w:sz="4" w:space="0" w:color="auto"/>
              <w:left w:val="single" w:sz="4" w:space="0" w:color="auto"/>
              <w:bottom w:val="single" w:sz="4" w:space="0" w:color="auto"/>
              <w:right w:val="single" w:sz="4" w:space="0" w:color="auto"/>
            </w:tcBorders>
            <w:vAlign w:val="center"/>
          </w:tcPr>
          <w:p w14:paraId="10C9D43A"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-0.21</w:t>
            </w:r>
          </w:p>
        </w:tc>
      </w:tr>
      <w:tr w:rsidR="008531AE" w:rsidRPr="00D27683" w14:paraId="494013FC" w14:textId="77777777" w:rsidTr="00B4024B">
        <w:trPr>
          <w:trHeight w:val="78"/>
        </w:trPr>
        <w:tc>
          <w:tcPr>
            <w:tcW w:w="624" w:type="pct"/>
            <w:vMerge w:val="restart"/>
            <w:tcBorders>
              <w:top w:val="single" w:sz="4" w:space="0" w:color="auto"/>
              <w:left w:val="single" w:sz="4" w:space="0" w:color="auto"/>
              <w:right w:val="single" w:sz="4" w:space="0" w:color="auto"/>
            </w:tcBorders>
            <w:vAlign w:val="center"/>
          </w:tcPr>
          <w:p w14:paraId="7AAF150C" w14:textId="77777777" w:rsidR="008531AE" w:rsidRPr="00D27683" w:rsidRDefault="008531AE" w:rsidP="00135EE0">
            <w:pPr>
              <w:keepNext/>
              <w:jc w:val="center"/>
              <w:rPr>
                <w:rFonts w:ascii="Arial Narrow" w:hAnsi="Arial Narrow"/>
                <w:bCs/>
                <w:color w:val="000000"/>
                <w:sz w:val="20"/>
                <w:szCs w:val="18"/>
              </w:rPr>
            </w:pPr>
            <w:r w:rsidRPr="00D27683">
              <w:rPr>
                <w:rFonts w:ascii="Arial Narrow" w:hAnsi="Arial Narrow"/>
                <w:b/>
                <w:color w:val="000000"/>
                <w:sz w:val="20"/>
                <w:szCs w:val="18"/>
              </w:rPr>
              <w:t>Outcome</w:t>
            </w:r>
          </w:p>
        </w:tc>
        <w:tc>
          <w:tcPr>
            <w:tcW w:w="790" w:type="pct"/>
            <w:vMerge w:val="restart"/>
            <w:tcBorders>
              <w:top w:val="single" w:sz="4" w:space="0" w:color="auto"/>
              <w:left w:val="single" w:sz="4" w:space="0" w:color="auto"/>
              <w:right w:val="single" w:sz="4" w:space="0" w:color="auto"/>
            </w:tcBorders>
            <w:vAlign w:val="center"/>
          </w:tcPr>
          <w:p w14:paraId="5F6A6599" w14:textId="61DFFB90" w:rsidR="008531AE" w:rsidRPr="00D27683" w:rsidRDefault="00964889" w:rsidP="00135EE0">
            <w:pPr>
              <w:keepNext/>
              <w:jc w:val="center"/>
              <w:rPr>
                <w:rFonts w:ascii="Arial Narrow" w:hAnsi="Arial Narrow"/>
                <w:bCs/>
                <w:color w:val="000000"/>
                <w:sz w:val="20"/>
                <w:szCs w:val="18"/>
              </w:rPr>
            </w:pPr>
            <w:r w:rsidRPr="00D27683">
              <w:rPr>
                <w:rFonts w:ascii="Arial Narrow" w:hAnsi="Arial Narrow"/>
                <w:b/>
                <w:color w:val="000000"/>
                <w:sz w:val="20"/>
                <w:szCs w:val="18"/>
              </w:rPr>
              <w:t>Mepolizumab</w:t>
            </w:r>
            <w:r w:rsidR="00B4024B" w:rsidRPr="00D27683">
              <w:rPr>
                <w:rFonts w:ascii="Arial Narrow" w:hAnsi="Arial Narrow"/>
                <w:b/>
                <w:color w:val="000000"/>
                <w:sz w:val="20"/>
                <w:szCs w:val="18"/>
              </w:rPr>
              <w:t xml:space="preserve"> </w:t>
            </w:r>
            <w:r w:rsidR="008531AE" w:rsidRPr="00D27683">
              <w:rPr>
                <w:rFonts w:ascii="Arial Narrow" w:hAnsi="Arial Narrow"/>
                <w:b/>
                <w:bCs/>
                <w:color w:val="000000"/>
                <w:sz w:val="20"/>
                <w:szCs w:val="18"/>
              </w:rPr>
              <w:t>n/N</w:t>
            </w:r>
          </w:p>
        </w:tc>
        <w:tc>
          <w:tcPr>
            <w:tcW w:w="785" w:type="pct"/>
            <w:vMerge w:val="restart"/>
            <w:tcBorders>
              <w:top w:val="single" w:sz="4" w:space="0" w:color="auto"/>
              <w:left w:val="single" w:sz="4" w:space="0" w:color="auto"/>
              <w:right w:val="single" w:sz="4" w:space="0" w:color="auto"/>
            </w:tcBorders>
            <w:vAlign w:val="center"/>
          </w:tcPr>
          <w:p w14:paraId="19CBECE2" w14:textId="68C2BE91" w:rsidR="008531AE" w:rsidRPr="00D27683" w:rsidRDefault="00964889" w:rsidP="00135EE0">
            <w:pPr>
              <w:keepNext/>
              <w:jc w:val="center"/>
              <w:rPr>
                <w:rFonts w:ascii="Arial Narrow" w:hAnsi="Arial Narrow"/>
                <w:bCs/>
                <w:color w:val="000000"/>
                <w:sz w:val="20"/>
                <w:szCs w:val="18"/>
              </w:rPr>
            </w:pPr>
            <w:r w:rsidRPr="00D27683">
              <w:rPr>
                <w:rFonts w:ascii="Arial Narrow" w:hAnsi="Arial Narrow"/>
                <w:b/>
                <w:color w:val="000000"/>
                <w:sz w:val="20"/>
                <w:szCs w:val="18"/>
              </w:rPr>
              <w:t>Placebo</w:t>
            </w:r>
            <w:r w:rsidR="00B4024B" w:rsidRPr="00D27683">
              <w:rPr>
                <w:rFonts w:ascii="Arial Narrow" w:hAnsi="Arial Narrow"/>
                <w:b/>
                <w:color w:val="000000"/>
                <w:sz w:val="20"/>
                <w:szCs w:val="18"/>
              </w:rPr>
              <w:t xml:space="preserve"> </w:t>
            </w:r>
            <w:r w:rsidR="008531AE" w:rsidRPr="00D27683">
              <w:rPr>
                <w:rFonts w:ascii="Arial Narrow" w:hAnsi="Arial Narrow"/>
                <w:b/>
                <w:bCs/>
                <w:color w:val="000000"/>
                <w:sz w:val="20"/>
                <w:szCs w:val="18"/>
              </w:rPr>
              <w:t>n/N</w:t>
            </w:r>
          </w:p>
        </w:tc>
        <w:tc>
          <w:tcPr>
            <w:tcW w:w="706" w:type="pct"/>
            <w:vMerge w:val="restart"/>
            <w:tcBorders>
              <w:top w:val="single" w:sz="4" w:space="0" w:color="auto"/>
              <w:left w:val="single" w:sz="4" w:space="0" w:color="auto"/>
              <w:right w:val="single" w:sz="4" w:space="0" w:color="auto"/>
            </w:tcBorders>
            <w:vAlign w:val="center"/>
          </w:tcPr>
          <w:p w14:paraId="3F4B4D81" w14:textId="0C0474B7" w:rsidR="008531AE" w:rsidRPr="00D27683" w:rsidRDefault="008531AE" w:rsidP="00135EE0">
            <w:pPr>
              <w:keepNext/>
              <w:jc w:val="center"/>
              <w:rPr>
                <w:rFonts w:ascii="Arial Narrow" w:hAnsi="Arial Narrow"/>
                <w:b/>
                <w:color w:val="000000"/>
                <w:sz w:val="20"/>
                <w:szCs w:val="18"/>
                <w:vertAlign w:val="superscript"/>
              </w:rPr>
            </w:pPr>
            <w:r w:rsidRPr="00D27683">
              <w:rPr>
                <w:rFonts w:ascii="Arial Narrow" w:hAnsi="Arial Narrow"/>
                <w:b/>
                <w:color w:val="000000"/>
                <w:sz w:val="20"/>
                <w:szCs w:val="18"/>
              </w:rPr>
              <w:t xml:space="preserve">Risk </w:t>
            </w:r>
            <w:proofErr w:type="spellStart"/>
            <w:r w:rsidRPr="00D27683">
              <w:rPr>
                <w:rFonts w:ascii="Arial Narrow" w:hAnsi="Arial Narrow"/>
                <w:b/>
                <w:color w:val="000000"/>
                <w:sz w:val="20"/>
                <w:szCs w:val="18"/>
              </w:rPr>
              <w:t>ratio</w:t>
            </w:r>
            <w:r w:rsidR="00DA3193" w:rsidRPr="00D27683">
              <w:rPr>
                <w:rFonts w:ascii="Arial Narrow" w:hAnsi="Arial Narrow"/>
                <w:b/>
                <w:color w:val="000000"/>
                <w:sz w:val="20"/>
                <w:szCs w:val="18"/>
                <w:vertAlign w:val="superscript"/>
              </w:rPr>
              <w:t>b</w:t>
            </w:r>
            <w:proofErr w:type="spellEnd"/>
          </w:p>
          <w:p w14:paraId="46E91891" w14:textId="77777777" w:rsidR="008531AE" w:rsidRPr="00D27683" w:rsidRDefault="008531AE" w:rsidP="00135EE0">
            <w:pPr>
              <w:keepNext/>
              <w:jc w:val="center"/>
              <w:rPr>
                <w:rFonts w:ascii="Arial Narrow" w:hAnsi="Arial Narrow"/>
                <w:bCs/>
                <w:color w:val="000000"/>
                <w:sz w:val="20"/>
                <w:szCs w:val="18"/>
              </w:rPr>
            </w:pPr>
            <w:r w:rsidRPr="00D27683">
              <w:rPr>
                <w:rFonts w:ascii="Arial Narrow" w:hAnsi="Arial Narrow"/>
                <w:b/>
                <w:color w:val="000000"/>
                <w:sz w:val="20"/>
                <w:szCs w:val="18"/>
              </w:rPr>
              <w:t xml:space="preserve"> (95% CI)</w:t>
            </w:r>
          </w:p>
        </w:tc>
        <w:tc>
          <w:tcPr>
            <w:tcW w:w="1263" w:type="pct"/>
            <w:gridSpan w:val="2"/>
            <w:tcBorders>
              <w:top w:val="single" w:sz="4" w:space="0" w:color="auto"/>
              <w:left w:val="single" w:sz="4" w:space="0" w:color="auto"/>
              <w:bottom w:val="single" w:sz="4" w:space="0" w:color="auto"/>
              <w:right w:val="single" w:sz="4" w:space="0" w:color="auto"/>
            </w:tcBorders>
            <w:vAlign w:val="center"/>
          </w:tcPr>
          <w:p w14:paraId="7760502F" w14:textId="77777777" w:rsidR="008531AE" w:rsidRPr="00D27683" w:rsidRDefault="008531AE" w:rsidP="00135EE0">
            <w:pPr>
              <w:keepNext/>
              <w:jc w:val="center"/>
              <w:rPr>
                <w:rFonts w:ascii="Arial Narrow" w:hAnsi="Arial Narrow"/>
                <w:bCs/>
                <w:color w:val="000000"/>
                <w:sz w:val="20"/>
                <w:szCs w:val="18"/>
              </w:rPr>
            </w:pPr>
            <w:r w:rsidRPr="00D27683">
              <w:rPr>
                <w:rFonts w:ascii="Arial Narrow" w:hAnsi="Arial Narrow"/>
                <w:b/>
                <w:color w:val="000000"/>
                <w:sz w:val="20"/>
                <w:szCs w:val="18"/>
              </w:rPr>
              <w:t>Event rate/100 patients</w:t>
            </w:r>
          </w:p>
        </w:tc>
        <w:tc>
          <w:tcPr>
            <w:tcW w:w="831" w:type="pct"/>
            <w:vMerge w:val="restart"/>
            <w:tcBorders>
              <w:top w:val="single" w:sz="4" w:space="0" w:color="auto"/>
              <w:left w:val="single" w:sz="4" w:space="0" w:color="auto"/>
              <w:right w:val="single" w:sz="4" w:space="0" w:color="auto"/>
            </w:tcBorders>
            <w:vAlign w:val="center"/>
          </w:tcPr>
          <w:p w14:paraId="44F10F4A" w14:textId="7817FEB6" w:rsidR="008531AE" w:rsidRPr="00D27683" w:rsidRDefault="008531AE" w:rsidP="00135EE0">
            <w:pPr>
              <w:keepNext/>
              <w:jc w:val="center"/>
              <w:rPr>
                <w:rFonts w:ascii="Arial Narrow" w:hAnsi="Arial Narrow"/>
                <w:b/>
                <w:color w:val="000000"/>
                <w:sz w:val="20"/>
                <w:szCs w:val="18"/>
                <w:vertAlign w:val="superscript"/>
              </w:rPr>
            </w:pPr>
            <w:r w:rsidRPr="00D27683">
              <w:rPr>
                <w:rFonts w:ascii="Arial Narrow" w:hAnsi="Arial Narrow"/>
                <w:b/>
                <w:color w:val="000000"/>
                <w:sz w:val="20"/>
                <w:szCs w:val="18"/>
              </w:rPr>
              <w:t xml:space="preserve">Risk </w:t>
            </w:r>
            <w:proofErr w:type="spellStart"/>
            <w:r w:rsidRPr="00D27683">
              <w:rPr>
                <w:rFonts w:ascii="Arial Narrow" w:hAnsi="Arial Narrow"/>
                <w:b/>
                <w:color w:val="000000"/>
                <w:sz w:val="20"/>
                <w:szCs w:val="18"/>
              </w:rPr>
              <w:t>difference</w:t>
            </w:r>
            <w:r w:rsidR="00DA3193" w:rsidRPr="00D27683">
              <w:rPr>
                <w:rFonts w:ascii="Arial Narrow" w:hAnsi="Arial Narrow"/>
                <w:b/>
                <w:color w:val="000000"/>
                <w:sz w:val="20"/>
                <w:szCs w:val="18"/>
                <w:vertAlign w:val="superscript"/>
              </w:rPr>
              <w:t>b</w:t>
            </w:r>
            <w:proofErr w:type="spellEnd"/>
          </w:p>
          <w:p w14:paraId="6EE4593B" w14:textId="77777777" w:rsidR="008531AE" w:rsidRPr="00D27683" w:rsidRDefault="008531AE" w:rsidP="00135EE0">
            <w:pPr>
              <w:keepNext/>
              <w:jc w:val="center"/>
              <w:rPr>
                <w:rFonts w:ascii="Arial Narrow" w:hAnsi="Arial Narrow"/>
                <w:b/>
                <w:color w:val="000000"/>
                <w:sz w:val="20"/>
                <w:szCs w:val="18"/>
              </w:rPr>
            </w:pPr>
            <w:r w:rsidRPr="00D27683">
              <w:rPr>
                <w:rFonts w:ascii="Arial Narrow" w:hAnsi="Arial Narrow"/>
                <w:b/>
                <w:color w:val="000000"/>
                <w:sz w:val="20"/>
                <w:szCs w:val="18"/>
              </w:rPr>
              <w:t>(95% CI)</w:t>
            </w:r>
          </w:p>
        </w:tc>
      </w:tr>
      <w:tr w:rsidR="008531AE" w:rsidRPr="00D27683" w14:paraId="25AAF6C3" w14:textId="77777777" w:rsidTr="00B4024B">
        <w:trPr>
          <w:trHeight w:val="77"/>
        </w:trPr>
        <w:tc>
          <w:tcPr>
            <w:tcW w:w="624" w:type="pct"/>
            <w:vMerge/>
            <w:tcBorders>
              <w:left w:val="single" w:sz="4" w:space="0" w:color="auto"/>
              <w:bottom w:val="single" w:sz="4" w:space="0" w:color="auto"/>
              <w:right w:val="single" w:sz="4" w:space="0" w:color="auto"/>
            </w:tcBorders>
            <w:vAlign w:val="center"/>
          </w:tcPr>
          <w:p w14:paraId="3A4B8596" w14:textId="77777777" w:rsidR="008531AE" w:rsidRPr="00D27683" w:rsidRDefault="008531AE" w:rsidP="00135EE0">
            <w:pPr>
              <w:keepNext/>
              <w:jc w:val="left"/>
              <w:rPr>
                <w:rFonts w:ascii="Arial Narrow" w:hAnsi="Arial Narrow"/>
                <w:b/>
                <w:color w:val="000000"/>
                <w:sz w:val="20"/>
                <w:szCs w:val="18"/>
              </w:rPr>
            </w:pPr>
          </w:p>
        </w:tc>
        <w:tc>
          <w:tcPr>
            <w:tcW w:w="790" w:type="pct"/>
            <w:vMerge/>
            <w:tcBorders>
              <w:left w:val="single" w:sz="4" w:space="0" w:color="auto"/>
              <w:bottom w:val="single" w:sz="4" w:space="0" w:color="auto"/>
              <w:right w:val="single" w:sz="4" w:space="0" w:color="auto"/>
            </w:tcBorders>
            <w:vAlign w:val="center"/>
          </w:tcPr>
          <w:p w14:paraId="7E509990" w14:textId="77777777" w:rsidR="008531AE" w:rsidRPr="00D27683" w:rsidRDefault="008531AE" w:rsidP="00135EE0">
            <w:pPr>
              <w:keepNext/>
              <w:jc w:val="left"/>
              <w:rPr>
                <w:rFonts w:ascii="Arial Narrow" w:hAnsi="Arial Narrow"/>
                <w:b/>
                <w:color w:val="000000"/>
                <w:sz w:val="20"/>
                <w:szCs w:val="18"/>
              </w:rPr>
            </w:pPr>
          </w:p>
        </w:tc>
        <w:tc>
          <w:tcPr>
            <w:tcW w:w="785" w:type="pct"/>
            <w:vMerge/>
            <w:tcBorders>
              <w:left w:val="single" w:sz="4" w:space="0" w:color="auto"/>
              <w:bottom w:val="single" w:sz="4" w:space="0" w:color="auto"/>
              <w:right w:val="single" w:sz="4" w:space="0" w:color="auto"/>
            </w:tcBorders>
            <w:vAlign w:val="center"/>
          </w:tcPr>
          <w:p w14:paraId="752033DA" w14:textId="77777777" w:rsidR="008531AE" w:rsidRPr="00D27683" w:rsidRDefault="008531AE" w:rsidP="00135EE0">
            <w:pPr>
              <w:keepNext/>
              <w:jc w:val="left"/>
              <w:rPr>
                <w:rFonts w:ascii="Arial Narrow" w:hAnsi="Arial Narrow"/>
                <w:b/>
                <w:color w:val="000000"/>
                <w:sz w:val="20"/>
                <w:szCs w:val="18"/>
              </w:rPr>
            </w:pPr>
          </w:p>
        </w:tc>
        <w:tc>
          <w:tcPr>
            <w:tcW w:w="706" w:type="pct"/>
            <w:vMerge/>
            <w:tcBorders>
              <w:left w:val="single" w:sz="4" w:space="0" w:color="auto"/>
              <w:bottom w:val="single" w:sz="4" w:space="0" w:color="auto"/>
              <w:right w:val="single" w:sz="4" w:space="0" w:color="auto"/>
            </w:tcBorders>
            <w:vAlign w:val="center"/>
          </w:tcPr>
          <w:p w14:paraId="6F722CDA" w14:textId="77777777" w:rsidR="008531AE" w:rsidRPr="00D27683" w:rsidRDefault="008531AE" w:rsidP="00135EE0">
            <w:pPr>
              <w:keepNext/>
              <w:jc w:val="left"/>
              <w:rPr>
                <w:rFonts w:ascii="Arial Narrow" w:hAnsi="Arial Narrow"/>
                <w:b/>
                <w:color w:val="000000"/>
                <w:sz w:val="20"/>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0A2F8E60" w14:textId="442B62A5" w:rsidR="008531AE" w:rsidRPr="00D27683" w:rsidRDefault="00964889" w:rsidP="00135EE0">
            <w:pPr>
              <w:keepNext/>
              <w:jc w:val="center"/>
              <w:rPr>
                <w:rFonts w:ascii="Arial Narrow" w:hAnsi="Arial Narrow"/>
                <w:bCs/>
                <w:color w:val="000000"/>
                <w:sz w:val="20"/>
                <w:szCs w:val="18"/>
              </w:rPr>
            </w:pPr>
            <w:r w:rsidRPr="00D27683">
              <w:rPr>
                <w:rFonts w:ascii="Arial Narrow" w:hAnsi="Arial Narrow"/>
                <w:b/>
                <w:color w:val="000000"/>
                <w:sz w:val="20"/>
                <w:szCs w:val="18"/>
              </w:rPr>
              <w:t>Mepolizumab</w:t>
            </w:r>
          </w:p>
        </w:tc>
        <w:tc>
          <w:tcPr>
            <w:tcW w:w="590" w:type="pct"/>
            <w:tcBorders>
              <w:top w:val="single" w:sz="4" w:space="0" w:color="auto"/>
              <w:left w:val="single" w:sz="4" w:space="0" w:color="auto"/>
              <w:bottom w:val="single" w:sz="4" w:space="0" w:color="auto"/>
              <w:right w:val="single" w:sz="4" w:space="0" w:color="auto"/>
            </w:tcBorders>
            <w:vAlign w:val="center"/>
          </w:tcPr>
          <w:p w14:paraId="5D75B0FF" w14:textId="359A4CAD" w:rsidR="008531AE" w:rsidRPr="00D27683" w:rsidRDefault="00964889" w:rsidP="00135EE0">
            <w:pPr>
              <w:keepNext/>
              <w:jc w:val="center"/>
              <w:rPr>
                <w:rFonts w:ascii="Arial Narrow" w:hAnsi="Arial Narrow"/>
                <w:bCs/>
                <w:color w:val="000000"/>
                <w:sz w:val="20"/>
                <w:szCs w:val="18"/>
              </w:rPr>
            </w:pPr>
            <w:r w:rsidRPr="00D27683">
              <w:rPr>
                <w:rFonts w:ascii="Arial Narrow" w:hAnsi="Arial Narrow"/>
                <w:b/>
                <w:color w:val="000000"/>
                <w:sz w:val="20"/>
                <w:szCs w:val="18"/>
              </w:rPr>
              <w:t>Placebo</w:t>
            </w:r>
          </w:p>
        </w:tc>
        <w:tc>
          <w:tcPr>
            <w:tcW w:w="831" w:type="pct"/>
            <w:vMerge/>
            <w:tcBorders>
              <w:left w:val="single" w:sz="4" w:space="0" w:color="auto"/>
              <w:bottom w:val="single" w:sz="4" w:space="0" w:color="auto"/>
              <w:right w:val="single" w:sz="4" w:space="0" w:color="auto"/>
            </w:tcBorders>
            <w:vAlign w:val="center"/>
          </w:tcPr>
          <w:p w14:paraId="0714025A" w14:textId="77777777" w:rsidR="008531AE" w:rsidRPr="00D27683" w:rsidRDefault="008531AE" w:rsidP="00135EE0">
            <w:pPr>
              <w:keepNext/>
              <w:jc w:val="left"/>
              <w:rPr>
                <w:rFonts w:ascii="Arial Narrow" w:hAnsi="Arial Narrow"/>
                <w:bCs/>
                <w:color w:val="000000"/>
                <w:sz w:val="20"/>
                <w:szCs w:val="18"/>
              </w:rPr>
            </w:pPr>
          </w:p>
        </w:tc>
      </w:tr>
      <w:tr w:rsidR="008531AE" w:rsidRPr="00D27683" w14:paraId="08F2630E"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2AC955EE" w14:textId="77777777" w:rsidR="008531AE" w:rsidRPr="00D27683" w:rsidRDefault="008531AE" w:rsidP="00135EE0">
            <w:pPr>
              <w:keepNext/>
              <w:jc w:val="left"/>
              <w:rPr>
                <w:rFonts w:ascii="Arial Narrow" w:hAnsi="Arial Narrow"/>
                <w:b/>
                <w:color w:val="000000"/>
                <w:sz w:val="20"/>
                <w:szCs w:val="18"/>
              </w:rPr>
            </w:pPr>
            <w:r w:rsidRPr="00D27683">
              <w:rPr>
                <w:rFonts w:ascii="Arial Narrow" w:hAnsi="Arial Narrow"/>
                <w:b/>
                <w:color w:val="000000"/>
                <w:sz w:val="20"/>
                <w:szCs w:val="18"/>
              </w:rPr>
              <w:t>Patients with exacerbations (on &amp; off treatment)</w:t>
            </w:r>
          </w:p>
        </w:tc>
      </w:tr>
      <w:tr w:rsidR="008531AE" w:rsidRPr="00D27683" w14:paraId="2D14008B" w14:textId="77777777" w:rsidTr="00B4024B">
        <w:tc>
          <w:tcPr>
            <w:tcW w:w="624" w:type="pct"/>
            <w:tcBorders>
              <w:top w:val="single" w:sz="4" w:space="0" w:color="auto"/>
              <w:left w:val="single" w:sz="4" w:space="0" w:color="auto"/>
              <w:bottom w:val="single" w:sz="4" w:space="0" w:color="auto"/>
              <w:right w:val="single" w:sz="4" w:space="0" w:color="auto"/>
            </w:tcBorders>
            <w:vAlign w:val="center"/>
          </w:tcPr>
          <w:p w14:paraId="55CED086" w14:textId="77777777" w:rsidR="008531AE" w:rsidRPr="00D27683" w:rsidRDefault="008531AE" w:rsidP="00135EE0">
            <w:pPr>
              <w:keepNext/>
              <w:rPr>
                <w:rFonts w:ascii="Arial Narrow" w:hAnsi="Arial Narrow"/>
                <w:color w:val="000000"/>
                <w:sz w:val="20"/>
                <w:szCs w:val="18"/>
              </w:rPr>
            </w:pPr>
            <w:r w:rsidRPr="00D27683">
              <w:rPr>
                <w:rFonts w:ascii="Arial Narrow" w:hAnsi="Arial Narrow"/>
                <w:color w:val="000000"/>
                <w:sz w:val="20"/>
                <w:szCs w:val="18"/>
              </w:rPr>
              <w:t>Moderate/ severe</w:t>
            </w:r>
          </w:p>
        </w:tc>
        <w:tc>
          <w:tcPr>
            <w:tcW w:w="790" w:type="pct"/>
            <w:tcBorders>
              <w:top w:val="single" w:sz="4" w:space="0" w:color="auto"/>
              <w:left w:val="single" w:sz="4" w:space="0" w:color="auto"/>
              <w:bottom w:val="single" w:sz="4" w:space="0" w:color="auto"/>
              <w:right w:val="single" w:sz="4" w:space="0" w:color="auto"/>
            </w:tcBorders>
            <w:vAlign w:val="center"/>
          </w:tcPr>
          <w:p w14:paraId="7A22869C"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202/403</w:t>
            </w:r>
          </w:p>
        </w:tc>
        <w:tc>
          <w:tcPr>
            <w:tcW w:w="785" w:type="pct"/>
            <w:tcBorders>
              <w:top w:val="single" w:sz="4" w:space="0" w:color="auto"/>
              <w:left w:val="single" w:sz="4" w:space="0" w:color="auto"/>
              <w:bottom w:val="single" w:sz="4" w:space="0" w:color="auto"/>
              <w:right w:val="single" w:sz="4" w:space="0" w:color="auto"/>
            </w:tcBorders>
            <w:vAlign w:val="center"/>
          </w:tcPr>
          <w:p w14:paraId="1992F806"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226/401</w:t>
            </w:r>
          </w:p>
        </w:tc>
        <w:tc>
          <w:tcPr>
            <w:tcW w:w="706" w:type="pct"/>
            <w:tcBorders>
              <w:top w:val="single" w:sz="4" w:space="0" w:color="auto"/>
              <w:left w:val="single" w:sz="4" w:space="0" w:color="auto"/>
              <w:bottom w:val="single" w:sz="4" w:space="0" w:color="auto"/>
              <w:right w:val="single" w:sz="4" w:space="0" w:color="auto"/>
            </w:tcBorders>
            <w:vAlign w:val="center"/>
          </w:tcPr>
          <w:p w14:paraId="3641C0A4"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 xml:space="preserve">0.89 </w:t>
            </w:r>
          </w:p>
          <w:p w14:paraId="138831D7" w14:textId="77777777" w:rsidR="008531AE" w:rsidRPr="00D27683" w:rsidRDefault="008531AE" w:rsidP="00135EE0">
            <w:pPr>
              <w:keepNext/>
              <w:jc w:val="center"/>
              <w:rPr>
                <w:rFonts w:ascii="Arial Narrow" w:hAnsi="Arial Narrow"/>
                <w:b/>
                <w:bCs/>
                <w:color w:val="000000"/>
                <w:sz w:val="20"/>
                <w:szCs w:val="18"/>
              </w:rPr>
            </w:pPr>
            <w:r w:rsidRPr="00D27683">
              <w:rPr>
                <w:rFonts w:ascii="Arial Narrow" w:hAnsi="Arial Narrow"/>
                <w:color w:val="000000"/>
                <w:sz w:val="20"/>
                <w:szCs w:val="18"/>
              </w:rPr>
              <w:t>(0.78, 1.01)</w:t>
            </w:r>
          </w:p>
        </w:tc>
        <w:tc>
          <w:tcPr>
            <w:tcW w:w="673" w:type="pct"/>
            <w:tcBorders>
              <w:top w:val="single" w:sz="4" w:space="0" w:color="auto"/>
              <w:left w:val="single" w:sz="4" w:space="0" w:color="auto"/>
              <w:bottom w:val="single" w:sz="4" w:space="0" w:color="auto"/>
              <w:right w:val="single" w:sz="4" w:space="0" w:color="auto"/>
            </w:tcBorders>
            <w:vAlign w:val="center"/>
          </w:tcPr>
          <w:p w14:paraId="6AECCBE9"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50</w:t>
            </w:r>
          </w:p>
        </w:tc>
        <w:tc>
          <w:tcPr>
            <w:tcW w:w="590" w:type="pct"/>
            <w:tcBorders>
              <w:top w:val="single" w:sz="4" w:space="0" w:color="auto"/>
              <w:left w:val="single" w:sz="4" w:space="0" w:color="auto"/>
              <w:bottom w:val="single" w:sz="4" w:space="0" w:color="auto"/>
              <w:right w:val="single" w:sz="4" w:space="0" w:color="auto"/>
            </w:tcBorders>
            <w:vAlign w:val="center"/>
          </w:tcPr>
          <w:p w14:paraId="19579C70"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56</w:t>
            </w:r>
          </w:p>
        </w:tc>
        <w:tc>
          <w:tcPr>
            <w:tcW w:w="831" w:type="pct"/>
            <w:tcBorders>
              <w:top w:val="single" w:sz="4" w:space="0" w:color="auto"/>
              <w:left w:val="single" w:sz="4" w:space="0" w:color="auto"/>
              <w:bottom w:val="single" w:sz="4" w:space="0" w:color="auto"/>
              <w:right w:val="single" w:sz="4" w:space="0" w:color="auto"/>
            </w:tcBorders>
            <w:vAlign w:val="center"/>
          </w:tcPr>
          <w:p w14:paraId="511932A7"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-0.06</w:t>
            </w:r>
          </w:p>
          <w:p w14:paraId="4EB912D3" w14:textId="77777777" w:rsidR="008531AE" w:rsidRPr="00D27683" w:rsidRDefault="008531AE" w:rsidP="00135EE0">
            <w:pPr>
              <w:keepNext/>
              <w:jc w:val="center"/>
              <w:rPr>
                <w:rFonts w:ascii="Arial Narrow" w:hAnsi="Arial Narrow"/>
                <w:b/>
                <w:bCs/>
                <w:color w:val="000000"/>
                <w:sz w:val="20"/>
                <w:szCs w:val="18"/>
              </w:rPr>
            </w:pPr>
            <w:r w:rsidRPr="00D27683">
              <w:rPr>
                <w:rFonts w:ascii="Arial Narrow" w:hAnsi="Arial Narrow"/>
                <w:color w:val="000000"/>
                <w:sz w:val="20"/>
                <w:szCs w:val="18"/>
              </w:rPr>
              <w:t>(-0.13, 0.01)</w:t>
            </w:r>
          </w:p>
        </w:tc>
      </w:tr>
      <w:tr w:rsidR="008531AE" w:rsidRPr="00D27683" w14:paraId="1F3CC6A6" w14:textId="77777777">
        <w:tc>
          <w:tcPr>
            <w:tcW w:w="5000" w:type="pct"/>
            <w:gridSpan w:val="7"/>
            <w:tcBorders>
              <w:top w:val="double" w:sz="4" w:space="0" w:color="auto"/>
              <w:left w:val="single" w:sz="4" w:space="0" w:color="auto"/>
              <w:bottom w:val="single" w:sz="4" w:space="0" w:color="auto"/>
              <w:right w:val="single" w:sz="4" w:space="0" w:color="auto"/>
            </w:tcBorders>
            <w:vAlign w:val="center"/>
          </w:tcPr>
          <w:p w14:paraId="7365B0CE" w14:textId="77777777" w:rsidR="008531AE" w:rsidRPr="00D27683" w:rsidRDefault="008531AE" w:rsidP="00135EE0">
            <w:pPr>
              <w:keepNext/>
              <w:jc w:val="left"/>
              <w:rPr>
                <w:rFonts w:ascii="Arial Narrow" w:hAnsi="Arial Narrow"/>
                <w:b/>
                <w:color w:val="000000"/>
                <w:sz w:val="20"/>
                <w:szCs w:val="18"/>
              </w:rPr>
            </w:pPr>
            <w:r w:rsidRPr="00D27683">
              <w:rPr>
                <w:rFonts w:ascii="Arial Narrow" w:hAnsi="Arial Narrow"/>
                <w:b/>
                <w:color w:val="000000"/>
                <w:sz w:val="20"/>
                <w:szCs w:val="18"/>
              </w:rPr>
              <w:t>Harms</w:t>
            </w:r>
          </w:p>
        </w:tc>
      </w:tr>
      <w:tr w:rsidR="008531AE" w:rsidRPr="00D27683" w14:paraId="45AB1318" w14:textId="77777777" w:rsidTr="00B4024B">
        <w:tc>
          <w:tcPr>
            <w:tcW w:w="624" w:type="pct"/>
            <w:tcBorders>
              <w:top w:val="single" w:sz="4" w:space="0" w:color="auto"/>
              <w:left w:val="single" w:sz="4" w:space="0" w:color="auto"/>
              <w:bottom w:val="single" w:sz="4" w:space="0" w:color="auto"/>
              <w:right w:val="single" w:sz="4" w:space="0" w:color="auto"/>
            </w:tcBorders>
            <w:vAlign w:val="center"/>
          </w:tcPr>
          <w:p w14:paraId="799D92DC" w14:textId="77777777" w:rsidR="008531AE" w:rsidRPr="00D27683" w:rsidRDefault="008531AE" w:rsidP="00135EE0">
            <w:pPr>
              <w:keepNext/>
              <w:rPr>
                <w:rFonts w:ascii="Arial Narrow" w:hAnsi="Arial Narrow"/>
                <w:color w:val="000000"/>
                <w:sz w:val="20"/>
                <w:szCs w:val="18"/>
              </w:rPr>
            </w:pPr>
            <w:r w:rsidRPr="00D27683">
              <w:rPr>
                <w:rFonts w:ascii="Arial Narrow" w:hAnsi="Arial Narrow"/>
                <w:color w:val="000000"/>
                <w:sz w:val="20"/>
                <w:szCs w:val="18"/>
              </w:rPr>
              <w:t>Any AEs</w:t>
            </w:r>
          </w:p>
        </w:tc>
        <w:tc>
          <w:tcPr>
            <w:tcW w:w="790" w:type="pct"/>
            <w:tcBorders>
              <w:top w:val="single" w:sz="4" w:space="0" w:color="auto"/>
              <w:left w:val="single" w:sz="4" w:space="0" w:color="auto"/>
              <w:bottom w:val="single" w:sz="4" w:space="0" w:color="auto"/>
              <w:right w:val="single" w:sz="4" w:space="0" w:color="auto"/>
            </w:tcBorders>
            <w:vAlign w:val="center"/>
          </w:tcPr>
          <w:p w14:paraId="2D1809D8"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301/403</w:t>
            </w:r>
          </w:p>
        </w:tc>
        <w:tc>
          <w:tcPr>
            <w:tcW w:w="785" w:type="pct"/>
            <w:tcBorders>
              <w:top w:val="single" w:sz="4" w:space="0" w:color="auto"/>
              <w:left w:val="single" w:sz="4" w:space="0" w:color="auto"/>
              <w:bottom w:val="single" w:sz="4" w:space="0" w:color="auto"/>
              <w:right w:val="single" w:sz="4" w:space="0" w:color="auto"/>
            </w:tcBorders>
            <w:vAlign w:val="center"/>
          </w:tcPr>
          <w:p w14:paraId="0E3E6A21"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308/401</w:t>
            </w:r>
          </w:p>
        </w:tc>
        <w:tc>
          <w:tcPr>
            <w:tcW w:w="706" w:type="pct"/>
            <w:tcBorders>
              <w:top w:val="single" w:sz="4" w:space="0" w:color="auto"/>
              <w:left w:val="single" w:sz="4" w:space="0" w:color="auto"/>
              <w:bottom w:val="single" w:sz="4" w:space="0" w:color="auto"/>
              <w:right w:val="single" w:sz="4" w:space="0" w:color="auto"/>
            </w:tcBorders>
            <w:vAlign w:val="center"/>
          </w:tcPr>
          <w:p w14:paraId="0B7A327B" w14:textId="77777777" w:rsidR="008531AE" w:rsidRPr="00D27683" w:rsidRDefault="008531AE" w:rsidP="00135EE0">
            <w:pPr>
              <w:keepNext/>
              <w:jc w:val="center"/>
              <w:rPr>
                <w:rFonts w:ascii="Arial Narrow" w:hAnsi="Arial Narrow"/>
                <w:color w:val="000000"/>
                <w:sz w:val="20"/>
                <w:szCs w:val="18"/>
              </w:rPr>
            </w:pPr>
            <w:r w:rsidRPr="00D27683">
              <w:rPr>
                <w:rFonts w:ascii="Arial Narrow" w:hAnsi="Arial Narrow"/>
                <w:color w:val="000000"/>
                <w:sz w:val="20"/>
                <w:szCs w:val="18"/>
              </w:rPr>
              <w:t>0.97 (0.90, 1.05)</w:t>
            </w:r>
          </w:p>
        </w:tc>
        <w:tc>
          <w:tcPr>
            <w:tcW w:w="673" w:type="pct"/>
            <w:tcBorders>
              <w:top w:val="single" w:sz="4" w:space="0" w:color="auto"/>
              <w:left w:val="single" w:sz="4" w:space="0" w:color="auto"/>
              <w:bottom w:val="single" w:sz="4" w:space="0" w:color="auto"/>
              <w:right w:val="single" w:sz="4" w:space="0" w:color="auto"/>
            </w:tcBorders>
            <w:vAlign w:val="center"/>
          </w:tcPr>
          <w:p w14:paraId="69EF5EE4"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75</w:t>
            </w:r>
          </w:p>
        </w:tc>
        <w:tc>
          <w:tcPr>
            <w:tcW w:w="590" w:type="pct"/>
            <w:tcBorders>
              <w:top w:val="single" w:sz="4" w:space="0" w:color="auto"/>
              <w:left w:val="single" w:sz="4" w:space="0" w:color="auto"/>
              <w:bottom w:val="single" w:sz="4" w:space="0" w:color="auto"/>
              <w:right w:val="single" w:sz="4" w:space="0" w:color="auto"/>
            </w:tcBorders>
            <w:vAlign w:val="center"/>
          </w:tcPr>
          <w:p w14:paraId="1F18323D"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77</w:t>
            </w:r>
          </w:p>
        </w:tc>
        <w:tc>
          <w:tcPr>
            <w:tcW w:w="831" w:type="pct"/>
            <w:tcBorders>
              <w:top w:val="single" w:sz="4" w:space="0" w:color="auto"/>
              <w:left w:val="single" w:sz="4" w:space="0" w:color="auto"/>
              <w:bottom w:val="single" w:sz="4" w:space="0" w:color="auto"/>
              <w:right w:val="single" w:sz="4" w:space="0" w:color="auto"/>
            </w:tcBorders>
            <w:vAlign w:val="center"/>
          </w:tcPr>
          <w:p w14:paraId="7E4C06BA"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-0.02 (-0.08, 0.04)</w:t>
            </w:r>
          </w:p>
        </w:tc>
      </w:tr>
      <w:tr w:rsidR="008531AE" w:rsidRPr="00D27683" w14:paraId="2DF69371" w14:textId="77777777" w:rsidTr="00B4024B">
        <w:tc>
          <w:tcPr>
            <w:tcW w:w="624" w:type="pct"/>
            <w:tcBorders>
              <w:top w:val="single" w:sz="4" w:space="0" w:color="auto"/>
              <w:left w:val="single" w:sz="4" w:space="0" w:color="auto"/>
              <w:bottom w:val="single" w:sz="4" w:space="0" w:color="auto"/>
              <w:right w:val="single" w:sz="4" w:space="0" w:color="auto"/>
            </w:tcBorders>
            <w:vAlign w:val="center"/>
          </w:tcPr>
          <w:p w14:paraId="4F084D92" w14:textId="77777777" w:rsidR="008531AE" w:rsidRPr="00D27683" w:rsidRDefault="008531AE" w:rsidP="00135EE0">
            <w:pPr>
              <w:keepNext/>
              <w:rPr>
                <w:rFonts w:ascii="Arial Narrow" w:hAnsi="Arial Narrow"/>
                <w:color w:val="000000"/>
                <w:sz w:val="20"/>
                <w:szCs w:val="18"/>
              </w:rPr>
            </w:pPr>
            <w:r w:rsidRPr="00D27683">
              <w:rPr>
                <w:rFonts w:ascii="Arial Narrow" w:hAnsi="Arial Narrow"/>
                <w:color w:val="000000"/>
                <w:sz w:val="20"/>
                <w:szCs w:val="18"/>
              </w:rPr>
              <w:t>Any SAEs</w:t>
            </w:r>
          </w:p>
        </w:tc>
        <w:tc>
          <w:tcPr>
            <w:tcW w:w="790" w:type="pct"/>
            <w:tcBorders>
              <w:top w:val="single" w:sz="4" w:space="0" w:color="auto"/>
              <w:left w:val="single" w:sz="4" w:space="0" w:color="auto"/>
              <w:bottom w:val="single" w:sz="4" w:space="0" w:color="auto"/>
              <w:right w:val="single" w:sz="4" w:space="0" w:color="auto"/>
            </w:tcBorders>
            <w:vAlign w:val="center"/>
          </w:tcPr>
          <w:p w14:paraId="0C94A951"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101/403</w:t>
            </w:r>
          </w:p>
        </w:tc>
        <w:tc>
          <w:tcPr>
            <w:tcW w:w="785" w:type="pct"/>
            <w:tcBorders>
              <w:top w:val="single" w:sz="4" w:space="0" w:color="auto"/>
              <w:left w:val="single" w:sz="4" w:space="0" w:color="auto"/>
              <w:bottom w:val="single" w:sz="4" w:space="0" w:color="auto"/>
              <w:right w:val="single" w:sz="4" w:space="0" w:color="auto"/>
            </w:tcBorders>
            <w:vAlign w:val="center"/>
          </w:tcPr>
          <w:p w14:paraId="3E3042A5"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115/401</w:t>
            </w:r>
          </w:p>
        </w:tc>
        <w:tc>
          <w:tcPr>
            <w:tcW w:w="706" w:type="pct"/>
            <w:tcBorders>
              <w:top w:val="single" w:sz="4" w:space="0" w:color="auto"/>
              <w:left w:val="single" w:sz="4" w:space="0" w:color="auto"/>
              <w:bottom w:val="single" w:sz="4" w:space="0" w:color="auto"/>
              <w:right w:val="single" w:sz="4" w:space="0" w:color="auto"/>
            </w:tcBorders>
            <w:vAlign w:val="center"/>
          </w:tcPr>
          <w:p w14:paraId="5C7992F3"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0.87 (0.70, 1.10)</w:t>
            </w:r>
          </w:p>
        </w:tc>
        <w:tc>
          <w:tcPr>
            <w:tcW w:w="673" w:type="pct"/>
            <w:tcBorders>
              <w:top w:val="single" w:sz="4" w:space="0" w:color="auto"/>
              <w:left w:val="single" w:sz="4" w:space="0" w:color="auto"/>
              <w:bottom w:val="single" w:sz="4" w:space="0" w:color="auto"/>
              <w:right w:val="single" w:sz="4" w:space="0" w:color="auto"/>
            </w:tcBorders>
            <w:vAlign w:val="center"/>
          </w:tcPr>
          <w:p w14:paraId="3F075A68"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25</w:t>
            </w:r>
          </w:p>
        </w:tc>
        <w:tc>
          <w:tcPr>
            <w:tcW w:w="590" w:type="pct"/>
            <w:tcBorders>
              <w:top w:val="single" w:sz="4" w:space="0" w:color="auto"/>
              <w:left w:val="single" w:sz="4" w:space="0" w:color="auto"/>
              <w:bottom w:val="single" w:sz="4" w:space="0" w:color="auto"/>
              <w:right w:val="single" w:sz="4" w:space="0" w:color="auto"/>
            </w:tcBorders>
            <w:vAlign w:val="center"/>
          </w:tcPr>
          <w:p w14:paraId="1824115D"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29</w:t>
            </w:r>
          </w:p>
        </w:tc>
        <w:tc>
          <w:tcPr>
            <w:tcW w:w="831" w:type="pct"/>
            <w:tcBorders>
              <w:top w:val="single" w:sz="4" w:space="0" w:color="auto"/>
              <w:left w:val="single" w:sz="4" w:space="0" w:color="auto"/>
              <w:bottom w:val="single" w:sz="4" w:space="0" w:color="auto"/>
              <w:right w:val="single" w:sz="4" w:space="0" w:color="auto"/>
            </w:tcBorders>
            <w:vAlign w:val="center"/>
          </w:tcPr>
          <w:p w14:paraId="3ABADE7F"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-0.04 (-0.10, 0.03)</w:t>
            </w:r>
          </w:p>
        </w:tc>
      </w:tr>
      <w:tr w:rsidR="008531AE" w:rsidRPr="00D27683" w14:paraId="74408FB7" w14:textId="77777777" w:rsidTr="00B4024B">
        <w:tc>
          <w:tcPr>
            <w:tcW w:w="624" w:type="pct"/>
            <w:tcBorders>
              <w:top w:val="single" w:sz="4" w:space="0" w:color="auto"/>
              <w:left w:val="single" w:sz="4" w:space="0" w:color="auto"/>
              <w:bottom w:val="single" w:sz="4" w:space="0" w:color="auto"/>
              <w:right w:val="single" w:sz="4" w:space="0" w:color="auto"/>
            </w:tcBorders>
            <w:vAlign w:val="center"/>
          </w:tcPr>
          <w:p w14:paraId="67831FB4" w14:textId="77777777" w:rsidR="008531AE" w:rsidRPr="00D27683" w:rsidRDefault="008531AE" w:rsidP="00135EE0">
            <w:pPr>
              <w:keepNext/>
              <w:rPr>
                <w:rFonts w:ascii="Arial Narrow" w:hAnsi="Arial Narrow"/>
                <w:color w:val="000000"/>
                <w:sz w:val="20"/>
                <w:szCs w:val="18"/>
              </w:rPr>
            </w:pPr>
            <w:r w:rsidRPr="00D27683">
              <w:rPr>
                <w:rFonts w:ascii="Arial Narrow" w:hAnsi="Arial Narrow"/>
                <w:color w:val="000000"/>
                <w:sz w:val="20"/>
                <w:szCs w:val="18"/>
              </w:rPr>
              <w:t>Fatal SAEs</w:t>
            </w:r>
          </w:p>
        </w:tc>
        <w:tc>
          <w:tcPr>
            <w:tcW w:w="790" w:type="pct"/>
            <w:tcBorders>
              <w:top w:val="single" w:sz="4" w:space="0" w:color="auto"/>
              <w:left w:val="single" w:sz="4" w:space="0" w:color="auto"/>
              <w:bottom w:val="single" w:sz="4" w:space="0" w:color="auto"/>
              <w:right w:val="single" w:sz="4" w:space="0" w:color="auto"/>
            </w:tcBorders>
            <w:vAlign w:val="center"/>
          </w:tcPr>
          <w:p w14:paraId="2C642B70"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11/403</w:t>
            </w:r>
          </w:p>
        </w:tc>
        <w:tc>
          <w:tcPr>
            <w:tcW w:w="785" w:type="pct"/>
            <w:tcBorders>
              <w:top w:val="single" w:sz="4" w:space="0" w:color="auto"/>
              <w:left w:val="single" w:sz="4" w:space="0" w:color="auto"/>
              <w:bottom w:val="single" w:sz="4" w:space="0" w:color="auto"/>
              <w:right w:val="single" w:sz="4" w:space="0" w:color="auto"/>
            </w:tcBorders>
            <w:vAlign w:val="center"/>
          </w:tcPr>
          <w:p w14:paraId="19E32282"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11/401</w:t>
            </w:r>
          </w:p>
        </w:tc>
        <w:tc>
          <w:tcPr>
            <w:tcW w:w="706" w:type="pct"/>
            <w:tcBorders>
              <w:top w:val="single" w:sz="4" w:space="0" w:color="auto"/>
              <w:left w:val="single" w:sz="4" w:space="0" w:color="auto"/>
              <w:bottom w:val="single" w:sz="4" w:space="0" w:color="auto"/>
              <w:right w:val="single" w:sz="4" w:space="0" w:color="auto"/>
            </w:tcBorders>
            <w:vAlign w:val="center"/>
          </w:tcPr>
          <w:p w14:paraId="39AF9F42"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1.00 (0.44, 2.27)</w:t>
            </w:r>
          </w:p>
        </w:tc>
        <w:tc>
          <w:tcPr>
            <w:tcW w:w="673" w:type="pct"/>
            <w:tcBorders>
              <w:top w:val="single" w:sz="4" w:space="0" w:color="auto"/>
              <w:left w:val="single" w:sz="4" w:space="0" w:color="auto"/>
              <w:bottom w:val="single" w:sz="4" w:space="0" w:color="auto"/>
              <w:right w:val="single" w:sz="4" w:space="0" w:color="auto"/>
            </w:tcBorders>
            <w:vAlign w:val="center"/>
          </w:tcPr>
          <w:p w14:paraId="217D6C23"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3</w:t>
            </w:r>
          </w:p>
        </w:tc>
        <w:tc>
          <w:tcPr>
            <w:tcW w:w="590" w:type="pct"/>
            <w:tcBorders>
              <w:top w:val="single" w:sz="4" w:space="0" w:color="auto"/>
              <w:left w:val="single" w:sz="4" w:space="0" w:color="auto"/>
              <w:bottom w:val="single" w:sz="4" w:space="0" w:color="auto"/>
              <w:right w:val="single" w:sz="4" w:space="0" w:color="auto"/>
            </w:tcBorders>
            <w:vAlign w:val="center"/>
          </w:tcPr>
          <w:p w14:paraId="63AA474A"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3</w:t>
            </w:r>
          </w:p>
        </w:tc>
        <w:tc>
          <w:tcPr>
            <w:tcW w:w="831" w:type="pct"/>
            <w:tcBorders>
              <w:top w:val="single" w:sz="4" w:space="0" w:color="auto"/>
              <w:left w:val="single" w:sz="4" w:space="0" w:color="auto"/>
              <w:bottom w:val="single" w:sz="4" w:space="0" w:color="auto"/>
              <w:right w:val="single" w:sz="4" w:space="0" w:color="auto"/>
            </w:tcBorders>
            <w:vAlign w:val="center"/>
          </w:tcPr>
          <w:p w14:paraId="167DD427" w14:textId="77777777" w:rsidR="008531AE" w:rsidRPr="00D27683" w:rsidRDefault="008531AE" w:rsidP="00135EE0">
            <w:pPr>
              <w:keepNext/>
              <w:jc w:val="center"/>
              <w:rPr>
                <w:rFonts w:ascii="Arial Narrow" w:hAnsi="Arial Narrow"/>
                <w:color w:val="000000"/>
                <w:sz w:val="20"/>
                <w:szCs w:val="20"/>
              </w:rPr>
            </w:pPr>
            <w:r w:rsidRPr="00D27683">
              <w:rPr>
                <w:rFonts w:ascii="Arial Narrow" w:hAnsi="Arial Narrow"/>
                <w:sz w:val="20"/>
                <w:szCs w:val="20"/>
              </w:rPr>
              <w:t>0.00 (-0.02, 0.02)</w:t>
            </w:r>
          </w:p>
        </w:tc>
      </w:tr>
    </w:tbl>
    <w:p w14:paraId="6BD65E7B" w14:textId="77777777" w:rsidR="008531AE" w:rsidRPr="00D27683" w:rsidRDefault="008531AE" w:rsidP="00135EE0">
      <w:pPr>
        <w:pStyle w:val="FooterTableFigure"/>
        <w:keepLines/>
        <w:jc w:val="left"/>
      </w:pPr>
      <w:r w:rsidRPr="00D27683">
        <w:t>Source: Table 2-17 p80, Table 2-25 p92 of the submission; Table 23 p124, Table 24 p126, Table 48 p183 MATINEE CSR.</w:t>
      </w:r>
    </w:p>
    <w:p w14:paraId="19F39065" w14:textId="15839C07" w:rsidR="008531AE" w:rsidRPr="00D27683" w:rsidRDefault="008531AE" w:rsidP="00135EE0">
      <w:pPr>
        <w:pStyle w:val="FooterTableFigure"/>
        <w:rPr>
          <w:rFonts w:eastAsia="Calibri"/>
        </w:rPr>
      </w:pPr>
      <w:r w:rsidRPr="00D27683">
        <w:t>AE= adverse event</w:t>
      </w:r>
      <w:r w:rsidRPr="00D27683">
        <w:rPr>
          <w:rFonts w:eastAsia="Calibri"/>
        </w:rPr>
        <w:t xml:space="preserve">; CI = confidence interval; n = number of patients with event; N = total patients in group; </w:t>
      </w:r>
      <w:r w:rsidRPr="00D27683">
        <w:t>SAE= severe adverse event.</w:t>
      </w:r>
    </w:p>
    <w:p w14:paraId="2FF721F9" w14:textId="77777777" w:rsidR="008531AE" w:rsidRPr="00D27683" w:rsidRDefault="008531AE" w:rsidP="00135EE0">
      <w:pPr>
        <w:pStyle w:val="FooterTableFigure"/>
        <w:keepLines/>
        <w:jc w:val="left"/>
      </w:pPr>
      <w:r w:rsidRPr="00D27683">
        <w:rPr>
          <w:vertAlign w:val="superscript"/>
        </w:rPr>
        <w:t>a</w:t>
      </w:r>
      <w:r w:rsidRPr="00D27683">
        <w:t xml:space="preserve"> Analysis performed using a negative binomial model with covariates of treatment group, geographic region, number of moderate/severe exacerbations in previous year </w:t>
      </w:r>
      <w:r w:rsidRPr="00D27683">
        <w:rPr>
          <w:szCs w:val="18"/>
        </w:rPr>
        <w:t>(</w:t>
      </w:r>
      <w:r w:rsidRPr="00D27683">
        <w:rPr>
          <w:rFonts w:ascii="Symbol" w:eastAsia="Symbol" w:hAnsi="Symbol" w:cs="Symbol"/>
          <w:szCs w:val="18"/>
        </w:rPr>
        <w:t>£</w:t>
      </w:r>
      <w:r w:rsidRPr="00D27683">
        <w:rPr>
          <w:szCs w:val="18"/>
        </w:rPr>
        <w:t xml:space="preserve">2, 3, </w:t>
      </w:r>
      <w:r w:rsidRPr="00D27683">
        <w:rPr>
          <w:rFonts w:ascii="Symbol" w:eastAsia="Symbol" w:hAnsi="Symbol" w:cs="Symbol"/>
          <w:szCs w:val="18"/>
        </w:rPr>
        <w:t>³</w:t>
      </w:r>
      <w:r w:rsidRPr="00D27683">
        <w:rPr>
          <w:szCs w:val="18"/>
        </w:rPr>
        <w:t xml:space="preserve">4 </w:t>
      </w:r>
      <w:r w:rsidRPr="00D27683">
        <w:t xml:space="preserve">as ordinal), baseline % predicted FEV1 and smoking status (current versus former smoker), and with logarithm (time on- and off-treatment) as an offset variable. Estimates based on weighting applied to each level of class variable determined from observed proportions. </w:t>
      </w:r>
    </w:p>
    <w:p w14:paraId="36DF1889" w14:textId="0D44307A" w:rsidR="008531AE" w:rsidRPr="00D27683" w:rsidRDefault="00DA3193" w:rsidP="00135EE0">
      <w:pPr>
        <w:pStyle w:val="FooterTableFigure"/>
        <w:keepLines/>
        <w:jc w:val="left"/>
      </w:pPr>
      <w:r w:rsidRPr="00D27683">
        <w:rPr>
          <w:vertAlign w:val="superscript"/>
        </w:rPr>
        <w:t xml:space="preserve">b </w:t>
      </w:r>
      <w:r w:rsidRPr="00D27683">
        <w:t>Calculated during the evaluation.</w:t>
      </w:r>
    </w:p>
    <w:p w14:paraId="5B1FA4F0" w14:textId="63F2A05D" w:rsidR="00383E89" w:rsidRPr="00D27683" w:rsidRDefault="008531AE" w:rsidP="00135EE0">
      <w:pPr>
        <w:pStyle w:val="FooterTableFigure"/>
        <w:keepLines/>
        <w:jc w:val="left"/>
      </w:pPr>
      <w:r w:rsidRPr="00D27683">
        <w:t>Bold indicates a statistically significant difference.</w:t>
      </w:r>
    </w:p>
    <w:p w14:paraId="2926A824" w14:textId="52C681B9" w:rsidR="008531AE" w:rsidRPr="00D27683" w:rsidRDefault="008531AE" w:rsidP="00135EE0">
      <w:pPr>
        <w:pStyle w:val="3-BodyText"/>
        <w:numPr>
          <w:ilvl w:val="1"/>
          <w:numId w:val="1"/>
        </w:numPr>
      </w:pPr>
      <w:proofErr w:type="gramStart"/>
      <w:r w:rsidRPr="00D27683">
        <w:t>On the basis of</w:t>
      </w:r>
      <w:proofErr w:type="gramEnd"/>
      <w:r w:rsidRPr="00D27683">
        <w:t xml:space="preserve"> the evidence presented by the submission, for every 100 patients treated with mepolizumab </w:t>
      </w:r>
      <w:r w:rsidR="00C30275">
        <w:t>plus</w:t>
      </w:r>
      <w:r w:rsidRPr="00D27683">
        <w:t xml:space="preserve"> triple inhaled therapy for 52 weeks, compared with triple inhaled therapy alone:</w:t>
      </w:r>
    </w:p>
    <w:p w14:paraId="4B0D3C0D" w14:textId="25A89CC9" w:rsidR="008531AE" w:rsidRPr="00D27683" w:rsidRDefault="008531AE" w:rsidP="00135EE0">
      <w:pPr>
        <w:pStyle w:val="ListParagraph"/>
        <w:numPr>
          <w:ilvl w:val="3"/>
          <w:numId w:val="19"/>
        </w:numPr>
      </w:pPr>
      <w:r w:rsidRPr="00D27683">
        <w:t xml:space="preserve">Approximately 21 fewer moderate/severe COPD exacerbations </w:t>
      </w:r>
      <w:r w:rsidR="00BA42A8" w:rsidRPr="00D27683">
        <w:t>per year</w:t>
      </w:r>
      <w:r w:rsidRPr="00D27683">
        <w:t xml:space="preserve">. </w:t>
      </w:r>
    </w:p>
    <w:p w14:paraId="55C5A9CB" w14:textId="77777777" w:rsidR="008531AE" w:rsidRPr="00D27683" w:rsidRDefault="008531AE" w:rsidP="00135EE0">
      <w:pPr>
        <w:pStyle w:val="ListParagraph"/>
        <w:numPr>
          <w:ilvl w:val="3"/>
          <w:numId w:val="19"/>
        </w:numPr>
      </w:pPr>
      <w:r w:rsidRPr="00D27683">
        <w:t>Approximately 6 fewer patients would have a moderate or severe exacerbation.</w:t>
      </w:r>
    </w:p>
    <w:p w14:paraId="5779C50C" w14:textId="0D3ADAA1" w:rsidR="008531AE" w:rsidRPr="00D27683" w:rsidRDefault="00756243" w:rsidP="00135EE0">
      <w:pPr>
        <w:pStyle w:val="ListParagraph"/>
        <w:numPr>
          <w:ilvl w:val="3"/>
          <w:numId w:val="19"/>
        </w:numPr>
      </w:pPr>
      <w:r w:rsidRPr="00D27683">
        <w:t>There were no differences noted in the occur</w:t>
      </w:r>
      <w:r w:rsidR="00EA13A6" w:rsidRPr="00D27683">
        <w:t>r</w:t>
      </w:r>
      <w:r w:rsidRPr="00D27683">
        <w:t>ence of harms</w:t>
      </w:r>
      <w:r w:rsidR="008531AE" w:rsidRPr="00D27683">
        <w:t>.</w:t>
      </w:r>
    </w:p>
    <w:p w14:paraId="75894B20" w14:textId="77777777" w:rsidR="008531AE" w:rsidRPr="00D27683" w:rsidRDefault="008531AE" w:rsidP="00135EE0">
      <w:pPr>
        <w:pStyle w:val="4-SubsectionHeading"/>
      </w:pPr>
      <w:bookmarkStart w:id="111" w:name="_Toc219030873"/>
      <w:bookmarkStart w:id="112" w:name="_Toc219064636"/>
      <w:bookmarkStart w:id="113" w:name="_Toc219884820"/>
      <w:r w:rsidRPr="00D27683">
        <w:t>Clinical claim</w:t>
      </w:r>
      <w:bookmarkEnd w:id="105"/>
      <w:bookmarkEnd w:id="106"/>
      <w:bookmarkEnd w:id="107"/>
      <w:bookmarkEnd w:id="108"/>
      <w:bookmarkEnd w:id="111"/>
      <w:bookmarkEnd w:id="112"/>
      <w:bookmarkEnd w:id="113"/>
    </w:p>
    <w:p w14:paraId="2A35F175" w14:textId="37E05BEE" w:rsidR="00B42776" w:rsidRPr="00D27683" w:rsidRDefault="008531AE" w:rsidP="00135EE0">
      <w:pPr>
        <w:pStyle w:val="3-BodyText"/>
        <w:numPr>
          <w:ilvl w:val="1"/>
          <w:numId w:val="1"/>
        </w:numPr>
        <w:rPr>
          <w:rFonts w:eastAsia="Calibri"/>
        </w:rPr>
      </w:pPr>
      <w:r w:rsidRPr="00D27683">
        <w:rPr>
          <w:rFonts w:eastAsia="Calibri"/>
        </w:rPr>
        <w:t xml:space="preserve">The submission described mepolizumab </w:t>
      </w:r>
      <w:r w:rsidR="00C30275">
        <w:rPr>
          <w:rFonts w:eastAsia="Calibri"/>
        </w:rPr>
        <w:t>plus</w:t>
      </w:r>
      <w:r w:rsidRPr="00D27683">
        <w:rPr>
          <w:rFonts w:eastAsia="Calibri"/>
        </w:rPr>
        <w:t xml:space="preserve"> triple inhaled therapy as superior in terms of effectiveness compared to triple inhaled therapy alone, in patients with uncontrolled COPD with an eosinophilic phenotype. </w:t>
      </w:r>
      <w:r w:rsidR="008317B1" w:rsidRPr="00D27683">
        <w:rPr>
          <w:rFonts w:eastAsia="Calibri"/>
        </w:rPr>
        <w:t xml:space="preserve">The </w:t>
      </w:r>
      <w:r w:rsidR="00F22D7E" w:rsidRPr="006D6FD8">
        <w:rPr>
          <w:rFonts w:eastAsia="Calibri"/>
          <w:iCs/>
        </w:rPr>
        <w:t>Sub-Committees considered t</w:t>
      </w:r>
      <w:r w:rsidR="006C02A0" w:rsidRPr="006D6FD8">
        <w:rPr>
          <w:rFonts w:eastAsia="Calibri"/>
          <w:iCs/>
        </w:rPr>
        <w:t>hat the</w:t>
      </w:r>
      <w:r w:rsidR="006C02A0" w:rsidRPr="00D27683">
        <w:rPr>
          <w:rFonts w:eastAsia="Calibri"/>
        </w:rPr>
        <w:t xml:space="preserve"> </w:t>
      </w:r>
      <w:r w:rsidR="008317B1" w:rsidRPr="00D27683">
        <w:rPr>
          <w:rFonts w:eastAsia="Calibri"/>
        </w:rPr>
        <w:t>evidence provides support for the</w:t>
      </w:r>
      <w:r w:rsidR="00901001" w:rsidRPr="00D27683">
        <w:rPr>
          <w:rFonts w:eastAsia="Calibri"/>
        </w:rPr>
        <w:t xml:space="preserve"> efficacy</w:t>
      </w:r>
      <w:r w:rsidR="008317B1" w:rsidRPr="00D27683">
        <w:rPr>
          <w:rFonts w:eastAsia="Calibri"/>
        </w:rPr>
        <w:t xml:space="preserve"> claim, </w:t>
      </w:r>
      <w:r w:rsidR="00D17ADB" w:rsidRPr="006D6FD8">
        <w:rPr>
          <w:rFonts w:eastAsia="Calibri"/>
          <w:iCs/>
        </w:rPr>
        <w:t>however noted that</w:t>
      </w:r>
      <w:r w:rsidR="004B2FCD" w:rsidRPr="006D6FD8">
        <w:rPr>
          <w:rFonts w:eastAsia="Calibri"/>
          <w:iCs/>
        </w:rPr>
        <w:t xml:space="preserve"> the evaluation considered that</w:t>
      </w:r>
      <w:r w:rsidR="00D17ADB" w:rsidRPr="00D27683">
        <w:rPr>
          <w:rFonts w:eastAsia="Calibri"/>
        </w:rPr>
        <w:t xml:space="preserve"> </w:t>
      </w:r>
      <w:r w:rsidR="008317B1" w:rsidRPr="00D27683">
        <w:rPr>
          <w:rFonts w:eastAsia="Calibri"/>
        </w:rPr>
        <w:t>the magnitude and generalisability of the</w:t>
      </w:r>
      <w:r w:rsidR="00DC1F16" w:rsidRPr="00D27683">
        <w:rPr>
          <w:rFonts w:eastAsia="Calibri"/>
        </w:rPr>
        <w:t xml:space="preserve"> treatment effect </w:t>
      </w:r>
      <w:r w:rsidR="0009178B" w:rsidRPr="00D27683">
        <w:rPr>
          <w:rFonts w:eastAsia="Calibri"/>
        </w:rPr>
        <w:t>wa</w:t>
      </w:r>
      <w:r w:rsidR="00DC1F16" w:rsidRPr="00D27683">
        <w:rPr>
          <w:rFonts w:eastAsia="Calibri"/>
        </w:rPr>
        <w:t>s uncertain</w:t>
      </w:r>
      <w:r w:rsidR="006E2E94" w:rsidRPr="00D27683">
        <w:rPr>
          <w:rFonts w:eastAsia="Calibri"/>
        </w:rPr>
        <w:t xml:space="preserve"> </w:t>
      </w:r>
      <w:r w:rsidR="0009178B" w:rsidRPr="00D27683">
        <w:rPr>
          <w:rFonts w:eastAsia="Calibri"/>
        </w:rPr>
        <w:t xml:space="preserve">given </w:t>
      </w:r>
      <w:r w:rsidR="006E2E94" w:rsidRPr="00D27683">
        <w:rPr>
          <w:rFonts w:eastAsia="Calibri"/>
        </w:rPr>
        <w:t xml:space="preserve">that the majority of the difference in the rate ratio was driven by the avoidance of events </w:t>
      </w:r>
      <w:r w:rsidR="00A04389" w:rsidRPr="006D6FD8">
        <w:rPr>
          <w:iCs/>
        </w:rPr>
        <w:t>among a small subset of</w:t>
      </w:r>
      <w:r w:rsidR="002B0FE4" w:rsidRPr="006D6FD8">
        <w:rPr>
          <w:iCs/>
        </w:rPr>
        <w:t xml:space="preserve"> outlier</w:t>
      </w:r>
      <w:r w:rsidR="00A04389" w:rsidRPr="006D6FD8">
        <w:rPr>
          <w:iCs/>
        </w:rPr>
        <w:t xml:space="preserve"> patients (n=6, 1.5% of the placebo arm) with </w:t>
      </w:r>
      <w:r w:rsidR="00A04389" w:rsidRPr="006D6FD8">
        <w:rPr>
          <w:rFonts w:ascii="Helvetica" w:hAnsi="Helvetica" w:cs="Helvetica"/>
          <w:iCs/>
          <w:lang w:eastAsia="en-US"/>
          <w14:ligatures w14:val="standardContextual"/>
        </w:rPr>
        <w:t xml:space="preserve">≥ </w:t>
      </w:r>
      <w:r w:rsidR="00A04389" w:rsidRPr="006D6FD8">
        <w:rPr>
          <w:iCs/>
        </w:rPr>
        <w:t>9 exacerbations</w:t>
      </w:r>
      <w:r w:rsidR="00DC1F16" w:rsidRPr="006D6FD8">
        <w:rPr>
          <w:rFonts w:eastAsia="Calibri"/>
          <w:iCs/>
        </w:rPr>
        <w:t>.</w:t>
      </w:r>
      <w:r w:rsidR="008317B1" w:rsidRPr="006D6FD8">
        <w:rPr>
          <w:rFonts w:eastAsia="Calibri"/>
          <w:iCs/>
        </w:rPr>
        <w:t xml:space="preserve"> </w:t>
      </w:r>
    </w:p>
    <w:p w14:paraId="3AA0006C" w14:textId="780B5390" w:rsidR="005E3E2C" w:rsidRPr="00D27683" w:rsidRDefault="00DE7F31" w:rsidP="00135EE0">
      <w:pPr>
        <w:pStyle w:val="3-BodyText"/>
        <w:numPr>
          <w:ilvl w:val="1"/>
          <w:numId w:val="1"/>
        </w:numPr>
        <w:rPr>
          <w:rFonts w:eastAsia="Calibri"/>
        </w:rPr>
      </w:pPr>
      <w:r w:rsidRPr="006D6FD8">
        <w:rPr>
          <w:iCs/>
        </w:rPr>
        <w:t xml:space="preserve">The Sub-Committees noted that the PSCR disagreed that the treatment effect was sensitive to outlier patients with </w:t>
      </w:r>
      <w:r w:rsidR="00AC7456" w:rsidRPr="006D6FD8">
        <w:rPr>
          <w:iCs/>
        </w:rPr>
        <w:t>≥</w:t>
      </w:r>
      <w:r w:rsidR="00AC7456" w:rsidRPr="006D6FD8">
        <w:rPr>
          <w:rFonts w:ascii="Helvetica" w:hAnsi="Helvetica" w:cs="Helvetica"/>
          <w:iCs/>
          <w:lang w:eastAsia="en-US"/>
          <w14:ligatures w14:val="standardContextual"/>
        </w:rPr>
        <w:t xml:space="preserve"> </w:t>
      </w:r>
      <w:r w:rsidR="00AC7456" w:rsidRPr="006D6FD8">
        <w:rPr>
          <w:iCs/>
        </w:rPr>
        <w:t xml:space="preserve">9 exacerbations </w:t>
      </w:r>
      <w:r w:rsidRPr="006D6FD8">
        <w:rPr>
          <w:iCs/>
        </w:rPr>
        <w:t xml:space="preserve">and noted that there was a balanced distribution of treatment effect modifiers across both arms. The PSCR noted </w:t>
      </w:r>
      <w:r w:rsidRPr="006D6FD8">
        <w:rPr>
          <w:iCs/>
        </w:rPr>
        <w:lastRenderedPageBreak/>
        <w:t>that it should be assumed that there would be a similar breakdown of exacerbations if the treatment arms were switched at randomisation</w:t>
      </w:r>
      <w:r w:rsidR="00634361" w:rsidRPr="006D6FD8">
        <w:rPr>
          <w:iCs/>
        </w:rPr>
        <w:t xml:space="preserve"> (</w:t>
      </w:r>
      <w:r w:rsidR="00A6546F" w:rsidRPr="006D6FD8">
        <w:rPr>
          <w:iCs/>
        </w:rPr>
        <w:t xml:space="preserve">also see </w:t>
      </w:r>
      <w:r w:rsidR="00634361" w:rsidRPr="006D6FD8">
        <w:rPr>
          <w:iCs/>
        </w:rPr>
        <w:t xml:space="preserve">paragraph </w:t>
      </w:r>
      <w:r w:rsidR="00634361" w:rsidRPr="006D6FD8">
        <w:rPr>
          <w:iCs/>
        </w:rPr>
        <w:fldChar w:fldCharType="begin"/>
      </w:r>
      <w:r w:rsidR="00634361" w:rsidRPr="006D6FD8">
        <w:rPr>
          <w:iCs/>
        </w:rPr>
        <w:instrText xml:space="preserve"> REF _Ref222114190 \r \h </w:instrText>
      </w:r>
      <w:r w:rsidR="00634361" w:rsidRPr="006D6FD8">
        <w:rPr>
          <w:iCs/>
        </w:rPr>
      </w:r>
      <w:r w:rsidR="00634361" w:rsidRPr="006D6FD8">
        <w:rPr>
          <w:iCs/>
        </w:rPr>
        <w:fldChar w:fldCharType="separate"/>
      </w:r>
      <w:r w:rsidR="00F26712">
        <w:rPr>
          <w:iCs/>
        </w:rPr>
        <w:t>6.18</w:t>
      </w:r>
      <w:r w:rsidR="00634361" w:rsidRPr="006D6FD8">
        <w:rPr>
          <w:iCs/>
        </w:rPr>
        <w:fldChar w:fldCharType="end"/>
      </w:r>
      <w:r w:rsidR="00634361" w:rsidRPr="006D6FD8">
        <w:rPr>
          <w:iCs/>
        </w:rPr>
        <w:t>)</w:t>
      </w:r>
      <w:r w:rsidRPr="006D6FD8">
        <w:rPr>
          <w:iCs/>
        </w:rPr>
        <w:t>.</w:t>
      </w:r>
      <w:r w:rsidR="00B42776" w:rsidRPr="006D6FD8">
        <w:rPr>
          <w:iCs/>
        </w:rPr>
        <w:t xml:space="preserve"> </w:t>
      </w:r>
      <w:r w:rsidR="006D0B96" w:rsidRPr="006D6FD8">
        <w:rPr>
          <w:iCs/>
        </w:rPr>
        <w:t xml:space="preserve">The PSCR also argued that the treatment effect did not change substantially across similar trials (METREX and METREO). </w:t>
      </w:r>
      <w:r w:rsidR="00B42776" w:rsidRPr="006D6FD8">
        <w:rPr>
          <w:iCs/>
        </w:rPr>
        <w:t>However, the Sub-Committees noted that there were inconsistencies in the results in METREX and METREO, with METRO not showing a statistically significant difference in exacerbation rates (RR = 0.85, 95% CI: 0.59</w:t>
      </w:r>
      <w:r w:rsidR="00B42776" w:rsidRPr="006D6FD8">
        <w:rPr>
          <w:rFonts w:cstheme="minorHAnsi"/>
          <w:iCs/>
        </w:rPr>
        <w:t>–</w:t>
      </w:r>
      <w:r w:rsidR="00B42776" w:rsidRPr="006D6FD8">
        <w:rPr>
          <w:iCs/>
        </w:rPr>
        <w:t>1.22)</w:t>
      </w:r>
      <w:r w:rsidR="00FB558B">
        <w:rPr>
          <w:iCs/>
        </w:rPr>
        <w:t>.</w:t>
      </w:r>
      <w:r w:rsidR="000A2043">
        <w:rPr>
          <w:rStyle w:val="FootnoteReference"/>
          <w:iCs/>
        </w:rPr>
        <w:footnoteReference w:id="7"/>
      </w:r>
      <w:r w:rsidR="00B42776" w:rsidRPr="006D6FD8">
        <w:rPr>
          <w:iCs/>
        </w:rPr>
        <w:t xml:space="preserve"> </w:t>
      </w:r>
      <w:r w:rsidR="005E3E2C" w:rsidRPr="006D6FD8">
        <w:rPr>
          <w:rFonts w:eastAsia="Calibri"/>
          <w:iCs/>
        </w:rPr>
        <w:t xml:space="preserve">Overall, the Sub-Committees considered that </w:t>
      </w:r>
      <w:r w:rsidR="007007B0" w:rsidRPr="006D6FD8">
        <w:rPr>
          <w:rFonts w:eastAsia="Calibri"/>
          <w:iCs/>
        </w:rPr>
        <w:t>while the evidence provides support for superior efficac</w:t>
      </w:r>
      <w:r w:rsidR="00120260" w:rsidRPr="006D6FD8">
        <w:rPr>
          <w:rFonts w:eastAsia="Calibri"/>
          <w:iCs/>
        </w:rPr>
        <w:t>y</w:t>
      </w:r>
      <w:r w:rsidR="00565CDF" w:rsidRPr="006D6FD8">
        <w:rPr>
          <w:rFonts w:eastAsia="Calibri"/>
          <w:iCs/>
        </w:rPr>
        <w:t xml:space="preserve"> of mepolizumab </w:t>
      </w:r>
      <w:r w:rsidR="00C30275">
        <w:rPr>
          <w:rFonts w:eastAsia="Calibri"/>
          <w:iCs/>
        </w:rPr>
        <w:t>plus</w:t>
      </w:r>
      <w:r w:rsidR="00565CDF" w:rsidRPr="006D6FD8">
        <w:rPr>
          <w:rFonts w:eastAsia="Calibri"/>
          <w:iCs/>
        </w:rPr>
        <w:t xml:space="preserve"> triple inhaled therapy vs triple inhaled therapy</w:t>
      </w:r>
      <w:r w:rsidR="007007B0" w:rsidRPr="006D6FD8">
        <w:rPr>
          <w:rFonts w:eastAsia="Calibri"/>
          <w:iCs/>
        </w:rPr>
        <w:t>, the magnitude of effect</w:t>
      </w:r>
      <w:r w:rsidR="00120260" w:rsidRPr="006D6FD8">
        <w:rPr>
          <w:rFonts w:eastAsia="Calibri"/>
          <w:iCs/>
        </w:rPr>
        <w:t xml:space="preserve"> was marginal and subject to some uncertainty.</w:t>
      </w:r>
      <w:r w:rsidR="00944198">
        <w:rPr>
          <w:rFonts w:eastAsia="Calibri"/>
          <w:iCs/>
        </w:rPr>
        <w:t xml:space="preserve"> The Pre-PBAC Response </w:t>
      </w:r>
      <w:r w:rsidR="009554FB">
        <w:rPr>
          <w:rFonts w:eastAsia="Calibri"/>
          <w:iCs/>
        </w:rPr>
        <w:t>stated</w:t>
      </w:r>
      <w:r w:rsidR="00027452">
        <w:rPr>
          <w:rFonts w:eastAsia="Calibri"/>
          <w:iCs/>
        </w:rPr>
        <w:t xml:space="preserve"> that the clinical hearing and</w:t>
      </w:r>
      <w:r w:rsidR="00931371">
        <w:rPr>
          <w:rFonts w:eastAsia="Calibri"/>
          <w:iCs/>
        </w:rPr>
        <w:t xml:space="preserve"> consumer comments</w:t>
      </w:r>
      <w:r w:rsidR="00027452">
        <w:rPr>
          <w:rFonts w:eastAsia="Calibri"/>
          <w:iCs/>
        </w:rPr>
        <w:t xml:space="preserve"> </w:t>
      </w:r>
      <w:r w:rsidR="009554FB">
        <w:rPr>
          <w:rFonts w:eastAsia="Calibri"/>
          <w:iCs/>
        </w:rPr>
        <w:t xml:space="preserve">provided in support of the current submission </w:t>
      </w:r>
      <w:r w:rsidR="00027452">
        <w:rPr>
          <w:rFonts w:eastAsia="Calibri"/>
          <w:iCs/>
        </w:rPr>
        <w:t xml:space="preserve">(paragraphs </w:t>
      </w:r>
      <w:r w:rsidR="00027452">
        <w:rPr>
          <w:rFonts w:eastAsia="Calibri"/>
          <w:iCs/>
        </w:rPr>
        <w:fldChar w:fldCharType="begin"/>
      </w:r>
      <w:r w:rsidR="00027452">
        <w:rPr>
          <w:rFonts w:eastAsia="Calibri"/>
          <w:iCs/>
        </w:rPr>
        <w:instrText xml:space="preserve"> REF _Ref224808718 \r \h </w:instrText>
      </w:r>
      <w:r w:rsidR="00027452">
        <w:rPr>
          <w:rFonts w:eastAsia="Calibri"/>
          <w:iCs/>
        </w:rPr>
      </w:r>
      <w:r w:rsidR="00027452">
        <w:rPr>
          <w:rFonts w:eastAsia="Calibri"/>
          <w:iCs/>
        </w:rPr>
        <w:fldChar w:fldCharType="separate"/>
      </w:r>
      <w:r w:rsidR="00F26712">
        <w:rPr>
          <w:rFonts w:eastAsia="Calibri"/>
          <w:iCs/>
        </w:rPr>
        <w:t>6.1</w:t>
      </w:r>
      <w:r w:rsidR="00027452">
        <w:rPr>
          <w:rFonts w:eastAsia="Calibri"/>
          <w:iCs/>
        </w:rPr>
        <w:fldChar w:fldCharType="end"/>
      </w:r>
      <w:r w:rsidR="00027452">
        <w:rPr>
          <w:rFonts w:eastAsia="Calibri" w:cstheme="minorHAnsi"/>
          <w:iCs/>
        </w:rPr>
        <w:t>–</w:t>
      </w:r>
      <w:r w:rsidR="00027452">
        <w:rPr>
          <w:rFonts w:eastAsia="Calibri" w:cstheme="minorHAnsi"/>
          <w:iCs/>
        </w:rPr>
        <w:fldChar w:fldCharType="begin"/>
      </w:r>
      <w:r w:rsidR="00027452">
        <w:rPr>
          <w:rFonts w:eastAsia="Calibri" w:cstheme="minorHAnsi"/>
          <w:iCs/>
        </w:rPr>
        <w:instrText xml:space="preserve"> REF _Ref224808734 \r \h </w:instrText>
      </w:r>
      <w:r w:rsidR="00027452">
        <w:rPr>
          <w:rFonts w:eastAsia="Calibri" w:cstheme="minorHAnsi"/>
          <w:iCs/>
        </w:rPr>
      </w:r>
      <w:r w:rsidR="00027452">
        <w:rPr>
          <w:rFonts w:eastAsia="Calibri" w:cstheme="minorHAnsi"/>
          <w:iCs/>
        </w:rPr>
        <w:fldChar w:fldCharType="separate"/>
      </w:r>
      <w:r w:rsidR="00F26712">
        <w:rPr>
          <w:rFonts w:eastAsia="Calibri" w:cstheme="minorHAnsi"/>
          <w:iCs/>
        </w:rPr>
        <w:t>6.4</w:t>
      </w:r>
      <w:r w:rsidR="00027452">
        <w:rPr>
          <w:rFonts w:eastAsia="Calibri" w:cstheme="minorHAnsi"/>
          <w:iCs/>
        </w:rPr>
        <w:fldChar w:fldCharType="end"/>
      </w:r>
      <w:r w:rsidR="00027452">
        <w:rPr>
          <w:rFonts w:eastAsia="Calibri" w:cstheme="minorHAnsi"/>
          <w:iCs/>
        </w:rPr>
        <w:t>)</w:t>
      </w:r>
      <w:r w:rsidR="00FC1A5D">
        <w:rPr>
          <w:rFonts w:eastAsia="Calibri" w:cstheme="minorHAnsi"/>
          <w:iCs/>
        </w:rPr>
        <w:t xml:space="preserve"> </w:t>
      </w:r>
      <w:r w:rsidR="007D431E">
        <w:rPr>
          <w:rFonts w:eastAsia="Calibri" w:cstheme="minorHAnsi"/>
          <w:iCs/>
        </w:rPr>
        <w:t xml:space="preserve">help to frame the </w:t>
      </w:r>
      <w:r w:rsidR="00967885">
        <w:rPr>
          <w:rFonts w:eastAsia="Calibri" w:cstheme="minorHAnsi"/>
          <w:iCs/>
        </w:rPr>
        <w:t xml:space="preserve">clinical </w:t>
      </w:r>
      <w:r w:rsidR="007D431E">
        <w:rPr>
          <w:rFonts w:eastAsia="Calibri" w:cstheme="minorHAnsi"/>
          <w:iCs/>
        </w:rPr>
        <w:t xml:space="preserve">importance of a 21% reduction in annual rate of moderate/severe exacerbations, as observed in the MATINEE trial. </w:t>
      </w:r>
    </w:p>
    <w:p w14:paraId="2F8891D6" w14:textId="744AF44D" w:rsidR="008531AE" w:rsidRPr="00D27683" w:rsidRDefault="008531AE" w:rsidP="00135EE0">
      <w:pPr>
        <w:pStyle w:val="3-BodyText"/>
        <w:numPr>
          <w:ilvl w:val="1"/>
          <w:numId w:val="1"/>
        </w:numPr>
        <w:rPr>
          <w:rFonts w:eastAsia="Calibri"/>
        </w:rPr>
      </w:pPr>
      <w:r w:rsidRPr="00D27683">
        <w:rPr>
          <w:rFonts w:eastAsia="Calibri"/>
        </w:rPr>
        <w:t>While the efficacy of mepolizumab was demonstrated through the primary outcome, it is not clear to what extent the experience of COVID-19 during the trial conduct impacted on the absolute occurrence of moderate/severe exacerbation events in the treatment arms, and whether the treatment effect for mepolizumab observed during the trial is likely to be observed in clinical practice.</w:t>
      </w:r>
      <w:r w:rsidR="00BE341A" w:rsidRPr="00D27683">
        <w:rPr>
          <w:rFonts w:eastAsia="Calibri"/>
        </w:rPr>
        <w:t xml:space="preserve"> </w:t>
      </w:r>
      <w:r w:rsidR="00BE341A" w:rsidRPr="006D6FD8">
        <w:rPr>
          <w:iCs/>
        </w:rPr>
        <w:t>The Sub-Committees considered that the pandemic was unlikely to have affected the difference between treatment arms in the occurrence of moderate/severe exacerbation events, however considered it remained an uncertainty.</w:t>
      </w:r>
    </w:p>
    <w:p w14:paraId="254F7D89" w14:textId="6A708BA8" w:rsidR="008531AE" w:rsidRDefault="008531AE" w:rsidP="00135EE0">
      <w:pPr>
        <w:pStyle w:val="3-BodyText"/>
        <w:numPr>
          <w:ilvl w:val="1"/>
          <w:numId w:val="1"/>
        </w:numPr>
        <w:rPr>
          <w:rFonts w:eastAsia="Calibri"/>
        </w:rPr>
      </w:pPr>
      <w:r w:rsidRPr="00D27683">
        <w:rPr>
          <w:rFonts w:eastAsia="Calibri"/>
        </w:rPr>
        <w:t xml:space="preserve">The submission claimed that mepolizumab </w:t>
      </w:r>
      <w:r w:rsidR="00C30275">
        <w:rPr>
          <w:rFonts w:eastAsia="Calibri"/>
        </w:rPr>
        <w:t>plus</w:t>
      </w:r>
      <w:r w:rsidRPr="00D27683">
        <w:rPr>
          <w:rFonts w:eastAsia="Calibri"/>
        </w:rPr>
        <w:t xml:space="preserve"> triple inhaled therapy was non-inferior in terms of safety, compared to triple inhaled therapy alone, in patients with uncontrolled COPD with an eosinophilic phenotype. </w:t>
      </w:r>
      <w:r w:rsidR="002675AC" w:rsidRPr="006D6FD8">
        <w:rPr>
          <w:rFonts w:eastAsia="Calibri"/>
          <w:iCs/>
        </w:rPr>
        <w:t xml:space="preserve">The </w:t>
      </w:r>
      <w:r w:rsidR="00AC1987" w:rsidRPr="006D6FD8">
        <w:rPr>
          <w:rFonts w:eastAsia="Calibri"/>
          <w:iCs/>
        </w:rPr>
        <w:t>Sub-Committees considered that this</w:t>
      </w:r>
      <w:r w:rsidR="002675AC" w:rsidRPr="00D27683">
        <w:rPr>
          <w:rFonts w:eastAsia="Calibri"/>
        </w:rPr>
        <w:t xml:space="preserve"> </w:t>
      </w:r>
      <w:r w:rsidRPr="00D27683">
        <w:rPr>
          <w:rFonts w:eastAsia="Calibri"/>
        </w:rPr>
        <w:t xml:space="preserve">claim was adequately supported in the trial. No new safety concerns were identified in MATINEE and the safety data in COPD patients remained consistent with the known safety profile of mepolizumab. </w:t>
      </w:r>
      <w:r w:rsidR="00AC1987" w:rsidRPr="006D6FD8">
        <w:rPr>
          <w:rFonts w:eastAsia="Calibri"/>
          <w:iCs/>
        </w:rPr>
        <w:t>The Sub-Committees considered that a</w:t>
      </w:r>
      <w:r w:rsidRPr="00D27683">
        <w:rPr>
          <w:rFonts w:eastAsia="Calibri"/>
        </w:rPr>
        <w:t xml:space="preserve"> longer duration of follow-up is needed to adequately capture the long-term safety of mepolizumab in COPD patients</w:t>
      </w:r>
      <w:r w:rsidR="0011297A" w:rsidRPr="00D27683">
        <w:rPr>
          <w:rFonts w:eastAsia="Calibri"/>
        </w:rPr>
        <w:t>.</w:t>
      </w:r>
    </w:p>
    <w:p w14:paraId="14B231FA" w14:textId="35126E1D" w:rsidR="00E21A10" w:rsidRPr="00CE42B4" w:rsidRDefault="00E21A10" w:rsidP="00135EE0">
      <w:pPr>
        <w:numPr>
          <w:ilvl w:val="1"/>
          <w:numId w:val="1"/>
        </w:numPr>
        <w:spacing w:after="120"/>
        <w:rPr>
          <w:rFonts w:asciiTheme="minorHAnsi" w:hAnsiTheme="minorHAnsi"/>
          <w:snapToGrid w:val="0"/>
          <w:szCs w:val="20"/>
        </w:rPr>
      </w:pPr>
      <w:bookmarkStart w:id="114"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w:t>
      </w:r>
      <w:r w:rsidR="00875F0D">
        <w:rPr>
          <w:rFonts w:asciiTheme="minorHAnsi" w:hAnsiTheme="minorHAnsi"/>
          <w:snapToGrid w:val="0"/>
          <w:szCs w:val="20"/>
        </w:rPr>
        <w:t xml:space="preserve"> </w:t>
      </w:r>
      <w:r w:rsidR="00D675D6">
        <w:rPr>
          <w:rFonts w:asciiTheme="minorHAnsi" w:hAnsiTheme="minorHAnsi"/>
          <w:snapToGrid w:val="0"/>
          <w:szCs w:val="20"/>
        </w:rPr>
        <w:t xml:space="preserve">for </w:t>
      </w:r>
      <w:r w:rsidR="00D675D6" w:rsidRPr="00D27683">
        <w:rPr>
          <w:rFonts w:eastAsia="Calibri"/>
        </w:rPr>
        <w:t xml:space="preserve">mepolizumab </w:t>
      </w:r>
      <w:r w:rsidR="00471734">
        <w:rPr>
          <w:rFonts w:eastAsia="Calibri"/>
        </w:rPr>
        <w:t>plus</w:t>
      </w:r>
      <w:r w:rsidR="00D675D6" w:rsidRPr="00D27683">
        <w:rPr>
          <w:rFonts w:eastAsia="Calibri"/>
        </w:rPr>
        <w:t xml:space="preserve"> triple inhaled therapy </w:t>
      </w:r>
      <w:r w:rsidR="00875F0D">
        <w:rPr>
          <w:rFonts w:asciiTheme="minorHAnsi" w:hAnsiTheme="minorHAnsi"/>
          <w:snapToGrid w:val="0"/>
          <w:szCs w:val="20"/>
        </w:rPr>
        <w:t xml:space="preserve">versus </w:t>
      </w:r>
      <w:r w:rsidR="00A412D7" w:rsidRPr="00D27683">
        <w:rPr>
          <w:rFonts w:eastAsia="Calibri"/>
        </w:rPr>
        <w:t>triple inhaled therapy alone</w:t>
      </w:r>
      <w:r w:rsidRPr="00CE42B4">
        <w:rPr>
          <w:rFonts w:asciiTheme="minorHAnsi" w:hAnsiTheme="minorHAnsi"/>
          <w:snapToGrid w:val="0"/>
          <w:szCs w:val="20"/>
        </w:rPr>
        <w:t xml:space="preserve"> was </w:t>
      </w:r>
      <w:proofErr w:type="gramStart"/>
      <w:r w:rsidRPr="00CE42B4">
        <w:rPr>
          <w:rFonts w:asciiTheme="minorHAnsi" w:hAnsiTheme="minorHAnsi"/>
          <w:snapToGrid w:val="0"/>
          <w:szCs w:val="20"/>
        </w:rPr>
        <w:t>reasonable</w:t>
      </w:r>
      <w:proofErr w:type="gramEnd"/>
      <w:r w:rsidR="006F7298">
        <w:rPr>
          <w:rFonts w:asciiTheme="minorHAnsi" w:hAnsiTheme="minorHAnsi"/>
          <w:snapToGrid w:val="0"/>
          <w:szCs w:val="20"/>
        </w:rPr>
        <w:t xml:space="preserve"> </w:t>
      </w:r>
      <w:r w:rsidR="006F7298">
        <w:rPr>
          <w:snapToGrid w:val="0"/>
          <w:szCs w:val="20"/>
        </w:rPr>
        <w:t>but the magnitude of treatment benefit was subject to some uncertainty</w:t>
      </w:r>
      <w:r>
        <w:rPr>
          <w:snapToGrid w:val="0"/>
          <w:szCs w:val="20"/>
        </w:rPr>
        <w:t>.</w:t>
      </w:r>
    </w:p>
    <w:p w14:paraId="0CE55CD1" w14:textId="76F5CC94" w:rsidR="00E21A10" w:rsidRPr="00E21A10" w:rsidRDefault="00E21A10" w:rsidP="00135EE0">
      <w:pPr>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non-inferior comparative safety </w:t>
      </w:r>
      <w:r w:rsidR="00D675D6">
        <w:rPr>
          <w:rFonts w:asciiTheme="minorHAnsi" w:hAnsiTheme="minorHAnsi"/>
          <w:snapToGrid w:val="0"/>
          <w:szCs w:val="20"/>
        </w:rPr>
        <w:t xml:space="preserve">for </w:t>
      </w:r>
      <w:r w:rsidR="00D675D6" w:rsidRPr="00D27683">
        <w:rPr>
          <w:rFonts w:eastAsia="Calibri"/>
        </w:rPr>
        <w:t xml:space="preserve">mepolizumab </w:t>
      </w:r>
      <w:r w:rsidR="00471734">
        <w:rPr>
          <w:rFonts w:eastAsia="Calibri"/>
        </w:rPr>
        <w:t>plus</w:t>
      </w:r>
      <w:r w:rsidR="00D675D6" w:rsidRPr="00D27683">
        <w:rPr>
          <w:rFonts w:eastAsia="Calibri"/>
        </w:rPr>
        <w:t xml:space="preserve"> triple inhaled therapy </w:t>
      </w:r>
      <w:r w:rsidR="00875F0D">
        <w:rPr>
          <w:rFonts w:asciiTheme="minorHAnsi" w:hAnsiTheme="minorHAnsi"/>
          <w:snapToGrid w:val="0"/>
          <w:szCs w:val="20"/>
        </w:rPr>
        <w:t>versus</w:t>
      </w:r>
      <w:r w:rsidR="00875F0D" w:rsidRPr="00D27683">
        <w:rPr>
          <w:rFonts w:eastAsia="Calibri"/>
        </w:rPr>
        <w:t xml:space="preserve"> </w:t>
      </w:r>
      <w:r w:rsidR="006452BC" w:rsidRPr="00D27683">
        <w:rPr>
          <w:rFonts w:eastAsia="Calibri"/>
        </w:rPr>
        <w:t>triple inhaled therapy alone</w:t>
      </w:r>
      <w:r w:rsidR="00875F0D">
        <w:rPr>
          <w:rFonts w:asciiTheme="minorHAnsi" w:hAnsiTheme="minorHAnsi"/>
          <w:snapToGrid w:val="0"/>
          <w:szCs w:val="20"/>
        </w:rPr>
        <w:t xml:space="preserve"> </w:t>
      </w:r>
      <w:r w:rsidRPr="00CE42B4">
        <w:rPr>
          <w:rFonts w:asciiTheme="minorHAnsi" w:hAnsiTheme="minorHAnsi"/>
          <w:snapToGrid w:val="0"/>
          <w:szCs w:val="20"/>
        </w:rPr>
        <w:t>was reasonable.</w:t>
      </w:r>
      <w:bookmarkEnd w:id="114"/>
    </w:p>
    <w:p w14:paraId="2123B5D5" w14:textId="77777777" w:rsidR="00BF50CC" w:rsidRPr="00D27683" w:rsidRDefault="00BF50CC" w:rsidP="00135EE0">
      <w:pPr>
        <w:pStyle w:val="4-SubsectionHeading"/>
      </w:pPr>
      <w:bookmarkStart w:id="115" w:name="_Toc219884821"/>
      <w:bookmarkEnd w:id="12"/>
      <w:r w:rsidRPr="00D27683">
        <w:t>Economic analysis</w:t>
      </w:r>
      <w:bookmarkEnd w:id="115"/>
      <w:r w:rsidRPr="00D27683">
        <w:t xml:space="preserve"> </w:t>
      </w:r>
    </w:p>
    <w:p w14:paraId="72036865" w14:textId="22228978" w:rsidR="00BF50CC" w:rsidRPr="00D27683" w:rsidRDefault="00BF50CC" w:rsidP="00135EE0">
      <w:pPr>
        <w:pStyle w:val="3-BodyText"/>
        <w:rPr>
          <w:b/>
          <w:bCs/>
          <w:color w:val="0066FF"/>
        </w:rPr>
      </w:pPr>
      <w:r w:rsidRPr="00D27683">
        <w:t xml:space="preserve">The submission presented a modelled cost-utility analysis </w:t>
      </w:r>
      <w:r w:rsidR="00042064" w:rsidRPr="00D27683">
        <w:t xml:space="preserve">comparing mepolizumab plus triple inhaled therapy with triple inhaled therapy alone </w:t>
      </w:r>
      <w:r w:rsidRPr="00D27683">
        <w:t xml:space="preserve">utilising inputs from the </w:t>
      </w:r>
      <w:r w:rsidRPr="00D27683">
        <w:lastRenderedPageBreak/>
        <w:t xml:space="preserve">MATINEE trial and the literature. A summary of the key components of the economic evaluation is provided in </w:t>
      </w:r>
      <w:r w:rsidRPr="00D27683">
        <w:fldChar w:fldCharType="begin"/>
      </w:r>
      <w:r w:rsidRPr="00D27683">
        <w:instrText xml:space="preserve"> REF _Ref217380108 \h </w:instrText>
      </w:r>
      <w:r w:rsidR="00E41E40" w:rsidRPr="00D27683">
        <w:instrText xml:space="preserve"> \* MERGEFORMAT </w:instrText>
      </w:r>
      <w:r w:rsidRPr="00D27683">
        <w:fldChar w:fldCharType="separate"/>
      </w:r>
      <w:r w:rsidR="00733955" w:rsidRPr="00D27683" w:rsidDel="00774A72">
        <w:t xml:space="preserve">Table </w:t>
      </w:r>
      <w:r w:rsidR="00733955" w:rsidRPr="00D27683" w:rsidDel="00774A72">
        <w:rPr>
          <w:noProof/>
        </w:rPr>
        <w:t>11</w:t>
      </w:r>
      <w:r w:rsidRPr="00D27683">
        <w:fldChar w:fldCharType="end"/>
      </w:r>
      <w:r w:rsidRPr="00D27683">
        <w:t>.</w:t>
      </w:r>
    </w:p>
    <w:p w14:paraId="07C8D77E" w14:textId="77777777" w:rsidR="00BF50CC" w:rsidRPr="00D27683" w:rsidRDefault="00BF50CC" w:rsidP="00135EE0">
      <w:pPr>
        <w:pStyle w:val="3-BodyText"/>
        <w:numPr>
          <w:ilvl w:val="0"/>
          <w:numId w:val="0"/>
        </w:numPr>
        <w:ind w:left="720"/>
        <w:rPr>
          <w:b/>
          <w:bCs/>
          <w:color w:val="0066FF"/>
        </w:rPr>
      </w:pPr>
    </w:p>
    <w:p w14:paraId="3EFFA65C" w14:textId="7ADEF584" w:rsidR="00BF50CC" w:rsidRPr="00D27683" w:rsidRDefault="00BF50CC" w:rsidP="00135EE0">
      <w:pPr>
        <w:pStyle w:val="Caption"/>
        <w:jc w:val="left"/>
        <w:rPr>
          <w:rStyle w:val="CommentReference"/>
          <w:b/>
          <w:szCs w:val="24"/>
        </w:rPr>
      </w:pPr>
      <w:bookmarkStart w:id="116" w:name="_Ref217380108"/>
      <w:r w:rsidRPr="00D27683">
        <w:t xml:space="preserve">Table </w:t>
      </w:r>
      <w:fldSimple w:instr=" SEQ Table \* ARABIC ">
        <w:r w:rsidR="00FA28CE">
          <w:rPr>
            <w:noProof/>
          </w:rPr>
          <w:t>11</w:t>
        </w:r>
      </w:fldSimple>
      <w:bookmarkEnd w:id="116"/>
      <w:r w:rsidRPr="00D27683">
        <w:t>:</w:t>
      </w:r>
      <w:r w:rsidRPr="00D2768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2518"/>
        <w:gridCol w:w="6499"/>
      </w:tblGrid>
      <w:tr w:rsidR="00BF50CC" w:rsidRPr="00D27683" w14:paraId="64445228" w14:textId="77777777">
        <w:trPr>
          <w:tblHeader/>
        </w:trPr>
        <w:tc>
          <w:tcPr>
            <w:tcW w:w="1396" w:type="pct"/>
            <w:vAlign w:val="center"/>
          </w:tcPr>
          <w:p w14:paraId="709DE9FD" w14:textId="77777777" w:rsidR="00BF50CC" w:rsidRPr="00D27683" w:rsidRDefault="00BF50CC" w:rsidP="00135EE0">
            <w:pPr>
              <w:pStyle w:val="In-tableHeading"/>
              <w:jc w:val="center"/>
              <w:rPr>
                <w:lang w:val="en-AU"/>
              </w:rPr>
            </w:pPr>
            <w:r w:rsidRPr="00D27683">
              <w:rPr>
                <w:lang w:val="en-AU"/>
              </w:rPr>
              <w:t>Component</w:t>
            </w:r>
          </w:p>
        </w:tc>
        <w:tc>
          <w:tcPr>
            <w:tcW w:w="3604" w:type="pct"/>
            <w:vAlign w:val="center"/>
          </w:tcPr>
          <w:p w14:paraId="7526958E" w14:textId="77777777" w:rsidR="00BF50CC" w:rsidRPr="00D27683" w:rsidRDefault="00BF50CC" w:rsidP="00135EE0">
            <w:pPr>
              <w:pStyle w:val="In-tableHeading"/>
              <w:jc w:val="center"/>
              <w:rPr>
                <w:lang w:val="en-AU"/>
              </w:rPr>
            </w:pPr>
            <w:r w:rsidRPr="00D27683">
              <w:rPr>
                <w:lang w:val="en-AU"/>
              </w:rPr>
              <w:t>Summary</w:t>
            </w:r>
          </w:p>
        </w:tc>
      </w:tr>
      <w:tr w:rsidR="00BF50CC" w:rsidRPr="00D27683" w14:paraId="1E1EE434" w14:textId="77777777">
        <w:tc>
          <w:tcPr>
            <w:tcW w:w="1396" w:type="pct"/>
            <w:vAlign w:val="center"/>
          </w:tcPr>
          <w:p w14:paraId="2C10C630" w14:textId="77777777" w:rsidR="00BF50CC" w:rsidRPr="00D27683" w:rsidRDefault="00BF50CC" w:rsidP="00135EE0">
            <w:pPr>
              <w:pStyle w:val="TableText0"/>
            </w:pPr>
            <w:r w:rsidRPr="00D27683">
              <w:t>Treatments</w:t>
            </w:r>
          </w:p>
        </w:tc>
        <w:tc>
          <w:tcPr>
            <w:tcW w:w="3604" w:type="pct"/>
            <w:vAlign w:val="center"/>
          </w:tcPr>
          <w:p w14:paraId="1A8FEA5E" w14:textId="177789AA" w:rsidR="00BF50CC" w:rsidRPr="00D27683" w:rsidRDefault="00964889" w:rsidP="00135EE0">
            <w:pPr>
              <w:pStyle w:val="TableText0"/>
            </w:pPr>
            <w:r w:rsidRPr="00D27683">
              <w:t>Mepolizumab</w:t>
            </w:r>
            <w:r w:rsidR="00BF50CC" w:rsidRPr="00D27683">
              <w:t xml:space="preserve"> </w:t>
            </w:r>
            <w:r w:rsidR="006E72A8">
              <w:t>plus</w:t>
            </w:r>
            <w:r w:rsidR="00BF50CC" w:rsidRPr="00D27683">
              <w:t xml:space="preserve"> triple inhaled therapy vs triple inhaled therapy alone</w:t>
            </w:r>
          </w:p>
        </w:tc>
      </w:tr>
      <w:tr w:rsidR="00BF50CC" w:rsidRPr="00D27683" w14:paraId="0A82F83C" w14:textId="77777777">
        <w:tc>
          <w:tcPr>
            <w:tcW w:w="1396" w:type="pct"/>
            <w:vAlign w:val="center"/>
          </w:tcPr>
          <w:p w14:paraId="22256061" w14:textId="77777777" w:rsidR="00BF50CC" w:rsidRPr="00D27683" w:rsidRDefault="00BF50CC" w:rsidP="00135EE0">
            <w:pPr>
              <w:pStyle w:val="TableText0"/>
            </w:pPr>
            <w:r w:rsidRPr="00D27683">
              <w:t>Time horizon</w:t>
            </w:r>
          </w:p>
        </w:tc>
        <w:tc>
          <w:tcPr>
            <w:tcW w:w="3604" w:type="pct"/>
            <w:vAlign w:val="center"/>
          </w:tcPr>
          <w:p w14:paraId="0EEF39A4" w14:textId="77777777" w:rsidR="00BF50CC" w:rsidRPr="00D27683" w:rsidRDefault="00BF50CC" w:rsidP="00135EE0">
            <w:pPr>
              <w:pStyle w:val="TableText0"/>
            </w:pPr>
            <w:r w:rsidRPr="00D27683">
              <w:t>15 years in the model base case versus 104 weeks in trial</w:t>
            </w:r>
          </w:p>
        </w:tc>
      </w:tr>
      <w:tr w:rsidR="00BF50CC" w:rsidRPr="00D27683" w14:paraId="1EFD1D89" w14:textId="77777777">
        <w:tc>
          <w:tcPr>
            <w:tcW w:w="1396" w:type="pct"/>
            <w:vAlign w:val="center"/>
          </w:tcPr>
          <w:p w14:paraId="5D79DD5A" w14:textId="77777777" w:rsidR="00BF50CC" w:rsidRPr="00D27683" w:rsidRDefault="00BF50CC" w:rsidP="00135EE0">
            <w:pPr>
              <w:pStyle w:val="TableText0"/>
            </w:pPr>
            <w:r w:rsidRPr="00D27683">
              <w:t>Outcomes</w:t>
            </w:r>
          </w:p>
        </w:tc>
        <w:tc>
          <w:tcPr>
            <w:tcW w:w="3604" w:type="pct"/>
            <w:vAlign w:val="center"/>
          </w:tcPr>
          <w:p w14:paraId="272DB172" w14:textId="77777777" w:rsidR="00BF50CC" w:rsidRPr="00D27683" w:rsidRDefault="00BF50CC" w:rsidP="00135EE0">
            <w:pPr>
              <w:pStyle w:val="TableText0"/>
            </w:pPr>
            <w:r w:rsidRPr="00D27683">
              <w:t>Life years, QALYs, moderate COPD exacerbations, severe COPD exacerbations</w:t>
            </w:r>
          </w:p>
        </w:tc>
      </w:tr>
      <w:tr w:rsidR="00BF50CC" w:rsidRPr="00D27683" w14:paraId="358CBDD0" w14:textId="77777777">
        <w:tc>
          <w:tcPr>
            <w:tcW w:w="1396" w:type="pct"/>
            <w:vAlign w:val="center"/>
          </w:tcPr>
          <w:p w14:paraId="6F62D04E" w14:textId="77777777" w:rsidR="00BF50CC" w:rsidRPr="00D27683" w:rsidRDefault="00BF50CC" w:rsidP="00135EE0">
            <w:pPr>
              <w:pStyle w:val="TableText0"/>
            </w:pPr>
            <w:r w:rsidRPr="00D27683">
              <w:t>Methods used to generate results</w:t>
            </w:r>
          </w:p>
        </w:tc>
        <w:tc>
          <w:tcPr>
            <w:tcW w:w="3604" w:type="pct"/>
            <w:vAlign w:val="center"/>
          </w:tcPr>
          <w:p w14:paraId="3CDE41BD" w14:textId="77777777" w:rsidR="00BF50CC" w:rsidRPr="00D27683" w:rsidRDefault="00BF50CC" w:rsidP="00135EE0">
            <w:pPr>
              <w:pStyle w:val="TableText0"/>
            </w:pPr>
            <w:r w:rsidRPr="00D27683">
              <w:t>Markov model</w:t>
            </w:r>
          </w:p>
        </w:tc>
      </w:tr>
      <w:tr w:rsidR="00BF50CC" w:rsidRPr="00D27683" w14:paraId="71584B8A" w14:textId="77777777">
        <w:tc>
          <w:tcPr>
            <w:tcW w:w="1396" w:type="pct"/>
            <w:vAlign w:val="center"/>
          </w:tcPr>
          <w:p w14:paraId="735A9958" w14:textId="77777777" w:rsidR="00BF50CC" w:rsidRPr="00D27683" w:rsidRDefault="00BF50CC" w:rsidP="00135EE0">
            <w:pPr>
              <w:pStyle w:val="TableText0"/>
            </w:pPr>
            <w:r w:rsidRPr="00D27683">
              <w:t>Health states</w:t>
            </w:r>
          </w:p>
        </w:tc>
        <w:tc>
          <w:tcPr>
            <w:tcW w:w="3604" w:type="pct"/>
            <w:vAlign w:val="center"/>
          </w:tcPr>
          <w:p w14:paraId="75B9BB6D" w14:textId="43C71FC3" w:rsidR="00BF50CC" w:rsidRPr="00D27683" w:rsidRDefault="00BF50CC" w:rsidP="00135EE0">
            <w:pPr>
              <w:pStyle w:val="TableText0"/>
            </w:pPr>
            <w:r w:rsidRPr="00D27683">
              <w:t xml:space="preserve">No exacerbations, moderate exacerbation (0-3 months), severe exacerbations (0-3 months), severe exacerbations (3-12 months), frequent severe exacerbations (0-3 months), frequent severe exacerbations (3-12 months), post severe exacerbations (&gt;12 months), dead (8 states in total). </w:t>
            </w:r>
            <w:r w:rsidR="00813A1B" w:rsidRPr="00D27683">
              <w:t>Mepolizumab</w:t>
            </w:r>
            <w:r w:rsidRPr="00D27683">
              <w:t xml:space="preserve"> arm had these health states on-treatment and post-discontinuation.</w:t>
            </w:r>
          </w:p>
        </w:tc>
      </w:tr>
      <w:tr w:rsidR="00BF50CC" w:rsidRPr="00D27683" w14:paraId="6ABB379D" w14:textId="77777777">
        <w:tc>
          <w:tcPr>
            <w:tcW w:w="1396" w:type="pct"/>
            <w:vAlign w:val="center"/>
          </w:tcPr>
          <w:p w14:paraId="6356F294" w14:textId="77777777" w:rsidR="00BF50CC" w:rsidRPr="00D27683" w:rsidRDefault="00BF50CC" w:rsidP="00135EE0">
            <w:pPr>
              <w:pStyle w:val="TableText0"/>
            </w:pPr>
            <w:r w:rsidRPr="00D27683">
              <w:t>Cycle length</w:t>
            </w:r>
          </w:p>
        </w:tc>
        <w:tc>
          <w:tcPr>
            <w:tcW w:w="3604" w:type="pct"/>
            <w:vAlign w:val="center"/>
          </w:tcPr>
          <w:p w14:paraId="19A504F0" w14:textId="77777777" w:rsidR="00BF50CC" w:rsidRPr="00D27683" w:rsidRDefault="00BF50CC" w:rsidP="00135EE0">
            <w:pPr>
              <w:pStyle w:val="TableText0"/>
            </w:pPr>
            <w:r w:rsidRPr="00D27683">
              <w:t>3 months</w:t>
            </w:r>
          </w:p>
        </w:tc>
      </w:tr>
      <w:tr w:rsidR="00BF50CC" w:rsidRPr="00D27683" w14:paraId="7DCE7AE6" w14:textId="77777777">
        <w:tc>
          <w:tcPr>
            <w:tcW w:w="1396" w:type="pct"/>
            <w:vAlign w:val="center"/>
          </w:tcPr>
          <w:p w14:paraId="6CD0DFF0" w14:textId="61F456B5" w:rsidR="00BF50CC" w:rsidRPr="00D27683" w:rsidRDefault="00BF50CC" w:rsidP="00135EE0">
            <w:pPr>
              <w:pStyle w:val="TableText0"/>
            </w:pPr>
            <w:r w:rsidRPr="00D27683">
              <w:t>Transition probabilities</w:t>
            </w:r>
          </w:p>
        </w:tc>
        <w:tc>
          <w:tcPr>
            <w:tcW w:w="3604" w:type="pct"/>
            <w:vAlign w:val="center"/>
          </w:tcPr>
          <w:p w14:paraId="242BF872" w14:textId="5E730E33" w:rsidR="00BF50CC" w:rsidRPr="00D27683" w:rsidRDefault="00BF50CC" w:rsidP="00135EE0">
            <w:pPr>
              <w:pStyle w:val="TableText0"/>
            </w:pPr>
            <w:r w:rsidRPr="00D27683">
              <w:t>Background rates of moderate and severe exacerbations (MATINEE calibrated values reflective of exacerbation history at study entry).</w:t>
            </w:r>
          </w:p>
          <w:p w14:paraId="68CA75A3" w14:textId="77777777" w:rsidR="00CA6871" w:rsidRPr="00D27683" w:rsidRDefault="00CA6871" w:rsidP="00135EE0">
            <w:pPr>
              <w:pStyle w:val="TableText0"/>
            </w:pPr>
          </w:p>
          <w:p w14:paraId="45E6E370" w14:textId="7EF49E8E" w:rsidR="00BF50CC" w:rsidRPr="00D27683" w:rsidRDefault="00BF50CC" w:rsidP="00135EE0">
            <w:pPr>
              <w:pStyle w:val="TableText0"/>
            </w:pPr>
            <w:r w:rsidRPr="00D27683">
              <w:t>RR (vs baseline) of subsequent moderate and severe exacerbations after an initial exacerbation (pooled MATINEE, METREX, MERTREO, IMPACT, and ECPLISE trials).</w:t>
            </w:r>
          </w:p>
          <w:p w14:paraId="5A976A15" w14:textId="77777777" w:rsidR="00CA6871" w:rsidRPr="00D27683" w:rsidRDefault="00CA6871" w:rsidP="00135EE0">
            <w:pPr>
              <w:pStyle w:val="TableText0"/>
            </w:pPr>
          </w:p>
          <w:p w14:paraId="45B0181A" w14:textId="113A9AF7" w:rsidR="00BF50CC" w:rsidRPr="006D6FD8" w:rsidRDefault="00BF50CC" w:rsidP="00135EE0">
            <w:pPr>
              <w:pStyle w:val="TableText0"/>
              <w:rPr>
                <w:iCs/>
              </w:rPr>
            </w:pPr>
            <w:r w:rsidRPr="006D6FD8">
              <w:rPr>
                <w:iCs/>
              </w:rPr>
              <w:t>Ag</w:t>
            </w:r>
            <w:r w:rsidR="009C7D4D" w:rsidRPr="006D6FD8">
              <w:rPr>
                <w:iCs/>
              </w:rPr>
              <w:t>e adjusted CFR (15.6%)</w:t>
            </w:r>
            <w:r w:rsidR="009F7A7A" w:rsidRPr="006D6FD8">
              <w:rPr>
                <w:iCs/>
              </w:rPr>
              <w:t xml:space="preserve">. </w:t>
            </w:r>
            <w:r w:rsidR="00C17B20" w:rsidRPr="006D6FD8">
              <w:rPr>
                <w:iCs/>
              </w:rPr>
              <w:t xml:space="preserve">Age adjustment was </w:t>
            </w:r>
            <w:r w:rsidR="00832EB2" w:rsidRPr="006D6FD8">
              <w:rPr>
                <w:iCs/>
              </w:rPr>
              <w:t xml:space="preserve">calculated using </w:t>
            </w:r>
            <w:r w:rsidR="00C17B20" w:rsidRPr="006D6FD8">
              <w:rPr>
                <w:iCs/>
              </w:rPr>
              <w:t>a r</w:t>
            </w:r>
            <w:r w:rsidR="009F7A7A" w:rsidRPr="006D6FD8">
              <w:rPr>
                <w:iCs/>
              </w:rPr>
              <w:t>elative risk per year 1</w:t>
            </w:r>
            <w:r w:rsidR="001A4A5E" w:rsidRPr="006D6FD8">
              <w:rPr>
                <w:iCs/>
              </w:rPr>
              <w:t xml:space="preserve"> year increment</w:t>
            </w:r>
            <w:r w:rsidR="00C17B20" w:rsidRPr="006D6FD8">
              <w:rPr>
                <w:iCs/>
              </w:rPr>
              <w:t xml:space="preserve"> of</w:t>
            </w:r>
            <w:r w:rsidR="001A4A5E" w:rsidRPr="006D6FD8">
              <w:rPr>
                <w:iCs/>
              </w:rPr>
              <w:t xml:space="preserve"> 1.041 </w:t>
            </w:r>
            <w:r w:rsidR="00115645" w:rsidRPr="006D6FD8">
              <w:rPr>
                <w:iCs/>
              </w:rPr>
              <w:t>after the age of 69 years.</w:t>
            </w:r>
            <w:r w:rsidR="00536BD7" w:rsidRPr="006D6FD8">
              <w:rPr>
                <w:iCs/>
              </w:rPr>
              <w:t xml:space="preserve"> These values were based on Hoogendoorn et al 2011.</w:t>
            </w:r>
          </w:p>
          <w:p w14:paraId="06C74B50" w14:textId="2C33E4D2" w:rsidR="00536BD7" w:rsidRPr="006D6FD8" w:rsidRDefault="00A22AB2" w:rsidP="00135EE0">
            <w:pPr>
              <w:pStyle w:val="TableText0"/>
              <w:rPr>
                <w:iCs/>
              </w:rPr>
            </w:pPr>
            <w:r w:rsidRPr="006D6FD8">
              <w:rPr>
                <w:iCs/>
              </w:rPr>
              <w:t>SMR</w:t>
            </w:r>
            <w:r w:rsidR="00832EB2" w:rsidRPr="006D6FD8">
              <w:rPr>
                <w:iCs/>
              </w:rPr>
              <w:t>: 2.5</w:t>
            </w:r>
            <w:r w:rsidR="00185AE0" w:rsidRPr="006D6FD8">
              <w:rPr>
                <w:iCs/>
              </w:rPr>
              <w:t>x vs general population</w:t>
            </w:r>
            <w:r w:rsidR="00832EB2" w:rsidRPr="006D6FD8">
              <w:rPr>
                <w:iCs/>
              </w:rPr>
              <w:t xml:space="preserve"> (</w:t>
            </w:r>
            <w:proofErr w:type="spellStart"/>
            <w:r w:rsidR="00832EB2" w:rsidRPr="006D6FD8">
              <w:rPr>
                <w:iCs/>
              </w:rPr>
              <w:t>Samyshkin</w:t>
            </w:r>
            <w:proofErr w:type="spellEnd"/>
            <w:r w:rsidR="00832EB2" w:rsidRPr="006D6FD8">
              <w:rPr>
                <w:iCs/>
              </w:rPr>
              <w:t xml:space="preserve"> 2014)</w:t>
            </w:r>
            <w:r w:rsidR="00EF4812">
              <w:rPr>
                <w:iCs/>
              </w:rPr>
              <w:t>.</w:t>
            </w:r>
          </w:p>
          <w:p w14:paraId="5C57E047" w14:textId="77777777" w:rsidR="00CA6871" w:rsidRPr="006D6FD8" w:rsidRDefault="00CA6871" w:rsidP="00135EE0">
            <w:pPr>
              <w:pStyle w:val="TableText0"/>
              <w:rPr>
                <w:iCs/>
              </w:rPr>
            </w:pPr>
          </w:p>
          <w:p w14:paraId="0F7066F3" w14:textId="775CA24A" w:rsidR="00BF50CC" w:rsidRPr="00D27683" w:rsidRDefault="00813A1B" w:rsidP="00135EE0">
            <w:pPr>
              <w:pStyle w:val="TableText0"/>
            </w:pPr>
            <w:r w:rsidRPr="00D27683">
              <w:t xml:space="preserve">Mepolizumab </w:t>
            </w:r>
            <w:r w:rsidR="00BF50CC" w:rsidRPr="00D27683">
              <w:t xml:space="preserve">treatment efficacy: RR of moderate/severe exacerbations vs triple inhaled therapy alone for overall (Yr1) &amp; responder sub-population (Yr2+) – MATINEE. </w:t>
            </w:r>
          </w:p>
          <w:p w14:paraId="63E03FD6" w14:textId="77777777" w:rsidR="00CA6871" w:rsidRPr="00D27683" w:rsidRDefault="00CA6871" w:rsidP="00135EE0">
            <w:pPr>
              <w:pStyle w:val="TableText0"/>
            </w:pPr>
          </w:p>
          <w:p w14:paraId="662A3F62" w14:textId="380E6310" w:rsidR="00BF50CC" w:rsidRPr="00D27683" w:rsidRDefault="00BF50CC" w:rsidP="00135EE0">
            <w:pPr>
              <w:pStyle w:val="TableText0"/>
            </w:pPr>
            <w:r w:rsidRPr="00D27683">
              <w:t xml:space="preserve">Stopping rule: Proportion meeting response definition at 6 &amp; 12 months – MATINEE </w:t>
            </w:r>
            <w:r w:rsidR="00813A1B" w:rsidRPr="00D27683">
              <w:t xml:space="preserve">Mepolizumab </w:t>
            </w:r>
            <w:r w:rsidRPr="00D27683">
              <w:t>discontinuation rates: Overall (Yr1) &amp; responder sub-populations (Yr2+) – MATINEE.</w:t>
            </w:r>
          </w:p>
        </w:tc>
      </w:tr>
      <w:tr w:rsidR="00BF50CC" w:rsidRPr="00D27683" w14:paraId="2FA7F5EE" w14:textId="77777777">
        <w:tc>
          <w:tcPr>
            <w:tcW w:w="1396" w:type="pct"/>
            <w:vAlign w:val="center"/>
          </w:tcPr>
          <w:p w14:paraId="754DC3C3" w14:textId="1A727F68" w:rsidR="00BF50CC" w:rsidRPr="00D27683" w:rsidRDefault="00BF50CC" w:rsidP="00135EE0">
            <w:pPr>
              <w:pStyle w:val="TableText0"/>
            </w:pPr>
            <w:r w:rsidRPr="00D27683">
              <w:t>Health-related quality of life</w:t>
            </w:r>
          </w:p>
        </w:tc>
        <w:tc>
          <w:tcPr>
            <w:tcW w:w="3604" w:type="pct"/>
            <w:vAlign w:val="center"/>
          </w:tcPr>
          <w:p w14:paraId="35D6B679" w14:textId="78111995" w:rsidR="005130A3" w:rsidRPr="00D27683" w:rsidRDefault="00BF50CC" w:rsidP="00135EE0">
            <w:pPr>
              <w:pStyle w:val="TableText0"/>
              <w:rPr>
                <w:szCs w:val="20"/>
              </w:rPr>
            </w:pPr>
            <w:r w:rsidRPr="00D27683">
              <w:t>Baseline utilit</w:t>
            </w:r>
            <w:r w:rsidR="00590913" w:rsidRPr="00D27683">
              <w:t>y: 0.738</w:t>
            </w:r>
            <w:r w:rsidRPr="00D27683">
              <w:t xml:space="preserve"> (“no exacerbation” health state) </w:t>
            </w:r>
            <w:r w:rsidR="007D0346" w:rsidRPr="00D27683">
              <w:t>based on</w:t>
            </w:r>
            <w:r w:rsidRPr="00D27683">
              <w:t xml:space="preserve"> MATINEE EQ-5D-3L.</w:t>
            </w:r>
            <w:r w:rsidR="007D0346" w:rsidRPr="00D27683">
              <w:t xml:space="preserve"> </w:t>
            </w:r>
            <w:r w:rsidRPr="00D27683">
              <w:t xml:space="preserve">Disutilities </w:t>
            </w:r>
            <w:r w:rsidRPr="00D27683">
              <w:rPr>
                <w:szCs w:val="20"/>
              </w:rPr>
              <w:t xml:space="preserve">by health state relative to baseline (applied to both treatment arms) </w:t>
            </w:r>
            <w:r w:rsidR="007D0346" w:rsidRPr="00D27683">
              <w:rPr>
                <w:szCs w:val="20"/>
              </w:rPr>
              <w:t>based on</w:t>
            </w:r>
            <w:r w:rsidRPr="00D27683">
              <w:rPr>
                <w:szCs w:val="20"/>
              </w:rPr>
              <w:t xml:space="preserve"> pooled COPD trials EQ-5D-3L (MATINEE, METREX, MERTREO, and IMPACT)</w:t>
            </w:r>
            <w:r w:rsidR="00AA0914" w:rsidRPr="00D27683">
              <w:rPr>
                <w:szCs w:val="20"/>
              </w:rPr>
              <w:t xml:space="preserve">. </w:t>
            </w:r>
            <w:r w:rsidR="00AA0914" w:rsidRPr="006D6FD8">
              <w:rPr>
                <w:iCs/>
                <w:szCs w:val="20"/>
              </w:rPr>
              <w:t>Resulting utilities by health state:</w:t>
            </w:r>
          </w:p>
          <w:p w14:paraId="170AE3C5" w14:textId="77777777" w:rsidR="00FE0FC4" w:rsidRPr="006D6FD8" w:rsidRDefault="00FE0FC4" w:rsidP="00135EE0">
            <w:pPr>
              <w:pStyle w:val="TableText0"/>
              <w:rPr>
                <w:iCs/>
                <w:szCs w:val="20"/>
              </w:rPr>
            </w:pPr>
            <w:r w:rsidRPr="006D6FD8">
              <w:rPr>
                <w:iCs/>
                <w:szCs w:val="20"/>
              </w:rPr>
              <w:t>Moderate exacerbation: 0.72</w:t>
            </w:r>
          </w:p>
          <w:p w14:paraId="17D0BAFC" w14:textId="77777777" w:rsidR="00FE0FC4" w:rsidRPr="006D6FD8" w:rsidRDefault="00FE0FC4" w:rsidP="00135EE0">
            <w:pPr>
              <w:pStyle w:val="TableText0"/>
              <w:rPr>
                <w:iCs/>
                <w:szCs w:val="20"/>
              </w:rPr>
            </w:pPr>
            <w:r w:rsidRPr="006D6FD8">
              <w:rPr>
                <w:iCs/>
                <w:szCs w:val="20"/>
              </w:rPr>
              <w:t>Severe exacerbation 0-3 months: 0.68</w:t>
            </w:r>
          </w:p>
          <w:p w14:paraId="3DA214C9" w14:textId="77777777" w:rsidR="00FE0FC4" w:rsidRPr="006D6FD8" w:rsidRDefault="00FE0FC4" w:rsidP="00135EE0">
            <w:pPr>
              <w:pStyle w:val="TableText0"/>
              <w:rPr>
                <w:iCs/>
                <w:szCs w:val="20"/>
              </w:rPr>
            </w:pPr>
            <w:r w:rsidRPr="006D6FD8">
              <w:rPr>
                <w:iCs/>
                <w:szCs w:val="20"/>
              </w:rPr>
              <w:t>Severe exacerbation 3+ months: 0.69</w:t>
            </w:r>
          </w:p>
          <w:p w14:paraId="0E04488D" w14:textId="77777777" w:rsidR="00FE0FC4" w:rsidRPr="006D6FD8" w:rsidRDefault="00FE0FC4" w:rsidP="00135EE0">
            <w:pPr>
              <w:pStyle w:val="TableText0"/>
              <w:rPr>
                <w:iCs/>
                <w:szCs w:val="20"/>
              </w:rPr>
            </w:pPr>
            <w:r w:rsidRPr="006D6FD8">
              <w:rPr>
                <w:iCs/>
                <w:szCs w:val="20"/>
              </w:rPr>
              <w:t>Frequent severe exacerbations 0-3 months: 0.63</w:t>
            </w:r>
          </w:p>
          <w:p w14:paraId="5560016B" w14:textId="77777777" w:rsidR="00FE0FC4" w:rsidRPr="006D6FD8" w:rsidRDefault="00FE0FC4" w:rsidP="00135EE0">
            <w:pPr>
              <w:pStyle w:val="TableText0"/>
              <w:rPr>
                <w:iCs/>
                <w:szCs w:val="20"/>
              </w:rPr>
            </w:pPr>
            <w:r w:rsidRPr="006D6FD8">
              <w:rPr>
                <w:iCs/>
                <w:szCs w:val="20"/>
              </w:rPr>
              <w:t>Frequent severe exacerbations 3+ months: 0.66</w:t>
            </w:r>
          </w:p>
          <w:p w14:paraId="399BF8E3" w14:textId="30670673" w:rsidR="00BF50CC" w:rsidRPr="00D27683" w:rsidRDefault="00FE0FC4" w:rsidP="00135EE0">
            <w:pPr>
              <w:pStyle w:val="TableText0"/>
              <w:rPr>
                <w:szCs w:val="20"/>
              </w:rPr>
            </w:pPr>
            <w:r w:rsidRPr="006D6FD8">
              <w:rPr>
                <w:iCs/>
                <w:szCs w:val="20"/>
              </w:rPr>
              <w:t>Post severe exacerbations &gt;12 months: 0.65</w:t>
            </w:r>
          </w:p>
        </w:tc>
      </w:tr>
      <w:tr w:rsidR="00BF50CC" w:rsidRPr="00D27683" w14:paraId="0277B518" w14:textId="77777777">
        <w:tc>
          <w:tcPr>
            <w:tcW w:w="1396" w:type="pct"/>
            <w:vAlign w:val="center"/>
          </w:tcPr>
          <w:p w14:paraId="599280A7" w14:textId="77777777" w:rsidR="00BF50CC" w:rsidRPr="00D27683" w:rsidRDefault="00BF50CC" w:rsidP="00135EE0">
            <w:pPr>
              <w:pStyle w:val="TableText0"/>
            </w:pPr>
            <w:r w:rsidRPr="00D27683">
              <w:t>Costs</w:t>
            </w:r>
          </w:p>
        </w:tc>
        <w:tc>
          <w:tcPr>
            <w:tcW w:w="3604" w:type="pct"/>
            <w:vAlign w:val="center"/>
          </w:tcPr>
          <w:p w14:paraId="645E74A9" w14:textId="3DF01A2A" w:rsidR="00BF50CC" w:rsidRPr="00D27683" w:rsidRDefault="00813A1B" w:rsidP="00135EE0">
            <w:pPr>
              <w:pStyle w:val="TableText0"/>
              <w:numPr>
                <w:ilvl w:val="0"/>
                <w:numId w:val="8"/>
              </w:numPr>
            </w:pPr>
            <w:r w:rsidRPr="00D27683">
              <w:t>Mepolizumab</w:t>
            </w:r>
            <w:r w:rsidR="00B8707B" w:rsidRPr="00D27683">
              <w:t xml:space="preserve"> </w:t>
            </w:r>
            <w:r w:rsidR="00BF50CC" w:rsidRPr="00D27683">
              <w:t>requested price and administration training.</w:t>
            </w:r>
          </w:p>
          <w:p w14:paraId="16AE6A1D" w14:textId="013CF85C" w:rsidR="00BF50CC" w:rsidRPr="00D27683" w:rsidRDefault="00BF50CC" w:rsidP="00135EE0">
            <w:pPr>
              <w:pStyle w:val="TableText0"/>
              <w:numPr>
                <w:ilvl w:val="0"/>
                <w:numId w:val="8"/>
              </w:numPr>
            </w:pPr>
            <w:r w:rsidRPr="00D27683">
              <w:t>Triple inhaled therapy alone including ICS, LABA and LAMA.</w:t>
            </w:r>
          </w:p>
          <w:p w14:paraId="3C299188" w14:textId="77777777" w:rsidR="00BF50CC" w:rsidRPr="00D27683" w:rsidRDefault="00BF50CC" w:rsidP="00135EE0">
            <w:pPr>
              <w:pStyle w:val="TableText0"/>
              <w:numPr>
                <w:ilvl w:val="0"/>
                <w:numId w:val="8"/>
              </w:numPr>
            </w:pPr>
            <w:r w:rsidRPr="00D27683">
              <w:t>Exacerbation treatment per moderate and severe, including hospitalisation, outpatient treatment, and ED visits.</w:t>
            </w:r>
          </w:p>
          <w:p w14:paraId="21C0F4AF" w14:textId="77777777" w:rsidR="00BF50CC" w:rsidRPr="00D27683" w:rsidRDefault="00BF50CC" w:rsidP="00135EE0">
            <w:pPr>
              <w:pStyle w:val="TableText0"/>
              <w:numPr>
                <w:ilvl w:val="0"/>
                <w:numId w:val="7"/>
              </w:numPr>
            </w:pPr>
            <w:r w:rsidRPr="00D27683">
              <w:t>Disease monitoring by healthcare professionals.</w:t>
            </w:r>
          </w:p>
        </w:tc>
      </w:tr>
    </w:tbl>
    <w:p w14:paraId="456B1330" w14:textId="77777777" w:rsidR="00BF50CC" w:rsidRPr="00D27683" w:rsidRDefault="00BF50CC" w:rsidP="003338A0">
      <w:pPr>
        <w:pStyle w:val="TableFigureFooter"/>
      </w:pPr>
      <w:r w:rsidRPr="00D27683">
        <w:t>Source: Table 3-1, pp108-109 of the submission.</w:t>
      </w:r>
    </w:p>
    <w:p w14:paraId="37CBFE7E" w14:textId="1444BFBB" w:rsidR="00BF50CC" w:rsidRPr="00D27683" w:rsidRDefault="00A22AB2" w:rsidP="003338A0">
      <w:pPr>
        <w:pStyle w:val="TableFigureFooter"/>
      </w:pPr>
      <w:r w:rsidRPr="00D27683">
        <w:t xml:space="preserve">CFR – case fatality rate; </w:t>
      </w:r>
      <w:r w:rsidR="00BF50CC" w:rsidRPr="00D27683">
        <w:t>COPD = chronic obstructive pulmonary disease; ED = emergency department; EQ-5D-3L = EuroQoL 5-dimension 3-level questionnaire; ICS = inhaled corticosteroid; LABA = long-acting beta agonist; LAMA = long-acting muscarinic antagonist; QALY = quality-adjusted life year; RR = risk ratio; SC = subcutaneous; Yr = year.</w:t>
      </w:r>
    </w:p>
    <w:p w14:paraId="27EF0164" w14:textId="0E5721E8" w:rsidR="00BF50CC" w:rsidRPr="00D27683" w:rsidRDefault="00BF50CC" w:rsidP="00135EE0">
      <w:pPr>
        <w:pStyle w:val="3-BodyText"/>
      </w:pPr>
      <w:bookmarkStart w:id="117" w:name="_Hlk217404561"/>
      <w:r w:rsidRPr="00D27683">
        <w:lastRenderedPageBreak/>
        <w:t xml:space="preserve">The submission presented a Markov model to assess the long-term impact of mepolizumab compared with triple inhaled therapy alone. </w:t>
      </w:r>
      <w:bookmarkStart w:id="118" w:name="_Hlk217404538"/>
      <w:bookmarkEnd w:id="117"/>
      <w:r w:rsidRPr="00D27683">
        <w:t xml:space="preserve">The model structure is summarised in </w:t>
      </w:r>
      <w:r w:rsidRPr="00D27683">
        <w:fldChar w:fldCharType="begin"/>
      </w:r>
      <w:r w:rsidRPr="00D27683">
        <w:instrText xml:space="preserve"> REF _Ref217380864 \h </w:instrText>
      </w:r>
      <w:r w:rsidR="00E41E40" w:rsidRPr="00D27683">
        <w:instrText xml:space="preserve"> \* MERGEFORMAT </w:instrText>
      </w:r>
      <w:r w:rsidRPr="00D27683">
        <w:fldChar w:fldCharType="separate"/>
      </w:r>
      <w:r w:rsidR="00733955" w:rsidRPr="00D27683" w:rsidDel="00774A72">
        <w:t xml:space="preserve">Figure </w:t>
      </w:r>
      <w:r w:rsidR="00733955" w:rsidRPr="00D27683" w:rsidDel="00774A72">
        <w:rPr>
          <w:noProof/>
        </w:rPr>
        <w:t>1</w:t>
      </w:r>
      <w:r w:rsidRPr="00D27683">
        <w:fldChar w:fldCharType="end"/>
      </w:r>
      <w:r w:rsidRPr="00D27683">
        <w:t xml:space="preserve">. </w:t>
      </w:r>
      <w:bookmarkStart w:id="119" w:name="_Hlk219375243"/>
      <w:r w:rsidRPr="00D27683">
        <w:t>All individuals enter the model in the ‘no exacerbations’ health state where they remain until they either experience an exacerbation event (moderate or severe), discontinue from treatment (mepolizumab), or die. Severe and moderate exacerbations were captured in separate health states, while discontinuation from mepolizumab treatment was captured through parallel health states with ongoing exacerbation risk equal to the comparator arm. The model tracks short-term (0</w:t>
      </w:r>
      <w:r w:rsidRPr="00D27683">
        <w:rPr>
          <w:rFonts w:cstheme="minorHAnsi"/>
        </w:rPr>
        <w:t>–</w:t>
      </w:r>
      <w:r w:rsidRPr="00D27683">
        <w:t>3 months) and longer-term (&gt; 3 months moderate; 3</w:t>
      </w:r>
      <w:r w:rsidRPr="00D27683">
        <w:rPr>
          <w:rFonts w:cstheme="minorHAnsi"/>
        </w:rPr>
        <w:t>–</w:t>
      </w:r>
      <w:r w:rsidRPr="00D27683">
        <w:t>12 months/&gt; 12 months severe) impacts of each exacerbation through separate health states. Patients who have experienced an exacerbation are at increased risk of experiencing further exacerbations.</w:t>
      </w:r>
      <w:r w:rsidRPr="00D27683">
        <w:rPr>
          <w:rFonts w:ascii="Candara" w:eastAsia="Times New Roman" w:hAnsi="Candara" w:cs="Candara"/>
          <w:color w:val="000000"/>
          <w:sz w:val="23"/>
          <w:szCs w:val="23"/>
        </w:rPr>
        <w:t xml:space="preserve"> </w:t>
      </w:r>
      <w:r w:rsidRPr="00D27683">
        <w:t xml:space="preserve">Any patient experiencing a second severe exacerbation within 12 months moves to the frequent severe exacerbation-related health states. </w:t>
      </w:r>
      <w:bookmarkStart w:id="120" w:name="_Hlk219375397"/>
      <w:bookmarkEnd w:id="119"/>
      <w:r w:rsidRPr="00D27683">
        <w:t>This model structure differed from a large proportion of published economic evaluations in COPD, which are commonly based on the GOLD grades of severity based on airflow obstruction using post-bronchodilator FEV</w:t>
      </w:r>
      <w:r w:rsidRPr="00D27683">
        <w:rPr>
          <w:vertAlign w:val="subscript"/>
        </w:rPr>
        <w:t>1</w:t>
      </w:r>
      <w:r w:rsidRPr="00D27683">
        <w:t xml:space="preserve">. </w:t>
      </w:r>
      <w:r w:rsidR="00EC4BA8" w:rsidRPr="00D27683">
        <w:t xml:space="preserve">Model structures based on </w:t>
      </w:r>
      <w:r w:rsidR="00627940" w:rsidRPr="00D27683">
        <w:t xml:space="preserve">disease severity are </w:t>
      </w:r>
      <w:r w:rsidRPr="00D27683">
        <w:t>well-supported by the literature and better align with clinical guidelines, and previous COPD economic models considered by the PBAC (</w:t>
      </w:r>
      <w:bookmarkStart w:id="121" w:name="_Hlk219450508"/>
      <w:r w:rsidRPr="00D27683">
        <w:t xml:space="preserve">paragraph 6.29, </w:t>
      </w:r>
      <w:bookmarkEnd w:id="121"/>
      <w:r w:rsidRPr="00D27683">
        <w:t xml:space="preserve">fluticasone furoate with umeclidinium and vilanterol PSD, March 2019 PBAC meeting), given that GOLD stages accurately reflect lung function, symptoms and risk of exacerbation, which directly impacts patient-related costs, health-related quality of life and disease progression. </w:t>
      </w:r>
      <w:bookmarkEnd w:id="118"/>
      <w:r w:rsidRPr="00D27683">
        <w:t xml:space="preserve">Therefore, </w:t>
      </w:r>
      <w:r w:rsidR="004A3DFD" w:rsidRPr="006D6FD8">
        <w:rPr>
          <w:iCs/>
        </w:rPr>
        <w:t>the evaluation considered that</w:t>
      </w:r>
      <w:r w:rsidR="004A3DFD" w:rsidRPr="00D27683">
        <w:t xml:space="preserve"> </w:t>
      </w:r>
      <w:r w:rsidRPr="00D27683">
        <w:t xml:space="preserve">it would have been more appropriate </w:t>
      </w:r>
      <w:r w:rsidR="00627940" w:rsidRPr="00D27683">
        <w:t xml:space="preserve">if the model had </w:t>
      </w:r>
      <w:r w:rsidRPr="00D27683">
        <w:t>account</w:t>
      </w:r>
      <w:r w:rsidR="00627940" w:rsidRPr="00D27683">
        <w:t>ed</w:t>
      </w:r>
      <w:r w:rsidRPr="00D27683">
        <w:t xml:space="preserve"> for the GOLD severity grades</w:t>
      </w:r>
      <w:r w:rsidR="00627940" w:rsidRPr="00D27683">
        <w:t xml:space="preserve"> in its structure</w:t>
      </w:r>
      <w:r w:rsidRPr="00D27683">
        <w:t>.</w:t>
      </w:r>
      <w:bookmarkEnd w:id="120"/>
      <w:r w:rsidR="004A3DFD" w:rsidRPr="00D27683">
        <w:t xml:space="preserve"> </w:t>
      </w:r>
      <w:r w:rsidR="001D69AA" w:rsidRPr="006D6FD8">
        <w:rPr>
          <w:iCs/>
        </w:rPr>
        <w:t>The PSCR maintained that the model structure was appropriate, noting that prior exacerbations are the most reliable predictor of future exacerbations</w:t>
      </w:r>
      <w:r w:rsidR="00D62A45" w:rsidRPr="006D6FD8">
        <w:rPr>
          <w:iCs/>
        </w:rPr>
        <w:t xml:space="preserve"> and FEV</w:t>
      </w:r>
      <w:r w:rsidR="00D62A45" w:rsidRPr="006D6FD8">
        <w:rPr>
          <w:iCs/>
          <w:vertAlign w:val="subscript"/>
        </w:rPr>
        <w:t>1</w:t>
      </w:r>
      <w:r w:rsidR="00D62A45" w:rsidRPr="006D6FD8">
        <w:rPr>
          <w:iCs/>
        </w:rPr>
        <w:t xml:space="preserve"> alone is an unreliable surrogate measure</w:t>
      </w:r>
      <w:r w:rsidR="001D69AA" w:rsidRPr="006D6FD8">
        <w:rPr>
          <w:iCs/>
        </w:rPr>
        <w:t xml:space="preserve">. </w:t>
      </w:r>
      <w:r w:rsidR="004E21FF" w:rsidRPr="006D6FD8">
        <w:rPr>
          <w:iCs/>
        </w:rPr>
        <w:t xml:space="preserve">The PSCR noted that </w:t>
      </w:r>
      <w:r w:rsidR="00EA5673" w:rsidRPr="006D6FD8">
        <w:rPr>
          <w:iCs/>
        </w:rPr>
        <w:t xml:space="preserve">lung function was explored in MATINEE (exploratory endpoint). There was no significant difference between </w:t>
      </w:r>
      <w:proofErr w:type="gramStart"/>
      <w:r w:rsidR="00EA5673" w:rsidRPr="006D6FD8">
        <w:rPr>
          <w:iCs/>
        </w:rPr>
        <w:t>mepolizumab</w:t>
      </w:r>
      <w:proofErr w:type="gramEnd"/>
      <w:r w:rsidR="00EA5673" w:rsidRPr="006D6FD8">
        <w:rPr>
          <w:iCs/>
        </w:rPr>
        <w:t xml:space="preserve"> and placebo observed in </w:t>
      </w:r>
      <w:r w:rsidR="003D6CD9" w:rsidRPr="006D6FD8">
        <w:rPr>
          <w:iCs/>
        </w:rPr>
        <w:t xml:space="preserve">the </w:t>
      </w:r>
      <w:r w:rsidR="00EA5673" w:rsidRPr="006D6FD8">
        <w:rPr>
          <w:iCs/>
        </w:rPr>
        <w:t>change from baseline in pre-bronchodilator FEV1 at Week 52, and therefore</w:t>
      </w:r>
      <w:r w:rsidR="00860C34" w:rsidRPr="006D6FD8">
        <w:rPr>
          <w:iCs/>
        </w:rPr>
        <w:t xml:space="preserve"> the PSCR stated</w:t>
      </w:r>
      <w:r w:rsidR="00EA5673" w:rsidRPr="006D6FD8">
        <w:rPr>
          <w:iCs/>
        </w:rPr>
        <w:t xml:space="preserve"> </w:t>
      </w:r>
      <w:r w:rsidR="00C4012C" w:rsidRPr="006D6FD8">
        <w:rPr>
          <w:iCs/>
        </w:rPr>
        <w:t xml:space="preserve">it was not feasible to develop a model based on </w:t>
      </w:r>
      <w:r w:rsidR="00DD5679" w:rsidRPr="006D6FD8">
        <w:rPr>
          <w:iCs/>
        </w:rPr>
        <w:t xml:space="preserve">GOLD severity stages in the model. </w:t>
      </w:r>
      <w:r w:rsidR="00EE10EE" w:rsidRPr="006D6FD8">
        <w:rPr>
          <w:iCs/>
        </w:rPr>
        <w:t xml:space="preserve">The Sub-Committees </w:t>
      </w:r>
      <w:r w:rsidR="000C4154" w:rsidRPr="006D6FD8">
        <w:rPr>
          <w:iCs/>
        </w:rPr>
        <w:t xml:space="preserve">considered </w:t>
      </w:r>
      <w:r w:rsidR="0070417E" w:rsidRPr="006D6FD8">
        <w:rPr>
          <w:iCs/>
        </w:rPr>
        <w:t xml:space="preserve">that </w:t>
      </w:r>
      <w:r w:rsidR="00623999" w:rsidRPr="006D6FD8">
        <w:rPr>
          <w:iCs/>
        </w:rPr>
        <w:t>while the</w:t>
      </w:r>
      <w:r w:rsidR="0070417E" w:rsidRPr="006D6FD8">
        <w:rPr>
          <w:iCs/>
        </w:rPr>
        <w:t xml:space="preserve"> exclusion of</w:t>
      </w:r>
      <w:r w:rsidR="000C4154" w:rsidRPr="006D6FD8">
        <w:rPr>
          <w:iCs/>
        </w:rPr>
        <w:t xml:space="preserve"> FEV</w:t>
      </w:r>
      <w:r w:rsidR="000C4154" w:rsidRPr="006D6FD8">
        <w:rPr>
          <w:iCs/>
          <w:vertAlign w:val="subscript"/>
        </w:rPr>
        <w:t>1</w:t>
      </w:r>
      <w:r w:rsidR="000C4154" w:rsidRPr="006D6FD8">
        <w:rPr>
          <w:iCs/>
        </w:rPr>
        <w:t xml:space="preserve"> was a simplistic approach</w:t>
      </w:r>
      <w:r w:rsidR="00623999" w:rsidRPr="006D6FD8">
        <w:rPr>
          <w:iCs/>
        </w:rPr>
        <w:t xml:space="preserve">, </w:t>
      </w:r>
      <w:r w:rsidR="00EB0651" w:rsidRPr="006D6FD8">
        <w:rPr>
          <w:iCs/>
        </w:rPr>
        <w:t>FEV</w:t>
      </w:r>
      <w:r w:rsidR="00EB0651" w:rsidRPr="006D6FD8">
        <w:rPr>
          <w:iCs/>
          <w:vertAlign w:val="subscript"/>
        </w:rPr>
        <w:t>1</w:t>
      </w:r>
      <w:r w:rsidR="00EB0651" w:rsidRPr="006D6FD8">
        <w:rPr>
          <w:iCs/>
        </w:rPr>
        <w:t xml:space="preserve"> and exacerbations </w:t>
      </w:r>
      <w:r w:rsidR="003D6CD9" w:rsidRPr="006D6FD8">
        <w:rPr>
          <w:iCs/>
        </w:rPr>
        <w:t>were</w:t>
      </w:r>
      <w:r w:rsidR="00EB0651" w:rsidRPr="006D6FD8">
        <w:rPr>
          <w:iCs/>
        </w:rPr>
        <w:t xml:space="preserve"> correlated</w:t>
      </w:r>
      <w:r w:rsidR="003D6CD9" w:rsidRPr="006D6FD8">
        <w:rPr>
          <w:iCs/>
        </w:rPr>
        <w:t xml:space="preserve"> outcomes</w:t>
      </w:r>
      <w:r w:rsidR="009A6AD1" w:rsidRPr="006D6FD8">
        <w:rPr>
          <w:iCs/>
        </w:rPr>
        <w:t xml:space="preserve"> and the</w:t>
      </w:r>
      <w:r w:rsidR="00623999" w:rsidRPr="006D6FD8">
        <w:rPr>
          <w:iCs/>
        </w:rPr>
        <w:t>refore the</w:t>
      </w:r>
      <w:r w:rsidR="009A6AD1" w:rsidRPr="006D6FD8">
        <w:rPr>
          <w:iCs/>
        </w:rPr>
        <w:t xml:space="preserve"> approach taken was</w:t>
      </w:r>
      <w:r w:rsidR="008A0599" w:rsidRPr="006D6FD8">
        <w:rPr>
          <w:iCs/>
        </w:rPr>
        <w:t xml:space="preserve"> likely reasonable</w:t>
      </w:r>
      <w:r w:rsidR="006731BD" w:rsidRPr="006D6FD8">
        <w:rPr>
          <w:iCs/>
        </w:rPr>
        <w:t>,</w:t>
      </w:r>
      <w:r w:rsidR="008A0599" w:rsidRPr="006D6FD8">
        <w:rPr>
          <w:iCs/>
        </w:rPr>
        <w:t xml:space="preserve"> and possibly conservative</w:t>
      </w:r>
      <w:r w:rsidR="001E07FC" w:rsidRPr="006D6FD8">
        <w:rPr>
          <w:iCs/>
        </w:rPr>
        <w:t xml:space="preserve"> a</w:t>
      </w:r>
      <w:r w:rsidR="006731BD" w:rsidRPr="006D6FD8">
        <w:rPr>
          <w:iCs/>
        </w:rPr>
        <w:t>nd</w:t>
      </w:r>
      <w:r w:rsidR="001E07FC" w:rsidRPr="006D6FD8">
        <w:rPr>
          <w:iCs/>
        </w:rPr>
        <w:t xml:space="preserve"> removes the risk of double-counting</w:t>
      </w:r>
      <w:r w:rsidR="008A0599" w:rsidRPr="006D6FD8">
        <w:rPr>
          <w:iCs/>
        </w:rPr>
        <w:t>.</w:t>
      </w:r>
    </w:p>
    <w:p w14:paraId="17151619" w14:textId="44C1E57D" w:rsidR="00BF50CC" w:rsidRPr="00D27683" w:rsidRDefault="00BF50CC" w:rsidP="00135EE0">
      <w:pPr>
        <w:pStyle w:val="TableFigureHeading"/>
      </w:pPr>
      <w:bookmarkStart w:id="122" w:name="_Ref217380864"/>
      <w:r w:rsidRPr="00D27683">
        <w:lastRenderedPageBreak/>
        <w:t xml:space="preserve">Figure </w:t>
      </w:r>
      <w:fldSimple w:instr=" SEQ Figure \* ARABIC ">
        <w:r w:rsidR="00FA28CE">
          <w:rPr>
            <w:noProof/>
          </w:rPr>
          <w:t>1</w:t>
        </w:r>
      </w:fldSimple>
      <w:bookmarkEnd w:id="122"/>
      <w:r w:rsidRPr="00D27683">
        <w:t>: Model structure</w:t>
      </w:r>
    </w:p>
    <w:p w14:paraId="1EFD7C79" w14:textId="77777777" w:rsidR="00BF50CC" w:rsidRPr="00D27683" w:rsidRDefault="00BF50CC" w:rsidP="00135EE0">
      <w:pPr>
        <w:pStyle w:val="TableFigureHeading"/>
      </w:pPr>
      <w:r w:rsidRPr="00D27683">
        <w:rPr>
          <w:noProof/>
        </w:rPr>
        <w:drawing>
          <wp:inline distT="0" distB="0" distL="0" distR="0" wp14:anchorId="2D1E6818" wp14:editId="25DCEE7B">
            <wp:extent cx="5071533" cy="2920517"/>
            <wp:effectExtent l="0" t="0" r="0" b="635"/>
            <wp:docPr id="652699170" name="Picture 5"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99170" name="Picture 5" descr="Figure 1: Model stru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120" cy="2945041"/>
                    </a:xfrm>
                    <a:prstGeom prst="rect">
                      <a:avLst/>
                    </a:prstGeom>
                    <a:noFill/>
                    <a:ln>
                      <a:noFill/>
                    </a:ln>
                  </pic:spPr>
                </pic:pic>
              </a:graphicData>
            </a:graphic>
          </wp:inline>
        </w:drawing>
      </w:r>
    </w:p>
    <w:p w14:paraId="7D9CFB0E" w14:textId="77777777" w:rsidR="00BF50CC" w:rsidRPr="00D27683" w:rsidRDefault="00BF50CC" w:rsidP="003338A0">
      <w:pPr>
        <w:pStyle w:val="TableFigureFooter"/>
      </w:pPr>
      <w:r w:rsidRPr="00D27683">
        <w:t>Source: Figure 3-3, p123 of the submission.</w:t>
      </w:r>
    </w:p>
    <w:p w14:paraId="0A5844C5" w14:textId="203E6672" w:rsidR="00BF50CC" w:rsidRPr="00D27683" w:rsidRDefault="00BF50CC" w:rsidP="00135EE0">
      <w:pPr>
        <w:pStyle w:val="3-BodyText"/>
      </w:pPr>
      <w:bookmarkStart w:id="123" w:name="_Hlk217404592"/>
      <w:r w:rsidRPr="00D27683">
        <w:t>The submission proposed a 15-year time horizon</w:t>
      </w:r>
      <w:bookmarkEnd w:id="123"/>
      <w:r w:rsidRPr="00D27683">
        <w:t xml:space="preserve">, given that the MATINEE trial mean age was approximately 65 years and the median age of death for chronic lower respiratory diseases is approximately 80 years (Australian Bureau of Statistics [ABS], 2023). </w:t>
      </w:r>
      <w:bookmarkStart w:id="124" w:name="_Hlk219381465"/>
      <w:r w:rsidRPr="00D27683">
        <w:rPr>
          <w:rFonts w:eastAsia="Calibri"/>
        </w:rPr>
        <w:t xml:space="preserve">The PBAC previously accepted a 10-year time horizon for the economic model evaluating triple therapy for the treatment of patients with moderate to severe COPD with frequent exacerbations (paragraph 7.9, fluticasone furoate with umeclidinium and vilanterol, PSD, March 2019 PBAC meeting). </w:t>
      </w:r>
      <w:bookmarkStart w:id="125" w:name="_Hlk217404603"/>
      <w:bookmarkEnd w:id="124"/>
      <w:r w:rsidRPr="00D27683">
        <w:t xml:space="preserve">The model was sensitive to using a 10-year time horizon, increasing the incremental cost-effectiveness ratio (ICER) </w:t>
      </w:r>
      <w:bookmarkEnd w:id="125"/>
      <w:r w:rsidRPr="00D27683">
        <w:t>from $</w:t>
      </w:r>
      <w:r w:rsidR="00E453E1">
        <w:t>55,000 to &lt; $75,000</w:t>
      </w:r>
      <w:r w:rsidRPr="00D27683">
        <w:t xml:space="preserve"> per quality-adjusted life year (QALY) gained to $</w:t>
      </w:r>
      <w:r w:rsidR="00E453E1">
        <w:t xml:space="preserve">75,000 to </w:t>
      </w:r>
      <w:r w:rsidR="00934E00">
        <w:br/>
      </w:r>
      <w:r w:rsidR="00E453E1">
        <w:t>&lt; $95,000</w:t>
      </w:r>
      <w:r w:rsidRPr="00D27683">
        <w:t>/QALY gained (+</w:t>
      </w:r>
      <w:r w:rsidR="003C172C" w:rsidRPr="003C172C">
        <w:rPr>
          <w:sz w:val="2"/>
          <w:highlight w:val="black"/>
        </w:rPr>
        <w:t>redacted content</w:t>
      </w:r>
      <w:r w:rsidRPr="00D27683">
        <w:t xml:space="preserve">%). The impact on the ICER of varying the time horizon is shown in </w:t>
      </w:r>
      <w:r w:rsidRPr="00D27683">
        <w:fldChar w:fldCharType="begin"/>
      </w:r>
      <w:r w:rsidRPr="00D27683">
        <w:instrText xml:space="preserve"> REF _Ref217381151 \h  \* MERGEFORMAT </w:instrText>
      </w:r>
      <w:r w:rsidRPr="00D27683">
        <w:fldChar w:fldCharType="separate"/>
      </w:r>
      <w:r w:rsidR="00FA28CE" w:rsidRPr="00FA28CE">
        <w:rPr>
          <w:rStyle w:val="TableFigureHeadingChar"/>
          <w:rFonts w:asciiTheme="minorHAnsi" w:eastAsiaTheme="minorHAnsi" w:hAnsiTheme="minorHAnsi" w:cstheme="minorBidi"/>
          <w:b w:val="0"/>
          <w:bCs w:val="0"/>
          <w:szCs w:val="22"/>
        </w:rPr>
        <w:t>Figure 2</w:t>
      </w:r>
      <w:r w:rsidRPr="00D27683">
        <w:fldChar w:fldCharType="end"/>
      </w:r>
      <w:r w:rsidRPr="00D27683">
        <w:t>. The ICER becomes relatively stable at Year 6.</w:t>
      </w:r>
      <w:r w:rsidR="0057724F" w:rsidRPr="00D27683">
        <w:t xml:space="preserve"> </w:t>
      </w:r>
      <w:r w:rsidR="00146623" w:rsidRPr="006D6FD8">
        <w:rPr>
          <w:iCs/>
        </w:rPr>
        <w:t>The Sub-Committees considered that 10</w:t>
      </w:r>
      <w:r w:rsidR="00D30DD1" w:rsidRPr="006D6FD8">
        <w:rPr>
          <w:iCs/>
        </w:rPr>
        <w:t xml:space="preserve"> </w:t>
      </w:r>
      <w:r w:rsidR="00146623" w:rsidRPr="006D6FD8">
        <w:rPr>
          <w:iCs/>
        </w:rPr>
        <w:t>year</w:t>
      </w:r>
      <w:r w:rsidR="00D30DD1" w:rsidRPr="006D6FD8">
        <w:rPr>
          <w:iCs/>
        </w:rPr>
        <w:t>s</w:t>
      </w:r>
      <w:r w:rsidR="00146623" w:rsidRPr="006D6FD8">
        <w:rPr>
          <w:iCs/>
        </w:rPr>
        <w:t xml:space="preserve"> remained </w:t>
      </w:r>
      <w:r w:rsidR="00D30DD1" w:rsidRPr="006D6FD8">
        <w:rPr>
          <w:iCs/>
        </w:rPr>
        <w:t xml:space="preserve">the </w:t>
      </w:r>
      <w:r w:rsidR="00146623" w:rsidRPr="006D6FD8">
        <w:rPr>
          <w:iCs/>
        </w:rPr>
        <w:t xml:space="preserve">most appropriate </w:t>
      </w:r>
      <w:r w:rsidR="00D30DD1" w:rsidRPr="006D6FD8">
        <w:rPr>
          <w:iCs/>
        </w:rPr>
        <w:t xml:space="preserve">time horizon </w:t>
      </w:r>
      <w:r w:rsidR="00146623" w:rsidRPr="006D6FD8">
        <w:rPr>
          <w:iCs/>
        </w:rPr>
        <w:t>for this patient group.</w:t>
      </w:r>
      <w:r w:rsidR="00BF6815">
        <w:rPr>
          <w:iCs/>
        </w:rPr>
        <w:t xml:space="preserve"> The Pre-PBAC response proposed a </w:t>
      </w:r>
      <w:r w:rsidR="00E255F2">
        <w:rPr>
          <w:iCs/>
        </w:rPr>
        <w:t xml:space="preserve">revised base case </w:t>
      </w:r>
      <w:r w:rsidR="00C7056D">
        <w:rPr>
          <w:iCs/>
        </w:rPr>
        <w:t>which</w:t>
      </w:r>
      <w:r w:rsidR="00E255F2">
        <w:rPr>
          <w:iCs/>
        </w:rPr>
        <w:t xml:space="preserve"> included a 10 year time horizon (</w:t>
      </w:r>
      <w:r w:rsidR="00D55E1B">
        <w:rPr>
          <w:iCs/>
        </w:rPr>
        <w:t xml:space="preserve">see </w:t>
      </w:r>
      <w:r w:rsidR="00C7056D" w:rsidRPr="00C7056D">
        <w:rPr>
          <w:iCs/>
        </w:rPr>
        <w:t xml:space="preserve">paragraph </w:t>
      </w:r>
      <w:r w:rsidR="00C7056D" w:rsidRPr="00C7056D">
        <w:rPr>
          <w:iCs/>
        </w:rPr>
        <w:fldChar w:fldCharType="begin"/>
      </w:r>
      <w:r w:rsidR="00C7056D" w:rsidRPr="00C7056D">
        <w:rPr>
          <w:iCs/>
        </w:rPr>
        <w:instrText xml:space="preserve"> REF _Ref224907960 \r \h </w:instrText>
      </w:r>
      <w:r w:rsidR="00C7056D">
        <w:rPr>
          <w:iCs/>
        </w:rPr>
        <w:instrText xml:space="preserve"> \* MERGEFORMAT </w:instrText>
      </w:r>
      <w:r w:rsidR="00C7056D" w:rsidRPr="00C7056D">
        <w:rPr>
          <w:iCs/>
        </w:rPr>
      </w:r>
      <w:r w:rsidR="00C7056D" w:rsidRPr="00C7056D">
        <w:rPr>
          <w:iCs/>
        </w:rPr>
        <w:fldChar w:fldCharType="separate"/>
      </w:r>
      <w:r w:rsidR="00F26712">
        <w:rPr>
          <w:iCs/>
        </w:rPr>
        <w:t>6.55</w:t>
      </w:r>
      <w:r w:rsidR="00C7056D" w:rsidRPr="00C7056D">
        <w:rPr>
          <w:iCs/>
        </w:rPr>
        <w:fldChar w:fldCharType="end"/>
      </w:r>
      <w:r w:rsidR="00D55E1B" w:rsidRPr="00C7056D">
        <w:rPr>
          <w:iCs/>
        </w:rPr>
        <w:t>).</w:t>
      </w:r>
      <w:r w:rsidR="00D55E1B">
        <w:rPr>
          <w:iCs/>
        </w:rPr>
        <w:t xml:space="preserve"> </w:t>
      </w:r>
    </w:p>
    <w:p w14:paraId="7752F6A1" w14:textId="13BDA0AC" w:rsidR="00BF50CC" w:rsidRPr="00D27683" w:rsidRDefault="00BF50CC" w:rsidP="00135EE0">
      <w:pPr>
        <w:pStyle w:val="TableFigureHeading"/>
        <w:rPr>
          <w:rStyle w:val="TableFigureHeadingChar"/>
          <w:b/>
          <w:bCs/>
        </w:rPr>
      </w:pPr>
      <w:bookmarkStart w:id="126" w:name="_Ref217381151"/>
      <w:r w:rsidRPr="00D27683">
        <w:rPr>
          <w:rStyle w:val="TableFigureHeadingChar"/>
          <w:b/>
          <w:bCs/>
        </w:rPr>
        <w:lastRenderedPageBreak/>
        <w:t xml:space="preserve">Figure </w:t>
      </w:r>
      <w:r w:rsidRPr="00D27683">
        <w:rPr>
          <w:rStyle w:val="TableFigureHeadingChar"/>
          <w:b/>
          <w:bCs/>
        </w:rPr>
        <w:fldChar w:fldCharType="begin"/>
      </w:r>
      <w:r w:rsidRPr="00D27683">
        <w:rPr>
          <w:rStyle w:val="TableFigureHeadingChar"/>
          <w:b/>
          <w:bCs/>
        </w:rPr>
        <w:instrText xml:space="preserve"> SEQ Figure \* ARABIC </w:instrText>
      </w:r>
      <w:r w:rsidRPr="00D27683">
        <w:rPr>
          <w:rStyle w:val="TableFigureHeadingChar"/>
          <w:b/>
          <w:bCs/>
        </w:rPr>
        <w:fldChar w:fldCharType="separate"/>
      </w:r>
      <w:r w:rsidR="00FA28CE">
        <w:rPr>
          <w:rStyle w:val="TableFigureHeadingChar"/>
          <w:b/>
          <w:bCs/>
          <w:noProof/>
        </w:rPr>
        <w:t>2</w:t>
      </w:r>
      <w:r w:rsidRPr="00D27683">
        <w:rPr>
          <w:rStyle w:val="TableFigureHeadingChar"/>
          <w:b/>
          <w:bCs/>
        </w:rPr>
        <w:fldChar w:fldCharType="end"/>
      </w:r>
      <w:bookmarkEnd w:id="126"/>
      <w:r w:rsidRPr="00D27683">
        <w:rPr>
          <w:rStyle w:val="TableFigureHeadingChar"/>
          <w:b/>
          <w:bCs/>
        </w:rPr>
        <w:t>: ICER over time</w:t>
      </w:r>
    </w:p>
    <w:p w14:paraId="44CC801D" w14:textId="164E624F" w:rsidR="00BF50CC" w:rsidRPr="00D27683" w:rsidRDefault="001C0494" w:rsidP="00135EE0">
      <w:pPr>
        <w:pStyle w:val="TableFigureHeading"/>
      </w:pPr>
      <w:r>
        <w:rPr>
          <w:noProof/>
        </w:rPr>
        <mc:AlternateContent>
          <mc:Choice Requires="wps">
            <w:drawing>
              <wp:inline distT="0" distB="0" distL="0" distR="0" wp14:anchorId="0AFD3481" wp14:editId="1DC669C0">
                <wp:extent cx="5736326" cy="2501660"/>
                <wp:effectExtent l="0" t="0" r="17145" b="13335"/>
                <wp:docPr id="1332836299" name="Rectangle 1" descr="Redacted figure&#10;"/>
                <wp:cNvGraphicFramePr/>
                <a:graphic xmlns:a="http://schemas.openxmlformats.org/drawingml/2006/main">
                  <a:graphicData uri="http://schemas.microsoft.com/office/word/2010/wordprocessingShape">
                    <wps:wsp>
                      <wps:cNvSpPr/>
                      <wps:spPr>
                        <a:xfrm>
                          <a:off x="0" y="0"/>
                          <a:ext cx="5736326" cy="250166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4AE6E4" id="Rectangle 1" o:spid="_x0000_s1026" alt="Redacted figure&#10;" style="width:451.7pt;height:1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" fillcolor="black [3200]" strokecolor="black [480]" strokeweight="2pt">
                <w10:anchorlock/>
              </v:rect>
            </w:pict>
          </mc:Fallback>
        </mc:AlternateContent>
      </w:r>
    </w:p>
    <w:p w14:paraId="745BBBAA" w14:textId="77777777" w:rsidR="00BF50CC" w:rsidRPr="00D27683" w:rsidRDefault="00BF50CC" w:rsidP="003338A0">
      <w:pPr>
        <w:pStyle w:val="TableFigureFooter"/>
      </w:pPr>
      <w:r w:rsidRPr="00D27683">
        <w:t>Source: Compiled during the evaluation from Attachment ‘Nucala (Mepolizumab) COPD Mar 26 CUA’ of the submission.</w:t>
      </w:r>
    </w:p>
    <w:p w14:paraId="7E3B4E82" w14:textId="77777777" w:rsidR="00BF50CC" w:rsidRPr="00D27683" w:rsidRDefault="00BF50CC" w:rsidP="003338A0">
      <w:pPr>
        <w:pStyle w:val="TableFigureFooter"/>
      </w:pPr>
      <w:r w:rsidRPr="00D27683">
        <w:t>ICER = incremental cost-effectiveness ratio; QALY = quality=adjusted life year.</w:t>
      </w:r>
    </w:p>
    <w:p w14:paraId="443FC4D7" w14:textId="731E3DD7" w:rsidR="00BF50CC" w:rsidRPr="00D27683" w:rsidRDefault="00BF50CC" w:rsidP="00135EE0">
      <w:pPr>
        <w:pStyle w:val="3-BodyText"/>
      </w:pPr>
      <w:bookmarkStart w:id="127" w:name="_Hlk218494409"/>
      <w:r w:rsidRPr="00D27683">
        <w:t xml:space="preserve">The submission noted that the MATINEE trial had a disproportionately lower exacerbation rate during trial follow-up compared to </w:t>
      </w:r>
      <w:bookmarkStart w:id="128" w:name="_Hlk218848372"/>
      <w:r w:rsidRPr="00D27683">
        <w:t xml:space="preserve">the triple inhaled therapy alone eosinophilic subgroups </w:t>
      </w:r>
      <w:bookmarkEnd w:id="128"/>
      <w:r w:rsidRPr="00D27683">
        <w:t xml:space="preserve">in the METREX and METREO trials, which also evaluated mepolizumab. The submission claimed that this was due to the impact on the MATINEE trial of the COVID-19 pandemic. The model therefore used data from the 12 months prior to randomisation from MATINEE to source baseline exacerbation rates. </w:t>
      </w:r>
      <w:r w:rsidR="005E3136" w:rsidRPr="006D6FD8">
        <w:rPr>
          <w:iCs/>
        </w:rPr>
        <w:t xml:space="preserve">The </w:t>
      </w:r>
      <w:r w:rsidR="00446A1E" w:rsidRPr="006D6FD8">
        <w:rPr>
          <w:iCs/>
        </w:rPr>
        <w:t xml:space="preserve">Sub-Committees agreed with the </w:t>
      </w:r>
      <w:r w:rsidR="005E3136" w:rsidRPr="006D6FD8">
        <w:rPr>
          <w:iCs/>
        </w:rPr>
        <w:t>evaluation that this</w:t>
      </w:r>
      <w:r w:rsidR="005E3136" w:rsidRPr="00D27683">
        <w:t xml:space="preserve"> </w:t>
      </w:r>
      <w:r w:rsidRPr="00D27683">
        <w:t>was</w:t>
      </w:r>
      <w:r w:rsidR="00446A1E" w:rsidRPr="00D27683">
        <w:t xml:space="preserve"> </w:t>
      </w:r>
      <w:r w:rsidR="00446A1E" w:rsidRPr="006D6FD8">
        <w:rPr>
          <w:iCs/>
        </w:rPr>
        <w:t>likely to be</w:t>
      </w:r>
      <w:r w:rsidRPr="00D27683">
        <w:t xml:space="preserve"> reasonable </w:t>
      </w:r>
      <w:bookmarkStart w:id="129" w:name="_Hlk218850655"/>
      <w:r w:rsidRPr="00D27683">
        <w:t>as triple therapy for the prior 12 months was part of the inclusion criteria of MATINEE</w:t>
      </w:r>
      <w:bookmarkEnd w:id="129"/>
      <w:r w:rsidRPr="00D27683">
        <w:t xml:space="preserve">, noting the impact of the pandemic on the MATINEE trial outcomes was uncertain. </w:t>
      </w:r>
      <w:r w:rsidR="0074031A" w:rsidRPr="006D6FD8">
        <w:rPr>
          <w:iCs/>
        </w:rPr>
        <w:t>However, the Sub-Committees noted that</w:t>
      </w:r>
      <w:r w:rsidR="0074031A" w:rsidRPr="00D27683">
        <w:t xml:space="preserve"> i</w:t>
      </w:r>
      <w:r w:rsidRPr="00D27683">
        <w:t xml:space="preserve">t was not possible to test the baseline exacerbation rates during trial follow-up, as the submission did not provide these by the occurrence of moderate and severe exacerbations </w:t>
      </w:r>
      <w:bookmarkStart w:id="130" w:name="_Hlk218494616"/>
      <w:r w:rsidRPr="00D27683">
        <w:t>(as required as inputs into the model)</w:t>
      </w:r>
      <w:bookmarkEnd w:id="130"/>
      <w:r w:rsidRPr="00D27683">
        <w:t>. The submission conducted a sensitivity analysis using baseline exacerbation rates from pooled COPD trials (MATINEE, METREX, METREO, IMPACT, and ECLIPSE), which were lower for both moderate (1.702 vs. 0.920) and severe (0.201 vs. 0.170)</w:t>
      </w:r>
      <w:r w:rsidR="001B7A3B">
        <w:rPr>
          <w:rStyle w:val="FootnoteReference"/>
        </w:rPr>
        <w:footnoteReference w:id="8"/>
      </w:r>
      <w:r w:rsidRPr="00D27683">
        <w:t xml:space="preserve"> exacerbations compared to the base case. The model was sensitive to using the pooled COPD trials' baseline exacerbation rates, increasing the ICER from $</w:t>
      </w:r>
      <w:r w:rsidR="0078114E">
        <w:t xml:space="preserve">55,000 to </w:t>
      </w:r>
      <w:r w:rsidR="0078114E">
        <w:br/>
        <w:t>&lt; $75,000</w:t>
      </w:r>
      <w:r w:rsidRPr="00D27683">
        <w:t>/QALY gained to $</w:t>
      </w:r>
      <w:r w:rsidR="0078114E">
        <w:t>75,000 to &lt; $95,000</w:t>
      </w:r>
      <w:r w:rsidRPr="00D27683">
        <w:t>/QALY gained (+</w:t>
      </w:r>
      <w:r w:rsidR="003C172C" w:rsidRPr="003C172C">
        <w:rPr>
          <w:sz w:val="2"/>
          <w:highlight w:val="black"/>
        </w:rPr>
        <w:t>redacted content</w:t>
      </w:r>
      <w:r w:rsidRPr="00D27683">
        <w:t>%).</w:t>
      </w:r>
    </w:p>
    <w:p w14:paraId="5D6F506F" w14:textId="4500BD41" w:rsidR="00BF50CC" w:rsidRPr="00D27683" w:rsidRDefault="00BF50CC" w:rsidP="00135EE0">
      <w:pPr>
        <w:pStyle w:val="3-BodyText"/>
      </w:pPr>
      <w:r w:rsidRPr="00D27683">
        <w:t xml:space="preserve">The submission also pooled data from COPD trials </w:t>
      </w:r>
      <w:r w:rsidR="00E62D1D" w:rsidRPr="00D27683">
        <w:t>(MATINEE, METREX, METREO, IMPACT, and ECLIPSE)</w:t>
      </w:r>
      <w:r w:rsidR="00E62D1D">
        <w:t xml:space="preserve"> </w:t>
      </w:r>
      <w:r w:rsidRPr="00D27683">
        <w:t xml:space="preserve">to inform the estimates of subsequent exacerbations. The </w:t>
      </w:r>
      <w:r w:rsidRPr="00D27683">
        <w:lastRenderedPageBreak/>
        <w:t xml:space="preserve">submission applied the inclusion criteria from MATINEE (i.e., patients with ≥ 2 moderate or ≥ 1 severe exacerbation in the year prior and BEC of ≥ 300 cells/µL) to select participants from the additional trials. </w:t>
      </w:r>
      <w:r w:rsidR="00AA5C5E" w:rsidRPr="006D6FD8">
        <w:rPr>
          <w:iCs/>
        </w:rPr>
        <w:t>The evaluation considered that this</w:t>
      </w:r>
      <w:r w:rsidR="00AA5C5E" w:rsidRPr="00D27683">
        <w:t xml:space="preserve"> </w:t>
      </w:r>
      <w:r w:rsidRPr="00D27683">
        <w:t xml:space="preserve">was reasonable. The pooled population included patients from both treatment arms from MATINEE, METREX and METREO. Subsequent exacerbations could have been impacted by the effect of mepolizumab as it was used as treatment </w:t>
      </w:r>
      <w:bookmarkStart w:id="131" w:name="_Hlk218684410"/>
      <w:r w:rsidRPr="00D27683">
        <w:t>in MATINEE, METREX, and METREO</w:t>
      </w:r>
      <w:bookmarkEnd w:id="131"/>
      <w:r w:rsidRPr="00D27683">
        <w:t xml:space="preserve">. </w:t>
      </w:r>
    </w:p>
    <w:p w14:paraId="126D947C" w14:textId="200603A9" w:rsidR="00BF50CC" w:rsidRPr="00D27683" w:rsidRDefault="00BF50CC" w:rsidP="00135EE0">
      <w:pPr>
        <w:pStyle w:val="3-BodyText"/>
      </w:pPr>
      <w:bookmarkStart w:id="132" w:name="_Hlk218494716"/>
      <w:bookmarkEnd w:id="127"/>
      <w:r w:rsidRPr="00D27683">
        <w:t>The submission applied a standardised mortality ratio (SMR) of 2.5 to background mortality to reflect the increased probability of death for severe COPD patients</w:t>
      </w:r>
      <w:bookmarkEnd w:id="132"/>
      <w:r w:rsidRPr="00D27683">
        <w:t>, which excluded exacerbation-related mortality (</w:t>
      </w:r>
      <w:proofErr w:type="spellStart"/>
      <w:r w:rsidRPr="00D27683">
        <w:t>Samyshkin</w:t>
      </w:r>
      <w:proofErr w:type="spellEnd"/>
      <w:r w:rsidRPr="00D27683">
        <w:t xml:space="preserve"> et al. (2014)). This may have overestimated background mortality as 43.4% of the MATINEE population had moderate COPD. At the same time, it did not account for the SMR </w:t>
      </w:r>
      <w:r w:rsidR="00400020">
        <w:t xml:space="preserve">for </w:t>
      </w:r>
      <w:r w:rsidR="00376BEE" w:rsidRPr="00D27683">
        <w:t xml:space="preserve">very severe COPD </w:t>
      </w:r>
      <w:r w:rsidRPr="00D27683">
        <w:t xml:space="preserve">reported in </w:t>
      </w:r>
      <w:proofErr w:type="spellStart"/>
      <w:r w:rsidRPr="00D27683">
        <w:t>Samyshkin</w:t>
      </w:r>
      <w:proofErr w:type="spellEnd"/>
      <w:r w:rsidRPr="00D27683">
        <w:t xml:space="preserve"> et al. (2014) of 3.85. The model also included allowance for short-term increased mortality after a severe exacerbation by applying case-fatality rates (CFRs) to severe exacerbations in the first cycle post-exacerbation. The submission sourced a CFR of 15.6% (95% CI 10.9, 20.3) for a hospitalised exacerbation from a meta-analysis of Hoogendoorn et al. (2011). The approach by the submission resulted in the magnitudes of the SMRs being uncertain as it combined sources from different years and settings with unclear applicability to Australia in 2026</w:t>
      </w:r>
      <w:r w:rsidR="0059551C" w:rsidRPr="00D27683">
        <w:t>.</w:t>
      </w:r>
      <w:r w:rsidRPr="00D27683">
        <w:t xml:space="preserve"> </w:t>
      </w:r>
      <w:r w:rsidR="00026B0B">
        <w:t xml:space="preserve">Given that </w:t>
      </w:r>
      <w:r w:rsidR="00022C2D">
        <w:t xml:space="preserve">the SMR excluded exacerbation-related mortality, </w:t>
      </w:r>
      <w:r w:rsidR="00013C5F">
        <w:t>including a CFR</w:t>
      </w:r>
      <w:r w:rsidR="00BE7FF5">
        <w:t xml:space="preserve"> for exacerbation did not result in double counting.</w:t>
      </w:r>
      <w:r w:rsidRPr="00D27683">
        <w:t xml:space="preserve"> The submission also applied a multiplier for additional mortality risk per additional year, reported by Hoogendoorn et al. (2011) (RR = 1.041; 95%CI 1.037, 1.045), starting at 69 years, </w:t>
      </w:r>
      <w:bookmarkStart w:id="133" w:name="_Hlk217382224"/>
      <w:r w:rsidRPr="00D27683">
        <w:t>as the mean age of the meta-</w:t>
      </w:r>
      <w:bookmarkEnd w:id="133"/>
      <w:r w:rsidRPr="00D27683">
        <w:t xml:space="preserve">analysis. </w:t>
      </w:r>
      <w:r w:rsidR="00441B33" w:rsidRPr="006D6FD8">
        <w:rPr>
          <w:iCs/>
        </w:rPr>
        <w:t xml:space="preserve">The evaluation noted that this </w:t>
      </w:r>
      <w:r w:rsidRPr="00D27683">
        <w:t xml:space="preserve">may double count deaths due to exacerbations as the CFR (noted above) accounts for all ages. The model was not sensitive to removing the additional mortality risk per additional year. </w:t>
      </w:r>
    </w:p>
    <w:p w14:paraId="10E60A94" w14:textId="77777777" w:rsidR="00BF50CC" w:rsidRPr="00D27683" w:rsidRDefault="00BF50CC" w:rsidP="00135EE0">
      <w:pPr>
        <w:pStyle w:val="3-BodyText"/>
      </w:pPr>
      <w:bookmarkStart w:id="134" w:name="_Ref222588208"/>
      <w:r w:rsidRPr="00D27683">
        <w:t>Estimates of treatment efficacy were sourced from the MATINEE trial and applied as follows:</w:t>
      </w:r>
      <w:bookmarkEnd w:id="134"/>
      <w:r w:rsidRPr="00D27683">
        <w:t xml:space="preserve"> </w:t>
      </w:r>
    </w:p>
    <w:p w14:paraId="643085B6" w14:textId="4794A908" w:rsidR="00BF50CC" w:rsidRPr="00D27683" w:rsidRDefault="00BF50CC" w:rsidP="00135EE0">
      <w:pPr>
        <w:pStyle w:val="ListParagraph"/>
        <w:ind w:left="1134"/>
      </w:pPr>
      <w:r w:rsidRPr="00D27683">
        <w:t>Rate ratio</w:t>
      </w:r>
      <w:r w:rsidR="0082119D">
        <w:t>s</w:t>
      </w:r>
      <w:r w:rsidRPr="00D27683">
        <w:t xml:space="preserve"> (RR) </w:t>
      </w:r>
      <w:r w:rsidR="00190E16">
        <w:t>were</w:t>
      </w:r>
      <w:r w:rsidR="00DA5922">
        <w:t xml:space="preserve"> </w:t>
      </w:r>
      <w:r w:rsidRPr="00D27683">
        <w:t xml:space="preserve">applied to the triple inhaled therapy alone probabilities </w:t>
      </w:r>
      <w:r w:rsidR="00861329">
        <w:t xml:space="preserve">in Year 1 of the model </w:t>
      </w:r>
      <w:r w:rsidRPr="00D27683">
        <w:t xml:space="preserve">for moderate and severe exacerbations, separately. </w:t>
      </w:r>
      <w:r w:rsidR="003277DB" w:rsidRPr="006D6FD8">
        <w:rPr>
          <w:iCs/>
        </w:rPr>
        <w:t>The evaluation considered that this</w:t>
      </w:r>
      <w:r w:rsidR="003277DB" w:rsidRPr="00D27683">
        <w:t xml:space="preserve"> </w:t>
      </w:r>
      <w:r w:rsidRPr="00D27683">
        <w:t xml:space="preserve">was reasonable. The RRs (see </w:t>
      </w:r>
      <w:r w:rsidRPr="00D27683">
        <w:fldChar w:fldCharType="begin"/>
      </w:r>
      <w:r w:rsidRPr="00D27683">
        <w:instrText xml:space="preserve"> REF _Ref217382471 \h  \* MERGEFORMAT </w:instrText>
      </w:r>
      <w:r w:rsidRPr="00D27683">
        <w:fldChar w:fldCharType="separate"/>
      </w:r>
      <w:r w:rsidR="00774A72" w:rsidRPr="00D27683" w:rsidDel="00146D11">
        <w:t xml:space="preserve">Table </w:t>
      </w:r>
      <w:r w:rsidR="00774A72" w:rsidDel="00146D11">
        <w:rPr>
          <w:noProof/>
        </w:rPr>
        <w:t>12</w:t>
      </w:r>
      <w:r w:rsidRPr="00D27683">
        <w:fldChar w:fldCharType="end"/>
      </w:r>
      <w:r w:rsidRPr="00D27683">
        <w:t xml:space="preserve">) were informed by the relative reduction in the overall exacerbation rate per person, i.e., first and subsequent exacerbations. This was consistent with the primary outcome of the MATINEE trial but may have underestimated the RR for frequent exacerbations, as the primary outcome of the trial combined single with frequent exacerbations. </w:t>
      </w:r>
    </w:p>
    <w:p w14:paraId="34868EEE" w14:textId="419EEDA2" w:rsidR="00BF50CC" w:rsidRPr="00D27683" w:rsidRDefault="00BF50CC" w:rsidP="00135EE0">
      <w:pPr>
        <w:pStyle w:val="ListParagraph"/>
        <w:ind w:left="1134"/>
      </w:pPr>
      <w:r w:rsidRPr="00D27683">
        <w:t xml:space="preserve">To account for non-responders in Year 1, to which a stopping rule was applied, a separate treatment effect was applied to responders from Year 2 onwards. </w:t>
      </w:r>
      <w:bookmarkStart w:id="135" w:name="_Hlk218851574"/>
      <w:r w:rsidR="009A243F" w:rsidRPr="006D6FD8">
        <w:rPr>
          <w:iCs/>
        </w:rPr>
        <w:t>The evaluation considered that n</w:t>
      </w:r>
      <w:r w:rsidRPr="006D6FD8">
        <w:rPr>
          <w:iCs/>
        </w:rPr>
        <w:t>on-responders</w:t>
      </w:r>
      <w:r w:rsidRPr="00D27683">
        <w:t xml:space="preserve"> in Year 1 should have the same treatment effect as triple inhaled therapy alone as they would have never responded to mepolizumab</w:t>
      </w:r>
      <w:bookmarkEnd w:id="135"/>
      <w:r w:rsidRPr="00D27683">
        <w:t>.</w:t>
      </w:r>
      <w:r w:rsidR="00615145" w:rsidRPr="00D27683">
        <w:t xml:space="preserve"> </w:t>
      </w:r>
      <w:r w:rsidR="00615145" w:rsidRPr="006D6FD8">
        <w:rPr>
          <w:iCs/>
        </w:rPr>
        <w:t xml:space="preserve">The PSCR </w:t>
      </w:r>
      <w:r w:rsidR="00787973" w:rsidRPr="006D6FD8">
        <w:rPr>
          <w:iCs/>
        </w:rPr>
        <w:t>argued</w:t>
      </w:r>
      <w:r w:rsidR="005164E4" w:rsidRPr="006D6FD8">
        <w:rPr>
          <w:iCs/>
        </w:rPr>
        <w:t xml:space="preserve"> that it would</w:t>
      </w:r>
      <w:r w:rsidR="00615145" w:rsidRPr="006D6FD8">
        <w:rPr>
          <w:iCs/>
        </w:rPr>
        <w:t xml:space="preserve"> not be appropriate to apply</w:t>
      </w:r>
      <w:r w:rsidR="008C5D8E" w:rsidRPr="006D6FD8">
        <w:rPr>
          <w:iCs/>
        </w:rPr>
        <w:t xml:space="preserve"> the</w:t>
      </w:r>
      <w:r w:rsidR="00045902" w:rsidRPr="006D6FD8">
        <w:rPr>
          <w:iCs/>
        </w:rPr>
        <w:t xml:space="preserve"> data from the</w:t>
      </w:r>
      <w:r w:rsidR="00615145" w:rsidRPr="006D6FD8">
        <w:rPr>
          <w:iCs/>
        </w:rPr>
        <w:t xml:space="preserve"> </w:t>
      </w:r>
      <w:r w:rsidR="008C5D8E" w:rsidRPr="006D6FD8">
        <w:rPr>
          <w:iCs/>
        </w:rPr>
        <w:t>triple inhaled therapy alone</w:t>
      </w:r>
      <w:r w:rsidR="00615145" w:rsidRPr="006D6FD8">
        <w:rPr>
          <w:iCs/>
        </w:rPr>
        <w:t xml:space="preserve"> arm to the </w:t>
      </w:r>
      <w:r w:rsidR="00045902" w:rsidRPr="006D6FD8">
        <w:rPr>
          <w:iCs/>
        </w:rPr>
        <w:t>mepolizumab</w:t>
      </w:r>
      <w:r w:rsidR="00615145" w:rsidRPr="006D6FD8">
        <w:rPr>
          <w:iCs/>
        </w:rPr>
        <w:t xml:space="preserve"> arm </w:t>
      </w:r>
      <w:r w:rsidR="00615145" w:rsidRPr="006D6FD8">
        <w:rPr>
          <w:iCs/>
        </w:rPr>
        <w:lastRenderedPageBreak/>
        <w:t xml:space="preserve">during the observed trial period in patients who remain on treatment. </w:t>
      </w:r>
      <w:r w:rsidR="00F50E72" w:rsidRPr="006D6FD8">
        <w:rPr>
          <w:iCs/>
        </w:rPr>
        <w:t>The PSCR stated that in Y</w:t>
      </w:r>
      <w:r w:rsidR="00615145" w:rsidRPr="006D6FD8">
        <w:rPr>
          <w:iCs/>
        </w:rPr>
        <w:t xml:space="preserve">ear 1, the model applied the treatment effect observed in the overall </w:t>
      </w:r>
      <w:r w:rsidR="00F50E72" w:rsidRPr="006D6FD8">
        <w:rPr>
          <w:iCs/>
        </w:rPr>
        <w:t>mepolizumab</w:t>
      </w:r>
      <w:r w:rsidR="00615145" w:rsidRPr="006D6FD8">
        <w:rPr>
          <w:iCs/>
        </w:rPr>
        <w:t xml:space="preserve"> cohort which included both responders and non-responders, despite the stopping rule being applied in Month 6 which removed a proportion of non-responders from the modelled </w:t>
      </w:r>
      <w:r w:rsidR="003E756B" w:rsidRPr="006D6FD8">
        <w:rPr>
          <w:iCs/>
        </w:rPr>
        <w:t>mepolizumab</w:t>
      </w:r>
      <w:r w:rsidR="00615145" w:rsidRPr="006D6FD8">
        <w:rPr>
          <w:iCs/>
        </w:rPr>
        <w:t xml:space="preserve"> arm. </w:t>
      </w:r>
      <w:r w:rsidR="003E756B" w:rsidRPr="006D6FD8">
        <w:rPr>
          <w:iCs/>
        </w:rPr>
        <w:t>The PSCR considered this</w:t>
      </w:r>
      <w:r w:rsidR="00615145" w:rsidRPr="006D6FD8">
        <w:rPr>
          <w:iCs/>
        </w:rPr>
        <w:t xml:space="preserve"> to </w:t>
      </w:r>
      <w:r w:rsidR="003E756B" w:rsidRPr="006D6FD8">
        <w:rPr>
          <w:iCs/>
        </w:rPr>
        <w:t>be a</w:t>
      </w:r>
      <w:r w:rsidR="00615145" w:rsidRPr="006D6FD8">
        <w:rPr>
          <w:iCs/>
        </w:rPr>
        <w:t xml:space="preserve"> conservative </w:t>
      </w:r>
      <w:r w:rsidR="003E756B" w:rsidRPr="006D6FD8">
        <w:rPr>
          <w:iCs/>
        </w:rPr>
        <w:t>approach.</w:t>
      </w:r>
    </w:p>
    <w:p w14:paraId="292604F2" w14:textId="36184016" w:rsidR="00BF50CC" w:rsidRPr="00D27683" w:rsidRDefault="00BF50CC" w:rsidP="00135EE0">
      <w:pPr>
        <w:pStyle w:val="ListParagraph"/>
        <w:ind w:left="1134"/>
      </w:pPr>
      <w:r w:rsidRPr="00D27683">
        <w:t xml:space="preserve">Patients who discontinued would not have a residual treatment effect. </w:t>
      </w:r>
      <w:r w:rsidR="007E5BB3" w:rsidRPr="006D6FD8">
        <w:rPr>
          <w:iCs/>
        </w:rPr>
        <w:t xml:space="preserve">The evaluation considered that this </w:t>
      </w:r>
      <w:r w:rsidRPr="00D27683">
        <w:t xml:space="preserve">was reasonable. </w:t>
      </w:r>
      <w:bookmarkStart w:id="136" w:name="_Hlk215578695"/>
    </w:p>
    <w:p w14:paraId="32989281" w14:textId="1C19AF00" w:rsidR="00BF50CC" w:rsidRPr="00D27683" w:rsidRDefault="00BF50CC" w:rsidP="00135EE0">
      <w:pPr>
        <w:pStyle w:val="ListParagraph"/>
        <w:ind w:left="1134"/>
      </w:pPr>
      <w:r w:rsidRPr="00D27683">
        <w:t xml:space="preserve">Exacerbation RR for moderate events in Year 1 and Year 2+, as well as severe events in Year 2+ were not presented in the CSR. These could not be verified during the evaluation. </w:t>
      </w:r>
      <w:bookmarkStart w:id="137" w:name="_Hlk218847378"/>
      <w:r w:rsidRPr="00D27683">
        <w:t>The model results were sensitive to the application of the upper bound of the CI for the treatment effect (rate ratio) on severe exacerbations in Year 2+ (0.63). At this value, the ICER increased from $</w:t>
      </w:r>
      <w:r w:rsidR="0078114E">
        <w:t>55,000 to &lt; $75,000</w:t>
      </w:r>
      <w:r w:rsidRPr="00D27683">
        <w:t>/QALY gained to $</w:t>
      </w:r>
      <w:r w:rsidR="0078114E">
        <w:t>95,000 to &lt; $115,000</w:t>
      </w:r>
      <w:r w:rsidRPr="00D27683">
        <w:t>/QALY gained (+</w:t>
      </w:r>
      <w:r w:rsidR="003C172C" w:rsidRPr="003C172C">
        <w:rPr>
          <w:sz w:val="2"/>
          <w:highlight w:val="black"/>
        </w:rPr>
        <w:t>redacted content</w:t>
      </w:r>
      <w:r w:rsidRPr="00D27683">
        <w:t>%).</w:t>
      </w:r>
      <w:bookmarkEnd w:id="136"/>
      <w:bookmarkEnd w:id="137"/>
      <w:r w:rsidR="00BF4DF1" w:rsidRPr="00D27683">
        <w:t xml:space="preserve"> </w:t>
      </w:r>
      <w:r w:rsidR="00AF6FF0" w:rsidRPr="006D6FD8">
        <w:rPr>
          <w:iCs/>
        </w:rPr>
        <w:t xml:space="preserve">The PSCR </w:t>
      </w:r>
      <w:r w:rsidR="00294031" w:rsidRPr="006D6FD8">
        <w:rPr>
          <w:iCs/>
        </w:rPr>
        <w:t>clarified that the annualised rate of moderate exacerbations</w:t>
      </w:r>
      <w:r w:rsidR="00592C18" w:rsidRPr="006D6FD8">
        <w:rPr>
          <w:iCs/>
        </w:rPr>
        <w:t xml:space="preserve"> and </w:t>
      </w:r>
      <w:r w:rsidR="00682521" w:rsidRPr="006D6FD8">
        <w:rPr>
          <w:iCs/>
        </w:rPr>
        <w:t xml:space="preserve">responder </w:t>
      </w:r>
      <w:r w:rsidR="00AF103F" w:rsidRPr="006D6FD8">
        <w:rPr>
          <w:iCs/>
        </w:rPr>
        <w:t>subgroup</w:t>
      </w:r>
      <w:r w:rsidR="00682521" w:rsidRPr="006D6FD8">
        <w:rPr>
          <w:iCs/>
        </w:rPr>
        <w:t xml:space="preserve"> </w:t>
      </w:r>
      <w:r w:rsidR="00592C18" w:rsidRPr="006D6FD8">
        <w:rPr>
          <w:iCs/>
        </w:rPr>
        <w:t>analyses</w:t>
      </w:r>
      <w:r w:rsidR="00294031" w:rsidRPr="006D6FD8">
        <w:rPr>
          <w:iCs/>
        </w:rPr>
        <w:t xml:space="preserve"> </w:t>
      </w:r>
      <w:r w:rsidR="00AF103F" w:rsidRPr="006D6FD8">
        <w:rPr>
          <w:iCs/>
        </w:rPr>
        <w:t>were</w:t>
      </w:r>
      <w:r w:rsidR="00294031" w:rsidRPr="006D6FD8">
        <w:rPr>
          <w:iCs/>
        </w:rPr>
        <w:t xml:space="preserve"> </w:t>
      </w:r>
      <w:r w:rsidR="00447B51" w:rsidRPr="006D6FD8">
        <w:rPr>
          <w:iCs/>
        </w:rPr>
        <w:t xml:space="preserve">conducted </w:t>
      </w:r>
      <w:r w:rsidR="00294031" w:rsidRPr="006D6FD8">
        <w:rPr>
          <w:iCs/>
        </w:rPr>
        <w:t>post-hoc to inform the economic evaluation</w:t>
      </w:r>
      <w:r w:rsidR="00FC4128" w:rsidRPr="006D6FD8">
        <w:rPr>
          <w:iCs/>
        </w:rPr>
        <w:t>.</w:t>
      </w:r>
      <w:r w:rsidR="00FC4128" w:rsidRPr="00D27683">
        <w:rPr>
          <w:rFonts w:ascii="Calibri" w:hAnsi="Calibri" w:cs="Calibri"/>
          <w:snapToGrid/>
          <w:color w:val="000000"/>
          <w:sz w:val="22"/>
          <w:szCs w:val="22"/>
        </w:rPr>
        <w:t xml:space="preserve"> </w:t>
      </w:r>
      <w:r w:rsidR="00BF4DF1" w:rsidRPr="006D6FD8">
        <w:rPr>
          <w:iCs/>
        </w:rPr>
        <w:t>The Sub-Committees considered the</w:t>
      </w:r>
      <w:r w:rsidR="006251C9" w:rsidRPr="006D6FD8">
        <w:rPr>
          <w:iCs/>
        </w:rPr>
        <w:t xml:space="preserve"> rates for moderate</w:t>
      </w:r>
      <w:r w:rsidR="00DA508F" w:rsidRPr="006D6FD8">
        <w:rPr>
          <w:iCs/>
        </w:rPr>
        <w:t xml:space="preserve"> (year 1 and year 2+)</w:t>
      </w:r>
      <w:r w:rsidR="006251C9" w:rsidRPr="006D6FD8">
        <w:rPr>
          <w:iCs/>
        </w:rPr>
        <w:t xml:space="preserve"> and severe events</w:t>
      </w:r>
      <w:r w:rsidR="00DA508F" w:rsidRPr="006D6FD8">
        <w:rPr>
          <w:iCs/>
        </w:rPr>
        <w:t xml:space="preserve"> (year 2+) applied in the base case of the model appeared reasonable.</w:t>
      </w:r>
    </w:p>
    <w:p w14:paraId="2239297E" w14:textId="4A6B08D6" w:rsidR="00BF50CC" w:rsidRPr="00D27683" w:rsidRDefault="00BF50CC" w:rsidP="00135EE0">
      <w:pPr>
        <w:pStyle w:val="TableFigureHeading"/>
        <w:rPr>
          <w:bCs w:val="0"/>
        </w:rPr>
      </w:pPr>
      <w:bookmarkStart w:id="138" w:name="_Ref217382471"/>
      <w:r w:rsidRPr="00D27683">
        <w:t xml:space="preserve">Table </w:t>
      </w:r>
      <w:fldSimple w:instr=" SEQ Table \* ARABIC ">
        <w:r w:rsidR="00FA28CE">
          <w:rPr>
            <w:noProof/>
          </w:rPr>
          <w:t>12</w:t>
        </w:r>
      </w:fldSimple>
      <w:bookmarkEnd w:id="138"/>
      <w:r w:rsidRPr="00D27683">
        <w:t>: Relative treatment efficacy of mepolizumab vs triple inhaled therapy alone against 1</w:t>
      </w:r>
      <w:r w:rsidRPr="00D27683">
        <w:rPr>
          <w:vertAlign w:val="superscript"/>
        </w:rPr>
        <w:t>st</w:t>
      </w:r>
      <w:r w:rsidRPr="00D27683">
        <w:t xml:space="preserve"> and subsequent moderate &amp; severe exacerbations</w:t>
      </w:r>
    </w:p>
    <w:tbl>
      <w:tblPr>
        <w:tblStyle w:val="TableGrid"/>
        <w:tblW w:w="5000" w:type="pct"/>
        <w:tblLook w:val="04A0" w:firstRow="1" w:lastRow="0" w:firstColumn="1" w:lastColumn="0" w:noHBand="0" w:noVBand="1"/>
        <w:tblCaption w:val="Table 12: Relative treatment efficacy of mepolizumab vs triple inhaled therapy alone against 1st and subsequent moderate &amp; severe exacerbations"/>
      </w:tblPr>
      <w:tblGrid>
        <w:gridCol w:w="3008"/>
        <w:gridCol w:w="2804"/>
        <w:gridCol w:w="3205"/>
      </w:tblGrid>
      <w:tr w:rsidR="000C214C" w:rsidRPr="00D27683" w14:paraId="673A95A3" w14:textId="77777777">
        <w:tc>
          <w:tcPr>
            <w:tcW w:w="1668" w:type="pct"/>
            <w:vAlign w:val="center"/>
          </w:tcPr>
          <w:p w14:paraId="05F99D52" w14:textId="77777777" w:rsidR="00BF50CC" w:rsidRPr="00D27683" w:rsidRDefault="00BF50CC" w:rsidP="00135EE0">
            <w:pPr>
              <w:pStyle w:val="TableText0"/>
              <w:jc w:val="center"/>
              <w:rPr>
                <w:b/>
                <w:bCs w:val="0"/>
              </w:rPr>
            </w:pPr>
            <w:r w:rsidRPr="00D27683">
              <w:rPr>
                <w:b/>
                <w:bCs w:val="0"/>
              </w:rPr>
              <w:t>Exacerbation severity, RR (95% CI)</w:t>
            </w:r>
          </w:p>
        </w:tc>
        <w:tc>
          <w:tcPr>
            <w:tcW w:w="1555" w:type="pct"/>
            <w:vAlign w:val="center"/>
          </w:tcPr>
          <w:p w14:paraId="5414FE65" w14:textId="77777777" w:rsidR="00BF50CC" w:rsidRPr="00D27683" w:rsidRDefault="00BF50CC" w:rsidP="00135EE0">
            <w:pPr>
              <w:pStyle w:val="TableText0"/>
              <w:jc w:val="center"/>
              <w:rPr>
                <w:b/>
                <w:bCs w:val="0"/>
              </w:rPr>
            </w:pPr>
            <w:r w:rsidRPr="00D27683">
              <w:rPr>
                <w:b/>
                <w:bCs w:val="0"/>
              </w:rPr>
              <w:t>Overall population (Year 1)</w:t>
            </w:r>
          </w:p>
        </w:tc>
        <w:tc>
          <w:tcPr>
            <w:tcW w:w="1777" w:type="pct"/>
            <w:vAlign w:val="center"/>
          </w:tcPr>
          <w:p w14:paraId="44705DF4" w14:textId="77777777" w:rsidR="00BF50CC" w:rsidRPr="00D27683" w:rsidRDefault="00BF50CC" w:rsidP="00135EE0">
            <w:pPr>
              <w:pStyle w:val="TableText0"/>
              <w:jc w:val="center"/>
              <w:rPr>
                <w:b/>
                <w:bCs w:val="0"/>
              </w:rPr>
            </w:pPr>
            <w:r w:rsidRPr="00D27683">
              <w:rPr>
                <w:b/>
                <w:bCs w:val="0"/>
              </w:rPr>
              <w:t xml:space="preserve">Responder sub-population </w:t>
            </w:r>
          </w:p>
          <w:p w14:paraId="25D13DBF" w14:textId="77777777" w:rsidR="00BF50CC" w:rsidRPr="00D27683" w:rsidRDefault="00BF50CC" w:rsidP="00135EE0">
            <w:pPr>
              <w:pStyle w:val="TableText0"/>
              <w:jc w:val="center"/>
              <w:rPr>
                <w:b/>
                <w:bCs w:val="0"/>
              </w:rPr>
            </w:pPr>
            <w:r w:rsidRPr="00D27683">
              <w:rPr>
                <w:b/>
                <w:bCs w:val="0"/>
              </w:rPr>
              <w:t>(Year 2+)</w:t>
            </w:r>
          </w:p>
        </w:tc>
      </w:tr>
      <w:tr w:rsidR="000C214C" w:rsidRPr="00D27683" w14:paraId="792AC00E" w14:textId="77777777">
        <w:tc>
          <w:tcPr>
            <w:tcW w:w="1668" w:type="pct"/>
            <w:vAlign w:val="center"/>
          </w:tcPr>
          <w:p w14:paraId="4D8B7278" w14:textId="77777777" w:rsidR="00BF50CC" w:rsidRPr="00D27683" w:rsidRDefault="00BF50CC" w:rsidP="00135EE0">
            <w:pPr>
              <w:pStyle w:val="TableText0"/>
            </w:pPr>
            <w:r w:rsidRPr="00D27683">
              <w:t>Moderate</w:t>
            </w:r>
          </w:p>
        </w:tc>
        <w:tc>
          <w:tcPr>
            <w:tcW w:w="1555" w:type="pct"/>
            <w:vAlign w:val="center"/>
          </w:tcPr>
          <w:p w14:paraId="79B340C7" w14:textId="77777777" w:rsidR="00BF50CC" w:rsidRPr="00D27683" w:rsidRDefault="00BF50CC" w:rsidP="00135EE0">
            <w:pPr>
              <w:pStyle w:val="TableText0"/>
              <w:jc w:val="center"/>
              <w:rPr>
                <w:vertAlign w:val="superscript"/>
              </w:rPr>
            </w:pPr>
            <w:r w:rsidRPr="00D27683">
              <w:t>0.79 (0.65, 0.96)</w:t>
            </w:r>
            <w:r w:rsidRPr="00D27683">
              <w:rPr>
                <w:vertAlign w:val="superscript"/>
              </w:rPr>
              <w:t>a</w:t>
            </w:r>
          </w:p>
        </w:tc>
        <w:tc>
          <w:tcPr>
            <w:tcW w:w="1777" w:type="pct"/>
            <w:vAlign w:val="center"/>
          </w:tcPr>
          <w:p w14:paraId="6CC914AA" w14:textId="77777777" w:rsidR="00BF50CC" w:rsidRPr="00D27683" w:rsidRDefault="00BF50CC" w:rsidP="00135EE0">
            <w:pPr>
              <w:pStyle w:val="TableText0"/>
              <w:jc w:val="center"/>
            </w:pPr>
            <w:r w:rsidRPr="00D27683">
              <w:t>0.65 (0.53, 0.81)</w:t>
            </w:r>
            <w:r w:rsidRPr="00D27683">
              <w:rPr>
                <w:vertAlign w:val="superscript"/>
              </w:rPr>
              <w:t>a</w:t>
            </w:r>
          </w:p>
        </w:tc>
      </w:tr>
      <w:tr w:rsidR="000C214C" w:rsidRPr="00D27683" w14:paraId="339486D5" w14:textId="77777777">
        <w:tc>
          <w:tcPr>
            <w:tcW w:w="1668" w:type="pct"/>
            <w:vAlign w:val="center"/>
          </w:tcPr>
          <w:p w14:paraId="7816D47D" w14:textId="77777777" w:rsidR="00BF50CC" w:rsidRPr="00D27683" w:rsidRDefault="00BF50CC" w:rsidP="00135EE0">
            <w:pPr>
              <w:pStyle w:val="TableText0"/>
            </w:pPr>
            <w:r w:rsidRPr="00D27683">
              <w:t>Severe</w:t>
            </w:r>
          </w:p>
        </w:tc>
        <w:tc>
          <w:tcPr>
            <w:tcW w:w="1555" w:type="pct"/>
            <w:vAlign w:val="center"/>
          </w:tcPr>
          <w:p w14:paraId="1EE2C5E9" w14:textId="77777777" w:rsidR="00BF50CC" w:rsidRPr="00D27683" w:rsidRDefault="00BF50CC" w:rsidP="00135EE0">
            <w:pPr>
              <w:pStyle w:val="TableText0"/>
              <w:jc w:val="center"/>
            </w:pPr>
            <w:r w:rsidRPr="00D27683">
              <w:t>0.66 (0.43, 1.01)</w:t>
            </w:r>
          </w:p>
        </w:tc>
        <w:tc>
          <w:tcPr>
            <w:tcW w:w="1777" w:type="pct"/>
            <w:vAlign w:val="center"/>
          </w:tcPr>
          <w:p w14:paraId="7CCF30EA" w14:textId="77777777" w:rsidR="00BF50CC" w:rsidRPr="00D27683" w:rsidRDefault="00BF50CC" w:rsidP="00135EE0">
            <w:pPr>
              <w:pStyle w:val="TableText0"/>
              <w:jc w:val="center"/>
            </w:pPr>
            <w:r w:rsidRPr="00D27683">
              <w:t>0.33 (0.17, 0.63)</w:t>
            </w:r>
            <w:r w:rsidRPr="00D27683">
              <w:rPr>
                <w:vertAlign w:val="superscript"/>
              </w:rPr>
              <w:t>a</w:t>
            </w:r>
          </w:p>
        </w:tc>
      </w:tr>
    </w:tbl>
    <w:p w14:paraId="64055CBD" w14:textId="77777777" w:rsidR="00BF50CC" w:rsidRPr="00D27683" w:rsidRDefault="00BF50CC" w:rsidP="003338A0">
      <w:pPr>
        <w:pStyle w:val="TableFigureFooter"/>
      </w:pPr>
      <w:r w:rsidRPr="00D27683">
        <w:t>Source: Table 3-21, p142 of the submission.</w:t>
      </w:r>
    </w:p>
    <w:p w14:paraId="3CC3A3D0" w14:textId="61AF0E55" w:rsidR="00BF50CC" w:rsidRPr="00D27683" w:rsidRDefault="00BF50CC" w:rsidP="003338A0">
      <w:pPr>
        <w:pStyle w:val="TableFigureFooter"/>
      </w:pPr>
      <w:r w:rsidRPr="00D27683">
        <w:t>CI = confidence interval; RR = rate ratio.</w:t>
      </w:r>
    </w:p>
    <w:p w14:paraId="28E04D75" w14:textId="7D544A47" w:rsidR="003338A0" w:rsidRDefault="00BF50CC" w:rsidP="003338A0">
      <w:pPr>
        <w:pStyle w:val="TableFigureFooter"/>
      </w:pPr>
      <w:r w:rsidRPr="00D27683">
        <w:rPr>
          <w:vertAlign w:val="superscript"/>
        </w:rPr>
        <w:t>a</w:t>
      </w:r>
      <w:r w:rsidRPr="00D27683">
        <w:t xml:space="preserve"> Could not be verified in the evaluation.</w:t>
      </w:r>
      <w:r w:rsidR="00624E88" w:rsidRPr="00D27683">
        <w:t xml:space="preserve"> </w:t>
      </w:r>
      <w:r w:rsidR="00624E88" w:rsidRPr="006D6FD8">
        <w:t xml:space="preserve">Clarified in the PSCR (see paragraph </w:t>
      </w:r>
      <w:r w:rsidR="00624E88" w:rsidRPr="006D6FD8">
        <w:fldChar w:fldCharType="begin"/>
      </w:r>
      <w:r w:rsidR="00624E88" w:rsidRPr="006D6FD8">
        <w:instrText xml:space="preserve"> REF _Ref222588208 \r \h </w:instrText>
      </w:r>
      <w:r w:rsidR="00624E88" w:rsidRPr="006D6FD8">
        <w:fldChar w:fldCharType="separate"/>
      </w:r>
      <w:r w:rsidR="005D45D2">
        <w:t>6.46</w:t>
      </w:r>
      <w:r w:rsidR="00624E88" w:rsidRPr="006D6FD8">
        <w:fldChar w:fldCharType="end"/>
      </w:r>
      <w:r w:rsidR="00624E88" w:rsidRPr="006D6FD8">
        <w:t>)</w:t>
      </w:r>
      <w:r w:rsidR="003338A0" w:rsidRPr="003338A0">
        <w:t xml:space="preserve"> </w:t>
      </w:r>
    </w:p>
    <w:p w14:paraId="7634399B" w14:textId="1D6C6CBB" w:rsidR="003338A0" w:rsidRPr="003338A0" w:rsidRDefault="00C8767B" w:rsidP="003338A0">
      <w:pPr>
        <w:pStyle w:val="TableFigureFooter"/>
      </w:pPr>
      <w:r>
        <w:t xml:space="preserve">Note that the </w:t>
      </w:r>
      <w:r w:rsidR="003338A0" w:rsidRPr="003338A0">
        <w:t xml:space="preserve">rate ratios </w:t>
      </w:r>
      <w:r>
        <w:t xml:space="preserve">in Table 12 are </w:t>
      </w:r>
      <w:r w:rsidR="003338A0" w:rsidRPr="003338A0">
        <w:t>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46063EDD" w14:textId="4B6129AE" w:rsidR="00C363D1" w:rsidRDefault="00BF50CC" w:rsidP="00135EE0">
      <w:pPr>
        <w:pStyle w:val="3-BodyText"/>
      </w:pPr>
      <w:bookmarkStart w:id="139" w:name="_Hlk217382498"/>
      <w:bookmarkStart w:id="140" w:name="_Ref217396307"/>
      <w:r w:rsidRPr="00D27683">
        <w:t xml:space="preserve">The submission proposed a stopping rule of ‘no worsening’ for consistency with the PBS restriction, for which mepolizumab was continued if there was no change in the number of total exacerbations (moderate + severe) and no change in severe exacerbations compared to the last 12 months. The model applied the stopping rule at 6 and 12 months, then for Years 2+ it was applied every 3 months as discontinuation. See paragraph </w:t>
      </w:r>
      <w:r w:rsidRPr="00D27683">
        <w:fldChar w:fldCharType="begin"/>
      </w:r>
      <w:r w:rsidRPr="00D27683">
        <w:instrText xml:space="preserve"> REF _Ref217382715 \r \h </w:instrText>
      </w:r>
      <w:r w:rsidR="00E41E40" w:rsidRPr="00D27683">
        <w:instrText xml:space="preserve"> \* MERGEFORMAT </w:instrText>
      </w:r>
      <w:r w:rsidRPr="00D27683">
        <w:fldChar w:fldCharType="separate"/>
      </w:r>
      <w:r w:rsidR="005D45D2">
        <w:t>6.48</w:t>
      </w:r>
      <w:r w:rsidRPr="00D27683">
        <w:fldChar w:fldCharType="end"/>
      </w:r>
      <w:r w:rsidRPr="00D27683">
        <w:t xml:space="preserve"> for discussion of Years 2+ stopping rule application. </w:t>
      </w:r>
      <w:bookmarkEnd w:id="139"/>
      <w:r w:rsidRPr="00D27683">
        <w:t xml:space="preserve">Responders based on the requested PBS restriction from the MATINEE trial are presented in </w:t>
      </w:r>
      <w:r w:rsidRPr="00D27683">
        <w:fldChar w:fldCharType="begin"/>
      </w:r>
      <w:r w:rsidRPr="00D27683">
        <w:instrText xml:space="preserve"> REF _Ref217383489 \h </w:instrText>
      </w:r>
      <w:r w:rsidR="00E41E40" w:rsidRPr="00D27683">
        <w:instrText xml:space="preserve"> \* MERGEFORMAT </w:instrText>
      </w:r>
      <w:r w:rsidRPr="00D27683">
        <w:fldChar w:fldCharType="separate"/>
      </w:r>
      <w:r w:rsidR="00733955" w:rsidRPr="00D27683" w:rsidDel="00774A72">
        <w:t xml:space="preserve">Table </w:t>
      </w:r>
      <w:r w:rsidR="00733955" w:rsidRPr="00D27683" w:rsidDel="00774A72">
        <w:rPr>
          <w:noProof/>
        </w:rPr>
        <w:t>13</w:t>
      </w:r>
      <w:r w:rsidRPr="00D27683">
        <w:fldChar w:fldCharType="end"/>
      </w:r>
      <w:r w:rsidRPr="00D27683">
        <w:t>.</w:t>
      </w:r>
      <w:bookmarkEnd w:id="140"/>
    </w:p>
    <w:p w14:paraId="061A9E39" w14:textId="77777777" w:rsidR="00C363D1" w:rsidRDefault="00C363D1">
      <w:pPr>
        <w:jc w:val="left"/>
        <w:rPr>
          <w:rFonts w:asciiTheme="minorHAnsi" w:eastAsiaTheme="minorHAnsi" w:hAnsiTheme="minorHAnsi" w:cstheme="minorBidi"/>
          <w:szCs w:val="22"/>
        </w:rPr>
      </w:pPr>
      <w:r>
        <w:br w:type="page"/>
      </w:r>
    </w:p>
    <w:p w14:paraId="78A684B7" w14:textId="7D3220BD" w:rsidR="00BF50CC" w:rsidRPr="00D27683" w:rsidRDefault="00BF50CC" w:rsidP="00135EE0">
      <w:pPr>
        <w:pStyle w:val="TableFigureHeading"/>
      </w:pPr>
      <w:bookmarkStart w:id="141" w:name="_Ref217383489"/>
      <w:r w:rsidRPr="00D27683">
        <w:lastRenderedPageBreak/>
        <w:t xml:space="preserve">Table </w:t>
      </w:r>
      <w:fldSimple w:instr=" SEQ Table \* ARABIC ">
        <w:r w:rsidR="00FA28CE">
          <w:rPr>
            <w:noProof/>
          </w:rPr>
          <w:t>13</w:t>
        </w:r>
      </w:fldSimple>
      <w:bookmarkEnd w:id="141"/>
      <w:r w:rsidRPr="00D27683">
        <w:t>: Proportion meeting the R1 response criteria (MATINEE)</w:t>
      </w:r>
    </w:p>
    <w:tbl>
      <w:tblPr>
        <w:tblStyle w:val="TableGrid"/>
        <w:tblW w:w="5000" w:type="pct"/>
        <w:tblLook w:val="04A0" w:firstRow="1" w:lastRow="0" w:firstColumn="1" w:lastColumn="0" w:noHBand="0" w:noVBand="1"/>
        <w:tblCaption w:val="Table 13: Proportion meeting the R1 response criteria (MATINEE)"/>
      </w:tblPr>
      <w:tblGrid>
        <w:gridCol w:w="1271"/>
        <w:gridCol w:w="1277"/>
        <w:gridCol w:w="3688"/>
        <w:gridCol w:w="2781"/>
      </w:tblGrid>
      <w:tr w:rsidR="000C214C" w:rsidRPr="00D27683" w14:paraId="179DD8CE" w14:textId="77777777">
        <w:tc>
          <w:tcPr>
            <w:tcW w:w="705" w:type="pct"/>
            <w:vAlign w:val="center"/>
          </w:tcPr>
          <w:p w14:paraId="273E57EB" w14:textId="77777777" w:rsidR="00BF50CC" w:rsidRPr="00D27683" w:rsidRDefault="00BF50CC" w:rsidP="00135EE0">
            <w:pPr>
              <w:pStyle w:val="TableText0"/>
              <w:jc w:val="center"/>
              <w:rPr>
                <w:b/>
                <w:bCs w:val="0"/>
              </w:rPr>
            </w:pPr>
            <w:r w:rsidRPr="00D27683">
              <w:rPr>
                <w:b/>
                <w:bCs w:val="0"/>
              </w:rPr>
              <w:t>Timepoint</w:t>
            </w:r>
          </w:p>
        </w:tc>
        <w:tc>
          <w:tcPr>
            <w:tcW w:w="708" w:type="pct"/>
            <w:vAlign w:val="center"/>
          </w:tcPr>
          <w:p w14:paraId="1DBF9A88" w14:textId="77777777" w:rsidR="00BF50CC" w:rsidRPr="00D27683" w:rsidRDefault="00BF50CC" w:rsidP="00135EE0">
            <w:pPr>
              <w:pStyle w:val="TableText0"/>
              <w:jc w:val="center"/>
              <w:rPr>
                <w:b/>
                <w:bCs w:val="0"/>
              </w:rPr>
            </w:pPr>
            <w:r w:rsidRPr="00D27683">
              <w:rPr>
                <w:b/>
                <w:bCs w:val="0"/>
              </w:rPr>
              <w:t>N</w:t>
            </w:r>
          </w:p>
        </w:tc>
        <w:tc>
          <w:tcPr>
            <w:tcW w:w="2045" w:type="pct"/>
            <w:vAlign w:val="center"/>
          </w:tcPr>
          <w:p w14:paraId="5A9803CF" w14:textId="77777777" w:rsidR="00BF50CC" w:rsidRPr="00D27683" w:rsidRDefault="00BF50CC" w:rsidP="00135EE0">
            <w:pPr>
              <w:pStyle w:val="TableText0"/>
              <w:jc w:val="center"/>
              <w:rPr>
                <w:b/>
                <w:bCs w:val="0"/>
              </w:rPr>
            </w:pPr>
            <w:r w:rsidRPr="00D27683">
              <w:rPr>
                <w:b/>
                <w:bCs w:val="0"/>
              </w:rPr>
              <w:t>Meeting R1 response criteria, n</w:t>
            </w:r>
          </w:p>
        </w:tc>
        <w:tc>
          <w:tcPr>
            <w:tcW w:w="1542" w:type="pct"/>
            <w:vAlign w:val="center"/>
          </w:tcPr>
          <w:p w14:paraId="14D70314" w14:textId="77777777" w:rsidR="00BF50CC" w:rsidRPr="00D27683" w:rsidRDefault="00BF50CC" w:rsidP="00135EE0">
            <w:pPr>
              <w:pStyle w:val="TableText0"/>
              <w:jc w:val="center"/>
              <w:rPr>
                <w:b/>
                <w:bCs w:val="0"/>
              </w:rPr>
            </w:pPr>
            <w:r w:rsidRPr="00D27683">
              <w:rPr>
                <w:b/>
                <w:bCs w:val="0"/>
              </w:rPr>
              <w:t>% responders / non-responders</w:t>
            </w:r>
          </w:p>
        </w:tc>
      </w:tr>
      <w:tr w:rsidR="000C214C" w:rsidRPr="00D27683" w14:paraId="5005CA19" w14:textId="77777777">
        <w:tc>
          <w:tcPr>
            <w:tcW w:w="705" w:type="pct"/>
            <w:vAlign w:val="center"/>
          </w:tcPr>
          <w:p w14:paraId="1D9315B4" w14:textId="77777777" w:rsidR="00BF50CC" w:rsidRPr="00D27683" w:rsidRDefault="00BF50CC" w:rsidP="00135EE0">
            <w:pPr>
              <w:pStyle w:val="TableText0"/>
              <w:rPr>
                <w:rFonts w:eastAsia="Times New Roman"/>
              </w:rPr>
            </w:pPr>
            <w:r w:rsidRPr="00D27683">
              <w:rPr>
                <w:rFonts w:eastAsia="Times New Roman"/>
              </w:rPr>
              <w:t>Baseline</w:t>
            </w:r>
          </w:p>
        </w:tc>
        <w:tc>
          <w:tcPr>
            <w:tcW w:w="708" w:type="pct"/>
            <w:vAlign w:val="center"/>
          </w:tcPr>
          <w:p w14:paraId="2EB45D14" w14:textId="77777777" w:rsidR="00BF50CC" w:rsidRPr="00D27683" w:rsidRDefault="00BF50CC" w:rsidP="00135EE0">
            <w:pPr>
              <w:pStyle w:val="TableText0"/>
              <w:jc w:val="center"/>
              <w:rPr>
                <w:rFonts w:eastAsia="Times New Roman"/>
              </w:rPr>
            </w:pPr>
            <w:r w:rsidRPr="00D27683">
              <w:rPr>
                <w:rFonts w:eastAsia="Times New Roman"/>
              </w:rPr>
              <w:t>403</w:t>
            </w:r>
          </w:p>
        </w:tc>
        <w:tc>
          <w:tcPr>
            <w:tcW w:w="2045" w:type="pct"/>
            <w:vAlign w:val="center"/>
          </w:tcPr>
          <w:p w14:paraId="58639511" w14:textId="77777777" w:rsidR="00BF50CC" w:rsidRPr="00D27683" w:rsidRDefault="00BF50CC" w:rsidP="00135EE0">
            <w:pPr>
              <w:pStyle w:val="TableText0"/>
              <w:jc w:val="center"/>
              <w:rPr>
                <w:rFonts w:eastAsia="Times New Roman"/>
              </w:rPr>
            </w:pPr>
            <w:r w:rsidRPr="00D27683">
              <w:rPr>
                <w:rFonts w:eastAsia="Times New Roman"/>
              </w:rPr>
              <w:t>403</w:t>
            </w:r>
          </w:p>
        </w:tc>
        <w:tc>
          <w:tcPr>
            <w:tcW w:w="1542" w:type="pct"/>
            <w:vAlign w:val="center"/>
          </w:tcPr>
          <w:p w14:paraId="7F5A8DFB" w14:textId="77777777" w:rsidR="00BF50CC" w:rsidRPr="00D27683" w:rsidRDefault="00BF50CC" w:rsidP="00135EE0">
            <w:pPr>
              <w:pStyle w:val="TableText0"/>
              <w:jc w:val="center"/>
              <w:rPr>
                <w:rFonts w:eastAsia="Times New Roman"/>
              </w:rPr>
            </w:pPr>
            <w:r w:rsidRPr="00D27683">
              <w:rPr>
                <w:rFonts w:eastAsia="Times New Roman"/>
              </w:rPr>
              <w:t>100.0% / 0.0%</w:t>
            </w:r>
          </w:p>
        </w:tc>
      </w:tr>
      <w:tr w:rsidR="000C214C" w:rsidRPr="00D27683" w14:paraId="3B9C1D5F" w14:textId="77777777">
        <w:tc>
          <w:tcPr>
            <w:tcW w:w="705" w:type="pct"/>
            <w:vAlign w:val="center"/>
          </w:tcPr>
          <w:p w14:paraId="0926FAED" w14:textId="77777777" w:rsidR="00BF50CC" w:rsidRPr="00D27683" w:rsidRDefault="00BF50CC" w:rsidP="00135EE0">
            <w:pPr>
              <w:pStyle w:val="TableText0"/>
              <w:rPr>
                <w:rFonts w:eastAsia="Times New Roman"/>
              </w:rPr>
            </w:pPr>
            <w:r w:rsidRPr="00D27683">
              <w:rPr>
                <w:rFonts w:eastAsia="Times New Roman"/>
              </w:rPr>
              <w:t>0-6 months</w:t>
            </w:r>
          </w:p>
        </w:tc>
        <w:tc>
          <w:tcPr>
            <w:tcW w:w="708" w:type="pct"/>
            <w:vAlign w:val="center"/>
          </w:tcPr>
          <w:p w14:paraId="37750168" w14:textId="77777777" w:rsidR="00BF50CC" w:rsidRPr="00D27683" w:rsidRDefault="00BF50CC" w:rsidP="00135EE0">
            <w:pPr>
              <w:pStyle w:val="TableText0"/>
              <w:jc w:val="center"/>
              <w:rPr>
                <w:rFonts w:eastAsia="Times New Roman"/>
              </w:rPr>
            </w:pPr>
            <w:r w:rsidRPr="00D27683">
              <w:rPr>
                <w:rFonts w:eastAsia="Times New Roman"/>
              </w:rPr>
              <w:t>370</w:t>
            </w:r>
          </w:p>
        </w:tc>
        <w:tc>
          <w:tcPr>
            <w:tcW w:w="2045" w:type="pct"/>
            <w:vAlign w:val="center"/>
          </w:tcPr>
          <w:p w14:paraId="1EC3CC2C" w14:textId="77777777" w:rsidR="00BF50CC" w:rsidRPr="00D27683" w:rsidRDefault="00BF50CC" w:rsidP="00135EE0">
            <w:pPr>
              <w:pStyle w:val="TableText0"/>
              <w:jc w:val="center"/>
              <w:rPr>
                <w:rFonts w:eastAsia="Times New Roman"/>
              </w:rPr>
            </w:pPr>
            <w:r w:rsidRPr="00D27683">
              <w:rPr>
                <w:rFonts w:eastAsia="Times New Roman"/>
              </w:rPr>
              <w:t>352</w:t>
            </w:r>
          </w:p>
        </w:tc>
        <w:tc>
          <w:tcPr>
            <w:tcW w:w="1542" w:type="pct"/>
            <w:vAlign w:val="center"/>
          </w:tcPr>
          <w:p w14:paraId="587C8235" w14:textId="77777777" w:rsidR="00BF50CC" w:rsidRPr="00D27683" w:rsidRDefault="00BF50CC" w:rsidP="00135EE0">
            <w:pPr>
              <w:pStyle w:val="TableText0"/>
              <w:jc w:val="center"/>
              <w:rPr>
                <w:rFonts w:eastAsia="Times New Roman"/>
              </w:rPr>
            </w:pPr>
            <w:r w:rsidRPr="00D27683">
              <w:rPr>
                <w:rFonts w:eastAsia="Times New Roman"/>
              </w:rPr>
              <w:t>95.1% / 4.9%</w:t>
            </w:r>
          </w:p>
        </w:tc>
      </w:tr>
      <w:tr w:rsidR="000C214C" w:rsidRPr="00D27683" w14:paraId="3E8D63CD" w14:textId="77777777">
        <w:tc>
          <w:tcPr>
            <w:tcW w:w="705" w:type="pct"/>
            <w:vAlign w:val="center"/>
          </w:tcPr>
          <w:p w14:paraId="6F1F917D" w14:textId="77777777" w:rsidR="00BF50CC" w:rsidRPr="00D27683" w:rsidRDefault="00BF50CC" w:rsidP="00135EE0">
            <w:pPr>
              <w:pStyle w:val="TableText0"/>
              <w:rPr>
                <w:rFonts w:eastAsia="Times New Roman"/>
              </w:rPr>
            </w:pPr>
            <w:r w:rsidRPr="00D27683">
              <w:rPr>
                <w:rFonts w:eastAsia="Times New Roman"/>
              </w:rPr>
              <w:t>6-12 months</w:t>
            </w:r>
          </w:p>
        </w:tc>
        <w:tc>
          <w:tcPr>
            <w:tcW w:w="708" w:type="pct"/>
            <w:vAlign w:val="center"/>
          </w:tcPr>
          <w:p w14:paraId="291D494B" w14:textId="77777777" w:rsidR="00BF50CC" w:rsidRPr="00D27683" w:rsidRDefault="00BF50CC" w:rsidP="00135EE0">
            <w:pPr>
              <w:pStyle w:val="TableText0"/>
              <w:jc w:val="center"/>
              <w:rPr>
                <w:rFonts w:eastAsia="Times New Roman"/>
              </w:rPr>
            </w:pPr>
            <w:r w:rsidRPr="00D27683">
              <w:rPr>
                <w:rFonts w:eastAsia="Times New Roman"/>
              </w:rPr>
              <w:t>330</w:t>
            </w:r>
          </w:p>
        </w:tc>
        <w:tc>
          <w:tcPr>
            <w:tcW w:w="2045" w:type="pct"/>
            <w:vAlign w:val="center"/>
          </w:tcPr>
          <w:p w14:paraId="639196D7" w14:textId="77777777" w:rsidR="00BF50CC" w:rsidRPr="00D27683" w:rsidRDefault="00BF50CC" w:rsidP="00135EE0">
            <w:pPr>
              <w:pStyle w:val="TableText0"/>
              <w:jc w:val="center"/>
              <w:rPr>
                <w:rFonts w:eastAsia="Times New Roman"/>
              </w:rPr>
            </w:pPr>
            <w:r w:rsidRPr="00D27683">
              <w:rPr>
                <w:rFonts w:eastAsia="Times New Roman"/>
              </w:rPr>
              <w:t>291</w:t>
            </w:r>
          </w:p>
        </w:tc>
        <w:tc>
          <w:tcPr>
            <w:tcW w:w="1542" w:type="pct"/>
            <w:vAlign w:val="center"/>
          </w:tcPr>
          <w:p w14:paraId="635492B7" w14:textId="77777777" w:rsidR="00BF50CC" w:rsidRPr="00D27683" w:rsidRDefault="00BF50CC" w:rsidP="00135EE0">
            <w:pPr>
              <w:pStyle w:val="TableText0"/>
              <w:jc w:val="center"/>
              <w:rPr>
                <w:rFonts w:eastAsia="Times New Roman"/>
              </w:rPr>
            </w:pPr>
            <w:r w:rsidRPr="00D27683">
              <w:rPr>
                <w:rFonts w:eastAsia="Times New Roman"/>
              </w:rPr>
              <w:t>88.2% / 11.8%</w:t>
            </w:r>
          </w:p>
        </w:tc>
      </w:tr>
      <w:tr w:rsidR="000C214C" w:rsidRPr="00D27683" w14:paraId="7EC37C97" w14:textId="77777777">
        <w:tc>
          <w:tcPr>
            <w:tcW w:w="705" w:type="pct"/>
            <w:vAlign w:val="center"/>
          </w:tcPr>
          <w:p w14:paraId="513A89D6" w14:textId="77777777" w:rsidR="00BF50CC" w:rsidRPr="00D27683" w:rsidRDefault="00BF50CC" w:rsidP="00135EE0">
            <w:pPr>
              <w:pStyle w:val="TableText0"/>
              <w:rPr>
                <w:rFonts w:eastAsia="Times New Roman"/>
              </w:rPr>
            </w:pPr>
            <w:r w:rsidRPr="00D27683">
              <w:rPr>
                <w:rFonts w:eastAsia="Times New Roman"/>
              </w:rPr>
              <w:t>12-24 months</w:t>
            </w:r>
          </w:p>
        </w:tc>
        <w:tc>
          <w:tcPr>
            <w:tcW w:w="708" w:type="pct"/>
            <w:vAlign w:val="center"/>
          </w:tcPr>
          <w:p w14:paraId="4DC6B2D4" w14:textId="77777777" w:rsidR="00BF50CC" w:rsidRPr="00D27683" w:rsidRDefault="00BF50CC" w:rsidP="00135EE0">
            <w:pPr>
              <w:pStyle w:val="TableText0"/>
              <w:jc w:val="center"/>
              <w:rPr>
                <w:rFonts w:eastAsia="Times New Roman"/>
              </w:rPr>
            </w:pPr>
            <w:r w:rsidRPr="00D27683">
              <w:rPr>
                <w:rFonts w:eastAsia="Times New Roman"/>
              </w:rPr>
              <w:t>80</w:t>
            </w:r>
          </w:p>
        </w:tc>
        <w:tc>
          <w:tcPr>
            <w:tcW w:w="2045" w:type="pct"/>
            <w:vAlign w:val="center"/>
          </w:tcPr>
          <w:p w14:paraId="5AC751EB" w14:textId="77777777" w:rsidR="00BF50CC" w:rsidRPr="00D27683" w:rsidRDefault="00BF50CC" w:rsidP="00135EE0">
            <w:pPr>
              <w:pStyle w:val="TableText0"/>
              <w:jc w:val="center"/>
              <w:rPr>
                <w:rFonts w:eastAsia="Times New Roman"/>
              </w:rPr>
            </w:pPr>
            <w:r w:rsidRPr="00D27683">
              <w:rPr>
                <w:rFonts w:eastAsia="Times New Roman"/>
              </w:rPr>
              <w:t>72</w:t>
            </w:r>
          </w:p>
        </w:tc>
        <w:tc>
          <w:tcPr>
            <w:tcW w:w="1542" w:type="pct"/>
            <w:vAlign w:val="center"/>
          </w:tcPr>
          <w:p w14:paraId="2B9E9B95" w14:textId="77777777" w:rsidR="00BF50CC" w:rsidRPr="00D27683" w:rsidRDefault="00BF50CC" w:rsidP="00135EE0">
            <w:pPr>
              <w:pStyle w:val="TableText0"/>
              <w:jc w:val="center"/>
              <w:rPr>
                <w:rFonts w:eastAsia="Times New Roman"/>
              </w:rPr>
            </w:pPr>
            <w:r w:rsidRPr="00D27683">
              <w:rPr>
                <w:rFonts w:eastAsia="Times New Roman"/>
              </w:rPr>
              <w:t>90.0% / 10.0%</w:t>
            </w:r>
          </w:p>
        </w:tc>
      </w:tr>
    </w:tbl>
    <w:p w14:paraId="2C8FA86A" w14:textId="77777777" w:rsidR="00BF50CC" w:rsidRPr="00D27683" w:rsidRDefault="00BF50CC" w:rsidP="003338A0">
      <w:pPr>
        <w:pStyle w:val="TableFigureFooter"/>
      </w:pPr>
      <w:r w:rsidRPr="00D27683">
        <w:t>Source: p142 of the submission; Table 3-22, p143 of the submission.</w:t>
      </w:r>
    </w:p>
    <w:p w14:paraId="0E2B29A2" w14:textId="77777777" w:rsidR="00C8767B" w:rsidRDefault="00BF50CC" w:rsidP="003338A0">
      <w:pPr>
        <w:pStyle w:val="TableFigureFooter"/>
      </w:pPr>
      <w:r w:rsidRPr="00D27683">
        <w:t xml:space="preserve">N = number of patients remaining on treatment with mepolizumab </w:t>
      </w:r>
      <w:proofErr w:type="gramStart"/>
      <w:r w:rsidRPr="00D27683">
        <w:t>at this time</w:t>
      </w:r>
      <w:proofErr w:type="gramEnd"/>
      <w:r w:rsidRPr="00D27683">
        <w:t xml:space="preserve"> point; n = number of subjects meeting response definition </w:t>
      </w:r>
      <w:proofErr w:type="gramStart"/>
      <w:r w:rsidRPr="00D27683">
        <w:t>at this time</w:t>
      </w:r>
      <w:proofErr w:type="gramEnd"/>
      <w:r w:rsidRPr="00D27683">
        <w:t xml:space="preserve"> point; R1 = 'No worsening' response definition.</w:t>
      </w:r>
      <w:bookmarkStart w:id="142" w:name="_Ref217396310"/>
      <w:r w:rsidR="00C8767B" w:rsidRPr="00C8767B">
        <w:t xml:space="preserve"> </w:t>
      </w:r>
    </w:p>
    <w:p w14:paraId="090737A9" w14:textId="05AEF98F" w:rsidR="00C91FFA" w:rsidRDefault="00C8767B" w:rsidP="003338A0">
      <w:pPr>
        <w:pStyle w:val="TableFigureFooter"/>
      </w:pPr>
      <w:r w:rsidRPr="00C8767B">
        <w:t>Note that number and proportion meeting R1 response criteria values were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6D575236" w14:textId="1B178DC0" w:rsidR="00BF50CC" w:rsidRPr="00D27683" w:rsidRDefault="00BF50CC" w:rsidP="00135EE0">
      <w:pPr>
        <w:pStyle w:val="3-BodyText"/>
      </w:pPr>
      <w:bookmarkStart w:id="143" w:name="_Ref217382715"/>
      <w:bookmarkEnd w:id="142"/>
      <w:r w:rsidRPr="00D27683">
        <w:t>From Year 2, the submission used different estimations for discontinuations in the following:</w:t>
      </w:r>
      <w:bookmarkEnd w:id="143"/>
    </w:p>
    <w:p w14:paraId="49F9C845" w14:textId="7BEF023B" w:rsidR="00BF50CC" w:rsidRPr="00D27683" w:rsidRDefault="00BF50CC" w:rsidP="00135EE0">
      <w:pPr>
        <w:pStyle w:val="ListParagraph"/>
        <w:ind w:left="1134"/>
      </w:pPr>
      <w:r w:rsidRPr="00D27683">
        <w:t xml:space="preserve">No prior exacerbations: using the MATINEE mepolizumab responder sub-population annual discontinuation rate between weeks 52 to 104 of 0.055 per person-year, a 1.37% discontinuation probability per cycle </w:t>
      </w:r>
      <w:r w:rsidR="006464B9" w:rsidRPr="00D27683">
        <w:t xml:space="preserve">(3 months) </w:t>
      </w:r>
      <w:r w:rsidRPr="00D27683">
        <w:t>was applied. The sub-population annual discontinuation rate was not presented in the CSR and could not be verified during the evaluation.</w:t>
      </w:r>
    </w:p>
    <w:p w14:paraId="18DA0DA1" w14:textId="3F3D01EC" w:rsidR="00A57A82" w:rsidRPr="00E359DE" w:rsidRDefault="00BF50CC" w:rsidP="00135EE0">
      <w:pPr>
        <w:pStyle w:val="ListParagraph"/>
        <w:ind w:left="1134"/>
        <w:rPr>
          <w:iCs/>
        </w:rPr>
      </w:pPr>
      <w:r w:rsidRPr="00D27683">
        <w:t>All other states: the submission applied the stopping rule criteria</w:t>
      </w:r>
      <w:r w:rsidR="004C06DA" w:rsidRPr="00D27683">
        <w:t xml:space="preserve"> from year 2</w:t>
      </w:r>
      <w:r w:rsidRPr="00D27683">
        <w:t xml:space="preserve"> using trial data from 12 to 24 months, yielding a cycle probability of 2.6%</w:t>
      </w:r>
      <w:r w:rsidR="00DC6DE9" w:rsidRPr="00D27683">
        <w:t xml:space="preserve"> </w:t>
      </w:r>
      <w:r w:rsidR="00DC6DE9" w:rsidRPr="006D6FD8">
        <w:rPr>
          <w:iCs/>
        </w:rPr>
        <w:t>applied every 3 months</w:t>
      </w:r>
      <w:r w:rsidRPr="006D6FD8">
        <w:rPr>
          <w:iCs/>
        </w:rPr>
        <w:t>.</w:t>
      </w:r>
      <w:r w:rsidRPr="00D27683">
        <w:t xml:space="preserve"> </w:t>
      </w:r>
      <w:r w:rsidR="00531C41" w:rsidRPr="006D6FD8">
        <w:rPr>
          <w:iCs/>
        </w:rPr>
        <w:t>The</w:t>
      </w:r>
      <w:r w:rsidR="0023413F" w:rsidRPr="006D6FD8">
        <w:rPr>
          <w:iCs/>
        </w:rPr>
        <w:t xml:space="preserve"> Sub-Committees agreed with the</w:t>
      </w:r>
      <w:r w:rsidR="00531C41" w:rsidRPr="006D6FD8">
        <w:rPr>
          <w:iCs/>
        </w:rPr>
        <w:t xml:space="preserve"> evaluation that it</w:t>
      </w:r>
      <w:r w:rsidR="00531C41" w:rsidRPr="00D27683">
        <w:t xml:space="preserve"> </w:t>
      </w:r>
      <w:r w:rsidRPr="00D27683">
        <w:t xml:space="preserve">was reasonable to apply the stopping rule in Year 2+, although it would have been more appropriate to be applied every 6 months as in Year 1 of the model. </w:t>
      </w:r>
      <w:r w:rsidR="00013338" w:rsidRPr="00E1764E">
        <w:rPr>
          <w:iCs/>
        </w:rPr>
        <w:t xml:space="preserve">The Sub-Committees </w:t>
      </w:r>
      <w:r w:rsidR="00E4795B" w:rsidRPr="00E1764E">
        <w:rPr>
          <w:iCs/>
        </w:rPr>
        <w:t xml:space="preserve">also </w:t>
      </w:r>
      <w:r w:rsidR="00013338" w:rsidRPr="00E1764E">
        <w:rPr>
          <w:iCs/>
        </w:rPr>
        <w:t>noted that th</w:t>
      </w:r>
      <w:r w:rsidR="00D021B9" w:rsidRPr="00E1764E">
        <w:rPr>
          <w:iCs/>
        </w:rPr>
        <w:t>e stopping rule</w:t>
      </w:r>
      <w:r w:rsidR="00FB670E">
        <w:rPr>
          <w:iCs/>
        </w:rPr>
        <w:t xml:space="preserve"> probability (2.6%)</w:t>
      </w:r>
      <w:r w:rsidR="00D021B9" w:rsidRPr="00E1764E">
        <w:rPr>
          <w:iCs/>
        </w:rPr>
        <w:t xml:space="preserve"> applied to all other states</w:t>
      </w:r>
      <w:r w:rsidR="00013338" w:rsidRPr="00D27683">
        <w:t xml:space="preserve"> </w:t>
      </w:r>
      <w:r w:rsidR="00E1764E">
        <w:t xml:space="preserve">as treatment discontinuation </w:t>
      </w:r>
      <w:r w:rsidR="00D021B9" w:rsidRPr="00E1764E">
        <w:rPr>
          <w:iCs/>
        </w:rPr>
        <w:t>likely did</w:t>
      </w:r>
      <w:r w:rsidR="00D021B9" w:rsidRPr="00D27683">
        <w:t xml:space="preserve"> </w:t>
      </w:r>
      <w:r w:rsidRPr="00D27683">
        <w:t>not fully reflect those discontinuing treatment</w:t>
      </w:r>
      <w:r w:rsidR="00652CF1" w:rsidRPr="00D27683">
        <w:t>.</w:t>
      </w:r>
      <w:r w:rsidRPr="00D27683">
        <w:t xml:space="preserve"> </w:t>
      </w:r>
      <w:r w:rsidR="00652CF1" w:rsidRPr="00D27683">
        <w:t xml:space="preserve">This was because </w:t>
      </w:r>
      <w:r w:rsidRPr="00D27683">
        <w:t>it did not account for trial-observed treatment discontinuation, likely reflecting discontinuation due to AEs</w:t>
      </w:r>
      <w:r w:rsidR="0061115D" w:rsidRPr="00D27683">
        <w:t xml:space="preserve">. </w:t>
      </w:r>
      <w:r w:rsidR="00B93829" w:rsidRPr="00D27683">
        <w:t>This</w:t>
      </w:r>
      <w:r w:rsidRPr="00D27683">
        <w:t xml:space="preserve"> was only accounted for in the no exacerbation health state. Failing to account for discontinuation in addition to the stopping rule overestimated mepolizumab use and its effect. </w:t>
      </w:r>
      <w:r w:rsidR="0020589A" w:rsidRPr="00D53050">
        <w:rPr>
          <w:iCs/>
        </w:rPr>
        <w:t xml:space="preserve">The PSCR </w:t>
      </w:r>
      <w:r w:rsidR="00AF0457" w:rsidRPr="00D53050">
        <w:rPr>
          <w:iCs/>
        </w:rPr>
        <w:t xml:space="preserve">acknowledged that </w:t>
      </w:r>
      <w:r w:rsidR="00A3468C" w:rsidRPr="00D53050">
        <w:rPr>
          <w:iCs/>
        </w:rPr>
        <w:t xml:space="preserve">it may be reasonable to include the additive impact of treatment </w:t>
      </w:r>
      <w:r w:rsidR="00AE48F3" w:rsidRPr="00D53050">
        <w:rPr>
          <w:iCs/>
        </w:rPr>
        <w:t>discontinuation per</w:t>
      </w:r>
      <w:r w:rsidR="00A82769" w:rsidRPr="00D53050">
        <w:rPr>
          <w:iCs/>
        </w:rPr>
        <w:t xml:space="preserve"> 3-month cycl</w:t>
      </w:r>
      <w:r w:rsidR="00503D82" w:rsidRPr="00D53050">
        <w:rPr>
          <w:iCs/>
        </w:rPr>
        <w:t>e</w:t>
      </w:r>
      <w:r w:rsidR="00A82769" w:rsidRPr="00D53050">
        <w:rPr>
          <w:iCs/>
        </w:rPr>
        <w:t xml:space="preserve"> and </w:t>
      </w:r>
      <w:r w:rsidR="00503D82" w:rsidRPr="00D53050">
        <w:rPr>
          <w:iCs/>
        </w:rPr>
        <w:t xml:space="preserve">the </w:t>
      </w:r>
      <w:r w:rsidR="00A82769" w:rsidRPr="00D53050">
        <w:rPr>
          <w:iCs/>
        </w:rPr>
        <w:t>loss of response stopping rule</w:t>
      </w:r>
      <w:r w:rsidR="00D649ED" w:rsidRPr="00D53050">
        <w:rPr>
          <w:iCs/>
        </w:rPr>
        <w:t xml:space="preserve"> on a 6-monthly basis</w:t>
      </w:r>
      <w:r w:rsidR="00BB3DE8" w:rsidRPr="00D53050">
        <w:rPr>
          <w:iCs/>
        </w:rPr>
        <w:t>. H</w:t>
      </w:r>
      <w:r w:rsidR="001233CD" w:rsidRPr="00D53050">
        <w:rPr>
          <w:iCs/>
        </w:rPr>
        <w:t xml:space="preserve">owever, the PSCR </w:t>
      </w:r>
      <w:r w:rsidR="00836420" w:rsidRPr="00D53050">
        <w:rPr>
          <w:iCs/>
        </w:rPr>
        <w:t>did not agree with the approach taken by the evaluation</w:t>
      </w:r>
      <w:r w:rsidR="00DA06DB" w:rsidRPr="00DA06DB">
        <w:rPr>
          <w:rFonts w:ascii="Calibri" w:hAnsi="Calibri" w:cs="Calibri"/>
          <w:snapToGrid/>
          <w:color w:val="000000"/>
          <w:sz w:val="22"/>
          <w:szCs w:val="22"/>
        </w:rPr>
        <w:t xml:space="preserve"> </w:t>
      </w:r>
      <w:r w:rsidR="00E359DE">
        <w:rPr>
          <w:iCs/>
        </w:rPr>
        <w:t xml:space="preserve">which applied the </w:t>
      </w:r>
      <w:r w:rsidR="00DA06DB" w:rsidRPr="00DA06DB">
        <w:rPr>
          <w:iCs/>
        </w:rPr>
        <w:t>12-month stopping rule discontinuation.</w:t>
      </w:r>
      <w:r w:rsidR="00E359DE">
        <w:rPr>
          <w:iCs/>
        </w:rPr>
        <w:t xml:space="preserve"> The PSCR</w:t>
      </w:r>
      <w:r w:rsidR="00836420" w:rsidRPr="00E359DE" w:rsidDel="00E359DE">
        <w:rPr>
          <w:iCs/>
        </w:rPr>
        <w:t xml:space="preserve"> </w:t>
      </w:r>
      <w:r w:rsidR="0090319D" w:rsidRPr="00E359DE">
        <w:rPr>
          <w:iCs/>
        </w:rPr>
        <w:t>proposed using the stopping rule derived from non-responders in Year 2 of MATINEE</w:t>
      </w:r>
      <w:r w:rsidR="00D27227">
        <w:rPr>
          <w:iCs/>
        </w:rPr>
        <w:t xml:space="preserve"> </w:t>
      </w:r>
      <w:r w:rsidR="004E33BF">
        <w:rPr>
          <w:iCs/>
        </w:rPr>
        <w:t>(</w:t>
      </w:r>
      <w:r w:rsidR="0090319D" w:rsidRPr="00E359DE">
        <w:rPr>
          <w:iCs/>
        </w:rPr>
        <w:t>5.13% over 6 months</w:t>
      </w:r>
      <w:r w:rsidR="00F801E1">
        <w:rPr>
          <w:iCs/>
        </w:rPr>
        <w:t>)</w:t>
      </w:r>
      <w:r w:rsidR="00D27227">
        <w:rPr>
          <w:iCs/>
        </w:rPr>
        <w:t xml:space="preserve"> </w:t>
      </w:r>
      <w:r w:rsidR="00FD46D6">
        <w:rPr>
          <w:iCs/>
        </w:rPr>
        <w:t>which</w:t>
      </w:r>
      <w:r w:rsidR="004E33BF">
        <w:rPr>
          <w:iCs/>
        </w:rPr>
        <w:t xml:space="preserve"> </w:t>
      </w:r>
      <w:r w:rsidR="0090319D" w:rsidRPr="00E359DE">
        <w:rPr>
          <w:iCs/>
        </w:rPr>
        <w:t>yield</w:t>
      </w:r>
      <w:r w:rsidR="004E33BF">
        <w:rPr>
          <w:iCs/>
        </w:rPr>
        <w:t>ed</w:t>
      </w:r>
      <w:r w:rsidR="0090319D" w:rsidRPr="00E359DE">
        <w:rPr>
          <w:iCs/>
        </w:rPr>
        <w:t xml:space="preserve"> an ICER of $</w:t>
      </w:r>
      <w:r w:rsidR="009126F7">
        <w:rPr>
          <w:iCs/>
        </w:rPr>
        <w:t>55,000 to &lt; $75,000</w:t>
      </w:r>
      <w:r w:rsidR="0090319D" w:rsidRPr="00E359DE">
        <w:rPr>
          <w:iCs/>
        </w:rPr>
        <w:t>/QALY gained</w:t>
      </w:r>
      <w:r w:rsidR="000F3A8B" w:rsidRPr="00E359DE">
        <w:rPr>
          <w:iCs/>
        </w:rPr>
        <w:t>.</w:t>
      </w:r>
      <w:r w:rsidR="00EB6048" w:rsidRPr="00E359DE">
        <w:rPr>
          <w:iCs/>
        </w:rPr>
        <w:t xml:space="preserve"> </w:t>
      </w:r>
      <w:r w:rsidR="005128F0" w:rsidRPr="00E359DE">
        <w:rPr>
          <w:iCs/>
        </w:rPr>
        <w:t xml:space="preserve">The Sub-Committees noted that </w:t>
      </w:r>
      <w:r w:rsidR="00FF1C49" w:rsidRPr="00E359DE">
        <w:rPr>
          <w:iCs/>
        </w:rPr>
        <w:t>the</w:t>
      </w:r>
      <w:r w:rsidR="005128F0" w:rsidRPr="00E359DE">
        <w:rPr>
          <w:iCs/>
        </w:rPr>
        <w:t xml:space="preserve"> </w:t>
      </w:r>
      <w:r w:rsidR="006777FC" w:rsidRPr="00E359DE">
        <w:rPr>
          <w:iCs/>
        </w:rPr>
        <w:t xml:space="preserve">alternate </w:t>
      </w:r>
      <w:r w:rsidR="00B5532E">
        <w:rPr>
          <w:iCs/>
        </w:rPr>
        <w:t>probabilities</w:t>
      </w:r>
      <w:r w:rsidR="00B5532E" w:rsidRPr="00E359DE">
        <w:rPr>
          <w:iCs/>
        </w:rPr>
        <w:t xml:space="preserve"> </w:t>
      </w:r>
      <w:r w:rsidR="00FF1C49" w:rsidRPr="00E359DE">
        <w:rPr>
          <w:iCs/>
        </w:rPr>
        <w:t xml:space="preserve">proposed by the evaluation </w:t>
      </w:r>
      <w:r w:rsidR="005128F0" w:rsidRPr="00E359DE">
        <w:rPr>
          <w:iCs/>
        </w:rPr>
        <w:t>ranged between 12.64</w:t>
      </w:r>
      <w:r w:rsidR="005128F0" w:rsidRPr="00E359DE">
        <w:rPr>
          <w:rFonts w:cstheme="minorHAnsi"/>
          <w:iCs/>
        </w:rPr>
        <w:t>–</w:t>
      </w:r>
      <w:r w:rsidR="005128F0" w:rsidRPr="00E359DE">
        <w:rPr>
          <w:iCs/>
        </w:rPr>
        <w:t>42.57% in different exacerbation health states and were derived from overall non-responders at 0</w:t>
      </w:r>
      <w:r w:rsidR="00FF1C49" w:rsidRPr="00E359DE">
        <w:rPr>
          <w:rFonts w:cstheme="minorHAnsi"/>
          <w:iCs/>
        </w:rPr>
        <w:t>–</w:t>
      </w:r>
      <w:r w:rsidR="005128F0" w:rsidRPr="00E359DE">
        <w:rPr>
          <w:iCs/>
        </w:rPr>
        <w:t>6 months (4.9%), and 6</w:t>
      </w:r>
      <w:r w:rsidR="000E30BB" w:rsidRPr="00E359DE">
        <w:rPr>
          <w:rFonts w:cstheme="minorHAnsi"/>
          <w:iCs/>
        </w:rPr>
        <w:t>–</w:t>
      </w:r>
      <w:r w:rsidR="005128F0" w:rsidRPr="00E359DE">
        <w:rPr>
          <w:iCs/>
        </w:rPr>
        <w:t xml:space="preserve">12 months (11.8%). </w:t>
      </w:r>
      <w:r w:rsidR="00EB6048" w:rsidRPr="00E359DE">
        <w:rPr>
          <w:iCs/>
        </w:rPr>
        <w:t>The Sub-Committees</w:t>
      </w:r>
      <w:r w:rsidR="005128F0" w:rsidRPr="00E359DE">
        <w:rPr>
          <w:iCs/>
        </w:rPr>
        <w:t xml:space="preserve"> also </w:t>
      </w:r>
      <w:r w:rsidR="00E3374D" w:rsidRPr="00E359DE">
        <w:rPr>
          <w:iCs/>
        </w:rPr>
        <w:t>noted the PSCR’s approach applied 5.</w:t>
      </w:r>
      <w:r w:rsidR="009B4BB6" w:rsidRPr="00E359DE">
        <w:rPr>
          <w:iCs/>
        </w:rPr>
        <w:t>1</w:t>
      </w:r>
      <w:r w:rsidR="00E3374D" w:rsidRPr="00E359DE">
        <w:rPr>
          <w:iCs/>
        </w:rPr>
        <w:t xml:space="preserve">3% to each exacerbation health state, rather than re-estimating it for each health state as in the base case. </w:t>
      </w:r>
      <w:r w:rsidR="000C7EBD" w:rsidRPr="00E359DE">
        <w:rPr>
          <w:iCs/>
        </w:rPr>
        <w:t>The Sub-Committees considered that this approach would</w:t>
      </w:r>
      <w:r w:rsidR="00E3374D" w:rsidRPr="00E359DE">
        <w:rPr>
          <w:iCs/>
        </w:rPr>
        <w:t xml:space="preserve"> underestimate the ICER and considered</w:t>
      </w:r>
      <w:r w:rsidR="00B63982" w:rsidRPr="00E359DE">
        <w:rPr>
          <w:iCs/>
        </w:rPr>
        <w:t xml:space="preserve"> that, overall,</w:t>
      </w:r>
      <w:r w:rsidR="00E3374D" w:rsidRPr="00E359DE">
        <w:rPr>
          <w:iCs/>
        </w:rPr>
        <w:t xml:space="preserve"> the </w:t>
      </w:r>
      <w:r w:rsidR="00062D59" w:rsidRPr="00E359DE">
        <w:rPr>
          <w:iCs/>
        </w:rPr>
        <w:t xml:space="preserve">approach taken by the evaluation </w:t>
      </w:r>
      <w:r w:rsidR="000C7EBD" w:rsidRPr="00E359DE">
        <w:rPr>
          <w:iCs/>
        </w:rPr>
        <w:t>to be more</w:t>
      </w:r>
      <w:r w:rsidR="00062D59" w:rsidRPr="00E359DE">
        <w:rPr>
          <w:iCs/>
        </w:rPr>
        <w:t xml:space="preserve"> appropriate.</w:t>
      </w:r>
      <w:r w:rsidR="00A57A82" w:rsidRPr="00E359DE">
        <w:rPr>
          <w:iCs/>
        </w:rPr>
        <w:t xml:space="preserve"> The Pre-PBAC response</w:t>
      </w:r>
      <w:r w:rsidR="009126F7">
        <w:rPr>
          <w:iCs/>
        </w:rPr>
        <w:t xml:space="preserve"> </w:t>
      </w:r>
      <w:r w:rsidR="00ED4D42" w:rsidRPr="00E359DE">
        <w:rPr>
          <w:iCs/>
        </w:rPr>
        <w:t xml:space="preserve">provided a revised base case analysis </w:t>
      </w:r>
      <w:r w:rsidR="00341C25" w:rsidRPr="00E359DE">
        <w:rPr>
          <w:iCs/>
        </w:rPr>
        <w:t>which</w:t>
      </w:r>
      <w:r w:rsidR="00ED4D42" w:rsidRPr="00E359DE">
        <w:rPr>
          <w:iCs/>
        </w:rPr>
        <w:t xml:space="preserve"> </w:t>
      </w:r>
      <w:r w:rsidR="009319F9">
        <w:rPr>
          <w:iCs/>
        </w:rPr>
        <w:lastRenderedPageBreak/>
        <w:t>included a</w:t>
      </w:r>
      <w:r w:rsidR="0043616F" w:rsidRPr="00E359DE">
        <w:rPr>
          <w:iCs/>
        </w:rPr>
        <w:t xml:space="preserve"> treatment discontinuation probability </w:t>
      </w:r>
      <w:r w:rsidR="00BD1D30">
        <w:rPr>
          <w:iCs/>
        </w:rPr>
        <w:t xml:space="preserve">of </w:t>
      </w:r>
      <w:r w:rsidR="00BD1D30" w:rsidRPr="00E359DE">
        <w:rPr>
          <w:iCs/>
        </w:rPr>
        <w:t xml:space="preserve">1.37% </w:t>
      </w:r>
      <w:r w:rsidR="00BD1D30">
        <w:rPr>
          <w:iCs/>
        </w:rPr>
        <w:t>every</w:t>
      </w:r>
      <w:r w:rsidR="00BD1D30" w:rsidRPr="00E359DE">
        <w:rPr>
          <w:iCs/>
        </w:rPr>
        <w:t xml:space="preserve"> 3 months </w:t>
      </w:r>
      <w:r w:rsidR="0043616F" w:rsidRPr="00E359DE">
        <w:rPr>
          <w:iCs/>
        </w:rPr>
        <w:t xml:space="preserve">to all health states, </w:t>
      </w:r>
      <w:r w:rsidR="00ED4D42" w:rsidRPr="00E359DE">
        <w:rPr>
          <w:iCs/>
        </w:rPr>
        <w:t>a</w:t>
      </w:r>
      <w:r w:rsidR="00042A11" w:rsidRPr="00E359DE">
        <w:rPr>
          <w:iCs/>
        </w:rPr>
        <w:t xml:space="preserve"> Year 2+ 6-month stopping rule and </w:t>
      </w:r>
      <w:r w:rsidR="008337C2" w:rsidRPr="00E359DE">
        <w:rPr>
          <w:iCs/>
        </w:rPr>
        <w:t>revised loss of response probabilit</w:t>
      </w:r>
      <w:r w:rsidR="009A7F0D" w:rsidRPr="00E359DE">
        <w:rPr>
          <w:iCs/>
        </w:rPr>
        <w:t>ies</w:t>
      </w:r>
      <w:r w:rsidR="008337C2" w:rsidRPr="00E359DE">
        <w:rPr>
          <w:iCs/>
        </w:rPr>
        <w:t xml:space="preserve"> for Year 2+</w:t>
      </w:r>
      <w:r w:rsidR="001F737E" w:rsidRPr="00E359DE">
        <w:rPr>
          <w:iCs/>
        </w:rPr>
        <w:t xml:space="preserve"> according to health state</w:t>
      </w:r>
      <w:r w:rsidR="008337C2" w:rsidRPr="00E359DE">
        <w:rPr>
          <w:iCs/>
        </w:rPr>
        <w:t xml:space="preserve"> (</w:t>
      </w:r>
      <w:r w:rsidR="008337C2" w:rsidRPr="00C7056D">
        <w:rPr>
          <w:iCs/>
        </w:rPr>
        <w:t xml:space="preserve">paragraph </w:t>
      </w:r>
      <w:r w:rsidR="00411D66" w:rsidRPr="00C7056D">
        <w:rPr>
          <w:iCs/>
        </w:rPr>
        <w:fldChar w:fldCharType="begin"/>
      </w:r>
      <w:r w:rsidR="00411D66" w:rsidRPr="00C7056D">
        <w:rPr>
          <w:iCs/>
        </w:rPr>
        <w:instrText xml:space="preserve"> REF _Ref224907960 \r \h </w:instrText>
      </w:r>
      <w:r w:rsidR="00C7056D">
        <w:rPr>
          <w:iCs/>
        </w:rPr>
        <w:instrText xml:space="preserve"> \* MERGEFORMAT </w:instrText>
      </w:r>
      <w:r w:rsidR="00411D66" w:rsidRPr="00C7056D">
        <w:rPr>
          <w:iCs/>
        </w:rPr>
      </w:r>
      <w:r w:rsidR="00411D66" w:rsidRPr="00C7056D">
        <w:rPr>
          <w:iCs/>
        </w:rPr>
        <w:fldChar w:fldCharType="separate"/>
      </w:r>
      <w:r w:rsidR="005D45D2">
        <w:rPr>
          <w:iCs/>
        </w:rPr>
        <w:t>6.55</w:t>
      </w:r>
      <w:r w:rsidR="00411D66" w:rsidRPr="00C7056D">
        <w:rPr>
          <w:iCs/>
        </w:rPr>
        <w:fldChar w:fldCharType="end"/>
      </w:r>
      <w:r w:rsidR="008337C2" w:rsidRPr="00C7056D">
        <w:rPr>
          <w:iCs/>
        </w:rPr>
        <w:t>).</w:t>
      </w:r>
      <w:r w:rsidR="00A943B3" w:rsidRPr="00E359DE">
        <w:rPr>
          <w:iCs/>
        </w:rPr>
        <w:t>The calculations for the</w:t>
      </w:r>
      <w:r w:rsidR="00CF7B45" w:rsidRPr="00E359DE">
        <w:rPr>
          <w:iCs/>
        </w:rPr>
        <w:t xml:space="preserve"> revised</w:t>
      </w:r>
      <w:r w:rsidR="00A943B3" w:rsidRPr="00E359DE">
        <w:rPr>
          <w:iCs/>
        </w:rPr>
        <w:t xml:space="preserve"> loss of response probabilities</w:t>
      </w:r>
      <w:r w:rsidR="00A8555C">
        <w:rPr>
          <w:iCs/>
        </w:rPr>
        <w:t xml:space="preserve"> applied as a 6-monthly stopping rule</w:t>
      </w:r>
      <w:r w:rsidR="00A943B3" w:rsidRPr="00E359DE">
        <w:rPr>
          <w:iCs/>
        </w:rPr>
        <w:t xml:space="preserve"> </w:t>
      </w:r>
      <w:r w:rsidR="00AC4C47" w:rsidRPr="00E359DE">
        <w:rPr>
          <w:iCs/>
        </w:rPr>
        <w:t xml:space="preserve">in the Pre-PBAC Response </w:t>
      </w:r>
      <w:r w:rsidR="00DE1746" w:rsidRPr="00E359DE">
        <w:rPr>
          <w:iCs/>
        </w:rPr>
        <w:t>are based</w:t>
      </w:r>
      <w:r w:rsidR="000F3834" w:rsidRPr="00E359DE">
        <w:rPr>
          <w:iCs/>
        </w:rPr>
        <w:t xml:space="preserve"> on</w:t>
      </w:r>
      <w:r w:rsidR="00DE1746" w:rsidRPr="00E359DE">
        <w:rPr>
          <w:iCs/>
        </w:rPr>
        <w:t xml:space="preserve"> the observed loss of response in Months 12–24 (10.0%) in</w:t>
      </w:r>
      <w:r w:rsidR="00AC4C47" w:rsidRPr="00E359DE">
        <w:rPr>
          <w:iCs/>
        </w:rPr>
        <w:t xml:space="preserve"> the</w:t>
      </w:r>
      <w:r w:rsidR="00DE1746" w:rsidRPr="00E359DE">
        <w:rPr>
          <w:iCs/>
        </w:rPr>
        <w:t xml:space="preserve"> MATINEE</w:t>
      </w:r>
      <w:r w:rsidR="00AC4C47" w:rsidRPr="00E359DE">
        <w:rPr>
          <w:iCs/>
        </w:rPr>
        <w:t xml:space="preserve"> trial</w:t>
      </w:r>
      <w:r w:rsidR="00C21062">
        <w:rPr>
          <w:iCs/>
        </w:rPr>
        <w:t xml:space="preserve"> (</w:t>
      </w:r>
      <w:r w:rsidR="00C21062" w:rsidRPr="00E359DE">
        <w:rPr>
          <w:iCs/>
        </w:rPr>
        <w:fldChar w:fldCharType="begin"/>
      </w:r>
      <w:r w:rsidR="00C21062" w:rsidRPr="00E359DE">
        <w:rPr>
          <w:iCs/>
        </w:rPr>
        <w:instrText xml:space="preserve"> REF _Ref224817668 \h </w:instrText>
      </w:r>
      <w:r w:rsidR="00C21062" w:rsidRPr="00E359DE">
        <w:rPr>
          <w:iCs/>
        </w:rPr>
      </w:r>
      <w:r w:rsidR="00C21062" w:rsidRPr="00E359DE">
        <w:rPr>
          <w:iCs/>
        </w:rPr>
        <w:fldChar w:fldCharType="separate"/>
      </w:r>
      <w:r w:rsidR="00FA28CE" w:rsidRPr="00D27683">
        <w:t xml:space="preserve">Table </w:t>
      </w:r>
      <w:r w:rsidR="00FA28CE">
        <w:rPr>
          <w:noProof/>
        </w:rPr>
        <w:t>14</w:t>
      </w:r>
      <w:r w:rsidR="00C21062" w:rsidRPr="00E359DE">
        <w:rPr>
          <w:iCs/>
        </w:rPr>
        <w:fldChar w:fldCharType="end"/>
      </w:r>
      <w:r w:rsidR="00C21062">
        <w:rPr>
          <w:iCs/>
        </w:rPr>
        <w:t>)</w:t>
      </w:r>
      <w:r w:rsidR="001F737E" w:rsidRPr="00E359DE">
        <w:rPr>
          <w:iCs/>
        </w:rPr>
        <w:t xml:space="preserve">. </w:t>
      </w:r>
    </w:p>
    <w:p w14:paraId="0D239CBC" w14:textId="0FD25780" w:rsidR="001767F1" w:rsidRPr="008E5E57" w:rsidRDefault="008E5E57" w:rsidP="00135EE0">
      <w:pPr>
        <w:pStyle w:val="TableFigureHeading"/>
      </w:pPr>
      <w:bookmarkStart w:id="144" w:name="_Ref224817668"/>
      <w:bookmarkStart w:id="145" w:name="_Ref224817664"/>
      <w:r w:rsidRPr="00D27683">
        <w:t xml:space="preserve">Table </w:t>
      </w:r>
      <w:fldSimple w:instr=" SEQ Table \* ARABIC ">
        <w:r w:rsidR="00FA28CE">
          <w:rPr>
            <w:noProof/>
          </w:rPr>
          <w:t>14</w:t>
        </w:r>
      </w:fldSimple>
      <w:bookmarkEnd w:id="144"/>
      <w:r w:rsidRPr="00D27683">
        <w:t xml:space="preserve">: </w:t>
      </w:r>
      <w:r w:rsidRPr="001767F1">
        <w:t>Year 2+ loss of response calculations for the mepolizumab arm in the revised base-case model</w:t>
      </w:r>
      <w:bookmarkEnd w:id="145"/>
    </w:p>
    <w:tbl>
      <w:tblPr>
        <w:tblStyle w:val="TableGrid11"/>
        <w:tblW w:w="5000" w:type="pct"/>
        <w:tblLook w:val="0020" w:firstRow="1" w:lastRow="0" w:firstColumn="0" w:lastColumn="0" w:noHBand="0" w:noVBand="0"/>
        <w:tblCaption w:val="Table 14: Year 2+ loss of response calculations for the mepolizumab arm in the revised base-case model"/>
      </w:tblPr>
      <w:tblGrid>
        <w:gridCol w:w="1554"/>
        <w:gridCol w:w="1415"/>
        <w:gridCol w:w="1156"/>
        <w:gridCol w:w="1115"/>
        <w:gridCol w:w="1461"/>
        <w:gridCol w:w="1115"/>
        <w:gridCol w:w="1201"/>
      </w:tblGrid>
      <w:tr w:rsidR="000C214C" w:rsidRPr="001767F1" w14:paraId="0AFD18BE" w14:textId="77777777" w:rsidTr="00743AE1">
        <w:trPr>
          <w:trHeight w:val="20"/>
        </w:trPr>
        <w:tc>
          <w:tcPr>
            <w:tcW w:w="862" w:type="pct"/>
            <w:vMerge w:val="restart"/>
          </w:tcPr>
          <w:p w14:paraId="10E913BF" w14:textId="77777777" w:rsidR="00E53B8D" w:rsidRPr="001767F1" w:rsidRDefault="00E53B8D" w:rsidP="00135EE0">
            <w:pPr>
              <w:pStyle w:val="TableText0"/>
              <w:rPr>
                <w:rFonts w:eastAsia="Times New Roman"/>
                <w:b/>
                <w:bCs w:val="0"/>
                <w:sz w:val="20"/>
                <w:szCs w:val="20"/>
              </w:rPr>
            </w:pPr>
            <w:r w:rsidRPr="001767F1">
              <w:rPr>
                <w:rFonts w:eastAsia="Times New Roman"/>
                <w:b/>
                <w:bCs w:val="0"/>
                <w:sz w:val="20"/>
                <w:szCs w:val="20"/>
              </w:rPr>
              <w:t xml:space="preserve">Health state </w:t>
            </w:r>
          </w:p>
        </w:tc>
        <w:tc>
          <w:tcPr>
            <w:tcW w:w="1426" w:type="pct"/>
            <w:gridSpan w:val="2"/>
            <w:vAlign w:val="center"/>
          </w:tcPr>
          <w:p w14:paraId="58A73F1B"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Month 0</w:t>
            </w:r>
            <w:r w:rsidRPr="00D930AA">
              <w:rPr>
                <w:rFonts w:eastAsia="Times New Roman"/>
                <w:b/>
                <w:bCs w:val="0"/>
                <w:sz w:val="20"/>
                <w:szCs w:val="20"/>
              </w:rPr>
              <w:t>–</w:t>
            </w:r>
            <w:r w:rsidRPr="001767F1">
              <w:rPr>
                <w:rFonts w:eastAsia="Times New Roman"/>
                <w:b/>
                <w:bCs w:val="0"/>
                <w:sz w:val="20"/>
                <w:szCs w:val="20"/>
              </w:rPr>
              <w:t>12</w:t>
            </w:r>
          </w:p>
        </w:tc>
        <w:tc>
          <w:tcPr>
            <w:tcW w:w="2713" w:type="pct"/>
            <w:gridSpan w:val="4"/>
            <w:vAlign w:val="center"/>
          </w:tcPr>
          <w:p w14:paraId="232CDBE8"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Month 12</w:t>
            </w:r>
            <w:r w:rsidRPr="00D930AA">
              <w:rPr>
                <w:rFonts w:eastAsia="Times New Roman"/>
                <w:b/>
                <w:bCs w:val="0"/>
                <w:sz w:val="20"/>
                <w:szCs w:val="20"/>
              </w:rPr>
              <w:t>–</w:t>
            </w:r>
            <w:r w:rsidRPr="001767F1">
              <w:rPr>
                <w:rFonts w:eastAsia="Times New Roman"/>
                <w:b/>
                <w:bCs w:val="0"/>
                <w:sz w:val="20"/>
                <w:szCs w:val="20"/>
              </w:rPr>
              <w:t>24</w:t>
            </w:r>
          </w:p>
        </w:tc>
      </w:tr>
      <w:tr w:rsidR="000B3A75" w:rsidRPr="001767F1" w14:paraId="144C683B" w14:textId="77777777" w:rsidTr="00743AE1">
        <w:trPr>
          <w:trHeight w:val="20"/>
        </w:trPr>
        <w:tc>
          <w:tcPr>
            <w:tcW w:w="862" w:type="pct"/>
            <w:vMerge/>
          </w:tcPr>
          <w:p w14:paraId="2AAAF31D" w14:textId="77777777" w:rsidR="00E53B8D" w:rsidRPr="001767F1" w:rsidRDefault="00E53B8D" w:rsidP="00135EE0">
            <w:pPr>
              <w:pStyle w:val="TableText0"/>
              <w:rPr>
                <w:rFonts w:eastAsia="Times New Roman"/>
                <w:b/>
                <w:bCs w:val="0"/>
                <w:sz w:val="20"/>
                <w:szCs w:val="20"/>
              </w:rPr>
            </w:pPr>
          </w:p>
        </w:tc>
        <w:tc>
          <w:tcPr>
            <w:tcW w:w="1426" w:type="pct"/>
            <w:gridSpan w:val="2"/>
            <w:vAlign w:val="center"/>
          </w:tcPr>
          <w:p w14:paraId="7B3D5AF3"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Over 12 months</w:t>
            </w:r>
          </w:p>
        </w:tc>
        <w:tc>
          <w:tcPr>
            <w:tcW w:w="1428" w:type="pct"/>
            <w:gridSpan w:val="2"/>
            <w:vAlign w:val="center"/>
          </w:tcPr>
          <w:p w14:paraId="7BD71E0D" w14:textId="77777777" w:rsidR="00E53B8D" w:rsidRPr="00D930AA" w:rsidRDefault="00E53B8D" w:rsidP="00135EE0">
            <w:pPr>
              <w:pStyle w:val="TableText0"/>
              <w:jc w:val="center"/>
              <w:rPr>
                <w:rFonts w:eastAsia="Times New Roman"/>
                <w:b/>
                <w:bCs w:val="0"/>
                <w:szCs w:val="20"/>
              </w:rPr>
            </w:pPr>
            <w:r w:rsidRPr="00D930AA">
              <w:rPr>
                <w:rFonts w:eastAsia="Times New Roman"/>
                <w:b/>
                <w:bCs w:val="0"/>
                <w:sz w:val="20"/>
                <w:szCs w:val="20"/>
              </w:rPr>
              <w:t>Over 12 months</w:t>
            </w:r>
          </w:p>
        </w:tc>
        <w:tc>
          <w:tcPr>
            <w:tcW w:w="1284" w:type="pct"/>
            <w:gridSpan w:val="2"/>
            <w:vAlign w:val="center"/>
          </w:tcPr>
          <w:p w14:paraId="06A8C9A5"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Over 6 months</w:t>
            </w:r>
          </w:p>
        </w:tc>
      </w:tr>
      <w:tr w:rsidR="00F75BF5" w:rsidRPr="001767F1" w14:paraId="5A0EC0FE" w14:textId="77777777" w:rsidTr="00743AE1">
        <w:trPr>
          <w:trHeight w:val="20"/>
        </w:trPr>
        <w:tc>
          <w:tcPr>
            <w:tcW w:w="862" w:type="pct"/>
            <w:vMerge/>
          </w:tcPr>
          <w:p w14:paraId="52475621" w14:textId="77777777" w:rsidR="00E53B8D" w:rsidRPr="001767F1" w:rsidRDefault="00E53B8D" w:rsidP="00135EE0">
            <w:pPr>
              <w:pStyle w:val="TableText0"/>
              <w:rPr>
                <w:rFonts w:eastAsia="Times New Roman"/>
                <w:b/>
                <w:bCs w:val="0"/>
                <w:sz w:val="20"/>
                <w:szCs w:val="20"/>
              </w:rPr>
            </w:pPr>
          </w:p>
        </w:tc>
        <w:tc>
          <w:tcPr>
            <w:tcW w:w="785" w:type="pct"/>
            <w:vAlign w:val="center"/>
          </w:tcPr>
          <w:p w14:paraId="15C020C2"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Continue</w:t>
            </w:r>
          </w:p>
        </w:tc>
        <w:tc>
          <w:tcPr>
            <w:tcW w:w="641" w:type="pct"/>
            <w:vAlign w:val="center"/>
          </w:tcPr>
          <w:p w14:paraId="06B5741E"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Discontinue</w:t>
            </w:r>
          </w:p>
        </w:tc>
        <w:tc>
          <w:tcPr>
            <w:tcW w:w="618" w:type="pct"/>
            <w:vAlign w:val="center"/>
          </w:tcPr>
          <w:p w14:paraId="7A345ADE" w14:textId="77777777" w:rsidR="00E53B8D" w:rsidRPr="001767F1" w:rsidRDefault="00E53B8D" w:rsidP="00135EE0">
            <w:pPr>
              <w:pStyle w:val="TableText0"/>
              <w:jc w:val="center"/>
              <w:rPr>
                <w:rFonts w:eastAsia="Times New Roman"/>
                <w:b/>
                <w:bCs w:val="0"/>
                <w:szCs w:val="20"/>
              </w:rPr>
            </w:pPr>
            <w:r w:rsidRPr="001767F1">
              <w:rPr>
                <w:rFonts w:eastAsia="Times New Roman"/>
                <w:b/>
                <w:bCs w:val="0"/>
                <w:sz w:val="20"/>
                <w:szCs w:val="20"/>
              </w:rPr>
              <w:t>Continue</w:t>
            </w:r>
          </w:p>
        </w:tc>
        <w:tc>
          <w:tcPr>
            <w:tcW w:w="810" w:type="pct"/>
            <w:vAlign w:val="center"/>
          </w:tcPr>
          <w:p w14:paraId="458EEACA" w14:textId="77777777" w:rsidR="00E53B8D"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Discontinue</w:t>
            </w:r>
          </w:p>
        </w:tc>
        <w:tc>
          <w:tcPr>
            <w:tcW w:w="618" w:type="pct"/>
            <w:vAlign w:val="center"/>
          </w:tcPr>
          <w:p w14:paraId="16D20FD7" w14:textId="77777777" w:rsidR="00E53B8D" w:rsidRPr="001767F1" w:rsidRDefault="00E53B8D" w:rsidP="00135EE0">
            <w:pPr>
              <w:pStyle w:val="TableText0"/>
              <w:jc w:val="center"/>
              <w:rPr>
                <w:rFonts w:eastAsia="Times New Roman"/>
                <w:b/>
                <w:bCs w:val="0"/>
                <w:szCs w:val="20"/>
              </w:rPr>
            </w:pPr>
            <w:r w:rsidRPr="001767F1">
              <w:rPr>
                <w:rFonts w:eastAsia="Times New Roman"/>
                <w:b/>
                <w:bCs w:val="0"/>
                <w:sz w:val="20"/>
                <w:szCs w:val="20"/>
              </w:rPr>
              <w:t>Continue</w:t>
            </w:r>
          </w:p>
        </w:tc>
        <w:tc>
          <w:tcPr>
            <w:tcW w:w="666" w:type="pct"/>
            <w:vAlign w:val="center"/>
          </w:tcPr>
          <w:p w14:paraId="13B67763" w14:textId="64A0015D" w:rsidR="00FA7797" w:rsidRPr="001767F1" w:rsidRDefault="00E53B8D" w:rsidP="00135EE0">
            <w:pPr>
              <w:pStyle w:val="TableText0"/>
              <w:jc w:val="center"/>
              <w:rPr>
                <w:rFonts w:eastAsia="Times New Roman"/>
                <w:b/>
                <w:bCs w:val="0"/>
                <w:sz w:val="20"/>
                <w:szCs w:val="20"/>
              </w:rPr>
            </w:pPr>
            <w:r w:rsidRPr="001767F1">
              <w:rPr>
                <w:rFonts w:eastAsia="Times New Roman"/>
                <w:b/>
                <w:bCs w:val="0"/>
                <w:sz w:val="20"/>
                <w:szCs w:val="20"/>
              </w:rPr>
              <w:t>Discontinue</w:t>
            </w:r>
          </w:p>
        </w:tc>
      </w:tr>
      <w:tr w:rsidR="00F75BF5" w:rsidRPr="001767F1" w14:paraId="138DA313" w14:textId="77777777" w:rsidTr="00743AE1">
        <w:trPr>
          <w:trHeight w:val="20"/>
        </w:trPr>
        <w:tc>
          <w:tcPr>
            <w:tcW w:w="862" w:type="pct"/>
          </w:tcPr>
          <w:p w14:paraId="030EBAAD"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No exacerbations </w:t>
            </w:r>
          </w:p>
        </w:tc>
        <w:tc>
          <w:tcPr>
            <w:tcW w:w="785" w:type="pct"/>
            <w:vAlign w:val="center"/>
          </w:tcPr>
          <w:p w14:paraId="671C2FA0"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100.00%</w:t>
            </w:r>
          </w:p>
        </w:tc>
        <w:tc>
          <w:tcPr>
            <w:tcW w:w="641" w:type="pct"/>
            <w:vAlign w:val="center"/>
          </w:tcPr>
          <w:p w14:paraId="3F5BF07C"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0.00%</w:t>
            </w:r>
          </w:p>
        </w:tc>
        <w:tc>
          <w:tcPr>
            <w:tcW w:w="618" w:type="pct"/>
            <w:vAlign w:val="center"/>
          </w:tcPr>
          <w:p w14:paraId="452589FB"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100.00%</w:t>
            </w:r>
          </w:p>
        </w:tc>
        <w:tc>
          <w:tcPr>
            <w:tcW w:w="810" w:type="pct"/>
            <w:vAlign w:val="center"/>
          </w:tcPr>
          <w:p w14:paraId="4C2B4038"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0.00%</w:t>
            </w:r>
          </w:p>
        </w:tc>
        <w:tc>
          <w:tcPr>
            <w:tcW w:w="618" w:type="pct"/>
            <w:vAlign w:val="center"/>
          </w:tcPr>
          <w:p w14:paraId="324B7C9C"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100.00%</w:t>
            </w:r>
          </w:p>
        </w:tc>
        <w:tc>
          <w:tcPr>
            <w:tcW w:w="666" w:type="pct"/>
            <w:vAlign w:val="center"/>
          </w:tcPr>
          <w:p w14:paraId="14F84577"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0.00%</w:t>
            </w:r>
          </w:p>
        </w:tc>
      </w:tr>
      <w:tr w:rsidR="00F75BF5" w:rsidRPr="001767F1" w14:paraId="74125BFB" w14:textId="77777777" w:rsidTr="00743AE1">
        <w:trPr>
          <w:trHeight w:val="20"/>
        </w:trPr>
        <w:tc>
          <w:tcPr>
            <w:tcW w:w="862" w:type="pct"/>
          </w:tcPr>
          <w:p w14:paraId="3BB5D643"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Moderate exacerbations </w:t>
            </w:r>
          </w:p>
        </w:tc>
        <w:tc>
          <w:tcPr>
            <w:tcW w:w="785" w:type="pct"/>
            <w:vAlign w:val="center"/>
          </w:tcPr>
          <w:p w14:paraId="49E99152"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80.00%</w:t>
            </w:r>
          </w:p>
        </w:tc>
        <w:tc>
          <w:tcPr>
            <w:tcW w:w="641" w:type="pct"/>
            <w:vAlign w:val="center"/>
          </w:tcPr>
          <w:p w14:paraId="2078CD7C"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20.00%</w:t>
            </w:r>
          </w:p>
        </w:tc>
        <w:tc>
          <w:tcPr>
            <w:tcW w:w="618" w:type="pct"/>
            <w:vAlign w:val="center"/>
          </w:tcPr>
          <w:p w14:paraId="556FC797"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83.08%</w:t>
            </w:r>
          </w:p>
        </w:tc>
        <w:tc>
          <w:tcPr>
            <w:tcW w:w="810" w:type="pct"/>
            <w:vAlign w:val="center"/>
          </w:tcPr>
          <w:p w14:paraId="3C48D8E0"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16.92%</w:t>
            </w:r>
          </w:p>
        </w:tc>
        <w:tc>
          <w:tcPr>
            <w:tcW w:w="618" w:type="pct"/>
            <w:vAlign w:val="center"/>
          </w:tcPr>
          <w:p w14:paraId="51B4EE3A"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91.15%</w:t>
            </w:r>
          </w:p>
        </w:tc>
        <w:tc>
          <w:tcPr>
            <w:tcW w:w="666" w:type="pct"/>
            <w:vAlign w:val="center"/>
          </w:tcPr>
          <w:p w14:paraId="252413A5" w14:textId="3C70DDF2" w:rsidR="00E53B8D" w:rsidRPr="0013161E" w:rsidRDefault="00E53B8D" w:rsidP="00135EE0">
            <w:pPr>
              <w:pStyle w:val="TableText0"/>
              <w:jc w:val="center"/>
              <w:rPr>
                <w:rFonts w:eastAsia="Times New Roman"/>
                <w:sz w:val="20"/>
                <w:szCs w:val="20"/>
                <w:vertAlign w:val="superscript"/>
              </w:rPr>
            </w:pPr>
            <w:r w:rsidRPr="001767F1">
              <w:rPr>
                <w:rFonts w:eastAsia="Times New Roman"/>
                <w:sz w:val="20"/>
                <w:szCs w:val="20"/>
              </w:rPr>
              <w:t>8.85%</w:t>
            </w:r>
            <w:r w:rsidR="0013161E">
              <w:rPr>
                <w:rFonts w:eastAsia="Times New Roman"/>
                <w:sz w:val="20"/>
                <w:szCs w:val="20"/>
                <w:vertAlign w:val="superscript"/>
              </w:rPr>
              <w:t>b</w:t>
            </w:r>
          </w:p>
        </w:tc>
      </w:tr>
      <w:tr w:rsidR="00F75BF5" w:rsidRPr="001767F1" w14:paraId="1320D05D" w14:textId="77777777" w:rsidTr="00743AE1">
        <w:trPr>
          <w:trHeight w:val="20"/>
        </w:trPr>
        <w:tc>
          <w:tcPr>
            <w:tcW w:w="862" w:type="pct"/>
          </w:tcPr>
          <w:p w14:paraId="7F5FB17A"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Severe / post-severe exacerbations </w:t>
            </w:r>
          </w:p>
        </w:tc>
        <w:tc>
          <w:tcPr>
            <w:tcW w:w="785" w:type="pct"/>
            <w:vAlign w:val="center"/>
          </w:tcPr>
          <w:p w14:paraId="15289AEC"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40.91%</w:t>
            </w:r>
          </w:p>
        </w:tc>
        <w:tc>
          <w:tcPr>
            <w:tcW w:w="641" w:type="pct"/>
            <w:vAlign w:val="center"/>
          </w:tcPr>
          <w:p w14:paraId="51CBFE1D"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59.09%</w:t>
            </w:r>
          </w:p>
        </w:tc>
        <w:tc>
          <w:tcPr>
            <w:tcW w:w="618" w:type="pct"/>
            <w:vAlign w:val="center"/>
          </w:tcPr>
          <w:p w14:paraId="19E08916"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50.00%</w:t>
            </w:r>
          </w:p>
        </w:tc>
        <w:tc>
          <w:tcPr>
            <w:tcW w:w="810" w:type="pct"/>
            <w:vAlign w:val="center"/>
          </w:tcPr>
          <w:p w14:paraId="55F7CFB5"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50.00%</w:t>
            </w:r>
          </w:p>
        </w:tc>
        <w:tc>
          <w:tcPr>
            <w:tcW w:w="618" w:type="pct"/>
            <w:vAlign w:val="center"/>
          </w:tcPr>
          <w:p w14:paraId="1EE82DDE"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70.71%</w:t>
            </w:r>
          </w:p>
        </w:tc>
        <w:tc>
          <w:tcPr>
            <w:tcW w:w="666" w:type="pct"/>
            <w:vAlign w:val="center"/>
          </w:tcPr>
          <w:p w14:paraId="4C3472B1" w14:textId="154C0989" w:rsidR="00E53B8D" w:rsidRPr="0013161E" w:rsidRDefault="00E53B8D" w:rsidP="00135EE0">
            <w:pPr>
              <w:pStyle w:val="TableText0"/>
              <w:jc w:val="center"/>
              <w:rPr>
                <w:rFonts w:eastAsia="Times New Roman"/>
                <w:sz w:val="20"/>
                <w:szCs w:val="20"/>
                <w:vertAlign w:val="superscript"/>
              </w:rPr>
            </w:pPr>
            <w:r w:rsidRPr="001767F1">
              <w:rPr>
                <w:rFonts w:eastAsia="Times New Roman"/>
                <w:sz w:val="20"/>
                <w:szCs w:val="20"/>
              </w:rPr>
              <w:t>29.29%</w:t>
            </w:r>
            <w:r w:rsidR="0013161E">
              <w:rPr>
                <w:rFonts w:eastAsia="Times New Roman"/>
                <w:sz w:val="20"/>
                <w:szCs w:val="20"/>
                <w:vertAlign w:val="superscript"/>
              </w:rPr>
              <w:t>b</w:t>
            </w:r>
          </w:p>
        </w:tc>
      </w:tr>
      <w:tr w:rsidR="00F75BF5" w:rsidRPr="001767F1" w14:paraId="28DAC649" w14:textId="77777777" w:rsidTr="00743AE1">
        <w:trPr>
          <w:trHeight w:val="20"/>
        </w:trPr>
        <w:tc>
          <w:tcPr>
            <w:tcW w:w="862" w:type="pct"/>
          </w:tcPr>
          <w:p w14:paraId="6CE62E03"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Frequent severe exacerbations </w:t>
            </w:r>
          </w:p>
        </w:tc>
        <w:tc>
          <w:tcPr>
            <w:tcW w:w="785" w:type="pct"/>
            <w:vAlign w:val="center"/>
          </w:tcPr>
          <w:p w14:paraId="55802C10"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50.00%</w:t>
            </w:r>
          </w:p>
        </w:tc>
        <w:tc>
          <w:tcPr>
            <w:tcW w:w="641" w:type="pct"/>
            <w:vAlign w:val="center"/>
          </w:tcPr>
          <w:p w14:paraId="31274F22"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50.00%</w:t>
            </w:r>
          </w:p>
        </w:tc>
        <w:tc>
          <w:tcPr>
            <w:tcW w:w="618" w:type="pct"/>
            <w:vAlign w:val="center"/>
          </w:tcPr>
          <w:p w14:paraId="4C13A5B7"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57.69%</w:t>
            </w:r>
          </w:p>
        </w:tc>
        <w:tc>
          <w:tcPr>
            <w:tcW w:w="810" w:type="pct"/>
            <w:vAlign w:val="center"/>
          </w:tcPr>
          <w:p w14:paraId="28C93992"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42.31%</w:t>
            </w:r>
          </w:p>
        </w:tc>
        <w:tc>
          <w:tcPr>
            <w:tcW w:w="618" w:type="pct"/>
            <w:vAlign w:val="center"/>
          </w:tcPr>
          <w:p w14:paraId="4AB25295"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75.96%</w:t>
            </w:r>
          </w:p>
        </w:tc>
        <w:tc>
          <w:tcPr>
            <w:tcW w:w="666" w:type="pct"/>
            <w:vAlign w:val="center"/>
          </w:tcPr>
          <w:p w14:paraId="3616EEFA" w14:textId="7338B3DD" w:rsidR="00E53B8D" w:rsidRPr="0013161E" w:rsidRDefault="00E53B8D" w:rsidP="00135EE0">
            <w:pPr>
              <w:pStyle w:val="TableText0"/>
              <w:jc w:val="center"/>
              <w:rPr>
                <w:rFonts w:eastAsia="Times New Roman"/>
                <w:sz w:val="20"/>
                <w:szCs w:val="20"/>
                <w:vertAlign w:val="superscript"/>
              </w:rPr>
            </w:pPr>
            <w:r w:rsidRPr="001767F1">
              <w:rPr>
                <w:rFonts w:eastAsia="Times New Roman"/>
                <w:sz w:val="20"/>
                <w:szCs w:val="20"/>
              </w:rPr>
              <w:t>24.04%</w:t>
            </w:r>
            <w:r w:rsidR="0013161E">
              <w:rPr>
                <w:rFonts w:eastAsia="Times New Roman"/>
                <w:sz w:val="20"/>
                <w:szCs w:val="20"/>
                <w:vertAlign w:val="superscript"/>
              </w:rPr>
              <w:t>b</w:t>
            </w:r>
          </w:p>
        </w:tc>
      </w:tr>
      <w:tr w:rsidR="00F75BF5" w:rsidRPr="001767F1" w14:paraId="4530CFB8" w14:textId="77777777" w:rsidTr="00743AE1">
        <w:trPr>
          <w:trHeight w:val="20"/>
        </w:trPr>
        <w:tc>
          <w:tcPr>
            <w:tcW w:w="862" w:type="pct"/>
          </w:tcPr>
          <w:p w14:paraId="6BF5B3B6"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Overall </w:t>
            </w:r>
          </w:p>
        </w:tc>
        <w:tc>
          <w:tcPr>
            <w:tcW w:w="785" w:type="pct"/>
            <w:vAlign w:val="center"/>
          </w:tcPr>
          <w:p w14:paraId="4BFC3B1D"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88.18%</w:t>
            </w:r>
          </w:p>
        </w:tc>
        <w:tc>
          <w:tcPr>
            <w:tcW w:w="641" w:type="pct"/>
            <w:vAlign w:val="center"/>
          </w:tcPr>
          <w:p w14:paraId="267493E4"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11.82%</w:t>
            </w:r>
          </w:p>
        </w:tc>
        <w:tc>
          <w:tcPr>
            <w:tcW w:w="618" w:type="pct"/>
            <w:vAlign w:val="center"/>
          </w:tcPr>
          <w:p w14:paraId="615A48D3"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90.00%</w:t>
            </w:r>
          </w:p>
        </w:tc>
        <w:tc>
          <w:tcPr>
            <w:tcW w:w="810" w:type="pct"/>
            <w:vAlign w:val="center"/>
          </w:tcPr>
          <w:p w14:paraId="5FA8ACEE"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10.00%</w:t>
            </w:r>
            <w:r w:rsidRPr="001767F1">
              <w:rPr>
                <w:rFonts w:eastAsia="Times New Roman"/>
                <w:sz w:val="20"/>
                <w:szCs w:val="20"/>
                <w:vertAlign w:val="superscript"/>
              </w:rPr>
              <w:t>a</w:t>
            </w:r>
          </w:p>
        </w:tc>
        <w:tc>
          <w:tcPr>
            <w:tcW w:w="618" w:type="pct"/>
            <w:vAlign w:val="center"/>
          </w:tcPr>
          <w:p w14:paraId="64FEFDFA"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94.87%</w:t>
            </w:r>
          </w:p>
        </w:tc>
        <w:tc>
          <w:tcPr>
            <w:tcW w:w="666" w:type="pct"/>
            <w:vAlign w:val="center"/>
          </w:tcPr>
          <w:p w14:paraId="25623FA8" w14:textId="6208E41B" w:rsidR="00E53B8D" w:rsidRPr="0013161E" w:rsidRDefault="00E53B8D" w:rsidP="00135EE0">
            <w:pPr>
              <w:pStyle w:val="TableText0"/>
              <w:jc w:val="center"/>
              <w:rPr>
                <w:rFonts w:eastAsia="Times New Roman"/>
                <w:sz w:val="20"/>
                <w:szCs w:val="20"/>
                <w:vertAlign w:val="superscript"/>
              </w:rPr>
            </w:pPr>
            <w:r w:rsidRPr="001767F1">
              <w:rPr>
                <w:rFonts w:eastAsia="Times New Roman"/>
                <w:sz w:val="20"/>
                <w:szCs w:val="20"/>
              </w:rPr>
              <w:t>5.13%</w:t>
            </w:r>
            <w:r w:rsidR="0013161E">
              <w:rPr>
                <w:rFonts w:eastAsia="Times New Roman"/>
                <w:sz w:val="20"/>
                <w:szCs w:val="20"/>
                <w:vertAlign w:val="superscript"/>
              </w:rPr>
              <w:t>c</w:t>
            </w:r>
          </w:p>
        </w:tc>
      </w:tr>
      <w:tr w:rsidR="00F75BF5" w:rsidRPr="001767F1" w14:paraId="5003BA3A" w14:textId="77777777" w:rsidTr="00743AE1">
        <w:trPr>
          <w:trHeight w:val="20"/>
        </w:trPr>
        <w:tc>
          <w:tcPr>
            <w:tcW w:w="862" w:type="pct"/>
          </w:tcPr>
          <w:p w14:paraId="7C9DAED1"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Reference </w:t>
            </w:r>
          </w:p>
        </w:tc>
        <w:tc>
          <w:tcPr>
            <w:tcW w:w="785" w:type="pct"/>
            <w:vAlign w:val="center"/>
          </w:tcPr>
          <w:p w14:paraId="4848741F"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A</w:t>
            </w:r>
          </w:p>
        </w:tc>
        <w:tc>
          <w:tcPr>
            <w:tcW w:w="641" w:type="pct"/>
            <w:vAlign w:val="center"/>
          </w:tcPr>
          <w:p w14:paraId="1E9BAE31"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B</w:t>
            </w:r>
          </w:p>
        </w:tc>
        <w:tc>
          <w:tcPr>
            <w:tcW w:w="618" w:type="pct"/>
            <w:vAlign w:val="center"/>
          </w:tcPr>
          <w:p w14:paraId="55765AFA"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C</w:t>
            </w:r>
          </w:p>
        </w:tc>
        <w:tc>
          <w:tcPr>
            <w:tcW w:w="810" w:type="pct"/>
            <w:vAlign w:val="center"/>
          </w:tcPr>
          <w:p w14:paraId="388D061B"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D</w:t>
            </w:r>
          </w:p>
        </w:tc>
        <w:tc>
          <w:tcPr>
            <w:tcW w:w="618" w:type="pct"/>
            <w:vAlign w:val="center"/>
          </w:tcPr>
          <w:p w14:paraId="1530191F"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E</w:t>
            </w:r>
          </w:p>
        </w:tc>
        <w:tc>
          <w:tcPr>
            <w:tcW w:w="666" w:type="pct"/>
            <w:vAlign w:val="center"/>
          </w:tcPr>
          <w:p w14:paraId="71406F88"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F</w:t>
            </w:r>
          </w:p>
        </w:tc>
      </w:tr>
      <w:tr w:rsidR="00ED7877" w:rsidRPr="001767F1" w14:paraId="018AB6C1" w14:textId="77777777" w:rsidTr="00743AE1">
        <w:trPr>
          <w:trHeight w:val="20"/>
        </w:trPr>
        <w:tc>
          <w:tcPr>
            <w:tcW w:w="862" w:type="pct"/>
          </w:tcPr>
          <w:p w14:paraId="3A0C2CCB" w14:textId="77777777" w:rsidR="00E53B8D" w:rsidRPr="001767F1" w:rsidRDefault="00E53B8D" w:rsidP="00135EE0">
            <w:pPr>
              <w:pStyle w:val="TableText0"/>
              <w:rPr>
                <w:rFonts w:eastAsia="Times New Roman"/>
                <w:sz w:val="20"/>
                <w:szCs w:val="20"/>
              </w:rPr>
            </w:pPr>
            <w:r w:rsidRPr="001767F1">
              <w:rPr>
                <w:rFonts w:eastAsia="Times New Roman"/>
                <w:sz w:val="20"/>
                <w:szCs w:val="20"/>
              </w:rPr>
              <w:t xml:space="preserve">Calculation </w:t>
            </w:r>
          </w:p>
        </w:tc>
        <w:tc>
          <w:tcPr>
            <w:tcW w:w="1426" w:type="pct"/>
            <w:gridSpan w:val="2"/>
          </w:tcPr>
          <w:p w14:paraId="001F4CE7"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w:t>
            </w:r>
          </w:p>
        </w:tc>
        <w:tc>
          <w:tcPr>
            <w:tcW w:w="618" w:type="pct"/>
          </w:tcPr>
          <w:p w14:paraId="4BD5F5A3"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1 - D</w:t>
            </w:r>
          </w:p>
        </w:tc>
        <w:tc>
          <w:tcPr>
            <w:tcW w:w="810" w:type="pct"/>
          </w:tcPr>
          <w:p w14:paraId="6A3D3F23"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B x (10 /11.82%)</w:t>
            </w:r>
          </w:p>
        </w:tc>
        <w:tc>
          <w:tcPr>
            <w:tcW w:w="618" w:type="pct"/>
          </w:tcPr>
          <w:p w14:paraId="4AAC1089"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1 - F</w:t>
            </w:r>
          </w:p>
        </w:tc>
        <w:tc>
          <w:tcPr>
            <w:tcW w:w="666" w:type="pct"/>
          </w:tcPr>
          <w:p w14:paraId="4603240C" w14:textId="77777777" w:rsidR="00E53B8D" w:rsidRPr="001767F1" w:rsidRDefault="00E53B8D" w:rsidP="00135EE0">
            <w:pPr>
              <w:pStyle w:val="TableText0"/>
              <w:jc w:val="center"/>
              <w:rPr>
                <w:rFonts w:eastAsia="Times New Roman"/>
                <w:sz w:val="20"/>
                <w:szCs w:val="20"/>
              </w:rPr>
            </w:pPr>
            <w:r w:rsidRPr="001767F1">
              <w:rPr>
                <w:rFonts w:eastAsia="Times New Roman"/>
                <w:sz w:val="20"/>
                <w:szCs w:val="20"/>
              </w:rPr>
              <w:t>-C</w:t>
            </w:r>
            <w:r w:rsidRPr="001767F1">
              <w:rPr>
                <w:rFonts w:eastAsia="Times New Roman"/>
                <w:sz w:val="20"/>
                <w:szCs w:val="20"/>
                <w:vertAlign w:val="superscript"/>
              </w:rPr>
              <w:t xml:space="preserve">1/2 </w:t>
            </w:r>
            <w:r w:rsidRPr="001767F1">
              <w:rPr>
                <w:rFonts w:eastAsia="Times New Roman"/>
                <w:sz w:val="20"/>
                <w:szCs w:val="20"/>
              </w:rPr>
              <w:t>+ 1</w:t>
            </w:r>
          </w:p>
        </w:tc>
      </w:tr>
    </w:tbl>
    <w:p w14:paraId="4191CE26" w14:textId="5DA04999" w:rsidR="00E53B8D" w:rsidRPr="001870CD" w:rsidRDefault="00E53B8D" w:rsidP="003338A0">
      <w:pPr>
        <w:pStyle w:val="TableFigureFooter"/>
        <w:rPr>
          <w:lang w:val="fr-CH"/>
        </w:rPr>
      </w:pPr>
      <w:proofErr w:type="gramStart"/>
      <w:r w:rsidRPr="001870CD">
        <w:rPr>
          <w:lang w:val="fr-CH"/>
        </w:rPr>
        <w:t>Source:</w:t>
      </w:r>
      <w:proofErr w:type="gramEnd"/>
      <w:r w:rsidRPr="001870CD">
        <w:rPr>
          <w:lang w:val="fr-CH"/>
        </w:rPr>
        <w:t xml:space="preserve"> Pre-PBAC </w:t>
      </w:r>
      <w:proofErr w:type="spellStart"/>
      <w:r w:rsidRPr="001870CD">
        <w:rPr>
          <w:lang w:val="fr-CH"/>
        </w:rPr>
        <w:t>Response</w:t>
      </w:r>
      <w:proofErr w:type="spellEnd"/>
      <w:r w:rsidRPr="001870CD">
        <w:rPr>
          <w:lang w:val="fr-CH"/>
        </w:rPr>
        <w:t xml:space="preserve"> </w:t>
      </w:r>
    </w:p>
    <w:p w14:paraId="369FB025" w14:textId="228511B5" w:rsidR="0013161E" w:rsidRDefault="00E53B8D" w:rsidP="003338A0">
      <w:pPr>
        <w:pStyle w:val="TableFigureFooter"/>
      </w:pPr>
      <w:r w:rsidRPr="00570DB4">
        <w:rPr>
          <w:vertAlign w:val="superscript"/>
        </w:rPr>
        <w:t>a</w:t>
      </w:r>
      <w:r w:rsidRPr="00570DB4">
        <w:t xml:space="preserve"> 291 mepolizumab responders at 12 months </w:t>
      </w:r>
      <w:r>
        <w:t>→</w:t>
      </w:r>
      <w:r w:rsidRPr="00570DB4">
        <w:t xml:space="preserve"> 80 with 24 months of follow-up </w:t>
      </w:r>
      <w:r>
        <w:t>→</w:t>
      </w:r>
      <w:r w:rsidRPr="00570DB4">
        <w:t xml:space="preserve"> 72 maintained their response from 12–24 months: = 1 </w:t>
      </w:r>
      <w:r>
        <w:t>-</w:t>
      </w:r>
      <w:r w:rsidRPr="00570DB4">
        <w:t xml:space="preserve"> (72/80).</w:t>
      </w:r>
    </w:p>
    <w:p w14:paraId="14D262AD" w14:textId="7E11E36C" w:rsidR="00AD6D90" w:rsidRDefault="00AD6D90" w:rsidP="003338A0">
      <w:pPr>
        <w:pStyle w:val="TableFigureFooter"/>
      </w:pPr>
      <w:r>
        <w:rPr>
          <w:vertAlign w:val="superscript"/>
        </w:rPr>
        <w:t>b</w:t>
      </w:r>
      <w:r>
        <w:t xml:space="preserve"> Applied to revised based case of the Pre-PBAC Response</w:t>
      </w:r>
      <w:r w:rsidR="003038A4">
        <w:t>.</w:t>
      </w:r>
    </w:p>
    <w:p w14:paraId="40E7BA8E" w14:textId="77777777" w:rsidR="00720E0B" w:rsidRDefault="00AD6D90" w:rsidP="003338A0">
      <w:pPr>
        <w:pStyle w:val="TableFigureFooter"/>
      </w:pPr>
      <w:r>
        <w:rPr>
          <w:vertAlign w:val="superscript"/>
        </w:rPr>
        <w:t>c</w:t>
      </w:r>
      <w:r>
        <w:t xml:space="preserve"> </w:t>
      </w:r>
      <w:r w:rsidR="003038A4">
        <w:t xml:space="preserve">As suggested in the </w:t>
      </w:r>
      <w:r w:rsidR="00182D67">
        <w:t>PSCR</w:t>
      </w:r>
      <w:r w:rsidR="003038A4">
        <w:t>.</w:t>
      </w:r>
    </w:p>
    <w:p w14:paraId="254D7E19" w14:textId="36A707EC" w:rsidR="00AD6D90" w:rsidRPr="00AD6D90" w:rsidRDefault="00720E0B" w:rsidP="003338A0">
      <w:pPr>
        <w:pStyle w:val="TableFigureFooter"/>
      </w:pPr>
      <w:r w:rsidRPr="00720E0B">
        <w:t>Note that the loss of response values were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18A797C9" w14:textId="3F8C2E02" w:rsidR="00BF50CC" w:rsidRPr="00D27683" w:rsidRDefault="00BF50CC" w:rsidP="00135EE0">
      <w:pPr>
        <w:pStyle w:val="3-BodyText"/>
      </w:pPr>
      <w:r w:rsidRPr="00D27683">
        <w:t xml:space="preserve">The model sourced base case utilities from the MATINEE trial (no exacerbations) and from the pooled analysis (MATINEE, METREX, MERTREO, and IMPACT, applied as absolute decrements to no exacerbation utility) of the EQ-5D-5L results. </w:t>
      </w:r>
      <w:r w:rsidR="00FC0B16" w:rsidRPr="006D6FD8">
        <w:rPr>
          <w:iCs/>
        </w:rPr>
        <w:t>The evaluation considered that this</w:t>
      </w:r>
      <w:r w:rsidR="00FC0B16" w:rsidRPr="00D27683">
        <w:t xml:space="preserve"> </w:t>
      </w:r>
      <w:r w:rsidRPr="00D27683">
        <w:t xml:space="preserve">was reasonable. </w:t>
      </w:r>
      <w:r w:rsidR="0068662F" w:rsidRPr="006D6FD8">
        <w:rPr>
          <w:iCs/>
        </w:rPr>
        <w:t>The Sub-Committees noted that the</w:t>
      </w:r>
      <w:r w:rsidR="0068662F" w:rsidRPr="00D27683">
        <w:t xml:space="preserve"> r</w:t>
      </w:r>
      <w:r w:rsidRPr="00D27683">
        <w:t xml:space="preserve">esults were mapped to the 3-level version and scored using Canadian tariffs. </w:t>
      </w:r>
      <w:r w:rsidR="00C61B8C" w:rsidRPr="006D6FD8">
        <w:rPr>
          <w:iCs/>
        </w:rPr>
        <w:t xml:space="preserve">The Sub-Committees agreed with the evaluation that </w:t>
      </w:r>
      <w:r w:rsidR="00C61B8C" w:rsidRPr="00D27683">
        <w:t>s</w:t>
      </w:r>
      <w:r w:rsidRPr="00D27683">
        <w:t>coring the 5-level version with an Australian algorithm</w:t>
      </w:r>
      <w:r w:rsidRPr="00D27683">
        <w:rPr>
          <w:rStyle w:val="FootnoteReference"/>
        </w:rPr>
        <w:footnoteReference w:id="9"/>
      </w:r>
      <w:r w:rsidRPr="00D27683">
        <w:t xml:space="preserve"> would have been more appropriate and obviated the need for the mapping step. The model was not sensitive to the variations in the utility values. </w:t>
      </w:r>
    </w:p>
    <w:p w14:paraId="7076B356" w14:textId="099C08BF" w:rsidR="00BF50CC" w:rsidRPr="00D27683" w:rsidRDefault="00BF50CC" w:rsidP="00135EE0">
      <w:pPr>
        <w:pStyle w:val="3-BodyText"/>
      </w:pPr>
      <w:r w:rsidRPr="00D27683">
        <w:t xml:space="preserve">The submission noted the MATINEE trial did not present resource utilisation </w:t>
      </w:r>
      <w:bookmarkStart w:id="146" w:name="_Hlk218495445"/>
      <w:r w:rsidRPr="00D27683">
        <w:t>data per exacerbation severity</w:t>
      </w:r>
      <w:bookmarkEnd w:id="146"/>
      <w:r w:rsidRPr="00D27683">
        <w:t>. Therefore, the MATINEE trial was not suitable as the source of resource use data for the model. The submission utilised a 1-year prospective Canadian study (</w:t>
      </w:r>
      <w:proofErr w:type="spellStart"/>
      <w:r w:rsidRPr="00D27683">
        <w:t>Mittmann</w:t>
      </w:r>
      <w:proofErr w:type="spellEnd"/>
      <w:r w:rsidRPr="00D27683">
        <w:t xml:space="preserve"> et al. 2008) reporting on moderate and severe exacerbations, including ED, inpatient care, and outpatient management. </w:t>
      </w:r>
      <w:r w:rsidR="005617C9" w:rsidRPr="006D6FD8">
        <w:rPr>
          <w:iCs/>
        </w:rPr>
        <w:t xml:space="preserve">The Sub-Committees agreed with the evaluation that </w:t>
      </w:r>
      <w:r w:rsidR="005617C9" w:rsidRPr="00D27683">
        <w:t>it</w:t>
      </w:r>
      <w:r w:rsidRPr="00D27683">
        <w:t xml:space="preserve"> was unclear how this study, which used Canadian data from 2001</w:t>
      </w:r>
      <w:r w:rsidR="00AC3EBD" w:rsidRPr="00D27683">
        <w:rPr>
          <w:rFonts w:cstheme="minorHAnsi"/>
        </w:rPr>
        <w:t>–</w:t>
      </w:r>
      <w:r w:rsidRPr="00D27683">
        <w:t>02, applied to the current (24 years later) Australian setting.</w:t>
      </w:r>
    </w:p>
    <w:p w14:paraId="03DBDCF9" w14:textId="069D2635" w:rsidR="00055F7E" w:rsidRPr="00D27683" w:rsidRDefault="00BF50CC" w:rsidP="00135EE0">
      <w:pPr>
        <w:pStyle w:val="3-BodyText"/>
      </w:pPr>
      <w:r w:rsidRPr="00D27683">
        <w:lastRenderedPageBreak/>
        <w:t xml:space="preserve">The mean cost </w:t>
      </w:r>
      <w:r w:rsidR="004C27C2" w:rsidRPr="00C26463">
        <w:t>of t</w:t>
      </w:r>
      <w:r w:rsidR="00BC5534" w:rsidRPr="00C26463">
        <w:t>reating a</w:t>
      </w:r>
      <w:r w:rsidR="004C27C2" w:rsidRPr="00C26463">
        <w:t xml:space="preserve"> </w:t>
      </w:r>
      <w:r w:rsidRPr="00C26463">
        <w:t xml:space="preserve">moderate </w:t>
      </w:r>
      <w:r w:rsidR="00650C05" w:rsidRPr="00C26463">
        <w:t xml:space="preserve">or </w:t>
      </w:r>
      <w:r w:rsidRPr="00C26463">
        <w:t xml:space="preserve">severe exacerbation was estimated at </w:t>
      </w:r>
      <w:r w:rsidRPr="001E71D6">
        <w:t>$323.37 and $9,671.37, respectively.</w:t>
      </w:r>
      <w:r w:rsidRPr="00C26463">
        <w:t xml:space="preserve"> The cost of treating a severe exacerbation double counted ED costs, as these were already included in the hospitalisation costs as per the Australian Refined Diagnostic-Related Groups. However, the model was not sensitive to removing ED costs from severe exacerbations</w:t>
      </w:r>
      <w:r w:rsidRPr="00D27683">
        <w:t>.</w:t>
      </w:r>
      <w:r w:rsidR="00D16992">
        <w:t xml:space="preserve"> </w:t>
      </w:r>
    </w:p>
    <w:p w14:paraId="14CAE8B9" w14:textId="40BE3225" w:rsidR="00BF50CC" w:rsidRPr="006D6FD8" w:rsidRDefault="00006BE6" w:rsidP="00135EE0">
      <w:pPr>
        <w:pStyle w:val="3-BodyText"/>
        <w:rPr>
          <w:iCs/>
        </w:rPr>
      </w:pPr>
      <w:r w:rsidRPr="006D6FD8">
        <w:rPr>
          <w:iCs/>
        </w:rPr>
        <w:t xml:space="preserve">The economic model </w:t>
      </w:r>
      <w:r w:rsidR="00D408DF" w:rsidRPr="006D6FD8">
        <w:rPr>
          <w:iCs/>
        </w:rPr>
        <w:t>did not include the cost of administration, only</w:t>
      </w:r>
      <w:r w:rsidRPr="006D6FD8">
        <w:rPr>
          <w:iCs/>
        </w:rPr>
        <w:t xml:space="preserve"> </w:t>
      </w:r>
      <w:r w:rsidR="00B6645C" w:rsidRPr="006D6FD8">
        <w:rPr>
          <w:iCs/>
        </w:rPr>
        <w:t>a one-off</w:t>
      </w:r>
      <w:r w:rsidR="00E40000" w:rsidRPr="006D6FD8">
        <w:rPr>
          <w:iCs/>
        </w:rPr>
        <w:t xml:space="preserve"> cost of training for self-administration</w:t>
      </w:r>
      <w:r w:rsidR="00B6645C" w:rsidRPr="006D6FD8">
        <w:rPr>
          <w:iCs/>
        </w:rPr>
        <w:t xml:space="preserve"> (</w:t>
      </w:r>
      <w:r w:rsidR="00B213A5" w:rsidRPr="006D6FD8">
        <w:rPr>
          <w:iCs/>
        </w:rPr>
        <w:t>$86.80, MBS item 82215</w:t>
      </w:r>
      <w:r w:rsidR="00435138" w:rsidRPr="006D6FD8">
        <w:rPr>
          <w:iCs/>
        </w:rPr>
        <w:t xml:space="preserve"> [updated cost not applied</w:t>
      </w:r>
      <w:r w:rsidR="0044446F" w:rsidRPr="006D6FD8">
        <w:rPr>
          <w:iCs/>
        </w:rPr>
        <w:t>,</w:t>
      </w:r>
      <w:r w:rsidR="005314CF" w:rsidRPr="006D6FD8">
        <w:rPr>
          <w:iCs/>
        </w:rPr>
        <w:t xml:space="preserve"> as was done for the cost and utilisation model</w:t>
      </w:r>
      <w:r w:rsidR="00435138" w:rsidRPr="006D6FD8">
        <w:rPr>
          <w:iCs/>
        </w:rPr>
        <w:t>]</w:t>
      </w:r>
      <w:r w:rsidR="00B213A5" w:rsidRPr="006D6FD8">
        <w:rPr>
          <w:iCs/>
        </w:rPr>
        <w:t>)</w:t>
      </w:r>
      <w:r w:rsidR="00E40000" w:rsidRPr="006D6FD8">
        <w:rPr>
          <w:iCs/>
        </w:rPr>
        <w:t>, however</w:t>
      </w:r>
      <w:r w:rsidR="00B213A5" w:rsidRPr="006D6FD8">
        <w:rPr>
          <w:iCs/>
        </w:rPr>
        <w:t xml:space="preserve"> the evaluation noted that</w:t>
      </w:r>
      <w:r w:rsidR="00E40000" w:rsidRPr="006D6FD8">
        <w:rPr>
          <w:iCs/>
        </w:rPr>
        <w:t xml:space="preserve"> </w:t>
      </w:r>
      <w:r w:rsidR="00B213A5" w:rsidRPr="006D6FD8">
        <w:rPr>
          <w:iCs/>
        </w:rPr>
        <w:t>not</w:t>
      </w:r>
      <w:r w:rsidR="00E40000" w:rsidRPr="006D6FD8">
        <w:rPr>
          <w:iCs/>
        </w:rPr>
        <w:t xml:space="preserve"> all patients will be able to self-administer or have a carer and will therefore</w:t>
      </w:r>
      <w:r w:rsidR="00055F7E" w:rsidRPr="006D6FD8">
        <w:rPr>
          <w:iCs/>
        </w:rPr>
        <w:t xml:space="preserve"> require administration by a healthcare professional.</w:t>
      </w:r>
      <w:r w:rsidR="00B213A5" w:rsidRPr="006D6FD8">
        <w:rPr>
          <w:iCs/>
        </w:rPr>
        <w:t xml:space="preserve"> The </w:t>
      </w:r>
      <w:r w:rsidR="00D65719" w:rsidRPr="006D6FD8">
        <w:rPr>
          <w:iCs/>
        </w:rPr>
        <w:t xml:space="preserve">Sub-Committees </w:t>
      </w:r>
      <w:r w:rsidR="00BB01BD" w:rsidRPr="006D6FD8">
        <w:rPr>
          <w:iCs/>
        </w:rPr>
        <w:t>noted</w:t>
      </w:r>
      <w:r w:rsidR="00D65719" w:rsidRPr="006D6FD8">
        <w:rPr>
          <w:iCs/>
        </w:rPr>
        <w:t xml:space="preserve"> that</w:t>
      </w:r>
      <w:r w:rsidR="00BB01BD" w:rsidRPr="006D6FD8">
        <w:rPr>
          <w:iCs/>
        </w:rPr>
        <w:t xml:space="preserve"> if any additional support for mepolizumab</w:t>
      </w:r>
      <w:r w:rsidR="00455D41" w:rsidRPr="006D6FD8">
        <w:rPr>
          <w:iCs/>
        </w:rPr>
        <w:t xml:space="preserve"> would be required</w:t>
      </w:r>
      <w:r w:rsidR="00BB01BD" w:rsidRPr="006D6FD8">
        <w:rPr>
          <w:iCs/>
        </w:rPr>
        <w:t>, the ICER would be underestimated.</w:t>
      </w:r>
      <w:r w:rsidR="00F94652">
        <w:rPr>
          <w:iCs/>
        </w:rPr>
        <w:t xml:space="preserve"> The PBAC considered that the inclusion of </w:t>
      </w:r>
      <w:r w:rsidR="00FE2CE4">
        <w:rPr>
          <w:iCs/>
        </w:rPr>
        <w:t>only a one-off cost of training for self-administration was appropriate</w:t>
      </w:r>
      <w:r w:rsidR="00D15467">
        <w:rPr>
          <w:iCs/>
        </w:rPr>
        <w:t xml:space="preserve">. </w:t>
      </w:r>
    </w:p>
    <w:p w14:paraId="474ECC0F" w14:textId="052B8531" w:rsidR="00BF50CC" w:rsidRPr="00D27683" w:rsidRDefault="00BF50CC" w:rsidP="00135EE0">
      <w:pPr>
        <w:pStyle w:val="3-BodyText"/>
      </w:pPr>
      <w:r w:rsidRPr="00D27683">
        <w:t xml:space="preserve">Key model drivers are presented in </w:t>
      </w:r>
      <w:r w:rsidRPr="00D27683">
        <w:fldChar w:fldCharType="begin"/>
      </w:r>
      <w:r w:rsidRPr="00D27683">
        <w:instrText xml:space="preserve"> REF _Ref104805122 \h </w:instrText>
      </w:r>
      <w:r w:rsidR="00E41E40" w:rsidRPr="00D27683">
        <w:instrText xml:space="preserve"> \* MERGEFORMAT </w:instrText>
      </w:r>
      <w:r w:rsidRPr="00D27683">
        <w:fldChar w:fldCharType="separate"/>
      </w:r>
      <w:r w:rsidR="00FA28CE" w:rsidRPr="00D27683">
        <w:t xml:space="preserve">Table </w:t>
      </w:r>
      <w:r w:rsidR="00FA28CE">
        <w:rPr>
          <w:noProof/>
        </w:rPr>
        <w:t>15</w:t>
      </w:r>
      <w:r w:rsidRPr="00D27683">
        <w:fldChar w:fldCharType="end"/>
      </w:r>
      <w:r w:rsidRPr="00D27683">
        <w:t>.</w:t>
      </w:r>
    </w:p>
    <w:p w14:paraId="34F746E6" w14:textId="4AE68118" w:rsidR="00BF50CC" w:rsidRPr="00D27683" w:rsidRDefault="00BF50CC" w:rsidP="00135EE0">
      <w:pPr>
        <w:pStyle w:val="Caption"/>
        <w:jc w:val="left"/>
        <w:rPr>
          <w:rStyle w:val="CommentReference"/>
          <w:b/>
          <w:szCs w:val="24"/>
        </w:rPr>
      </w:pPr>
      <w:bookmarkStart w:id="147" w:name="_Ref104805122"/>
      <w:r w:rsidRPr="00D27683">
        <w:t xml:space="preserve">Table </w:t>
      </w:r>
      <w:fldSimple w:instr=" SEQ Table \* ARABIC ">
        <w:r w:rsidR="00FA28CE">
          <w:rPr>
            <w:noProof/>
          </w:rPr>
          <w:t>15</w:t>
        </w:r>
      </w:fldSimple>
      <w:bookmarkEnd w:id="147"/>
      <w:r w:rsidRPr="00D27683">
        <w:t>:</w:t>
      </w:r>
      <w:r w:rsidRPr="00D2768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w:tblPr>
      <w:tblGrid>
        <w:gridCol w:w="2264"/>
        <w:gridCol w:w="2977"/>
        <w:gridCol w:w="3776"/>
      </w:tblGrid>
      <w:tr w:rsidR="00BF50CC" w:rsidRPr="00D27683" w14:paraId="69860DAC" w14:textId="77777777">
        <w:trPr>
          <w:tblHeader/>
        </w:trPr>
        <w:tc>
          <w:tcPr>
            <w:tcW w:w="1255" w:type="pct"/>
            <w:vAlign w:val="center"/>
          </w:tcPr>
          <w:p w14:paraId="0D67AB2B" w14:textId="77777777" w:rsidR="00BF50CC" w:rsidRPr="00D27683" w:rsidRDefault="00BF50CC" w:rsidP="00135EE0">
            <w:pPr>
              <w:pStyle w:val="In-tableHeading"/>
              <w:jc w:val="center"/>
              <w:rPr>
                <w:lang w:val="en-AU"/>
              </w:rPr>
            </w:pPr>
            <w:r w:rsidRPr="00D27683">
              <w:rPr>
                <w:lang w:val="en-AU"/>
              </w:rPr>
              <w:t>Description</w:t>
            </w:r>
          </w:p>
        </w:tc>
        <w:tc>
          <w:tcPr>
            <w:tcW w:w="1650" w:type="pct"/>
            <w:vAlign w:val="center"/>
          </w:tcPr>
          <w:p w14:paraId="5D1E3A48" w14:textId="77777777" w:rsidR="00BF50CC" w:rsidRPr="00D27683" w:rsidRDefault="00BF50CC" w:rsidP="00135EE0">
            <w:pPr>
              <w:pStyle w:val="In-tableHeading"/>
              <w:jc w:val="center"/>
              <w:rPr>
                <w:lang w:val="en-AU"/>
              </w:rPr>
            </w:pPr>
            <w:r w:rsidRPr="00D27683">
              <w:rPr>
                <w:lang w:val="en-AU"/>
              </w:rPr>
              <w:t>Method/Value</w:t>
            </w:r>
          </w:p>
        </w:tc>
        <w:tc>
          <w:tcPr>
            <w:tcW w:w="2094" w:type="pct"/>
            <w:vAlign w:val="center"/>
          </w:tcPr>
          <w:p w14:paraId="6BAEB5B1" w14:textId="77777777" w:rsidR="00BF50CC" w:rsidRPr="00D27683" w:rsidRDefault="00BF50CC" w:rsidP="00135EE0">
            <w:pPr>
              <w:pStyle w:val="In-tableHeading"/>
              <w:jc w:val="center"/>
              <w:rPr>
                <w:lang w:val="en-AU"/>
              </w:rPr>
            </w:pPr>
            <w:r w:rsidRPr="00D27683">
              <w:rPr>
                <w:lang w:val="en-AU"/>
              </w:rPr>
              <w:t>Impact</w:t>
            </w:r>
          </w:p>
          <w:p w14:paraId="287D49D4" w14:textId="33BD2D96" w:rsidR="00BF50CC" w:rsidRPr="00D27683" w:rsidRDefault="00BF50CC" w:rsidP="00135EE0">
            <w:pPr>
              <w:pStyle w:val="In-tableHeading"/>
              <w:jc w:val="center"/>
              <w:rPr>
                <w:lang w:val="en-AU"/>
              </w:rPr>
            </w:pPr>
            <w:r w:rsidRPr="00D27683">
              <w:rPr>
                <w:lang w:val="en-AU"/>
              </w:rPr>
              <w:t>Base case: $</w:t>
            </w:r>
            <w:r w:rsidR="003C172C" w:rsidRPr="003C172C">
              <w:rPr>
                <w:sz w:val="2"/>
                <w:highlight w:val="black"/>
                <w:lang w:val="en-AU"/>
              </w:rPr>
              <w:t>redacted content</w:t>
            </w:r>
            <w:r w:rsidR="003351E0">
              <w:rPr>
                <w:vertAlign w:val="superscript"/>
                <w:lang w:val="en-AU"/>
              </w:rPr>
              <w:t>1</w:t>
            </w:r>
            <w:r w:rsidRPr="00D27683">
              <w:rPr>
                <w:lang w:val="en-AU"/>
              </w:rPr>
              <w:t>/QALY gained</w:t>
            </w:r>
            <w:r w:rsidRPr="00D27683">
              <w:rPr>
                <w:color w:val="3366FF"/>
                <w:lang w:val="en-AU"/>
              </w:rPr>
              <w:t>.</w:t>
            </w:r>
          </w:p>
        </w:tc>
      </w:tr>
      <w:tr w:rsidR="00BF50CC" w:rsidRPr="00D27683" w14:paraId="547C9E71" w14:textId="77777777" w:rsidTr="00AC4C47">
        <w:tc>
          <w:tcPr>
            <w:tcW w:w="1255" w:type="pct"/>
            <w:vAlign w:val="center"/>
          </w:tcPr>
          <w:p w14:paraId="56C78083" w14:textId="77777777" w:rsidR="00BF50CC" w:rsidRPr="00D27683" w:rsidRDefault="00BF50CC" w:rsidP="00135EE0">
            <w:pPr>
              <w:pStyle w:val="TableText0"/>
            </w:pPr>
            <w:r w:rsidRPr="00D27683">
              <w:t xml:space="preserve">Treatment efficacy on severe exacerbations Year 2+ </w:t>
            </w:r>
          </w:p>
        </w:tc>
        <w:tc>
          <w:tcPr>
            <w:tcW w:w="1650" w:type="pct"/>
            <w:vAlign w:val="center"/>
          </w:tcPr>
          <w:p w14:paraId="3E99F330" w14:textId="6D645943" w:rsidR="00BF50CC" w:rsidRPr="00D27683" w:rsidRDefault="00BF50CC" w:rsidP="00135EE0">
            <w:pPr>
              <w:pStyle w:val="TableText0"/>
              <w:rPr>
                <w:i/>
                <w:iCs/>
              </w:rPr>
            </w:pPr>
            <w:r w:rsidRPr="00D27683">
              <w:t>RR estimated from MATINEE trial data (0.33)</w:t>
            </w:r>
            <w:r w:rsidRPr="00D27683">
              <w:rPr>
                <w:vertAlign w:val="superscript"/>
              </w:rPr>
              <w:t>a</w:t>
            </w:r>
            <w:r w:rsidR="005B022D" w:rsidRPr="00D27683">
              <w:t>.</w:t>
            </w:r>
            <w:r w:rsidR="002A2985" w:rsidRPr="00D27683">
              <w:t xml:space="preserve"> </w:t>
            </w:r>
            <w:r w:rsidR="002A2985" w:rsidRPr="006D6FD8">
              <w:rPr>
                <w:iCs/>
              </w:rPr>
              <w:t xml:space="preserve">The Sub-Committees considered the </w:t>
            </w:r>
            <w:r w:rsidR="00326A2D" w:rsidRPr="006D6FD8">
              <w:rPr>
                <w:iCs/>
              </w:rPr>
              <w:t xml:space="preserve">rate used for </w:t>
            </w:r>
            <w:r w:rsidR="000E06E5" w:rsidRPr="006D6FD8">
              <w:rPr>
                <w:iCs/>
              </w:rPr>
              <w:t xml:space="preserve">severe exacerbations Year 2+ appeared reasonable. </w:t>
            </w:r>
          </w:p>
        </w:tc>
        <w:tc>
          <w:tcPr>
            <w:tcW w:w="2094" w:type="pct"/>
          </w:tcPr>
          <w:p w14:paraId="33134ADC" w14:textId="074A835D" w:rsidR="00BF50CC" w:rsidRPr="00D27683" w:rsidRDefault="00BF50CC" w:rsidP="00135EE0">
            <w:pPr>
              <w:pStyle w:val="TableText0"/>
              <w:rPr>
                <w:iCs/>
              </w:rPr>
            </w:pPr>
            <w:r w:rsidRPr="00D27683">
              <w:rPr>
                <w:iCs/>
              </w:rPr>
              <w:t xml:space="preserve">High, favours </w:t>
            </w:r>
            <w:r w:rsidR="00B8707B" w:rsidRPr="00D27683">
              <w:rPr>
                <w:iCs/>
              </w:rPr>
              <w:t>mepolizumab</w:t>
            </w:r>
          </w:p>
          <w:p w14:paraId="062BAC46" w14:textId="0DE138D4" w:rsidR="00BF50CC" w:rsidRPr="00D27683" w:rsidRDefault="00BF50CC" w:rsidP="00135EE0">
            <w:pPr>
              <w:pStyle w:val="TableText0"/>
              <w:rPr>
                <w:iCs/>
              </w:rPr>
            </w:pPr>
            <w:r w:rsidRPr="00D27683">
              <w:rPr>
                <w:iCs/>
              </w:rPr>
              <w:t>Use of the upper CI (0.63) increased the ICER to $</w:t>
            </w:r>
            <w:r w:rsidR="003C172C" w:rsidRPr="003C172C">
              <w:rPr>
                <w:iCs/>
                <w:sz w:val="2"/>
                <w:highlight w:val="black"/>
              </w:rPr>
              <w:t>redacted content</w:t>
            </w:r>
            <w:r w:rsidR="00A2334A">
              <w:rPr>
                <w:iCs/>
                <w:vertAlign w:val="superscript"/>
              </w:rPr>
              <w:t>2</w:t>
            </w:r>
            <w:r w:rsidRPr="00D27683">
              <w:rPr>
                <w:iCs/>
              </w:rPr>
              <w:t>/QALY gained.</w:t>
            </w:r>
          </w:p>
        </w:tc>
      </w:tr>
      <w:tr w:rsidR="00BF50CC" w:rsidRPr="00D27683" w14:paraId="7C59F6D7" w14:textId="77777777" w:rsidTr="00AC4C47">
        <w:tc>
          <w:tcPr>
            <w:tcW w:w="1255" w:type="pct"/>
            <w:vAlign w:val="center"/>
          </w:tcPr>
          <w:p w14:paraId="4BD74AEA" w14:textId="77777777" w:rsidR="00BF50CC" w:rsidRPr="00D27683" w:rsidRDefault="00BF50CC" w:rsidP="00135EE0">
            <w:pPr>
              <w:pStyle w:val="TableText0"/>
            </w:pPr>
            <w:r w:rsidRPr="00D27683">
              <w:t>Time horizon</w:t>
            </w:r>
          </w:p>
        </w:tc>
        <w:tc>
          <w:tcPr>
            <w:tcW w:w="1650" w:type="pct"/>
            <w:vAlign w:val="center"/>
          </w:tcPr>
          <w:p w14:paraId="1D61C222" w14:textId="523B36BF" w:rsidR="00BF50CC" w:rsidRPr="00D27683" w:rsidRDefault="00BF50CC" w:rsidP="00135EE0">
            <w:pPr>
              <w:pStyle w:val="TableText0"/>
              <w:rPr>
                <w:i/>
                <w:iCs/>
              </w:rPr>
            </w:pPr>
            <w:r w:rsidRPr="00D27683">
              <w:t>Assumed 15 years given MATINEE trial mean age was approximately 65 years.</w:t>
            </w:r>
            <w:r w:rsidR="001306D2" w:rsidRPr="00D27683">
              <w:t xml:space="preserve"> </w:t>
            </w:r>
            <w:r w:rsidR="001306D2" w:rsidRPr="006D6FD8">
              <w:rPr>
                <w:iCs/>
              </w:rPr>
              <w:t xml:space="preserve">The Sub-Committees considered a 10 year time horizon was appropriate. </w:t>
            </w:r>
          </w:p>
        </w:tc>
        <w:tc>
          <w:tcPr>
            <w:tcW w:w="2094" w:type="pct"/>
          </w:tcPr>
          <w:p w14:paraId="4A6164FF" w14:textId="454E1A88" w:rsidR="00BF50CC" w:rsidRPr="00D27683" w:rsidRDefault="00BF50CC" w:rsidP="00135EE0">
            <w:pPr>
              <w:pStyle w:val="TableText0"/>
              <w:rPr>
                <w:iCs/>
              </w:rPr>
            </w:pPr>
            <w:r w:rsidRPr="00D27683">
              <w:rPr>
                <w:iCs/>
              </w:rPr>
              <w:t xml:space="preserve">High, favours </w:t>
            </w:r>
            <w:r w:rsidR="00B8707B" w:rsidRPr="00D27683">
              <w:rPr>
                <w:iCs/>
              </w:rPr>
              <w:t>mepolizumab</w:t>
            </w:r>
          </w:p>
          <w:p w14:paraId="156C71E4" w14:textId="07CB88E1" w:rsidR="00BF50CC" w:rsidRPr="00D27683" w:rsidRDefault="00BF50CC" w:rsidP="00135EE0">
            <w:pPr>
              <w:pStyle w:val="TableText0"/>
              <w:rPr>
                <w:iCs/>
              </w:rPr>
            </w:pPr>
            <w:r w:rsidRPr="00D27683">
              <w:rPr>
                <w:iCs/>
              </w:rPr>
              <w:t>Use of 10 years increased the ICER to $</w:t>
            </w:r>
            <w:r w:rsidR="003C172C" w:rsidRPr="003C172C">
              <w:rPr>
                <w:iCs/>
                <w:sz w:val="2"/>
                <w:highlight w:val="black"/>
              </w:rPr>
              <w:t>redacted content</w:t>
            </w:r>
            <w:r w:rsidR="00797E08">
              <w:rPr>
                <w:iCs/>
                <w:vertAlign w:val="superscript"/>
              </w:rPr>
              <w:t>3</w:t>
            </w:r>
            <w:r w:rsidRPr="00D27683">
              <w:rPr>
                <w:iCs/>
              </w:rPr>
              <w:t>/QALY gained.</w:t>
            </w:r>
          </w:p>
        </w:tc>
      </w:tr>
      <w:tr w:rsidR="00BF50CC" w:rsidRPr="00D27683" w14:paraId="4FF053CF" w14:textId="77777777" w:rsidTr="00AC4C47">
        <w:tc>
          <w:tcPr>
            <w:tcW w:w="1255" w:type="pct"/>
            <w:vAlign w:val="center"/>
          </w:tcPr>
          <w:p w14:paraId="225F8D18" w14:textId="77777777" w:rsidR="00BF50CC" w:rsidRPr="00D27683" w:rsidRDefault="00BF50CC" w:rsidP="00135EE0">
            <w:pPr>
              <w:pStyle w:val="TableText0"/>
            </w:pPr>
            <w:r w:rsidRPr="00D27683">
              <w:t>Baseline exacerbation rate</w:t>
            </w:r>
          </w:p>
        </w:tc>
        <w:tc>
          <w:tcPr>
            <w:tcW w:w="1650" w:type="pct"/>
            <w:vAlign w:val="center"/>
          </w:tcPr>
          <w:p w14:paraId="46B49647" w14:textId="0F189026" w:rsidR="00BF50CC" w:rsidRPr="00D27683" w:rsidRDefault="00BF50CC" w:rsidP="00135EE0">
            <w:pPr>
              <w:pStyle w:val="TableText0"/>
              <w:rPr>
                <w:i/>
                <w:iCs/>
              </w:rPr>
            </w:pPr>
            <w:r w:rsidRPr="00D27683">
              <w:t>MATINEE trial pre 12-month baseline rates calibrated</w:t>
            </w:r>
            <w:r w:rsidR="005B022D" w:rsidRPr="00D27683">
              <w:t>.</w:t>
            </w:r>
            <w:r w:rsidR="00A022E8" w:rsidRPr="00D27683">
              <w:t xml:space="preserve"> </w:t>
            </w:r>
            <w:r w:rsidR="00A022E8" w:rsidRPr="006D6FD8">
              <w:rPr>
                <w:iCs/>
              </w:rPr>
              <w:t xml:space="preserve">The Sub-Committees </w:t>
            </w:r>
            <w:r w:rsidR="00F522BD" w:rsidRPr="006D6FD8">
              <w:rPr>
                <w:iCs/>
              </w:rPr>
              <w:t>considered the approach taken by the submission for this input was likely appropriate.</w:t>
            </w:r>
          </w:p>
        </w:tc>
        <w:tc>
          <w:tcPr>
            <w:tcW w:w="2094" w:type="pct"/>
          </w:tcPr>
          <w:p w14:paraId="18F6035A" w14:textId="2F4B2FF3" w:rsidR="00BF50CC" w:rsidRPr="00D27683" w:rsidRDefault="00BF50CC" w:rsidP="00135EE0">
            <w:pPr>
              <w:pStyle w:val="TableText0"/>
              <w:rPr>
                <w:iCs/>
              </w:rPr>
            </w:pPr>
            <w:r w:rsidRPr="00D27683">
              <w:rPr>
                <w:iCs/>
              </w:rPr>
              <w:t xml:space="preserve">High, favours </w:t>
            </w:r>
            <w:r w:rsidR="00B8707B" w:rsidRPr="00D27683">
              <w:rPr>
                <w:iCs/>
              </w:rPr>
              <w:t>mepolizumab</w:t>
            </w:r>
          </w:p>
          <w:p w14:paraId="30EB5A34" w14:textId="3BE9958C" w:rsidR="00BF50CC" w:rsidRPr="00D27683" w:rsidRDefault="00BF50CC" w:rsidP="00135EE0">
            <w:pPr>
              <w:pStyle w:val="TableText0"/>
              <w:rPr>
                <w:iCs/>
              </w:rPr>
            </w:pPr>
            <w:r w:rsidRPr="00D27683">
              <w:rPr>
                <w:iCs/>
              </w:rPr>
              <w:t xml:space="preserve">Use of </w:t>
            </w:r>
            <w:r w:rsidR="00BD0B2C">
              <w:rPr>
                <w:iCs/>
              </w:rPr>
              <w:t xml:space="preserve">estimate from </w:t>
            </w:r>
            <w:r w:rsidRPr="00D27683">
              <w:rPr>
                <w:iCs/>
              </w:rPr>
              <w:t>pooled COPD trials increased the ICER to $</w:t>
            </w:r>
            <w:r w:rsidR="003C172C" w:rsidRPr="003C172C">
              <w:rPr>
                <w:iCs/>
                <w:sz w:val="2"/>
                <w:highlight w:val="black"/>
              </w:rPr>
              <w:t>redacted content</w:t>
            </w:r>
            <w:r w:rsidR="00835340">
              <w:rPr>
                <w:iCs/>
                <w:vertAlign w:val="superscript"/>
              </w:rPr>
              <w:t>3</w:t>
            </w:r>
            <w:r w:rsidRPr="00D27683">
              <w:rPr>
                <w:iCs/>
              </w:rPr>
              <w:t>/QALY gained.</w:t>
            </w:r>
          </w:p>
        </w:tc>
      </w:tr>
      <w:tr w:rsidR="00BF50CC" w:rsidRPr="00D27683" w14:paraId="451362C6" w14:textId="77777777" w:rsidTr="00AC4C47">
        <w:tc>
          <w:tcPr>
            <w:tcW w:w="1255" w:type="pct"/>
            <w:vAlign w:val="center"/>
          </w:tcPr>
          <w:p w14:paraId="51CBFAA6" w14:textId="77777777" w:rsidR="00BF50CC" w:rsidRPr="00D27683" w:rsidRDefault="00BF50CC" w:rsidP="00135EE0">
            <w:pPr>
              <w:pStyle w:val="TableText0"/>
            </w:pPr>
            <w:r w:rsidRPr="00D27683">
              <w:t xml:space="preserve">Treatment efficacy on severe exacerbations Year 1 </w:t>
            </w:r>
          </w:p>
        </w:tc>
        <w:tc>
          <w:tcPr>
            <w:tcW w:w="1650" w:type="pct"/>
            <w:vAlign w:val="center"/>
          </w:tcPr>
          <w:p w14:paraId="195B92F7" w14:textId="5105415E" w:rsidR="00BF50CC" w:rsidRPr="00D27683" w:rsidRDefault="00BF50CC" w:rsidP="00135EE0">
            <w:pPr>
              <w:pStyle w:val="TableText0"/>
            </w:pPr>
            <w:r w:rsidRPr="00D27683">
              <w:t>RR estimated from MATINEE trial data (0.66)</w:t>
            </w:r>
            <w:r w:rsidR="005B022D" w:rsidRPr="00D27683">
              <w:t>.</w:t>
            </w:r>
          </w:p>
        </w:tc>
        <w:tc>
          <w:tcPr>
            <w:tcW w:w="2094" w:type="pct"/>
          </w:tcPr>
          <w:p w14:paraId="6921CD58" w14:textId="5CA87321" w:rsidR="00BF50CC" w:rsidRPr="00D27683" w:rsidRDefault="00BF50CC" w:rsidP="00135EE0">
            <w:pPr>
              <w:pStyle w:val="TableText0"/>
              <w:rPr>
                <w:iCs/>
              </w:rPr>
            </w:pPr>
            <w:r w:rsidRPr="00D27683">
              <w:rPr>
                <w:iCs/>
              </w:rPr>
              <w:t xml:space="preserve">Moderate, favours </w:t>
            </w:r>
            <w:r w:rsidR="00B8707B" w:rsidRPr="00D27683">
              <w:rPr>
                <w:iCs/>
              </w:rPr>
              <w:t>mepolizumab</w:t>
            </w:r>
          </w:p>
          <w:p w14:paraId="50CF8AF9" w14:textId="215F8796" w:rsidR="00BF50CC" w:rsidRPr="00D27683" w:rsidRDefault="00BF50CC" w:rsidP="00135EE0">
            <w:pPr>
              <w:pStyle w:val="TableText0"/>
              <w:rPr>
                <w:iCs/>
              </w:rPr>
            </w:pPr>
            <w:r w:rsidRPr="00D27683">
              <w:rPr>
                <w:iCs/>
              </w:rPr>
              <w:t>Use of the upper CI (1.01) increased the ICER to $</w:t>
            </w:r>
            <w:r w:rsidR="003C172C" w:rsidRPr="003C172C">
              <w:rPr>
                <w:iCs/>
                <w:sz w:val="2"/>
                <w:highlight w:val="black"/>
              </w:rPr>
              <w:t>redacted content</w:t>
            </w:r>
            <w:r w:rsidR="00835340">
              <w:rPr>
                <w:iCs/>
                <w:vertAlign w:val="superscript"/>
              </w:rPr>
              <w:t>1</w:t>
            </w:r>
            <w:r w:rsidRPr="00D27683">
              <w:rPr>
                <w:iCs/>
              </w:rPr>
              <w:t>/QALY gained.</w:t>
            </w:r>
          </w:p>
        </w:tc>
      </w:tr>
      <w:tr w:rsidR="00BF50CC" w:rsidRPr="00D27683" w14:paraId="7BBFCF4B" w14:textId="77777777" w:rsidTr="00AC4C47">
        <w:tc>
          <w:tcPr>
            <w:tcW w:w="1255" w:type="pct"/>
            <w:vAlign w:val="center"/>
          </w:tcPr>
          <w:p w14:paraId="13C12A7D" w14:textId="77777777" w:rsidR="00BF50CC" w:rsidRPr="00D27683" w:rsidRDefault="00BF50CC" w:rsidP="00135EE0">
            <w:pPr>
              <w:pStyle w:val="TableText0"/>
            </w:pPr>
            <w:r w:rsidRPr="00D27683">
              <w:t>Case fatality rate</w:t>
            </w:r>
          </w:p>
        </w:tc>
        <w:tc>
          <w:tcPr>
            <w:tcW w:w="1650" w:type="pct"/>
            <w:vAlign w:val="center"/>
          </w:tcPr>
          <w:p w14:paraId="7487A7BE" w14:textId="51A9820C" w:rsidR="00BF50CC" w:rsidRPr="00D27683" w:rsidRDefault="00BF50CC" w:rsidP="00135EE0">
            <w:pPr>
              <w:pStyle w:val="TableText0"/>
            </w:pPr>
            <w:r w:rsidRPr="00D27683">
              <w:t>Assumed 15.6% from Hoogendoorn et al. (2011)</w:t>
            </w:r>
            <w:r w:rsidR="005B022D" w:rsidRPr="00D27683">
              <w:t>.</w:t>
            </w:r>
          </w:p>
        </w:tc>
        <w:tc>
          <w:tcPr>
            <w:tcW w:w="2094" w:type="pct"/>
          </w:tcPr>
          <w:p w14:paraId="133B15EB" w14:textId="2D641423" w:rsidR="00BF50CC" w:rsidRPr="00D27683" w:rsidRDefault="00BF50CC" w:rsidP="00135EE0">
            <w:pPr>
              <w:pStyle w:val="TableText0"/>
              <w:rPr>
                <w:iCs/>
              </w:rPr>
            </w:pPr>
            <w:r w:rsidRPr="00D27683">
              <w:rPr>
                <w:iCs/>
              </w:rPr>
              <w:t xml:space="preserve">Moderate, favours </w:t>
            </w:r>
            <w:r w:rsidR="00B8707B" w:rsidRPr="00D27683">
              <w:rPr>
                <w:iCs/>
              </w:rPr>
              <w:t>mepolizumab</w:t>
            </w:r>
          </w:p>
          <w:p w14:paraId="5CC48F71" w14:textId="2416CAF9" w:rsidR="00BF50CC" w:rsidRPr="00D27683" w:rsidRDefault="00BF50CC" w:rsidP="00135EE0">
            <w:pPr>
              <w:pStyle w:val="TableText0"/>
              <w:rPr>
                <w:iCs/>
              </w:rPr>
            </w:pPr>
            <w:r w:rsidRPr="00D27683">
              <w:rPr>
                <w:iCs/>
              </w:rPr>
              <w:t>Use of Hoogendoorn et al. (2011) lower CI (10.9%) increased the ICER to $</w:t>
            </w:r>
            <w:r w:rsidR="003C172C" w:rsidRPr="003C172C">
              <w:rPr>
                <w:iCs/>
                <w:sz w:val="2"/>
                <w:highlight w:val="black"/>
              </w:rPr>
              <w:t>redacted content</w:t>
            </w:r>
            <w:r w:rsidR="00835340">
              <w:rPr>
                <w:iCs/>
                <w:vertAlign w:val="superscript"/>
              </w:rPr>
              <w:t>1</w:t>
            </w:r>
            <w:r w:rsidRPr="00D27683">
              <w:rPr>
                <w:iCs/>
              </w:rPr>
              <w:t>/QALY gained.</w:t>
            </w:r>
          </w:p>
        </w:tc>
      </w:tr>
    </w:tbl>
    <w:p w14:paraId="08806A02" w14:textId="77777777" w:rsidR="00BF50CC" w:rsidRPr="00D27683" w:rsidRDefault="00BF50CC" w:rsidP="00135EE0">
      <w:pPr>
        <w:pStyle w:val="FooterTableFigure"/>
      </w:pPr>
      <w:r w:rsidRPr="00D27683">
        <w:t>Source: Compiled in the evaluation from Section 3 of the submission.</w:t>
      </w:r>
    </w:p>
    <w:p w14:paraId="416F88A5" w14:textId="354162C0" w:rsidR="00BF50CC" w:rsidRPr="00D27683" w:rsidRDefault="00BF50CC" w:rsidP="00135EE0">
      <w:pPr>
        <w:pStyle w:val="FooterTableFigure"/>
      </w:pPr>
      <w:r w:rsidRPr="00D27683">
        <w:t>CI = confidence interval; COPD = chronic obstructive pulmonary disease; ICER = incremental cost-effectiveness ratio; QALY = quality-adjusted life year; RR = rate ratio.</w:t>
      </w:r>
    </w:p>
    <w:p w14:paraId="6EDA0B70" w14:textId="77777777" w:rsidR="00BF50CC" w:rsidRDefault="00BF50CC" w:rsidP="00135EE0">
      <w:pPr>
        <w:pStyle w:val="FooterTableFigure"/>
      </w:pPr>
      <w:r w:rsidRPr="00D27683">
        <w:rPr>
          <w:vertAlign w:val="superscript"/>
        </w:rPr>
        <w:t>a</w:t>
      </w:r>
      <w:r w:rsidRPr="00D27683">
        <w:t xml:space="preserve"> Could not be verified in the evaluation.</w:t>
      </w:r>
    </w:p>
    <w:p w14:paraId="17F6B46B" w14:textId="4A56AFCB" w:rsidR="003351E0" w:rsidRDefault="003351E0" w:rsidP="00135EE0">
      <w:pPr>
        <w:pStyle w:val="FooterTableFigure"/>
        <w:rPr>
          <w:i/>
          <w:iCs/>
        </w:rPr>
      </w:pPr>
      <w:r>
        <w:rPr>
          <w:i/>
          <w:iCs/>
        </w:rPr>
        <w:t>The redacted values correspond to the following ranges:</w:t>
      </w:r>
    </w:p>
    <w:p w14:paraId="274FC07B" w14:textId="666AD82D" w:rsidR="003351E0" w:rsidRDefault="003351E0" w:rsidP="00135EE0">
      <w:pPr>
        <w:pStyle w:val="FooterTableFigure"/>
        <w:rPr>
          <w:i/>
          <w:iCs/>
        </w:rPr>
      </w:pPr>
      <w:r>
        <w:rPr>
          <w:i/>
          <w:iCs/>
          <w:vertAlign w:val="superscript"/>
        </w:rPr>
        <w:t>1</w:t>
      </w:r>
      <w:r>
        <w:rPr>
          <w:vertAlign w:val="superscript"/>
        </w:rPr>
        <w:t xml:space="preserve"> </w:t>
      </w:r>
      <w:r w:rsidR="009F5ED9">
        <w:rPr>
          <w:i/>
          <w:iCs/>
        </w:rPr>
        <w:t>$55,000 to &lt; $75,000</w:t>
      </w:r>
    </w:p>
    <w:p w14:paraId="7D4316E2" w14:textId="2DCE7CC6" w:rsidR="009F5ED9" w:rsidRDefault="009F5ED9" w:rsidP="00135EE0">
      <w:pPr>
        <w:pStyle w:val="FooterTableFigure"/>
        <w:rPr>
          <w:i/>
          <w:iCs/>
        </w:rPr>
      </w:pPr>
      <w:r>
        <w:rPr>
          <w:i/>
          <w:iCs/>
          <w:vertAlign w:val="superscript"/>
        </w:rPr>
        <w:t>2</w:t>
      </w:r>
      <w:r>
        <w:rPr>
          <w:i/>
          <w:iCs/>
        </w:rPr>
        <w:t xml:space="preserve"> $95,000 to &lt; $115,000</w:t>
      </w:r>
    </w:p>
    <w:p w14:paraId="2F20B147" w14:textId="35B49AC3" w:rsidR="00A2334A" w:rsidRDefault="009F5ED9" w:rsidP="00135EE0">
      <w:pPr>
        <w:pStyle w:val="FooterTableFigure"/>
        <w:rPr>
          <w:i/>
          <w:iCs/>
        </w:rPr>
      </w:pPr>
      <w:r>
        <w:rPr>
          <w:i/>
          <w:iCs/>
          <w:vertAlign w:val="superscript"/>
        </w:rPr>
        <w:t>3</w:t>
      </w:r>
      <w:r>
        <w:rPr>
          <w:i/>
          <w:iCs/>
        </w:rPr>
        <w:t xml:space="preserve"> $75,000 to &lt; $95,000</w:t>
      </w:r>
    </w:p>
    <w:p w14:paraId="621EBC6C" w14:textId="77777777" w:rsidR="009F5ED9" w:rsidRPr="009F5ED9" w:rsidRDefault="009F5ED9" w:rsidP="00135EE0">
      <w:pPr>
        <w:pStyle w:val="FooterTableFigure"/>
        <w:rPr>
          <w:i/>
          <w:iCs/>
        </w:rPr>
      </w:pPr>
    </w:p>
    <w:p w14:paraId="3DF5BE4D" w14:textId="4E6355A1" w:rsidR="00BF50CC" w:rsidRPr="00D27683" w:rsidRDefault="00BF50CC" w:rsidP="00135EE0">
      <w:pPr>
        <w:pStyle w:val="3-BodyText"/>
      </w:pPr>
      <w:bookmarkStart w:id="148" w:name="_Ref104805160"/>
      <w:r w:rsidRPr="00D27683">
        <w:t xml:space="preserve">Results of the stepped economic evaluation conducted during the evaluation are presented in </w:t>
      </w:r>
      <w:r w:rsidRPr="00D27683">
        <w:fldChar w:fldCharType="begin"/>
      </w:r>
      <w:r w:rsidRPr="00D27683">
        <w:instrText xml:space="preserve"> REF _Ref217393069 \h  \* MERGEFORMAT </w:instrText>
      </w:r>
      <w:r w:rsidRPr="00D27683">
        <w:fldChar w:fldCharType="separate"/>
      </w:r>
      <w:r w:rsidR="00FA28CE" w:rsidRPr="00D27683">
        <w:t xml:space="preserve">Table </w:t>
      </w:r>
      <w:r w:rsidR="00FA28CE">
        <w:rPr>
          <w:noProof/>
        </w:rPr>
        <w:t>16</w:t>
      </w:r>
      <w:r w:rsidRPr="00D27683">
        <w:fldChar w:fldCharType="end"/>
      </w:r>
      <w:r w:rsidRPr="00D27683">
        <w:t>. The submission did not justify the exclusion of a stepped economic evaluation.</w:t>
      </w:r>
    </w:p>
    <w:p w14:paraId="17925822" w14:textId="495F3182" w:rsidR="00BF50CC" w:rsidRPr="00D27683" w:rsidRDefault="00BF50CC" w:rsidP="00135EE0">
      <w:pPr>
        <w:pStyle w:val="Caption"/>
        <w:rPr>
          <w:rStyle w:val="CommentReference"/>
          <w:b/>
          <w:szCs w:val="24"/>
          <w:vertAlign w:val="superscript"/>
        </w:rPr>
      </w:pPr>
      <w:bookmarkStart w:id="149" w:name="_Ref217393069"/>
      <w:r w:rsidRPr="00D27683">
        <w:lastRenderedPageBreak/>
        <w:t xml:space="preserve">Table </w:t>
      </w:r>
      <w:fldSimple w:instr=" SEQ Table \* ARABIC ">
        <w:r w:rsidR="00FA28CE">
          <w:rPr>
            <w:noProof/>
          </w:rPr>
          <w:t>16</w:t>
        </w:r>
      </w:fldSimple>
      <w:bookmarkEnd w:id="148"/>
      <w:bookmarkEnd w:id="149"/>
      <w:r w:rsidRPr="00D27683">
        <w:t>:</w:t>
      </w:r>
      <w:r w:rsidRPr="00D27683">
        <w:rPr>
          <w:rStyle w:val="CommentReference"/>
          <w:b/>
          <w:szCs w:val="24"/>
        </w:rPr>
        <w:t xml:space="preserve"> Results of the stepped economic evaluation </w:t>
      </w:r>
      <w:r w:rsidRPr="00D27683">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stepped economic evaluation "/>
      </w:tblPr>
      <w:tblGrid>
        <w:gridCol w:w="2757"/>
        <w:gridCol w:w="2451"/>
        <w:gridCol w:w="2298"/>
        <w:gridCol w:w="1511"/>
      </w:tblGrid>
      <w:tr w:rsidR="000C214C" w:rsidRPr="00D27683" w14:paraId="32B6FCA6" w14:textId="77777777">
        <w:trPr>
          <w:tblHeader/>
        </w:trPr>
        <w:tc>
          <w:tcPr>
            <w:tcW w:w="1529" w:type="pct"/>
            <w:vAlign w:val="center"/>
          </w:tcPr>
          <w:p w14:paraId="644BC0C1" w14:textId="77777777" w:rsidR="00BF50CC" w:rsidRPr="00D27683" w:rsidRDefault="00BF50CC" w:rsidP="00135EE0">
            <w:pPr>
              <w:pStyle w:val="In-tableHeading"/>
              <w:rPr>
                <w:lang w:val="en-AU"/>
              </w:rPr>
            </w:pPr>
            <w:r w:rsidRPr="00D27683">
              <w:rPr>
                <w:lang w:val="en-AU"/>
              </w:rPr>
              <w:t>Step and component</w:t>
            </w:r>
          </w:p>
        </w:tc>
        <w:tc>
          <w:tcPr>
            <w:tcW w:w="1359" w:type="pct"/>
            <w:vAlign w:val="center"/>
          </w:tcPr>
          <w:p w14:paraId="492E92FD" w14:textId="4A96978E" w:rsidR="00BF50CC" w:rsidRPr="00D27683" w:rsidRDefault="00B8707B" w:rsidP="00135EE0">
            <w:pPr>
              <w:pStyle w:val="In-tableHeading"/>
              <w:jc w:val="center"/>
              <w:rPr>
                <w:lang w:val="en-AU"/>
              </w:rPr>
            </w:pPr>
            <w:r w:rsidRPr="00D27683">
              <w:rPr>
                <w:lang w:val="en-AU"/>
              </w:rPr>
              <w:t>Mepolizumab</w:t>
            </w:r>
          </w:p>
        </w:tc>
        <w:tc>
          <w:tcPr>
            <w:tcW w:w="1274" w:type="pct"/>
            <w:vAlign w:val="center"/>
          </w:tcPr>
          <w:p w14:paraId="1AC9DCD0" w14:textId="4ED6C9C3" w:rsidR="00BF50CC" w:rsidRPr="00D27683" w:rsidRDefault="00BF50CC" w:rsidP="00135EE0">
            <w:pPr>
              <w:pStyle w:val="In-tableHeading"/>
              <w:jc w:val="center"/>
              <w:rPr>
                <w:lang w:val="en-AU"/>
              </w:rPr>
            </w:pPr>
            <w:r w:rsidRPr="00D27683">
              <w:rPr>
                <w:lang w:val="en-AU"/>
              </w:rPr>
              <w:t>Triple inhaled therapy alone</w:t>
            </w:r>
          </w:p>
        </w:tc>
        <w:tc>
          <w:tcPr>
            <w:tcW w:w="838" w:type="pct"/>
            <w:vAlign w:val="center"/>
          </w:tcPr>
          <w:p w14:paraId="4D28D66D" w14:textId="77777777" w:rsidR="00BF50CC" w:rsidRPr="00D27683" w:rsidRDefault="00BF50CC" w:rsidP="00135EE0">
            <w:pPr>
              <w:pStyle w:val="In-tableHeading"/>
              <w:jc w:val="center"/>
              <w:rPr>
                <w:lang w:val="en-AU"/>
              </w:rPr>
            </w:pPr>
            <w:r w:rsidRPr="00D27683">
              <w:rPr>
                <w:lang w:val="en-AU"/>
              </w:rPr>
              <w:t>Increment</w:t>
            </w:r>
          </w:p>
        </w:tc>
      </w:tr>
      <w:tr w:rsidR="006902C2" w:rsidRPr="00D27683" w14:paraId="7D26A19D" w14:textId="77777777">
        <w:tc>
          <w:tcPr>
            <w:tcW w:w="5000" w:type="pct"/>
            <w:gridSpan w:val="4"/>
            <w:vAlign w:val="center"/>
          </w:tcPr>
          <w:p w14:paraId="3107391C" w14:textId="21072DC9" w:rsidR="00BF50CC" w:rsidRPr="00D27683" w:rsidRDefault="00BF50CC" w:rsidP="00135EE0">
            <w:pPr>
              <w:pStyle w:val="TableText0"/>
              <w:rPr>
                <w:b/>
                <w:bCs w:val="0"/>
              </w:rPr>
            </w:pPr>
            <w:bookmarkStart w:id="150" w:name="_Hlk219377593"/>
            <w:r w:rsidRPr="00D27683">
              <w:rPr>
                <w:b/>
                <w:bCs w:val="0"/>
              </w:rPr>
              <w:t>Step 1: trial-based costs and exacerbations avoided</w:t>
            </w:r>
          </w:p>
        </w:tc>
      </w:tr>
      <w:tr w:rsidR="000C214C" w:rsidRPr="00D27683" w14:paraId="26F1A730" w14:textId="77777777">
        <w:tc>
          <w:tcPr>
            <w:tcW w:w="1529" w:type="pct"/>
            <w:vAlign w:val="center"/>
          </w:tcPr>
          <w:p w14:paraId="4E12F7F3" w14:textId="77777777" w:rsidR="00BF50CC" w:rsidRPr="00D27683" w:rsidRDefault="00BF50CC" w:rsidP="00135EE0">
            <w:pPr>
              <w:pStyle w:val="TableText0"/>
            </w:pPr>
            <w:r w:rsidRPr="00D27683">
              <w:t>Costs</w:t>
            </w:r>
          </w:p>
        </w:tc>
        <w:tc>
          <w:tcPr>
            <w:tcW w:w="1359" w:type="pct"/>
            <w:vAlign w:val="center"/>
          </w:tcPr>
          <w:p w14:paraId="48BEFF1E" w14:textId="4BC2663B" w:rsidR="00BF50CC" w:rsidRPr="00D27683" w:rsidRDefault="00BF50CC" w:rsidP="00135EE0">
            <w:pPr>
              <w:pStyle w:val="TableText0"/>
              <w:jc w:val="center"/>
            </w:pPr>
            <w:r w:rsidRPr="00D27683">
              <w:t>$</w:t>
            </w:r>
            <w:r w:rsidR="003C172C" w:rsidRPr="003C172C">
              <w:rPr>
                <w:sz w:val="2"/>
                <w:highlight w:val="black"/>
              </w:rPr>
              <w:t>redacted content</w:t>
            </w:r>
          </w:p>
        </w:tc>
        <w:tc>
          <w:tcPr>
            <w:tcW w:w="1274" w:type="pct"/>
            <w:vAlign w:val="center"/>
          </w:tcPr>
          <w:p w14:paraId="624DF392" w14:textId="476D983C" w:rsidR="00BF50CC" w:rsidRPr="00D27683" w:rsidRDefault="00BF50CC" w:rsidP="00135EE0">
            <w:pPr>
              <w:pStyle w:val="TableText0"/>
              <w:jc w:val="center"/>
            </w:pPr>
            <w:r w:rsidRPr="00D27683">
              <w:t>$</w:t>
            </w:r>
            <w:r w:rsidR="003C172C" w:rsidRPr="003C172C">
              <w:rPr>
                <w:sz w:val="2"/>
                <w:highlight w:val="black"/>
              </w:rPr>
              <w:t>redacted content</w:t>
            </w:r>
          </w:p>
        </w:tc>
        <w:tc>
          <w:tcPr>
            <w:tcW w:w="838" w:type="pct"/>
            <w:vAlign w:val="center"/>
          </w:tcPr>
          <w:p w14:paraId="6386016D" w14:textId="192E1044" w:rsidR="00BF50CC" w:rsidRPr="00D27683" w:rsidRDefault="00BF50CC" w:rsidP="00135EE0">
            <w:pPr>
              <w:pStyle w:val="TableText0"/>
              <w:jc w:val="center"/>
            </w:pPr>
            <w:r w:rsidRPr="00D27683">
              <w:t>$</w:t>
            </w:r>
            <w:r w:rsidR="003C172C" w:rsidRPr="003C172C">
              <w:rPr>
                <w:sz w:val="2"/>
                <w:highlight w:val="black"/>
              </w:rPr>
              <w:t>redacted content</w:t>
            </w:r>
          </w:p>
        </w:tc>
      </w:tr>
      <w:tr w:rsidR="000C214C" w:rsidRPr="00D27683" w14:paraId="28DB662A" w14:textId="77777777">
        <w:tc>
          <w:tcPr>
            <w:tcW w:w="1529" w:type="pct"/>
            <w:vAlign w:val="center"/>
          </w:tcPr>
          <w:p w14:paraId="1FA7A831" w14:textId="77777777" w:rsidR="00BF50CC" w:rsidRPr="00D27683" w:rsidRDefault="00BF50CC" w:rsidP="00135EE0">
            <w:pPr>
              <w:pStyle w:val="TableText0"/>
            </w:pPr>
            <w:r w:rsidRPr="00D27683">
              <w:t>Exacerbations</w:t>
            </w:r>
          </w:p>
        </w:tc>
        <w:tc>
          <w:tcPr>
            <w:tcW w:w="1359" w:type="pct"/>
          </w:tcPr>
          <w:p w14:paraId="7DEC2BC6" w14:textId="77777777" w:rsidR="00BF50CC" w:rsidRPr="00D27683" w:rsidRDefault="00BF50CC" w:rsidP="00135EE0">
            <w:pPr>
              <w:pStyle w:val="TableText0"/>
              <w:jc w:val="center"/>
            </w:pPr>
            <w:r w:rsidRPr="00D27683">
              <w:t>1.747</w:t>
            </w:r>
          </w:p>
        </w:tc>
        <w:tc>
          <w:tcPr>
            <w:tcW w:w="1274" w:type="pct"/>
          </w:tcPr>
          <w:p w14:paraId="6858522C" w14:textId="77777777" w:rsidR="00BF50CC" w:rsidRPr="00D27683" w:rsidRDefault="00BF50CC" w:rsidP="00135EE0">
            <w:pPr>
              <w:pStyle w:val="TableText0"/>
              <w:jc w:val="center"/>
            </w:pPr>
            <w:r w:rsidRPr="00D27683">
              <w:t>2.187</w:t>
            </w:r>
          </w:p>
        </w:tc>
        <w:tc>
          <w:tcPr>
            <w:tcW w:w="838" w:type="pct"/>
            <w:vAlign w:val="center"/>
          </w:tcPr>
          <w:p w14:paraId="1F555CF2" w14:textId="77777777" w:rsidR="00BF50CC" w:rsidRPr="00D27683" w:rsidRDefault="00BF50CC" w:rsidP="00135EE0">
            <w:pPr>
              <w:pStyle w:val="TableText0"/>
              <w:jc w:val="center"/>
            </w:pPr>
            <w:r w:rsidRPr="00D27683">
              <w:t>-0.440</w:t>
            </w:r>
          </w:p>
        </w:tc>
      </w:tr>
      <w:tr w:rsidR="000C214C" w:rsidRPr="00D27683" w14:paraId="1D8FE40F" w14:textId="77777777">
        <w:tc>
          <w:tcPr>
            <w:tcW w:w="4162" w:type="pct"/>
            <w:gridSpan w:val="3"/>
            <w:vAlign w:val="center"/>
          </w:tcPr>
          <w:p w14:paraId="03EB2038" w14:textId="77777777" w:rsidR="00BF50CC" w:rsidRPr="00D27683" w:rsidRDefault="00BF50CC" w:rsidP="00135EE0">
            <w:pPr>
              <w:pStyle w:val="TableText0"/>
            </w:pPr>
            <w:r w:rsidRPr="00D27683">
              <w:t>Incremental cost/exacerbation avoided</w:t>
            </w:r>
          </w:p>
        </w:tc>
        <w:tc>
          <w:tcPr>
            <w:tcW w:w="838" w:type="pct"/>
            <w:vAlign w:val="center"/>
          </w:tcPr>
          <w:p w14:paraId="6E3FB857" w14:textId="0F8D5682" w:rsidR="00BF50CC" w:rsidRPr="009E407E" w:rsidRDefault="00BF50CC" w:rsidP="00135EE0">
            <w:pPr>
              <w:pStyle w:val="TableText0"/>
              <w:jc w:val="center"/>
              <w:rPr>
                <w:vertAlign w:val="superscript"/>
              </w:rPr>
            </w:pPr>
            <w:r w:rsidRPr="00D27683">
              <w:t>$</w:t>
            </w:r>
            <w:r w:rsidR="003C172C" w:rsidRPr="003C172C">
              <w:rPr>
                <w:sz w:val="2"/>
                <w:highlight w:val="black"/>
              </w:rPr>
              <w:t>redacted content</w:t>
            </w:r>
            <w:r w:rsidR="009E407E">
              <w:rPr>
                <w:vertAlign w:val="superscript"/>
              </w:rPr>
              <w:t>1</w:t>
            </w:r>
          </w:p>
        </w:tc>
      </w:tr>
      <w:bookmarkEnd w:id="150"/>
      <w:tr w:rsidR="000C214C" w:rsidRPr="00D27683" w14:paraId="71B2B45A" w14:textId="77777777">
        <w:tc>
          <w:tcPr>
            <w:tcW w:w="1529" w:type="pct"/>
            <w:vAlign w:val="center"/>
          </w:tcPr>
          <w:p w14:paraId="342CD011" w14:textId="77777777" w:rsidR="00BF50CC" w:rsidRPr="00D27683" w:rsidRDefault="00BF50CC" w:rsidP="00135EE0">
            <w:pPr>
              <w:pStyle w:val="TableText0"/>
            </w:pPr>
            <w:r w:rsidRPr="00D27683">
              <w:rPr>
                <w:b/>
                <w:bCs w:val="0"/>
              </w:rPr>
              <w:t>Step 2: trial-based costs and LYG</w:t>
            </w:r>
          </w:p>
        </w:tc>
        <w:tc>
          <w:tcPr>
            <w:tcW w:w="1359" w:type="pct"/>
            <w:vAlign w:val="center"/>
          </w:tcPr>
          <w:p w14:paraId="3636F3FE" w14:textId="77777777" w:rsidR="00BF50CC" w:rsidRPr="00D27683" w:rsidRDefault="00BF50CC" w:rsidP="00135EE0">
            <w:pPr>
              <w:pStyle w:val="TableText0"/>
              <w:jc w:val="center"/>
            </w:pPr>
          </w:p>
        </w:tc>
        <w:tc>
          <w:tcPr>
            <w:tcW w:w="1274" w:type="pct"/>
            <w:vAlign w:val="center"/>
          </w:tcPr>
          <w:p w14:paraId="753B2C9D" w14:textId="77777777" w:rsidR="00BF50CC" w:rsidRPr="00D27683" w:rsidRDefault="00BF50CC" w:rsidP="00135EE0">
            <w:pPr>
              <w:pStyle w:val="TableText0"/>
              <w:jc w:val="center"/>
            </w:pPr>
          </w:p>
        </w:tc>
        <w:tc>
          <w:tcPr>
            <w:tcW w:w="838" w:type="pct"/>
            <w:vAlign w:val="center"/>
          </w:tcPr>
          <w:p w14:paraId="7A2B7EF7" w14:textId="77777777" w:rsidR="00BF50CC" w:rsidRPr="00D27683" w:rsidRDefault="00BF50CC" w:rsidP="00135EE0">
            <w:pPr>
              <w:pStyle w:val="TableText0"/>
              <w:jc w:val="center"/>
            </w:pPr>
          </w:p>
        </w:tc>
      </w:tr>
      <w:tr w:rsidR="000C214C" w:rsidRPr="00D27683" w14:paraId="60C6B7AC" w14:textId="77777777">
        <w:tc>
          <w:tcPr>
            <w:tcW w:w="1529" w:type="pct"/>
            <w:vAlign w:val="center"/>
          </w:tcPr>
          <w:p w14:paraId="6FBDCCD0" w14:textId="77777777" w:rsidR="00BF50CC" w:rsidRPr="00D27683" w:rsidRDefault="00BF50CC" w:rsidP="00135EE0">
            <w:pPr>
              <w:pStyle w:val="TableText0"/>
              <w:rPr>
                <w:rFonts w:ascii="Times" w:hAnsi="Times"/>
              </w:rPr>
            </w:pPr>
            <w:r w:rsidRPr="00D27683">
              <w:t>Costs</w:t>
            </w:r>
          </w:p>
        </w:tc>
        <w:tc>
          <w:tcPr>
            <w:tcW w:w="1359" w:type="pct"/>
            <w:vAlign w:val="center"/>
          </w:tcPr>
          <w:p w14:paraId="5F674BF6" w14:textId="1345EC65"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1274" w:type="pct"/>
            <w:vAlign w:val="center"/>
          </w:tcPr>
          <w:p w14:paraId="18D9F4B6" w14:textId="69DFDB42"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838" w:type="pct"/>
            <w:vAlign w:val="center"/>
          </w:tcPr>
          <w:p w14:paraId="7C8DA382" w14:textId="20589849"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r>
      <w:tr w:rsidR="000C214C" w:rsidRPr="00D27683" w14:paraId="67B5EF88" w14:textId="77777777">
        <w:tc>
          <w:tcPr>
            <w:tcW w:w="1529" w:type="pct"/>
            <w:vAlign w:val="center"/>
          </w:tcPr>
          <w:p w14:paraId="42812EA8" w14:textId="77777777" w:rsidR="00BF50CC" w:rsidRPr="00D27683" w:rsidRDefault="00BF50CC" w:rsidP="00135EE0">
            <w:pPr>
              <w:pStyle w:val="TableText0"/>
              <w:rPr>
                <w:rFonts w:ascii="Times" w:hAnsi="Times"/>
              </w:rPr>
            </w:pPr>
            <w:r w:rsidRPr="00D27683">
              <w:t>LYG</w:t>
            </w:r>
          </w:p>
        </w:tc>
        <w:tc>
          <w:tcPr>
            <w:tcW w:w="1359" w:type="pct"/>
            <w:vAlign w:val="center"/>
          </w:tcPr>
          <w:p w14:paraId="70E7AF75" w14:textId="77777777" w:rsidR="00BF50CC" w:rsidRPr="00D27683" w:rsidRDefault="00BF50CC" w:rsidP="00135EE0">
            <w:pPr>
              <w:pStyle w:val="TableText0"/>
              <w:jc w:val="center"/>
              <w:rPr>
                <w:rFonts w:ascii="Times" w:hAnsi="Times"/>
              </w:rPr>
            </w:pPr>
            <w:r w:rsidRPr="00D27683">
              <w:t>0.983</w:t>
            </w:r>
          </w:p>
        </w:tc>
        <w:tc>
          <w:tcPr>
            <w:tcW w:w="1274" w:type="pct"/>
            <w:vAlign w:val="center"/>
          </w:tcPr>
          <w:p w14:paraId="0342FFD6" w14:textId="77777777" w:rsidR="00BF50CC" w:rsidRPr="00D27683" w:rsidRDefault="00BF50CC" w:rsidP="00135EE0">
            <w:pPr>
              <w:pStyle w:val="TableText0"/>
              <w:jc w:val="center"/>
              <w:rPr>
                <w:rFonts w:ascii="Times" w:hAnsi="Times"/>
              </w:rPr>
            </w:pPr>
            <w:r w:rsidRPr="00D27683">
              <w:t>0.951</w:t>
            </w:r>
          </w:p>
        </w:tc>
        <w:tc>
          <w:tcPr>
            <w:tcW w:w="838" w:type="pct"/>
            <w:vAlign w:val="center"/>
          </w:tcPr>
          <w:p w14:paraId="3C5D709C" w14:textId="77777777" w:rsidR="00BF50CC" w:rsidRPr="00D27683" w:rsidRDefault="00BF50CC" w:rsidP="00135EE0">
            <w:pPr>
              <w:pStyle w:val="TableText0"/>
              <w:jc w:val="center"/>
            </w:pPr>
            <w:r w:rsidRPr="00D27683">
              <w:t>0.032</w:t>
            </w:r>
          </w:p>
        </w:tc>
      </w:tr>
      <w:tr w:rsidR="000C214C" w:rsidRPr="00D27683" w14:paraId="0554222E" w14:textId="77777777">
        <w:tc>
          <w:tcPr>
            <w:tcW w:w="4162" w:type="pct"/>
            <w:gridSpan w:val="3"/>
            <w:vAlign w:val="center"/>
          </w:tcPr>
          <w:p w14:paraId="49B32399" w14:textId="77777777" w:rsidR="00BF50CC" w:rsidRPr="00D27683" w:rsidRDefault="00BF50CC" w:rsidP="00135EE0">
            <w:pPr>
              <w:pStyle w:val="TableText0"/>
              <w:rPr>
                <w:rFonts w:ascii="Times" w:hAnsi="Times"/>
              </w:rPr>
            </w:pPr>
            <w:r w:rsidRPr="00D27683">
              <w:t>Incremental cost/extra LYG gained</w:t>
            </w:r>
          </w:p>
        </w:tc>
        <w:tc>
          <w:tcPr>
            <w:tcW w:w="838" w:type="pct"/>
            <w:vAlign w:val="center"/>
          </w:tcPr>
          <w:p w14:paraId="786993B3" w14:textId="2CAB4153" w:rsidR="00BF50CC" w:rsidRPr="001A7296" w:rsidRDefault="00BF50CC" w:rsidP="00135EE0">
            <w:pPr>
              <w:pStyle w:val="TableText0"/>
              <w:jc w:val="center"/>
              <w:rPr>
                <w:rFonts w:ascii="Times" w:hAnsi="Times"/>
                <w:vertAlign w:val="superscript"/>
              </w:rPr>
            </w:pPr>
            <w:r w:rsidRPr="00D27683">
              <w:t>$</w:t>
            </w:r>
            <w:r w:rsidR="003C172C" w:rsidRPr="003C172C">
              <w:rPr>
                <w:sz w:val="2"/>
                <w:highlight w:val="black"/>
              </w:rPr>
              <w:t>redacted content</w:t>
            </w:r>
            <w:r w:rsidR="001A7296">
              <w:rPr>
                <w:vertAlign w:val="superscript"/>
              </w:rPr>
              <w:t>2</w:t>
            </w:r>
          </w:p>
        </w:tc>
      </w:tr>
      <w:tr w:rsidR="006902C2" w:rsidRPr="00D27683" w14:paraId="06B3CD0A" w14:textId="77777777">
        <w:tc>
          <w:tcPr>
            <w:tcW w:w="5000" w:type="pct"/>
            <w:gridSpan w:val="4"/>
            <w:vAlign w:val="center"/>
          </w:tcPr>
          <w:p w14:paraId="07B004C6" w14:textId="5070E8C7" w:rsidR="00BF50CC" w:rsidRPr="00D27683" w:rsidRDefault="00BF50CC" w:rsidP="00135EE0">
            <w:pPr>
              <w:pStyle w:val="In-tableHeading"/>
              <w:rPr>
                <w:lang w:val="en-AU"/>
              </w:rPr>
            </w:pPr>
            <w:r w:rsidRPr="00D27683">
              <w:rPr>
                <w:lang w:val="en-AU"/>
              </w:rPr>
              <w:t>Step 3: time horizon extended to 15 years</w:t>
            </w:r>
          </w:p>
        </w:tc>
      </w:tr>
      <w:tr w:rsidR="000C214C" w:rsidRPr="00D27683" w14:paraId="2FD2E0C7" w14:textId="77777777">
        <w:tc>
          <w:tcPr>
            <w:tcW w:w="1529" w:type="pct"/>
            <w:vAlign w:val="center"/>
          </w:tcPr>
          <w:p w14:paraId="3ACDB972" w14:textId="77777777" w:rsidR="00BF50CC" w:rsidRPr="00D27683" w:rsidRDefault="00BF50CC" w:rsidP="00135EE0">
            <w:pPr>
              <w:pStyle w:val="TableText0"/>
              <w:rPr>
                <w:rFonts w:ascii="Times" w:hAnsi="Times"/>
              </w:rPr>
            </w:pPr>
            <w:r w:rsidRPr="00D27683">
              <w:t>Costs</w:t>
            </w:r>
          </w:p>
        </w:tc>
        <w:tc>
          <w:tcPr>
            <w:tcW w:w="1359" w:type="pct"/>
            <w:vAlign w:val="center"/>
          </w:tcPr>
          <w:p w14:paraId="015028D4" w14:textId="3319190E"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1274" w:type="pct"/>
            <w:vAlign w:val="center"/>
          </w:tcPr>
          <w:p w14:paraId="7B3AFB65" w14:textId="73804E9B"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838" w:type="pct"/>
            <w:vAlign w:val="center"/>
          </w:tcPr>
          <w:p w14:paraId="20CB3C3E" w14:textId="703F05AE"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r>
      <w:tr w:rsidR="000C214C" w:rsidRPr="00D27683" w14:paraId="35486A90" w14:textId="77777777">
        <w:tc>
          <w:tcPr>
            <w:tcW w:w="1529" w:type="pct"/>
            <w:vAlign w:val="center"/>
          </w:tcPr>
          <w:p w14:paraId="48060C5B" w14:textId="77777777" w:rsidR="00BF50CC" w:rsidRPr="00D27683" w:rsidRDefault="00BF50CC" w:rsidP="00135EE0">
            <w:pPr>
              <w:pStyle w:val="TableText0"/>
              <w:rPr>
                <w:rFonts w:ascii="Times" w:hAnsi="Times"/>
              </w:rPr>
            </w:pPr>
            <w:r w:rsidRPr="00D27683">
              <w:t>LYG</w:t>
            </w:r>
          </w:p>
        </w:tc>
        <w:tc>
          <w:tcPr>
            <w:tcW w:w="1359" w:type="pct"/>
            <w:vAlign w:val="center"/>
          </w:tcPr>
          <w:p w14:paraId="2B14E5A3" w14:textId="77777777" w:rsidR="00BF50CC" w:rsidRPr="00D27683" w:rsidRDefault="00BF50CC" w:rsidP="00135EE0">
            <w:pPr>
              <w:pStyle w:val="TableText0"/>
              <w:jc w:val="center"/>
              <w:rPr>
                <w:rFonts w:ascii="Times" w:hAnsi="Times"/>
              </w:rPr>
            </w:pPr>
            <w:r w:rsidRPr="00D27683">
              <w:t>8.510</w:t>
            </w:r>
          </w:p>
        </w:tc>
        <w:tc>
          <w:tcPr>
            <w:tcW w:w="1274" w:type="pct"/>
            <w:vAlign w:val="center"/>
          </w:tcPr>
          <w:p w14:paraId="5BBA6B3D" w14:textId="77777777" w:rsidR="00BF50CC" w:rsidRPr="00D27683" w:rsidRDefault="00BF50CC" w:rsidP="00135EE0">
            <w:pPr>
              <w:pStyle w:val="TableText0"/>
              <w:jc w:val="center"/>
              <w:rPr>
                <w:rFonts w:ascii="Times" w:hAnsi="Times"/>
              </w:rPr>
            </w:pPr>
            <w:r w:rsidRPr="00D27683">
              <w:t>6.914</w:t>
            </w:r>
          </w:p>
        </w:tc>
        <w:tc>
          <w:tcPr>
            <w:tcW w:w="838" w:type="pct"/>
            <w:vAlign w:val="center"/>
          </w:tcPr>
          <w:p w14:paraId="19B0F8E0" w14:textId="77777777" w:rsidR="00BF50CC" w:rsidRPr="00D27683" w:rsidRDefault="00BF50CC" w:rsidP="00135EE0">
            <w:pPr>
              <w:pStyle w:val="TableText0"/>
              <w:jc w:val="center"/>
            </w:pPr>
            <w:r w:rsidRPr="00D27683">
              <w:t>1.596</w:t>
            </w:r>
          </w:p>
        </w:tc>
      </w:tr>
      <w:tr w:rsidR="000C214C" w:rsidRPr="00D27683" w14:paraId="045CB0F8" w14:textId="77777777">
        <w:tc>
          <w:tcPr>
            <w:tcW w:w="4162" w:type="pct"/>
            <w:gridSpan w:val="3"/>
            <w:vAlign w:val="center"/>
          </w:tcPr>
          <w:p w14:paraId="362CF134" w14:textId="77777777" w:rsidR="00BF50CC" w:rsidRPr="00D27683" w:rsidRDefault="00BF50CC" w:rsidP="00135EE0">
            <w:pPr>
              <w:pStyle w:val="TableText0"/>
              <w:rPr>
                <w:rFonts w:ascii="Times" w:hAnsi="Times"/>
              </w:rPr>
            </w:pPr>
            <w:r w:rsidRPr="00D27683">
              <w:t>Incremental cost/extra LYG gained</w:t>
            </w:r>
          </w:p>
        </w:tc>
        <w:tc>
          <w:tcPr>
            <w:tcW w:w="838" w:type="pct"/>
            <w:vAlign w:val="center"/>
          </w:tcPr>
          <w:p w14:paraId="752E1807" w14:textId="2741345C" w:rsidR="00BF50CC" w:rsidRPr="00425E7A" w:rsidRDefault="00BF50CC" w:rsidP="00135EE0">
            <w:pPr>
              <w:pStyle w:val="TableText0"/>
              <w:jc w:val="center"/>
              <w:rPr>
                <w:rFonts w:ascii="Times" w:hAnsi="Times"/>
                <w:vertAlign w:val="superscript"/>
              </w:rPr>
            </w:pPr>
            <w:r w:rsidRPr="00D27683">
              <w:t>$</w:t>
            </w:r>
            <w:r w:rsidR="003C172C" w:rsidRPr="003C172C">
              <w:rPr>
                <w:sz w:val="2"/>
                <w:highlight w:val="black"/>
              </w:rPr>
              <w:t>redacted content</w:t>
            </w:r>
            <w:r w:rsidR="00425E7A">
              <w:rPr>
                <w:vertAlign w:val="superscript"/>
              </w:rPr>
              <w:t>3</w:t>
            </w:r>
          </w:p>
        </w:tc>
      </w:tr>
      <w:tr w:rsidR="006902C2" w:rsidRPr="00D27683" w14:paraId="0CD2B694" w14:textId="77777777">
        <w:tc>
          <w:tcPr>
            <w:tcW w:w="5000" w:type="pct"/>
            <w:gridSpan w:val="4"/>
            <w:vAlign w:val="center"/>
          </w:tcPr>
          <w:p w14:paraId="72FDC746" w14:textId="169EE7B2" w:rsidR="00BF50CC" w:rsidRPr="00D27683" w:rsidRDefault="00BF50CC" w:rsidP="00135EE0">
            <w:pPr>
              <w:pStyle w:val="In-tableHeading"/>
              <w:rPr>
                <w:lang w:val="en-AU"/>
              </w:rPr>
            </w:pPr>
            <w:r w:rsidRPr="00D27683">
              <w:rPr>
                <w:lang w:val="en-AU"/>
              </w:rPr>
              <w:t>Step 4: discounting (5%) included</w:t>
            </w:r>
          </w:p>
        </w:tc>
      </w:tr>
      <w:tr w:rsidR="000C214C" w:rsidRPr="006D6FD8" w14:paraId="6CEF5D44" w14:textId="77777777">
        <w:tc>
          <w:tcPr>
            <w:tcW w:w="1529" w:type="pct"/>
            <w:vAlign w:val="center"/>
          </w:tcPr>
          <w:p w14:paraId="0AB2FFD8" w14:textId="77777777" w:rsidR="00CE7BAB" w:rsidRPr="006D6FD8" w:rsidRDefault="00CE7BAB" w:rsidP="00135EE0">
            <w:pPr>
              <w:pStyle w:val="TableText0"/>
              <w:rPr>
                <w:rFonts w:ascii="Times" w:hAnsi="Times"/>
                <w:iCs/>
              </w:rPr>
            </w:pPr>
            <w:r w:rsidRPr="006D6FD8">
              <w:rPr>
                <w:iCs/>
              </w:rPr>
              <w:t>Costs</w:t>
            </w:r>
          </w:p>
        </w:tc>
        <w:tc>
          <w:tcPr>
            <w:tcW w:w="1359" w:type="pct"/>
            <w:vAlign w:val="center"/>
          </w:tcPr>
          <w:p w14:paraId="100DBE2A" w14:textId="25C33299"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w:t>
            </w:r>
            <w:r w:rsidR="003C172C" w:rsidRPr="003C172C">
              <w:rPr>
                <w:rFonts w:ascii="Arial Narrow" w:hAnsi="Arial Narrow"/>
                <w:iCs/>
                <w:sz w:val="2"/>
                <w:szCs w:val="20"/>
                <w:highlight w:val="black"/>
              </w:rPr>
              <w:t>redacted content</w:t>
            </w:r>
            <w:r w:rsidRPr="006D6FD8">
              <w:rPr>
                <w:rFonts w:ascii="Arial Narrow" w:hAnsi="Arial Narrow"/>
                <w:iCs/>
                <w:sz w:val="20"/>
                <w:szCs w:val="20"/>
              </w:rPr>
              <w:t xml:space="preserve"> </w:t>
            </w:r>
          </w:p>
        </w:tc>
        <w:tc>
          <w:tcPr>
            <w:tcW w:w="1274" w:type="pct"/>
            <w:vAlign w:val="center"/>
          </w:tcPr>
          <w:p w14:paraId="7A4509AD" w14:textId="5229A393"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w:t>
            </w:r>
            <w:r w:rsidR="003C172C" w:rsidRPr="003C172C">
              <w:rPr>
                <w:rFonts w:ascii="Arial Narrow" w:hAnsi="Arial Narrow"/>
                <w:iCs/>
                <w:sz w:val="2"/>
                <w:szCs w:val="20"/>
                <w:highlight w:val="black"/>
              </w:rPr>
              <w:t>redacted content</w:t>
            </w:r>
            <w:r w:rsidRPr="006D6FD8">
              <w:rPr>
                <w:rFonts w:ascii="Arial Narrow" w:hAnsi="Arial Narrow"/>
                <w:iCs/>
                <w:sz w:val="20"/>
                <w:szCs w:val="20"/>
              </w:rPr>
              <w:t xml:space="preserve"> </w:t>
            </w:r>
          </w:p>
        </w:tc>
        <w:tc>
          <w:tcPr>
            <w:tcW w:w="838" w:type="pct"/>
            <w:vAlign w:val="center"/>
          </w:tcPr>
          <w:p w14:paraId="4591296F" w14:textId="04744E91"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w:t>
            </w:r>
            <w:r w:rsidR="003C172C" w:rsidRPr="003C172C">
              <w:rPr>
                <w:rFonts w:ascii="Arial Narrow" w:hAnsi="Arial Narrow"/>
                <w:iCs/>
                <w:sz w:val="2"/>
                <w:szCs w:val="20"/>
                <w:highlight w:val="black"/>
              </w:rPr>
              <w:t>redacted content</w:t>
            </w:r>
            <w:r w:rsidRPr="006D6FD8">
              <w:rPr>
                <w:rFonts w:ascii="Arial Narrow" w:hAnsi="Arial Narrow"/>
                <w:iCs/>
                <w:sz w:val="20"/>
                <w:szCs w:val="20"/>
              </w:rPr>
              <w:t xml:space="preserve"> </w:t>
            </w:r>
          </w:p>
        </w:tc>
      </w:tr>
      <w:tr w:rsidR="000C214C" w:rsidRPr="006D6FD8" w14:paraId="08B2E12A" w14:textId="77777777">
        <w:tc>
          <w:tcPr>
            <w:tcW w:w="1529" w:type="pct"/>
            <w:vAlign w:val="center"/>
          </w:tcPr>
          <w:p w14:paraId="35D9E0A8" w14:textId="77777777" w:rsidR="00CE7BAB" w:rsidRPr="006D6FD8" w:rsidRDefault="00CE7BAB" w:rsidP="00135EE0">
            <w:pPr>
              <w:pStyle w:val="TableText0"/>
              <w:rPr>
                <w:rFonts w:ascii="Times" w:hAnsi="Times"/>
                <w:iCs/>
              </w:rPr>
            </w:pPr>
            <w:r w:rsidRPr="006D6FD8">
              <w:rPr>
                <w:iCs/>
              </w:rPr>
              <w:t>LYG</w:t>
            </w:r>
          </w:p>
        </w:tc>
        <w:tc>
          <w:tcPr>
            <w:tcW w:w="1359" w:type="pct"/>
            <w:vAlign w:val="center"/>
          </w:tcPr>
          <w:p w14:paraId="028C56B1" w14:textId="63BBB0EE"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 xml:space="preserve">6.583 </w:t>
            </w:r>
          </w:p>
        </w:tc>
        <w:tc>
          <w:tcPr>
            <w:tcW w:w="1274" w:type="pct"/>
            <w:vAlign w:val="center"/>
          </w:tcPr>
          <w:p w14:paraId="5CE6669E" w14:textId="327F8802"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 xml:space="preserve">5.535 </w:t>
            </w:r>
          </w:p>
        </w:tc>
        <w:tc>
          <w:tcPr>
            <w:tcW w:w="838" w:type="pct"/>
            <w:vAlign w:val="center"/>
          </w:tcPr>
          <w:p w14:paraId="0DFB9C96" w14:textId="61917DA1" w:rsidR="00CE7BAB" w:rsidRPr="006D6FD8" w:rsidRDefault="00CE7BAB" w:rsidP="00135EE0">
            <w:pPr>
              <w:pStyle w:val="Default"/>
              <w:jc w:val="center"/>
              <w:rPr>
                <w:rFonts w:ascii="Arial Narrow" w:hAnsi="Arial Narrow"/>
                <w:sz w:val="20"/>
                <w:szCs w:val="20"/>
              </w:rPr>
            </w:pPr>
            <w:r w:rsidRPr="006D6FD8">
              <w:rPr>
                <w:rFonts w:ascii="Arial Narrow" w:hAnsi="Arial Narrow"/>
                <w:iCs/>
                <w:sz w:val="20"/>
                <w:szCs w:val="20"/>
              </w:rPr>
              <w:t xml:space="preserve">1.048 </w:t>
            </w:r>
          </w:p>
        </w:tc>
      </w:tr>
      <w:tr w:rsidR="000C214C" w:rsidRPr="00D27683" w14:paraId="3FFB50E9" w14:textId="77777777">
        <w:tc>
          <w:tcPr>
            <w:tcW w:w="4162" w:type="pct"/>
            <w:gridSpan w:val="3"/>
            <w:vAlign w:val="center"/>
          </w:tcPr>
          <w:p w14:paraId="5174C459" w14:textId="77777777" w:rsidR="00BF50CC" w:rsidRPr="00D27683" w:rsidRDefault="00BF50CC" w:rsidP="00135EE0">
            <w:pPr>
              <w:pStyle w:val="TableText0"/>
            </w:pPr>
            <w:r w:rsidRPr="00D27683">
              <w:t>Incremental cost/extra LYG gained</w:t>
            </w:r>
          </w:p>
        </w:tc>
        <w:tc>
          <w:tcPr>
            <w:tcW w:w="838" w:type="pct"/>
            <w:vAlign w:val="center"/>
          </w:tcPr>
          <w:p w14:paraId="079D7E1A" w14:textId="20404FD2" w:rsidR="00BF50CC" w:rsidRPr="00423DE2" w:rsidRDefault="00CE7BAB" w:rsidP="00135EE0">
            <w:pPr>
              <w:pStyle w:val="Default"/>
              <w:jc w:val="center"/>
              <w:rPr>
                <w:rFonts w:ascii="Arial Narrow" w:hAnsi="Arial Narrow"/>
                <w:sz w:val="20"/>
                <w:szCs w:val="20"/>
                <w:vertAlign w:val="superscript"/>
              </w:rPr>
            </w:pPr>
            <w:r w:rsidRPr="006D6FD8">
              <w:rPr>
                <w:rFonts w:ascii="Arial Narrow" w:hAnsi="Arial Narrow"/>
                <w:iCs/>
                <w:sz w:val="20"/>
                <w:szCs w:val="20"/>
              </w:rPr>
              <w:t>$</w:t>
            </w:r>
            <w:r w:rsidR="003C172C" w:rsidRPr="003C172C">
              <w:rPr>
                <w:rFonts w:ascii="Arial Narrow" w:hAnsi="Arial Narrow"/>
                <w:iCs/>
                <w:sz w:val="2"/>
                <w:szCs w:val="20"/>
                <w:highlight w:val="black"/>
              </w:rPr>
              <w:t>redacted content</w:t>
            </w:r>
            <w:r w:rsidR="00423DE2">
              <w:rPr>
                <w:rFonts w:ascii="Arial Narrow" w:hAnsi="Arial Narrow"/>
                <w:iCs/>
                <w:sz w:val="20"/>
                <w:szCs w:val="20"/>
                <w:vertAlign w:val="superscript"/>
              </w:rPr>
              <w:t>4</w:t>
            </w:r>
          </w:p>
        </w:tc>
      </w:tr>
      <w:tr w:rsidR="006902C2" w:rsidRPr="00D27683" w14:paraId="07EAF69F" w14:textId="77777777">
        <w:tc>
          <w:tcPr>
            <w:tcW w:w="5000" w:type="pct"/>
            <w:gridSpan w:val="4"/>
            <w:vAlign w:val="center"/>
          </w:tcPr>
          <w:p w14:paraId="275BCD98" w14:textId="692B637D" w:rsidR="00BF50CC" w:rsidRPr="00D27683" w:rsidRDefault="00BF50CC" w:rsidP="00135EE0">
            <w:pPr>
              <w:pStyle w:val="In-tableHeading"/>
              <w:rPr>
                <w:lang w:val="en-AU"/>
              </w:rPr>
            </w:pPr>
            <w:r w:rsidRPr="00D27683">
              <w:rPr>
                <w:lang w:val="en-AU"/>
              </w:rPr>
              <w:t>Step 5: utility weights applied</w:t>
            </w:r>
          </w:p>
        </w:tc>
      </w:tr>
      <w:tr w:rsidR="000C214C" w:rsidRPr="00D27683" w14:paraId="19667A26" w14:textId="77777777">
        <w:tc>
          <w:tcPr>
            <w:tcW w:w="1529" w:type="pct"/>
            <w:vAlign w:val="center"/>
          </w:tcPr>
          <w:p w14:paraId="5C03E04A" w14:textId="77777777" w:rsidR="00BF50CC" w:rsidRPr="00D27683" w:rsidRDefault="00BF50CC" w:rsidP="00135EE0">
            <w:pPr>
              <w:pStyle w:val="TableText0"/>
              <w:rPr>
                <w:rFonts w:ascii="Times" w:hAnsi="Times"/>
              </w:rPr>
            </w:pPr>
            <w:r w:rsidRPr="00D27683">
              <w:t>Costs</w:t>
            </w:r>
          </w:p>
        </w:tc>
        <w:tc>
          <w:tcPr>
            <w:tcW w:w="1359" w:type="pct"/>
            <w:vAlign w:val="center"/>
          </w:tcPr>
          <w:p w14:paraId="1BC06F5F" w14:textId="45F5DC0C"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1274" w:type="pct"/>
            <w:vAlign w:val="center"/>
          </w:tcPr>
          <w:p w14:paraId="407D45FC" w14:textId="33242D52"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p>
        </w:tc>
        <w:tc>
          <w:tcPr>
            <w:tcW w:w="838" w:type="pct"/>
            <w:vAlign w:val="center"/>
          </w:tcPr>
          <w:p w14:paraId="20F2B069" w14:textId="1A19AC34" w:rsidR="00BF50CC" w:rsidRPr="00D27683" w:rsidRDefault="00BF50CC" w:rsidP="00135EE0">
            <w:pPr>
              <w:pStyle w:val="TableText0"/>
              <w:jc w:val="center"/>
              <w:rPr>
                <w:rFonts w:ascii="Times" w:hAnsi="Times"/>
              </w:rPr>
            </w:pPr>
            <w:r w:rsidRPr="00D27683">
              <w:t>$</w:t>
            </w:r>
            <w:r w:rsidR="003C172C" w:rsidRPr="003C172C">
              <w:rPr>
                <w:sz w:val="2"/>
                <w:highlight w:val="black"/>
              </w:rPr>
              <w:t>redacted content</w:t>
            </w:r>
            <w:r w:rsidRPr="00D27683">
              <w:t xml:space="preserve"> </w:t>
            </w:r>
          </w:p>
        </w:tc>
      </w:tr>
      <w:tr w:rsidR="000C214C" w:rsidRPr="00D27683" w14:paraId="09D5C416" w14:textId="77777777">
        <w:tc>
          <w:tcPr>
            <w:tcW w:w="1529" w:type="pct"/>
            <w:vAlign w:val="center"/>
          </w:tcPr>
          <w:p w14:paraId="0B68BAA8" w14:textId="77777777" w:rsidR="00BF50CC" w:rsidRPr="00D27683" w:rsidRDefault="00BF50CC" w:rsidP="00135EE0">
            <w:pPr>
              <w:pStyle w:val="TableText0"/>
              <w:rPr>
                <w:rFonts w:ascii="Times" w:hAnsi="Times"/>
              </w:rPr>
            </w:pPr>
            <w:r w:rsidRPr="00D27683">
              <w:t>QALYs</w:t>
            </w:r>
          </w:p>
        </w:tc>
        <w:tc>
          <w:tcPr>
            <w:tcW w:w="1359" w:type="pct"/>
            <w:vAlign w:val="center"/>
          </w:tcPr>
          <w:p w14:paraId="4BCD7102" w14:textId="77777777" w:rsidR="00BF50CC" w:rsidRPr="00D27683" w:rsidRDefault="00BF50CC" w:rsidP="00135EE0">
            <w:pPr>
              <w:pStyle w:val="TableText0"/>
              <w:jc w:val="center"/>
              <w:rPr>
                <w:rFonts w:ascii="Times" w:hAnsi="Times"/>
              </w:rPr>
            </w:pPr>
            <w:r w:rsidRPr="00D27683">
              <w:t>4.586</w:t>
            </w:r>
          </w:p>
        </w:tc>
        <w:tc>
          <w:tcPr>
            <w:tcW w:w="1274" w:type="pct"/>
            <w:vAlign w:val="center"/>
          </w:tcPr>
          <w:p w14:paraId="2375397D" w14:textId="77777777" w:rsidR="00BF50CC" w:rsidRPr="00D27683" w:rsidRDefault="00BF50CC" w:rsidP="00135EE0">
            <w:pPr>
              <w:pStyle w:val="TableText0"/>
              <w:jc w:val="center"/>
              <w:rPr>
                <w:rFonts w:ascii="Times" w:hAnsi="Times"/>
              </w:rPr>
            </w:pPr>
            <w:r w:rsidRPr="00D27683">
              <w:t>3.807</w:t>
            </w:r>
          </w:p>
        </w:tc>
        <w:tc>
          <w:tcPr>
            <w:tcW w:w="838" w:type="pct"/>
            <w:vAlign w:val="center"/>
          </w:tcPr>
          <w:p w14:paraId="632B2921" w14:textId="77777777" w:rsidR="00BF50CC" w:rsidRPr="00D27683" w:rsidRDefault="00BF50CC" w:rsidP="00135EE0">
            <w:pPr>
              <w:pStyle w:val="TableText0"/>
              <w:jc w:val="center"/>
            </w:pPr>
            <w:r w:rsidRPr="00D27683">
              <w:t>0.779</w:t>
            </w:r>
          </w:p>
        </w:tc>
      </w:tr>
      <w:tr w:rsidR="000C214C" w:rsidRPr="00D27683" w14:paraId="77D7D3D9" w14:textId="77777777">
        <w:tc>
          <w:tcPr>
            <w:tcW w:w="4162" w:type="pct"/>
            <w:gridSpan w:val="3"/>
            <w:vAlign w:val="center"/>
          </w:tcPr>
          <w:p w14:paraId="68D04573" w14:textId="77777777" w:rsidR="00BF50CC" w:rsidRPr="00D27683" w:rsidRDefault="00BF50CC" w:rsidP="00135EE0">
            <w:pPr>
              <w:pStyle w:val="TableText0"/>
              <w:rPr>
                <w:rFonts w:ascii="Times" w:hAnsi="Times"/>
              </w:rPr>
            </w:pPr>
            <w:r w:rsidRPr="00D27683">
              <w:t>Incremental cost/extra QALY gained (base case)</w:t>
            </w:r>
          </w:p>
        </w:tc>
        <w:tc>
          <w:tcPr>
            <w:tcW w:w="838" w:type="pct"/>
            <w:vAlign w:val="center"/>
          </w:tcPr>
          <w:p w14:paraId="1905353B" w14:textId="43B7EA8F" w:rsidR="00BF50CC" w:rsidRPr="00C53402" w:rsidRDefault="00BF50CC" w:rsidP="00135EE0">
            <w:pPr>
              <w:pStyle w:val="TableText0"/>
              <w:jc w:val="center"/>
              <w:rPr>
                <w:rFonts w:ascii="Times" w:hAnsi="Times"/>
                <w:vertAlign w:val="superscript"/>
              </w:rPr>
            </w:pPr>
            <w:r w:rsidRPr="00D27683">
              <w:t>$</w:t>
            </w:r>
            <w:r w:rsidR="003C172C" w:rsidRPr="003C172C">
              <w:rPr>
                <w:sz w:val="2"/>
                <w:highlight w:val="black"/>
              </w:rPr>
              <w:t>redacted content</w:t>
            </w:r>
            <w:r w:rsidR="00C53402">
              <w:rPr>
                <w:vertAlign w:val="superscript"/>
              </w:rPr>
              <w:t>5</w:t>
            </w:r>
          </w:p>
        </w:tc>
      </w:tr>
    </w:tbl>
    <w:p w14:paraId="2DE72D9C" w14:textId="77777777" w:rsidR="00BF50CC" w:rsidRPr="00D27683" w:rsidRDefault="00BF50CC" w:rsidP="00135EE0">
      <w:pPr>
        <w:pStyle w:val="FooterTableFigure"/>
      </w:pPr>
      <w:r w:rsidRPr="00D27683">
        <w:t>Source: Table 3-46, pp168-169 of the submission; Attachment ‘Nucala (Mepolizumab) COPD Mar 26 CUA’ of the submission.</w:t>
      </w:r>
    </w:p>
    <w:p w14:paraId="18CD843A" w14:textId="68EAD720" w:rsidR="00BF50CC" w:rsidRPr="00D27683" w:rsidRDefault="00BF50CC" w:rsidP="00135EE0">
      <w:pPr>
        <w:pStyle w:val="FooterTableFigure"/>
      </w:pPr>
      <w:r w:rsidRPr="00D27683">
        <w:t>LYG = life-year gained; QALY = quality-adjusted life year.</w:t>
      </w:r>
    </w:p>
    <w:p w14:paraId="65C6F779" w14:textId="77777777" w:rsidR="00DB3F23" w:rsidRDefault="00BF50CC" w:rsidP="00DB3F23">
      <w:pPr>
        <w:pStyle w:val="FooterTableFigure"/>
        <w:spacing w:after="0"/>
      </w:pPr>
      <w:bookmarkStart w:id="151" w:name="_Hlk218680596"/>
      <w:r w:rsidRPr="00D27683">
        <w:rPr>
          <w:vertAlign w:val="superscript"/>
        </w:rPr>
        <w:t>a</w:t>
      </w:r>
      <w:r w:rsidRPr="00D27683">
        <w:t xml:space="preserve"> </w:t>
      </w:r>
      <w:r w:rsidR="008355B3" w:rsidRPr="00D27683">
        <w:t>Calculated during the</w:t>
      </w:r>
      <w:r w:rsidRPr="00D27683">
        <w:t xml:space="preserve"> evaluation as a stepped economic evaluation was not presented by the submission.</w:t>
      </w:r>
    </w:p>
    <w:p w14:paraId="65895936" w14:textId="0C98FEE8" w:rsidR="00DB3F23" w:rsidRPr="00DB3F23" w:rsidRDefault="00DB3F23" w:rsidP="00DB3F23">
      <w:pPr>
        <w:jc w:val="left"/>
        <w:rPr>
          <w:rFonts w:ascii="Arial Narrow" w:hAnsi="Arial Narrow" w:cstheme="minorHAnsi"/>
          <w:bCs/>
          <w:i/>
          <w:iCs/>
          <w:sz w:val="18"/>
          <w:szCs w:val="18"/>
        </w:rPr>
      </w:pPr>
      <w:r w:rsidRPr="00DB3F23">
        <w:rPr>
          <w:rFonts w:ascii="Arial Narrow" w:hAnsi="Arial Narrow" w:cstheme="minorHAnsi"/>
          <w:bCs/>
          <w:i/>
          <w:iCs/>
          <w:sz w:val="18"/>
          <w:szCs w:val="18"/>
        </w:rPr>
        <w:t xml:space="preserve">The redacted values correspond to the following ranges: </w:t>
      </w:r>
    </w:p>
    <w:p w14:paraId="61304C60" w14:textId="4DCB2864" w:rsidR="00DB3F23" w:rsidRPr="00DB3F23" w:rsidRDefault="00DB3F23" w:rsidP="00DB3F23">
      <w:pPr>
        <w:jc w:val="left"/>
        <w:rPr>
          <w:rFonts w:ascii="Arial Narrow" w:hAnsi="Arial Narrow"/>
          <w:bCs/>
          <w:i/>
          <w:sz w:val="18"/>
          <w:szCs w:val="18"/>
        </w:rPr>
      </w:pPr>
      <w:r w:rsidRPr="00DB3F23">
        <w:rPr>
          <w:rFonts w:ascii="Arial Narrow" w:hAnsi="Arial Narrow"/>
          <w:i/>
          <w:sz w:val="18"/>
          <w:szCs w:val="18"/>
          <w:vertAlign w:val="superscript"/>
        </w:rPr>
        <w:t>1</w:t>
      </w:r>
      <w:r w:rsidRPr="00DB3F23">
        <w:rPr>
          <w:rFonts w:ascii="Arial Narrow" w:hAnsi="Arial Narrow"/>
          <w:i/>
          <w:sz w:val="18"/>
          <w:szCs w:val="18"/>
        </w:rPr>
        <w:t xml:space="preserve"> </w:t>
      </w:r>
      <w:r w:rsidR="00913CF4" w:rsidRPr="00913CF4">
        <w:rPr>
          <w:rFonts w:ascii="Arial Narrow" w:hAnsi="Arial Narrow"/>
          <w:bCs/>
          <w:i/>
          <w:sz w:val="18"/>
          <w:szCs w:val="18"/>
        </w:rPr>
        <w:t>$25,000 to &lt; $35,000</w:t>
      </w:r>
    </w:p>
    <w:p w14:paraId="14EEDDF6" w14:textId="6671F26F" w:rsidR="00DB3F23" w:rsidRPr="00DB3F23" w:rsidRDefault="00DB3F23" w:rsidP="00DB3F23">
      <w:pPr>
        <w:jc w:val="left"/>
        <w:rPr>
          <w:rFonts w:ascii="Arial Narrow" w:hAnsi="Arial Narrow"/>
          <w:i/>
          <w:sz w:val="18"/>
          <w:szCs w:val="18"/>
        </w:rPr>
      </w:pPr>
      <w:r w:rsidRPr="00DB3F23">
        <w:rPr>
          <w:rFonts w:ascii="Arial Narrow" w:hAnsi="Arial Narrow"/>
          <w:i/>
          <w:sz w:val="18"/>
          <w:szCs w:val="18"/>
          <w:vertAlign w:val="superscript"/>
        </w:rPr>
        <w:t>2</w:t>
      </w:r>
      <w:r w:rsidRPr="00DB3F23">
        <w:rPr>
          <w:rFonts w:ascii="Arial Narrow" w:hAnsi="Arial Narrow"/>
          <w:i/>
          <w:sz w:val="18"/>
          <w:szCs w:val="18"/>
        </w:rPr>
        <w:t xml:space="preserve"> </w:t>
      </w:r>
      <w:r w:rsidR="001A7296" w:rsidRPr="001A7296">
        <w:rPr>
          <w:rFonts w:ascii="Arial Narrow" w:hAnsi="Arial Narrow"/>
          <w:i/>
          <w:sz w:val="18"/>
          <w:szCs w:val="18"/>
        </w:rPr>
        <w:t>$355,000 to &lt; $455,000</w:t>
      </w:r>
    </w:p>
    <w:p w14:paraId="2AC5ED1A" w14:textId="526F316A" w:rsidR="00DB3F23" w:rsidRPr="00DB3F23" w:rsidRDefault="00DB3F23" w:rsidP="00DB3F23">
      <w:pPr>
        <w:jc w:val="left"/>
        <w:rPr>
          <w:rFonts w:ascii="Arial Narrow" w:hAnsi="Arial Narrow"/>
          <w:i/>
          <w:sz w:val="18"/>
          <w:szCs w:val="18"/>
        </w:rPr>
      </w:pPr>
      <w:r w:rsidRPr="00DB3F23">
        <w:rPr>
          <w:rFonts w:ascii="Arial Narrow" w:hAnsi="Arial Narrow"/>
          <w:i/>
          <w:sz w:val="18"/>
          <w:szCs w:val="18"/>
          <w:vertAlign w:val="superscript"/>
        </w:rPr>
        <w:t>3</w:t>
      </w:r>
      <w:r w:rsidRPr="00DB3F23">
        <w:rPr>
          <w:rFonts w:ascii="Arial Narrow" w:hAnsi="Arial Narrow"/>
          <w:i/>
          <w:sz w:val="18"/>
          <w:szCs w:val="18"/>
        </w:rPr>
        <w:t xml:space="preserve"> </w:t>
      </w:r>
      <w:r w:rsidR="00425E7A" w:rsidRPr="00425E7A">
        <w:rPr>
          <w:rFonts w:ascii="Arial Narrow" w:hAnsi="Arial Narrow"/>
          <w:i/>
          <w:sz w:val="18"/>
          <w:szCs w:val="18"/>
        </w:rPr>
        <w:t>$35,000 to &lt; $45,000</w:t>
      </w:r>
    </w:p>
    <w:p w14:paraId="0625C3E8" w14:textId="6A36CD7F" w:rsidR="00DB3F23" w:rsidRPr="00DB3F23" w:rsidRDefault="00DB3F23" w:rsidP="00DB3F23">
      <w:pPr>
        <w:jc w:val="left"/>
        <w:rPr>
          <w:rFonts w:ascii="Arial Narrow" w:hAnsi="Arial Narrow"/>
          <w:i/>
          <w:sz w:val="18"/>
          <w:szCs w:val="18"/>
        </w:rPr>
      </w:pPr>
      <w:r w:rsidRPr="00DB3F23">
        <w:rPr>
          <w:rFonts w:ascii="Arial Narrow" w:hAnsi="Arial Narrow"/>
          <w:i/>
          <w:sz w:val="18"/>
          <w:szCs w:val="18"/>
          <w:vertAlign w:val="superscript"/>
        </w:rPr>
        <w:t>4</w:t>
      </w:r>
      <w:r w:rsidRPr="00DB3F23">
        <w:rPr>
          <w:rFonts w:ascii="Arial Narrow" w:hAnsi="Arial Narrow"/>
          <w:i/>
          <w:sz w:val="18"/>
          <w:szCs w:val="18"/>
        </w:rPr>
        <w:t xml:space="preserve"> </w:t>
      </w:r>
      <w:r w:rsidR="00423DE2" w:rsidRPr="00423DE2">
        <w:rPr>
          <w:rFonts w:ascii="Arial Narrow" w:hAnsi="Arial Narrow"/>
          <w:i/>
          <w:sz w:val="18"/>
          <w:szCs w:val="18"/>
        </w:rPr>
        <w:t>$45,000 to &lt; $55,000</w:t>
      </w:r>
    </w:p>
    <w:p w14:paraId="3ADFC0EE" w14:textId="0CFB8A14" w:rsidR="00DB3F23" w:rsidRPr="00DB3F23" w:rsidRDefault="00DB3F23" w:rsidP="00DB3F23">
      <w:pPr>
        <w:jc w:val="left"/>
        <w:rPr>
          <w:rFonts w:ascii="Arial Narrow" w:hAnsi="Arial Narrow"/>
          <w:i/>
          <w:sz w:val="18"/>
          <w:szCs w:val="18"/>
        </w:rPr>
      </w:pPr>
      <w:r w:rsidRPr="00DB3F23">
        <w:rPr>
          <w:rFonts w:ascii="Arial Narrow" w:hAnsi="Arial Narrow"/>
          <w:i/>
          <w:sz w:val="18"/>
          <w:szCs w:val="18"/>
          <w:vertAlign w:val="superscript"/>
        </w:rPr>
        <w:t>5</w:t>
      </w:r>
      <w:r w:rsidRPr="00DB3F23">
        <w:rPr>
          <w:rFonts w:ascii="Arial Narrow" w:hAnsi="Arial Narrow"/>
          <w:i/>
          <w:sz w:val="18"/>
          <w:szCs w:val="18"/>
        </w:rPr>
        <w:t xml:space="preserve"> </w:t>
      </w:r>
      <w:r w:rsidR="00C53402" w:rsidRPr="00C53402">
        <w:rPr>
          <w:rFonts w:ascii="Arial Narrow" w:hAnsi="Arial Narrow"/>
          <w:i/>
          <w:sz w:val="18"/>
          <w:szCs w:val="18"/>
        </w:rPr>
        <w:t>$55,000 to &lt; $75,000</w:t>
      </w:r>
    </w:p>
    <w:p w14:paraId="65B50F8D" w14:textId="34F945F3" w:rsidR="008355B3" w:rsidRPr="00D27683" w:rsidRDefault="008355B3" w:rsidP="00135EE0">
      <w:pPr>
        <w:pStyle w:val="FooterTableFigure"/>
      </w:pPr>
    </w:p>
    <w:p w14:paraId="50D04CED" w14:textId="5D7E6696" w:rsidR="00475AF4" w:rsidRPr="00475AF4" w:rsidRDefault="00BF50CC" w:rsidP="00135EE0">
      <w:pPr>
        <w:pStyle w:val="3-BodyText"/>
        <w:numPr>
          <w:ilvl w:val="1"/>
          <w:numId w:val="1"/>
        </w:numPr>
      </w:pPr>
      <w:bookmarkStart w:id="152" w:name="_Ref222371782"/>
      <w:bookmarkStart w:id="153" w:name="_Ref225348390"/>
      <w:bookmarkStart w:id="154" w:name="_Ref224907960"/>
      <w:bookmarkEnd w:id="151"/>
      <w:r w:rsidRPr="00D27683">
        <w:t xml:space="preserve">The results of key univariate / multivariate sensitivity analyses are summarised in </w:t>
      </w:r>
      <w:r w:rsidRPr="00D27683">
        <w:fldChar w:fldCharType="begin"/>
      </w:r>
      <w:r w:rsidRPr="00D27683">
        <w:instrText xml:space="preserve"> REF _Ref104804865 \h </w:instrText>
      </w:r>
      <w:r w:rsidR="009C5342" w:rsidRPr="00D27683">
        <w:instrText xml:space="preserve"> \* MERGEFORMAT </w:instrText>
      </w:r>
      <w:r w:rsidRPr="00D27683">
        <w:fldChar w:fldCharType="separate"/>
      </w:r>
      <w:r w:rsidR="00FA28CE" w:rsidRPr="00D27683">
        <w:t xml:space="preserve">Table </w:t>
      </w:r>
      <w:r w:rsidR="00FA28CE">
        <w:rPr>
          <w:noProof/>
        </w:rPr>
        <w:t>17</w:t>
      </w:r>
      <w:r w:rsidRPr="00D27683">
        <w:fldChar w:fldCharType="end"/>
      </w:r>
      <w:r w:rsidRPr="00D27683">
        <w:t>.</w:t>
      </w:r>
      <w:r w:rsidR="00D16992">
        <w:t xml:space="preserve"> </w:t>
      </w:r>
      <w:r w:rsidR="00741B87" w:rsidRPr="006D6FD8">
        <w:rPr>
          <w:iCs/>
        </w:rPr>
        <w:t xml:space="preserve">The Sub-Committees considered a revised base case was required to address </w:t>
      </w:r>
      <w:proofErr w:type="gramStart"/>
      <w:r w:rsidR="00741B87" w:rsidRPr="006D6FD8">
        <w:rPr>
          <w:iCs/>
        </w:rPr>
        <w:t>a number of</w:t>
      </w:r>
      <w:proofErr w:type="gramEnd"/>
      <w:r w:rsidR="00741B87" w:rsidRPr="006D6FD8">
        <w:rPr>
          <w:iCs/>
        </w:rPr>
        <w:t xml:space="preserve"> unsupported assumptions</w:t>
      </w:r>
      <w:bookmarkEnd w:id="152"/>
      <w:r w:rsidR="00475967" w:rsidRPr="006D6FD8">
        <w:rPr>
          <w:iCs/>
        </w:rPr>
        <w:t xml:space="preserve"> </w:t>
      </w:r>
      <w:r w:rsidR="00D87AA6">
        <w:rPr>
          <w:iCs/>
        </w:rPr>
        <w:t>and included</w:t>
      </w:r>
      <w:r w:rsidR="00475967" w:rsidRPr="006D6FD8">
        <w:rPr>
          <w:iCs/>
        </w:rPr>
        <w:t xml:space="preserve">: the stopping rule changed from every 3 months to every 6 months in Year 2+, inclusion of a discontinuation rate for responders in Year 2+ (1.37%) and a 10-year time horizon. </w:t>
      </w:r>
      <w:r w:rsidR="00741B87" w:rsidRPr="006D6FD8">
        <w:rPr>
          <w:iCs/>
        </w:rPr>
        <w:t xml:space="preserve">The Sub-Committees noted that these changes to the model increased the ICER to </w:t>
      </w:r>
      <w:r w:rsidR="005F5E4C" w:rsidRPr="006D6FD8">
        <w:rPr>
          <w:iCs/>
        </w:rPr>
        <w:t>$</w:t>
      </w:r>
      <w:r w:rsidR="00835340">
        <w:rPr>
          <w:iCs/>
        </w:rPr>
        <w:t>75,000 to &lt; $95,000</w:t>
      </w:r>
      <w:r w:rsidR="005F5E4C" w:rsidRPr="006D6FD8">
        <w:rPr>
          <w:iCs/>
        </w:rPr>
        <w:t xml:space="preserve"> per QALY gained</w:t>
      </w:r>
      <w:r w:rsidR="00741B87" w:rsidRPr="006D6FD8">
        <w:rPr>
          <w:iCs/>
        </w:rPr>
        <w:t>.</w:t>
      </w:r>
      <w:bookmarkEnd w:id="153"/>
      <w:r w:rsidR="00741B87" w:rsidRPr="006D6FD8">
        <w:rPr>
          <w:iCs/>
        </w:rPr>
        <w:t xml:space="preserve"> </w:t>
      </w:r>
    </w:p>
    <w:p w14:paraId="2F1D409D" w14:textId="181D875E" w:rsidR="00741B87" w:rsidRPr="00D27683" w:rsidRDefault="00BB2BB3" w:rsidP="00135EE0">
      <w:pPr>
        <w:pStyle w:val="3-BodyText"/>
        <w:numPr>
          <w:ilvl w:val="1"/>
          <w:numId w:val="1"/>
        </w:numPr>
      </w:pPr>
      <w:bookmarkStart w:id="155" w:name="_Ref225224255"/>
      <w:r>
        <w:rPr>
          <w:iCs/>
        </w:rPr>
        <w:t xml:space="preserve">The Pre-PBAC Response </w:t>
      </w:r>
      <w:r w:rsidR="00E062D0">
        <w:rPr>
          <w:iCs/>
        </w:rPr>
        <w:t xml:space="preserve">agreed with </w:t>
      </w:r>
      <w:bookmarkEnd w:id="154"/>
      <w:r w:rsidR="00D9397E">
        <w:rPr>
          <w:iCs/>
        </w:rPr>
        <w:t xml:space="preserve">the revisions </w:t>
      </w:r>
      <w:r w:rsidR="003C58CA">
        <w:rPr>
          <w:iCs/>
        </w:rPr>
        <w:t xml:space="preserve">recommended by the </w:t>
      </w:r>
      <w:r w:rsidR="00E305DC">
        <w:rPr>
          <w:iCs/>
        </w:rPr>
        <w:t>Sub-Committees</w:t>
      </w:r>
      <w:r w:rsidR="00FE3CB0">
        <w:rPr>
          <w:iCs/>
        </w:rPr>
        <w:t xml:space="preserve"> but adjusted the </w:t>
      </w:r>
      <w:r w:rsidR="0025355A">
        <w:rPr>
          <w:iCs/>
        </w:rPr>
        <w:t xml:space="preserve">6-monthly </w:t>
      </w:r>
      <w:r w:rsidR="00FE3CB0">
        <w:rPr>
          <w:iCs/>
        </w:rPr>
        <w:t xml:space="preserve">stopping rule probabilities for </w:t>
      </w:r>
      <w:r w:rsidR="00D02F94">
        <w:rPr>
          <w:iCs/>
        </w:rPr>
        <w:t xml:space="preserve">Year 2+ </w:t>
      </w:r>
      <w:r w:rsidR="00FD4F28">
        <w:rPr>
          <w:iCs/>
        </w:rPr>
        <w:t>to be</w:t>
      </w:r>
      <w:r w:rsidR="007114E2">
        <w:rPr>
          <w:iCs/>
        </w:rPr>
        <w:t xml:space="preserve"> based </w:t>
      </w:r>
      <w:r w:rsidR="00D02F94">
        <w:rPr>
          <w:iCs/>
        </w:rPr>
        <w:t>on data from</w:t>
      </w:r>
      <w:r w:rsidR="00BC4AB3">
        <w:rPr>
          <w:iCs/>
        </w:rPr>
        <w:t xml:space="preserve"> Month</w:t>
      </w:r>
      <w:r w:rsidR="008909DE">
        <w:rPr>
          <w:iCs/>
        </w:rPr>
        <w:t>s</w:t>
      </w:r>
      <w:r w:rsidR="00BC4AB3">
        <w:rPr>
          <w:iCs/>
        </w:rPr>
        <w:t xml:space="preserve"> 12</w:t>
      </w:r>
      <w:r w:rsidR="00BC4AB3">
        <w:rPr>
          <w:rFonts w:cstheme="minorHAnsi"/>
          <w:iCs/>
        </w:rPr>
        <w:t>–</w:t>
      </w:r>
      <w:r w:rsidR="00BC4AB3">
        <w:rPr>
          <w:iCs/>
        </w:rPr>
        <w:t>24 of the MATINEE trial</w:t>
      </w:r>
      <w:r w:rsidR="008454E5">
        <w:rPr>
          <w:iCs/>
        </w:rPr>
        <w:t xml:space="preserve"> (</w:t>
      </w:r>
      <w:r w:rsidR="008454E5" w:rsidRPr="00E359DE">
        <w:rPr>
          <w:iCs/>
        </w:rPr>
        <w:fldChar w:fldCharType="begin"/>
      </w:r>
      <w:r w:rsidR="008454E5" w:rsidRPr="00E359DE">
        <w:rPr>
          <w:iCs/>
        </w:rPr>
        <w:instrText xml:space="preserve"> REF _Ref224817668 \h </w:instrText>
      </w:r>
      <w:r w:rsidR="008454E5" w:rsidRPr="00E359DE">
        <w:rPr>
          <w:iCs/>
        </w:rPr>
      </w:r>
      <w:r w:rsidR="008454E5" w:rsidRPr="00E359DE">
        <w:rPr>
          <w:iCs/>
        </w:rPr>
        <w:fldChar w:fldCharType="separate"/>
      </w:r>
      <w:r w:rsidR="00FA28CE" w:rsidRPr="00D27683">
        <w:t xml:space="preserve">Table </w:t>
      </w:r>
      <w:r w:rsidR="00FA28CE">
        <w:rPr>
          <w:noProof/>
        </w:rPr>
        <w:t>14</w:t>
      </w:r>
      <w:r w:rsidR="008454E5" w:rsidRPr="00E359DE">
        <w:rPr>
          <w:iCs/>
        </w:rPr>
        <w:fldChar w:fldCharType="end"/>
      </w:r>
      <w:r w:rsidR="008454E5">
        <w:rPr>
          <w:iCs/>
        </w:rPr>
        <w:t>)</w:t>
      </w:r>
      <w:r w:rsidR="007114E2">
        <w:rPr>
          <w:iCs/>
        </w:rPr>
        <w:t>, not Months 0</w:t>
      </w:r>
      <w:r w:rsidR="007114E2">
        <w:rPr>
          <w:rFonts w:cstheme="minorHAnsi"/>
          <w:iCs/>
        </w:rPr>
        <w:t>–12</w:t>
      </w:r>
      <w:r w:rsidR="00C8533A">
        <w:rPr>
          <w:rFonts w:cstheme="minorHAnsi"/>
          <w:iCs/>
        </w:rPr>
        <w:t xml:space="preserve"> as conducted by the evaluation</w:t>
      </w:r>
      <w:r w:rsidR="00C423FB">
        <w:rPr>
          <w:iCs/>
        </w:rPr>
        <w:t xml:space="preserve">. These changes </w:t>
      </w:r>
      <w:r w:rsidR="00AA2665">
        <w:rPr>
          <w:iCs/>
        </w:rPr>
        <w:t xml:space="preserve">to the model </w:t>
      </w:r>
      <w:r w:rsidR="00C423FB">
        <w:rPr>
          <w:iCs/>
        </w:rPr>
        <w:t>result</w:t>
      </w:r>
      <w:r w:rsidR="00AA2665">
        <w:rPr>
          <w:iCs/>
        </w:rPr>
        <w:t>ed</w:t>
      </w:r>
      <w:r w:rsidR="00C423FB">
        <w:rPr>
          <w:iCs/>
        </w:rPr>
        <w:t xml:space="preserve"> in a similar ICER</w:t>
      </w:r>
      <w:r w:rsidR="00B80FC4">
        <w:rPr>
          <w:iCs/>
        </w:rPr>
        <w:t xml:space="preserve"> to the </w:t>
      </w:r>
      <w:r w:rsidR="00E305DC">
        <w:rPr>
          <w:iCs/>
        </w:rPr>
        <w:t>Sub-Committee’s</w:t>
      </w:r>
      <w:r w:rsidR="00B80FC4">
        <w:rPr>
          <w:iCs/>
        </w:rPr>
        <w:t xml:space="preserve"> revised base case analysis (</w:t>
      </w:r>
      <w:r w:rsidR="00FD770D">
        <w:rPr>
          <w:iCs/>
        </w:rPr>
        <w:t>Sub-Committee</w:t>
      </w:r>
      <w:r w:rsidR="00CD13FF">
        <w:rPr>
          <w:iCs/>
        </w:rPr>
        <w:t>’s</w:t>
      </w:r>
      <w:r w:rsidR="00B80FC4" w:rsidRPr="00B80FC4">
        <w:rPr>
          <w:iCs/>
        </w:rPr>
        <w:t>: $</w:t>
      </w:r>
      <w:r w:rsidR="00835340">
        <w:rPr>
          <w:iCs/>
        </w:rPr>
        <w:t>75,000 to &lt; $95,000</w:t>
      </w:r>
      <w:r w:rsidR="00B80FC4" w:rsidRPr="00B80FC4">
        <w:rPr>
          <w:iCs/>
        </w:rPr>
        <w:t>/QALY</w:t>
      </w:r>
      <w:r w:rsidR="00B80FC4">
        <w:rPr>
          <w:iCs/>
        </w:rPr>
        <w:t xml:space="preserve"> gained</w:t>
      </w:r>
      <w:r w:rsidR="00B80FC4" w:rsidRPr="00B80FC4">
        <w:rPr>
          <w:iCs/>
        </w:rPr>
        <w:t>, pre-PBAC</w:t>
      </w:r>
      <w:r w:rsidR="00B80FC4">
        <w:rPr>
          <w:iCs/>
        </w:rPr>
        <w:t xml:space="preserve"> Response</w:t>
      </w:r>
      <w:r w:rsidR="00B80FC4" w:rsidRPr="00B80FC4">
        <w:rPr>
          <w:iCs/>
        </w:rPr>
        <w:t xml:space="preserve">: </w:t>
      </w:r>
      <w:r w:rsidR="00835340" w:rsidRPr="00B80FC4">
        <w:rPr>
          <w:iCs/>
        </w:rPr>
        <w:t>$</w:t>
      </w:r>
      <w:r w:rsidR="00835340">
        <w:rPr>
          <w:iCs/>
        </w:rPr>
        <w:t>75,000 to &lt; $95,000</w:t>
      </w:r>
      <w:r w:rsidR="00B80FC4" w:rsidRPr="00B80FC4">
        <w:rPr>
          <w:iCs/>
        </w:rPr>
        <w:t>/QALY</w:t>
      </w:r>
      <w:r w:rsidR="00B80FC4">
        <w:rPr>
          <w:iCs/>
        </w:rPr>
        <w:t xml:space="preserve"> gained</w:t>
      </w:r>
      <w:r w:rsidR="00B80FC4" w:rsidRPr="00B80FC4">
        <w:rPr>
          <w:iCs/>
        </w:rPr>
        <w:t>)</w:t>
      </w:r>
      <w:r w:rsidR="009A4AE2">
        <w:rPr>
          <w:iCs/>
        </w:rPr>
        <w:t xml:space="preserve">. The Pre-PBAC Response also </w:t>
      </w:r>
      <w:r w:rsidR="00DA5B6D">
        <w:rPr>
          <w:iCs/>
        </w:rPr>
        <w:t xml:space="preserve">proposed a revised </w:t>
      </w:r>
      <w:r w:rsidR="00DA5B6D">
        <w:t xml:space="preserve">effective EMP </w:t>
      </w:r>
      <w:r w:rsidR="00475AF4">
        <w:t xml:space="preserve">for mepolizumab </w:t>
      </w:r>
      <w:r w:rsidR="00DA5B6D">
        <w:t>of $</w:t>
      </w:r>
      <w:r w:rsidR="003C172C" w:rsidRPr="003C172C">
        <w:rPr>
          <w:sz w:val="2"/>
          <w:highlight w:val="black"/>
        </w:rPr>
        <w:t>redacted content</w:t>
      </w:r>
      <w:r w:rsidR="00DA5B6D">
        <w:t xml:space="preserve"> per 100 mg pre-filled pen.</w:t>
      </w:r>
      <w:r w:rsidR="0005566E">
        <w:t xml:space="preserve"> With the reduced price and revisions to the </w:t>
      </w:r>
      <w:r w:rsidR="00475AF4">
        <w:t xml:space="preserve">economic </w:t>
      </w:r>
      <w:r w:rsidR="0005566E">
        <w:t>model</w:t>
      </w:r>
      <w:r w:rsidR="00475AF4">
        <w:t>,</w:t>
      </w:r>
      <w:r w:rsidR="0005566E">
        <w:t xml:space="preserve"> </w:t>
      </w:r>
      <w:r w:rsidR="001871EF">
        <w:t>as proposed in the Pre-PBAC Response</w:t>
      </w:r>
      <w:r w:rsidR="00475AF4">
        <w:t>,</w:t>
      </w:r>
      <w:r w:rsidR="001871EF">
        <w:t xml:space="preserve"> the ICER was $</w:t>
      </w:r>
      <w:r w:rsidR="00216AA2">
        <w:t>55,000 to &lt; $75,000</w:t>
      </w:r>
      <w:r w:rsidR="00475AF4">
        <w:t>/QALY gained.</w:t>
      </w:r>
      <w:bookmarkEnd w:id="155"/>
    </w:p>
    <w:p w14:paraId="05988BCC" w14:textId="265BFFF1" w:rsidR="00BF50CC" w:rsidRPr="00D27683" w:rsidRDefault="00BF50CC" w:rsidP="00135EE0">
      <w:pPr>
        <w:pStyle w:val="Caption"/>
        <w:rPr>
          <w:rStyle w:val="CommentReference"/>
          <w:b/>
          <w:szCs w:val="24"/>
        </w:rPr>
      </w:pPr>
      <w:bookmarkStart w:id="156" w:name="_Ref104804865"/>
      <w:r w:rsidRPr="00D27683">
        <w:lastRenderedPageBreak/>
        <w:t xml:space="preserve">Table </w:t>
      </w:r>
      <w:fldSimple w:instr=" SEQ Table \* ARABIC ">
        <w:r w:rsidR="00FA28CE">
          <w:rPr>
            <w:noProof/>
          </w:rPr>
          <w:t>17</w:t>
        </w:r>
      </w:fldSimple>
      <w:bookmarkEnd w:id="156"/>
      <w:r w:rsidRPr="00D27683">
        <w:t>:</w:t>
      </w:r>
      <w:r w:rsidRPr="00D27683">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Sensitivity analyses"/>
      </w:tblPr>
      <w:tblGrid>
        <w:gridCol w:w="3416"/>
        <w:gridCol w:w="1401"/>
        <w:gridCol w:w="1401"/>
        <w:gridCol w:w="1717"/>
        <w:gridCol w:w="1082"/>
      </w:tblGrid>
      <w:tr w:rsidR="00BF50CC" w:rsidRPr="00D27683" w14:paraId="6ACF32A8" w14:textId="77777777">
        <w:trPr>
          <w:cantSplit/>
          <w:trHeight w:val="20"/>
          <w:tblHeader/>
        </w:trPr>
        <w:tc>
          <w:tcPr>
            <w:tcW w:w="1894" w:type="pct"/>
            <w:vAlign w:val="center"/>
          </w:tcPr>
          <w:p w14:paraId="4837D25F" w14:textId="77777777" w:rsidR="00BF50CC" w:rsidRPr="00D27683" w:rsidRDefault="00BF50CC" w:rsidP="00135EE0">
            <w:pPr>
              <w:pStyle w:val="In-tableHeading"/>
              <w:jc w:val="center"/>
              <w:rPr>
                <w:lang w:val="en-AU"/>
              </w:rPr>
            </w:pPr>
            <w:r w:rsidRPr="00D27683">
              <w:rPr>
                <w:lang w:val="en-AU"/>
              </w:rPr>
              <w:t>Analyses</w:t>
            </w:r>
          </w:p>
        </w:tc>
        <w:tc>
          <w:tcPr>
            <w:tcW w:w="777" w:type="pct"/>
            <w:vAlign w:val="center"/>
          </w:tcPr>
          <w:p w14:paraId="208E685F" w14:textId="77777777" w:rsidR="00BF50CC" w:rsidRPr="00D27683" w:rsidRDefault="00BF50CC" w:rsidP="00135EE0">
            <w:pPr>
              <w:pStyle w:val="In-tableHeading"/>
              <w:jc w:val="center"/>
              <w:rPr>
                <w:lang w:val="en-AU"/>
              </w:rPr>
            </w:pPr>
            <w:r w:rsidRPr="00D27683">
              <w:rPr>
                <w:lang w:val="en-AU"/>
              </w:rPr>
              <w:t>Incremental cost</w:t>
            </w:r>
          </w:p>
        </w:tc>
        <w:tc>
          <w:tcPr>
            <w:tcW w:w="777" w:type="pct"/>
            <w:vAlign w:val="center"/>
          </w:tcPr>
          <w:p w14:paraId="1246C088" w14:textId="77777777" w:rsidR="00BF50CC" w:rsidRPr="00D27683" w:rsidRDefault="00BF50CC" w:rsidP="00135EE0">
            <w:pPr>
              <w:pStyle w:val="In-tableHeading"/>
              <w:jc w:val="center"/>
              <w:rPr>
                <w:lang w:val="en-AU"/>
              </w:rPr>
            </w:pPr>
            <w:r w:rsidRPr="00D27683">
              <w:rPr>
                <w:lang w:val="en-AU"/>
              </w:rPr>
              <w:t>Incremental QALY</w:t>
            </w:r>
          </w:p>
        </w:tc>
        <w:tc>
          <w:tcPr>
            <w:tcW w:w="952" w:type="pct"/>
            <w:vAlign w:val="center"/>
          </w:tcPr>
          <w:p w14:paraId="3F54E7D7" w14:textId="77777777" w:rsidR="00BF50CC" w:rsidRPr="00D27683" w:rsidRDefault="00BF50CC" w:rsidP="00135EE0">
            <w:pPr>
              <w:pStyle w:val="In-tableHeading"/>
              <w:jc w:val="center"/>
              <w:rPr>
                <w:lang w:val="en-AU"/>
              </w:rPr>
            </w:pPr>
            <w:r w:rsidRPr="00D27683">
              <w:rPr>
                <w:lang w:val="en-AU"/>
              </w:rPr>
              <w:t>ICER</w:t>
            </w:r>
          </w:p>
        </w:tc>
        <w:tc>
          <w:tcPr>
            <w:tcW w:w="600" w:type="pct"/>
            <w:vAlign w:val="center"/>
          </w:tcPr>
          <w:p w14:paraId="374EF30E" w14:textId="77777777" w:rsidR="00BF50CC" w:rsidRPr="00D27683" w:rsidRDefault="00BF50CC" w:rsidP="00135EE0">
            <w:pPr>
              <w:pStyle w:val="In-tableHeading"/>
              <w:jc w:val="center"/>
              <w:rPr>
                <w:lang w:val="en-AU"/>
              </w:rPr>
            </w:pPr>
            <w:r w:rsidRPr="00D27683">
              <w:rPr>
                <w:lang w:val="en-AU"/>
              </w:rPr>
              <w:t>% change to ICER</w:t>
            </w:r>
          </w:p>
        </w:tc>
      </w:tr>
      <w:tr w:rsidR="00BF50CC" w:rsidRPr="00D27683" w14:paraId="510828A6" w14:textId="77777777">
        <w:trPr>
          <w:cantSplit/>
          <w:trHeight w:val="20"/>
        </w:trPr>
        <w:tc>
          <w:tcPr>
            <w:tcW w:w="1894" w:type="pct"/>
          </w:tcPr>
          <w:p w14:paraId="29D73751" w14:textId="77777777" w:rsidR="00BF50CC" w:rsidRPr="00D27683" w:rsidRDefault="00BF50CC" w:rsidP="00135EE0">
            <w:pPr>
              <w:pStyle w:val="TableText0"/>
              <w:rPr>
                <w:b/>
              </w:rPr>
            </w:pPr>
            <w:r w:rsidRPr="00D27683">
              <w:rPr>
                <w:b/>
              </w:rPr>
              <w:t>Base case</w:t>
            </w:r>
          </w:p>
        </w:tc>
        <w:tc>
          <w:tcPr>
            <w:tcW w:w="777" w:type="pct"/>
          </w:tcPr>
          <w:p w14:paraId="4071E1A3" w14:textId="25D6707A" w:rsidR="00BF50CC" w:rsidRPr="00D27683" w:rsidRDefault="00BF50CC" w:rsidP="00135EE0">
            <w:pPr>
              <w:pStyle w:val="TableText0"/>
              <w:jc w:val="center"/>
              <w:rPr>
                <w:b/>
                <w:bCs w:val="0"/>
                <w:highlight w:val="black"/>
              </w:rPr>
            </w:pPr>
            <w:r w:rsidRPr="00D27683">
              <w:rPr>
                <w:b/>
                <w:bCs w:val="0"/>
              </w:rPr>
              <w:t>$</w:t>
            </w:r>
            <w:r w:rsidR="003C172C" w:rsidRPr="003C172C">
              <w:rPr>
                <w:b/>
                <w:bCs w:val="0"/>
                <w:sz w:val="2"/>
                <w:highlight w:val="black"/>
              </w:rPr>
              <w:t>redacted content</w:t>
            </w:r>
          </w:p>
        </w:tc>
        <w:tc>
          <w:tcPr>
            <w:tcW w:w="777" w:type="pct"/>
          </w:tcPr>
          <w:p w14:paraId="6BEA016E" w14:textId="77777777" w:rsidR="00BF50CC" w:rsidRPr="00D27683" w:rsidRDefault="00BF50CC" w:rsidP="00135EE0">
            <w:pPr>
              <w:pStyle w:val="TableText0"/>
              <w:jc w:val="center"/>
              <w:rPr>
                <w:b/>
                <w:bCs w:val="0"/>
              </w:rPr>
            </w:pPr>
            <w:r w:rsidRPr="00D27683">
              <w:rPr>
                <w:b/>
                <w:bCs w:val="0"/>
              </w:rPr>
              <w:t>0.779</w:t>
            </w:r>
          </w:p>
        </w:tc>
        <w:tc>
          <w:tcPr>
            <w:tcW w:w="952" w:type="pct"/>
          </w:tcPr>
          <w:p w14:paraId="0B45C34A" w14:textId="25661B27" w:rsidR="00BF50CC" w:rsidRPr="00216AA2" w:rsidRDefault="00BF50CC" w:rsidP="00135EE0">
            <w:pPr>
              <w:pStyle w:val="TableText0"/>
              <w:jc w:val="center"/>
              <w:rPr>
                <w:b/>
                <w:bCs w:val="0"/>
                <w:highlight w:val="black"/>
                <w:vertAlign w:val="superscript"/>
              </w:rPr>
            </w:pPr>
            <w:r w:rsidRPr="00D27683">
              <w:rPr>
                <w:b/>
                <w:bCs w:val="0"/>
              </w:rPr>
              <w:t>$</w:t>
            </w:r>
            <w:r w:rsidR="003C172C" w:rsidRPr="003C172C">
              <w:rPr>
                <w:b/>
                <w:bCs w:val="0"/>
                <w:sz w:val="2"/>
                <w:highlight w:val="black"/>
              </w:rPr>
              <w:t>redacted content</w:t>
            </w:r>
            <w:r w:rsidR="00216AA2" w:rsidRPr="00216AA2">
              <w:rPr>
                <w:vertAlign w:val="superscript"/>
              </w:rPr>
              <w:t>1</w:t>
            </w:r>
          </w:p>
        </w:tc>
        <w:tc>
          <w:tcPr>
            <w:tcW w:w="600" w:type="pct"/>
          </w:tcPr>
          <w:p w14:paraId="0E6197C5" w14:textId="77777777" w:rsidR="00BF50CC" w:rsidRPr="00D27683" w:rsidRDefault="00BF50CC" w:rsidP="00135EE0">
            <w:pPr>
              <w:pStyle w:val="TableText0"/>
              <w:rPr>
                <w:rFonts w:eastAsia="Calibri"/>
                <w:b/>
                <w:szCs w:val="20"/>
              </w:rPr>
            </w:pPr>
            <w:r w:rsidRPr="00D27683">
              <w:rPr>
                <w:rFonts w:eastAsia="Calibri"/>
                <w:b/>
                <w:szCs w:val="20"/>
              </w:rPr>
              <w:t>-</w:t>
            </w:r>
          </w:p>
        </w:tc>
      </w:tr>
      <w:tr w:rsidR="00BF50CC" w:rsidRPr="00D27683" w14:paraId="0CD12872" w14:textId="77777777">
        <w:trPr>
          <w:cantSplit/>
          <w:trHeight w:val="20"/>
        </w:trPr>
        <w:tc>
          <w:tcPr>
            <w:tcW w:w="5000" w:type="pct"/>
            <w:gridSpan w:val="5"/>
          </w:tcPr>
          <w:p w14:paraId="410C381B" w14:textId="3BFF6A59" w:rsidR="00BF50CC" w:rsidRPr="00D27683" w:rsidRDefault="00BF50CC" w:rsidP="00135EE0">
            <w:pPr>
              <w:pStyle w:val="TableText0"/>
              <w:rPr>
                <w:rFonts w:eastAsia="Calibri"/>
                <w:b/>
                <w:szCs w:val="20"/>
              </w:rPr>
            </w:pPr>
            <w:r w:rsidRPr="00D27683">
              <w:rPr>
                <w:b/>
                <w:bCs w:val="0"/>
              </w:rPr>
              <w:t xml:space="preserve">Stopping rule (base case </w:t>
            </w:r>
            <w:r w:rsidR="007C464E">
              <w:rPr>
                <w:b/>
                <w:bCs w:val="0"/>
              </w:rPr>
              <w:t>from</w:t>
            </w:r>
            <w:r w:rsidRPr="00D27683">
              <w:rPr>
                <w:b/>
                <w:bCs w:val="0"/>
              </w:rPr>
              <w:t xml:space="preserve"> Year </w:t>
            </w:r>
            <w:r w:rsidR="007C464E">
              <w:rPr>
                <w:b/>
                <w:bCs w:val="0"/>
              </w:rPr>
              <w:t xml:space="preserve">2 </w:t>
            </w:r>
            <w:r w:rsidR="00124358">
              <w:rPr>
                <w:b/>
                <w:bCs w:val="0"/>
              </w:rPr>
              <w:t>onwards 2.6% per 3 month cycle</w:t>
            </w:r>
            <w:r w:rsidRPr="00D27683">
              <w:rPr>
                <w:b/>
                <w:bCs w:val="0"/>
              </w:rPr>
              <w:t>)</w:t>
            </w:r>
          </w:p>
        </w:tc>
      </w:tr>
      <w:tr w:rsidR="00BF50CC" w:rsidRPr="00D27683" w14:paraId="2DA68D40" w14:textId="77777777">
        <w:trPr>
          <w:cantSplit/>
          <w:trHeight w:val="20"/>
        </w:trPr>
        <w:tc>
          <w:tcPr>
            <w:tcW w:w="1894" w:type="pct"/>
          </w:tcPr>
          <w:p w14:paraId="4F095F93" w14:textId="7F477F6A" w:rsidR="00BF50CC" w:rsidRPr="00011B31" w:rsidRDefault="00BF50CC" w:rsidP="00135EE0">
            <w:pPr>
              <w:pStyle w:val="TableText0"/>
              <w:rPr>
                <w:b/>
              </w:rPr>
            </w:pPr>
            <w:r w:rsidRPr="00D27683">
              <w:t xml:space="preserve">Stopping rule every 6 months (1) </w:t>
            </w:r>
            <w:r w:rsidR="00E83EC1" w:rsidRPr="00D27683">
              <w:rPr>
                <w:vertAlign w:val="superscript"/>
              </w:rPr>
              <w:t>a</w:t>
            </w:r>
            <w:r w:rsidR="00011B31">
              <w:rPr>
                <w:vertAlign w:val="superscript"/>
              </w:rPr>
              <w:t>,b</w:t>
            </w:r>
          </w:p>
        </w:tc>
        <w:tc>
          <w:tcPr>
            <w:tcW w:w="777" w:type="pct"/>
          </w:tcPr>
          <w:p w14:paraId="35A47327" w14:textId="195B728D" w:rsidR="00BF50CC" w:rsidRPr="00D27683" w:rsidRDefault="00BF50CC" w:rsidP="00135EE0">
            <w:pPr>
              <w:pStyle w:val="TableText0"/>
              <w:jc w:val="center"/>
              <w:rPr>
                <w:b/>
                <w:bCs w:val="0"/>
              </w:rPr>
            </w:pPr>
            <w:r w:rsidRPr="00D27683">
              <w:t>$</w:t>
            </w:r>
            <w:r w:rsidR="003C172C" w:rsidRPr="003C172C">
              <w:rPr>
                <w:sz w:val="2"/>
                <w:highlight w:val="black"/>
              </w:rPr>
              <w:t>redacted content</w:t>
            </w:r>
          </w:p>
        </w:tc>
        <w:tc>
          <w:tcPr>
            <w:tcW w:w="777" w:type="pct"/>
          </w:tcPr>
          <w:p w14:paraId="00E27677" w14:textId="77777777" w:rsidR="00BF50CC" w:rsidRPr="00D27683" w:rsidRDefault="00BF50CC" w:rsidP="00135EE0">
            <w:pPr>
              <w:pStyle w:val="TableText0"/>
              <w:jc w:val="center"/>
              <w:rPr>
                <w:b/>
                <w:bCs w:val="0"/>
              </w:rPr>
            </w:pPr>
            <w:r w:rsidRPr="00D27683">
              <w:t>0.438</w:t>
            </w:r>
          </w:p>
        </w:tc>
        <w:tc>
          <w:tcPr>
            <w:tcW w:w="952" w:type="pct"/>
          </w:tcPr>
          <w:p w14:paraId="0AE757CD" w14:textId="771F3C57" w:rsidR="00BF50CC" w:rsidRPr="00216AA2" w:rsidRDefault="00BF50CC" w:rsidP="00135EE0">
            <w:pPr>
              <w:pStyle w:val="TableText0"/>
              <w:jc w:val="center"/>
              <w:rPr>
                <w:b/>
                <w:bCs w:val="0"/>
                <w:vertAlign w:val="superscript"/>
              </w:rPr>
            </w:pPr>
            <w:r w:rsidRPr="00D27683">
              <w:t>$</w:t>
            </w:r>
            <w:r w:rsidR="003C172C" w:rsidRPr="003C172C">
              <w:rPr>
                <w:sz w:val="2"/>
                <w:highlight w:val="black"/>
              </w:rPr>
              <w:t>redacted content</w:t>
            </w:r>
            <w:r w:rsidR="00216AA2">
              <w:rPr>
                <w:vertAlign w:val="superscript"/>
              </w:rPr>
              <w:t>1</w:t>
            </w:r>
          </w:p>
        </w:tc>
        <w:tc>
          <w:tcPr>
            <w:tcW w:w="600" w:type="pct"/>
          </w:tcPr>
          <w:p w14:paraId="681FF929" w14:textId="2C28139B" w:rsidR="00BF50CC" w:rsidRPr="00D27683" w:rsidRDefault="003C172C" w:rsidP="00135EE0">
            <w:pPr>
              <w:pStyle w:val="TableText0"/>
              <w:jc w:val="center"/>
              <w:rPr>
                <w:rFonts w:eastAsia="Calibri"/>
                <w:bCs w:val="0"/>
                <w:szCs w:val="20"/>
              </w:rPr>
            </w:pPr>
            <w:r w:rsidRPr="003C172C">
              <w:rPr>
                <w:rFonts w:eastAsia="Calibri"/>
                <w:bCs w:val="0"/>
                <w:sz w:val="2"/>
                <w:szCs w:val="20"/>
                <w:highlight w:val="black"/>
              </w:rPr>
              <w:t>redacted content</w:t>
            </w:r>
            <w:r w:rsidR="00BF50CC" w:rsidRPr="00D27683">
              <w:rPr>
                <w:rFonts w:eastAsia="Calibri"/>
                <w:bCs w:val="0"/>
                <w:szCs w:val="20"/>
              </w:rPr>
              <w:t>%</w:t>
            </w:r>
          </w:p>
        </w:tc>
      </w:tr>
      <w:tr w:rsidR="00BF50CC" w:rsidRPr="00D27683" w14:paraId="60AF88BE" w14:textId="77777777">
        <w:trPr>
          <w:cantSplit/>
          <w:trHeight w:val="20"/>
        </w:trPr>
        <w:tc>
          <w:tcPr>
            <w:tcW w:w="1894" w:type="pct"/>
          </w:tcPr>
          <w:p w14:paraId="698588E5" w14:textId="77777777" w:rsidR="00BF50CC" w:rsidRPr="00D27683" w:rsidRDefault="00BF50CC" w:rsidP="00135EE0">
            <w:pPr>
              <w:pStyle w:val="TableText0"/>
              <w:rPr>
                <w:vertAlign w:val="superscript"/>
              </w:rPr>
            </w:pPr>
            <w:r w:rsidRPr="00D27683">
              <w:t xml:space="preserve">No stopping rule </w:t>
            </w:r>
          </w:p>
        </w:tc>
        <w:tc>
          <w:tcPr>
            <w:tcW w:w="777" w:type="pct"/>
          </w:tcPr>
          <w:p w14:paraId="42E19F52" w14:textId="3D707756" w:rsidR="00BF50CC" w:rsidRPr="00D27683" w:rsidRDefault="00BF50CC" w:rsidP="00135EE0">
            <w:pPr>
              <w:pStyle w:val="TableText0"/>
              <w:keepNext w:val="0"/>
              <w:jc w:val="center"/>
            </w:pPr>
            <w:r w:rsidRPr="00D27683">
              <w:t>$</w:t>
            </w:r>
            <w:r w:rsidR="003C172C" w:rsidRPr="003C172C">
              <w:rPr>
                <w:sz w:val="2"/>
                <w:highlight w:val="black"/>
              </w:rPr>
              <w:t>redacted content</w:t>
            </w:r>
          </w:p>
        </w:tc>
        <w:tc>
          <w:tcPr>
            <w:tcW w:w="777" w:type="pct"/>
          </w:tcPr>
          <w:p w14:paraId="64A9D65E" w14:textId="77777777" w:rsidR="00BF50CC" w:rsidRPr="00D27683" w:rsidRDefault="00BF50CC" w:rsidP="00135EE0">
            <w:pPr>
              <w:pStyle w:val="TableText0"/>
              <w:keepNext w:val="0"/>
              <w:jc w:val="center"/>
            </w:pPr>
            <w:r w:rsidRPr="00D27683">
              <w:t>0.601</w:t>
            </w:r>
          </w:p>
        </w:tc>
        <w:tc>
          <w:tcPr>
            <w:tcW w:w="952" w:type="pct"/>
          </w:tcPr>
          <w:p w14:paraId="6291BC39" w14:textId="5158898E" w:rsidR="00BF50CC" w:rsidRPr="00216AA2" w:rsidRDefault="00BF50CC" w:rsidP="00135EE0">
            <w:pPr>
              <w:pStyle w:val="TableText0"/>
              <w:keepNext w:val="0"/>
              <w:jc w:val="center"/>
              <w:rPr>
                <w:vertAlign w:val="superscript"/>
              </w:rPr>
            </w:pPr>
            <w:r w:rsidRPr="00D27683">
              <w:t>$</w:t>
            </w:r>
            <w:r w:rsidR="003C172C" w:rsidRPr="003C172C">
              <w:rPr>
                <w:sz w:val="2"/>
                <w:highlight w:val="black"/>
              </w:rPr>
              <w:t>redacted content</w:t>
            </w:r>
            <w:r w:rsidR="00216AA2">
              <w:rPr>
                <w:vertAlign w:val="superscript"/>
              </w:rPr>
              <w:t>2</w:t>
            </w:r>
          </w:p>
        </w:tc>
        <w:tc>
          <w:tcPr>
            <w:tcW w:w="600" w:type="pct"/>
          </w:tcPr>
          <w:p w14:paraId="0BEEBC03" w14:textId="78E3E2D8" w:rsidR="00BF50CC" w:rsidRPr="00D27683" w:rsidRDefault="003C172C" w:rsidP="00135EE0">
            <w:pPr>
              <w:pStyle w:val="TableText0"/>
              <w:jc w:val="center"/>
              <w:rPr>
                <w:rFonts w:eastAsia="Calibri"/>
                <w:bCs w:val="0"/>
                <w:szCs w:val="20"/>
              </w:rPr>
            </w:pPr>
            <w:r w:rsidRPr="003C172C">
              <w:rPr>
                <w:rFonts w:eastAsia="Calibri"/>
                <w:bCs w:val="0"/>
                <w:sz w:val="2"/>
                <w:szCs w:val="20"/>
                <w:highlight w:val="black"/>
              </w:rPr>
              <w:t>redacted content</w:t>
            </w:r>
            <w:r w:rsidR="00BF50CC" w:rsidRPr="00D27683">
              <w:rPr>
                <w:rFonts w:eastAsia="Calibri"/>
                <w:bCs w:val="0"/>
                <w:szCs w:val="20"/>
              </w:rPr>
              <w:t>%</w:t>
            </w:r>
          </w:p>
        </w:tc>
      </w:tr>
      <w:tr w:rsidR="00BF50CC" w:rsidRPr="00D27683" w14:paraId="17C3FD5C" w14:textId="77777777">
        <w:trPr>
          <w:cantSplit/>
          <w:trHeight w:val="20"/>
        </w:trPr>
        <w:tc>
          <w:tcPr>
            <w:tcW w:w="5000" w:type="pct"/>
            <w:gridSpan w:val="5"/>
          </w:tcPr>
          <w:p w14:paraId="491DD011" w14:textId="0C029B93" w:rsidR="00BF50CC" w:rsidRPr="00D27683" w:rsidRDefault="00BF50CC" w:rsidP="00135EE0">
            <w:pPr>
              <w:pStyle w:val="TableText0"/>
              <w:rPr>
                <w:rFonts w:eastAsia="Calibri"/>
                <w:b/>
                <w:szCs w:val="20"/>
              </w:rPr>
            </w:pPr>
            <w:r w:rsidRPr="00D27683">
              <w:rPr>
                <w:b/>
                <w:bCs w:val="0"/>
              </w:rPr>
              <w:t>Discontinuation Year 2+ (base case 2.6% for exacerbation health states)</w:t>
            </w:r>
          </w:p>
        </w:tc>
      </w:tr>
      <w:tr w:rsidR="00BF50CC" w:rsidRPr="00D27683" w14:paraId="57515612" w14:textId="77777777">
        <w:trPr>
          <w:cantSplit/>
          <w:trHeight w:val="20"/>
        </w:trPr>
        <w:tc>
          <w:tcPr>
            <w:tcW w:w="1894" w:type="pct"/>
          </w:tcPr>
          <w:p w14:paraId="54DB7C73" w14:textId="0983FAAD" w:rsidR="00BF50CC" w:rsidRPr="00D27683" w:rsidRDefault="00BF50CC" w:rsidP="00135EE0">
            <w:pPr>
              <w:pStyle w:val="TableText0"/>
              <w:rPr>
                <w:b/>
              </w:rPr>
            </w:pPr>
            <w:r w:rsidRPr="00D27683">
              <w:t xml:space="preserve">Discontinuation from Year 2 responders (no exacerbation) 1.37% (2) </w:t>
            </w:r>
            <w:r w:rsidR="00E83EC1" w:rsidRPr="00D27683">
              <w:rPr>
                <w:vertAlign w:val="superscript"/>
              </w:rPr>
              <w:t>a</w:t>
            </w:r>
          </w:p>
        </w:tc>
        <w:tc>
          <w:tcPr>
            <w:tcW w:w="777" w:type="pct"/>
            <w:vAlign w:val="center"/>
          </w:tcPr>
          <w:p w14:paraId="0342334E" w14:textId="7EE5FE6F" w:rsidR="00BF50CC" w:rsidRPr="00D27683" w:rsidRDefault="00BF50CC" w:rsidP="00135EE0">
            <w:pPr>
              <w:pStyle w:val="TableText0"/>
              <w:jc w:val="center"/>
              <w:rPr>
                <w:b/>
                <w:bCs w:val="0"/>
              </w:rPr>
            </w:pPr>
            <w:r w:rsidRPr="00D27683">
              <w:t>$</w:t>
            </w:r>
            <w:r w:rsidR="003C172C" w:rsidRPr="003C172C">
              <w:rPr>
                <w:sz w:val="2"/>
                <w:highlight w:val="black"/>
              </w:rPr>
              <w:t>redacted content</w:t>
            </w:r>
          </w:p>
        </w:tc>
        <w:tc>
          <w:tcPr>
            <w:tcW w:w="777" w:type="pct"/>
            <w:vAlign w:val="center"/>
          </w:tcPr>
          <w:p w14:paraId="1DB6DD8D" w14:textId="77777777" w:rsidR="00BF50CC" w:rsidRPr="00D27683" w:rsidRDefault="00BF50CC" w:rsidP="00135EE0">
            <w:pPr>
              <w:pStyle w:val="TableText0"/>
              <w:jc w:val="center"/>
              <w:rPr>
                <w:b/>
                <w:bCs w:val="0"/>
              </w:rPr>
            </w:pPr>
            <w:r w:rsidRPr="00D27683">
              <w:t>0.906</w:t>
            </w:r>
          </w:p>
        </w:tc>
        <w:tc>
          <w:tcPr>
            <w:tcW w:w="952" w:type="pct"/>
            <w:vAlign w:val="center"/>
          </w:tcPr>
          <w:p w14:paraId="0B5E3622" w14:textId="4D9AE2E3" w:rsidR="00BF50CC" w:rsidRPr="00216AA2" w:rsidRDefault="00BF50CC" w:rsidP="00135EE0">
            <w:pPr>
              <w:pStyle w:val="TableText0"/>
              <w:jc w:val="center"/>
              <w:rPr>
                <w:b/>
                <w:bCs w:val="0"/>
                <w:vertAlign w:val="superscript"/>
              </w:rPr>
            </w:pPr>
            <w:r w:rsidRPr="00D27683">
              <w:t>$</w:t>
            </w:r>
            <w:r w:rsidR="003C172C" w:rsidRPr="003C172C">
              <w:rPr>
                <w:sz w:val="2"/>
                <w:highlight w:val="black"/>
              </w:rPr>
              <w:t>redacted content</w:t>
            </w:r>
            <w:r w:rsidR="00216AA2">
              <w:rPr>
                <w:vertAlign w:val="superscript"/>
              </w:rPr>
              <w:t>1</w:t>
            </w:r>
          </w:p>
        </w:tc>
        <w:tc>
          <w:tcPr>
            <w:tcW w:w="600" w:type="pct"/>
            <w:vAlign w:val="center"/>
          </w:tcPr>
          <w:p w14:paraId="384F5A8B" w14:textId="57F29E34" w:rsidR="00BF50CC" w:rsidRPr="00D27683" w:rsidRDefault="003C172C" w:rsidP="00135EE0">
            <w:pPr>
              <w:pStyle w:val="TableText0"/>
              <w:jc w:val="center"/>
              <w:rPr>
                <w:rFonts w:eastAsia="Calibri"/>
                <w:bCs w:val="0"/>
                <w:szCs w:val="20"/>
              </w:rPr>
            </w:pPr>
            <w:r w:rsidRPr="003C172C">
              <w:rPr>
                <w:rFonts w:eastAsia="Calibri"/>
                <w:bCs w:val="0"/>
                <w:sz w:val="2"/>
                <w:szCs w:val="20"/>
                <w:highlight w:val="black"/>
              </w:rPr>
              <w:t>redacted content</w:t>
            </w:r>
            <w:r w:rsidR="00BF50CC" w:rsidRPr="00D27683">
              <w:rPr>
                <w:rFonts w:eastAsia="Calibri"/>
                <w:bCs w:val="0"/>
                <w:szCs w:val="20"/>
              </w:rPr>
              <w:t>%</w:t>
            </w:r>
          </w:p>
        </w:tc>
      </w:tr>
      <w:tr w:rsidR="00BF50CC" w:rsidRPr="00D27683" w14:paraId="49126180" w14:textId="77777777">
        <w:trPr>
          <w:cantSplit/>
          <w:trHeight w:val="20"/>
        </w:trPr>
        <w:tc>
          <w:tcPr>
            <w:tcW w:w="4400" w:type="pct"/>
            <w:gridSpan w:val="4"/>
          </w:tcPr>
          <w:p w14:paraId="665FC6A1" w14:textId="77777777" w:rsidR="00BF50CC" w:rsidRPr="00D27683" w:rsidRDefault="00BF50CC" w:rsidP="00135EE0">
            <w:pPr>
              <w:pStyle w:val="TableText0"/>
              <w:rPr>
                <w:b/>
                <w:bCs w:val="0"/>
              </w:rPr>
            </w:pPr>
            <w:r w:rsidRPr="00D27683">
              <w:rPr>
                <w:b/>
                <w:bCs w:val="0"/>
              </w:rPr>
              <w:t>Time horizon (base case 15 years)</w:t>
            </w:r>
          </w:p>
        </w:tc>
        <w:tc>
          <w:tcPr>
            <w:tcW w:w="600" w:type="pct"/>
          </w:tcPr>
          <w:p w14:paraId="03540361" w14:textId="77777777" w:rsidR="00BF50CC" w:rsidRPr="00D27683" w:rsidRDefault="00BF50CC" w:rsidP="00135EE0">
            <w:pPr>
              <w:pStyle w:val="TableText0"/>
            </w:pPr>
          </w:p>
        </w:tc>
      </w:tr>
      <w:tr w:rsidR="00BF50CC" w:rsidRPr="00D27683" w14:paraId="6E8147D1" w14:textId="77777777">
        <w:trPr>
          <w:cantSplit/>
          <w:trHeight w:val="20"/>
        </w:trPr>
        <w:tc>
          <w:tcPr>
            <w:tcW w:w="1894" w:type="pct"/>
          </w:tcPr>
          <w:p w14:paraId="61334D5B" w14:textId="77777777" w:rsidR="00BF50CC" w:rsidRPr="00D27683" w:rsidRDefault="00BF50CC" w:rsidP="00135EE0">
            <w:pPr>
              <w:pStyle w:val="TableText0"/>
            </w:pPr>
            <w:r w:rsidRPr="00D27683">
              <w:t>10 years (3)</w:t>
            </w:r>
          </w:p>
        </w:tc>
        <w:tc>
          <w:tcPr>
            <w:tcW w:w="777" w:type="pct"/>
          </w:tcPr>
          <w:p w14:paraId="082B9572" w14:textId="0F8660B9" w:rsidR="00BF50CC" w:rsidRPr="00D27683" w:rsidRDefault="00BF50CC" w:rsidP="00135EE0">
            <w:pPr>
              <w:pStyle w:val="TableText0"/>
              <w:jc w:val="center"/>
              <w:rPr>
                <w:highlight w:val="black"/>
              </w:rPr>
            </w:pPr>
            <w:r w:rsidRPr="00D27683">
              <w:t>$</w:t>
            </w:r>
            <w:r w:rsidR="003C172C" w:rsidRPr="003C172C">
              <w:rPr>
                <w:sz w:val="2"/>
                <w:highlight w:val="black"/>
              </w:rPr>
              <w:t>redacted content</w:t>
            </w:r>
          </w:p>
        </w:tc>
        <w:tc>
          <w:tcPr>
            <w:tcW w:w="777" w:type="pct"/>
          </w:tcPr>
          <w:p w14:paraId="0B10F3C9" w14:textId="77777777" w:rsidR="00BF50CC" w:rsidRPr="00D27683" w:rsidRDefault="00BF50CC" w:rsidP="00135EE0">
            <w:pPr>
              <w:pStyle w:val="TableText0"/>
              <w:jc w:val="center"/>
            </w:pPr>
            <w:r w:rsidRPr="00D27683">
              <w:t>0.548</w:t>
            </w:r>
          </w:p>
        </w:tc>
        <w:tc>
          <w:tcPr>
            <w:tcW w:w="952" w:type="pct"/>
          </w:tcPr>
          <w:p w14:paraId="2465106E" w14:textId="7DA74E19" w:rsidR="00BF50CC" w:rsidRPr="00216AA2" w:rsidRDefault="00BF50CC" w:rsidP="00135EE0">
            <w:pPr>
              <w:pStyle w:val="TableText0"/>
              <w:jc w:val="center"/>
              <w:rPr>
                <w:highlight w:val="black"/>
                <w:vertAlign w:val="superscript"/>
              </w:rPr>
            </w:pPr>
            <w:r w:rsidRPr="00D27683">
              <w:t>$</w:t>
            </w:r>
            <w:r w:rsidR="003C172C" w:rsidRPr="003C172C">
              <w:rPr>
                <w:sz w:val="2"/>
                <w:highlight w:val="black"/>
              </w:rPr>
              <w:t>redacted content</w:t>
            </w:r>
            <w:r w:rsidR="00216AA2" w:rsidRPr="00216AA2">
              <w:rPr>
                <w:vertAlign w:val="superscript"/>
              </w:rPr>
              <w:t>3</w:t>
            </w:r>
          </w:p>
        </w:tc>
        <w:tc>
          <w:tcPr>
            <w:tcW w:w="600" w:type="pct"/>
          </w:tcPr>
          <w:p w14:paraId="54341E75" w14:textId="49A4D845"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D27683" w14:paraId="397A6CCF" w14:textId="77777777">
        <w:trPr>
          <w:cantSplit/>
          <w:trHeight w:val="20"/>
        </w:trPr>
        <w:tc>
          <w:tcPr>
            <w:tcW w:w="5000" w:type="pct"/>
            <w:gridSpan w:val="5"/>
          </w:tcPr>
          <w:p w14:paraId="70AD0A8B" w14:textId="77777777" w:rsidR="00BF50CC" w:rsidRPr="00D27683" w:rsidRDefault="00BF50CC" w:rsidP="00135EE0">
            <w:pPr>
              <w:pStyle w:val="TableText0"/>
              <w:rPr>
                <w:rFonts w:eastAsia="Calibri"/>
                <w:szCs w:val="20"/>
              </w:rPr>
            </w:pPr>
            <w:r w:rsidRPr="00D27683">
              <w:rPr>
                <w:b/>
                <w:bCs w:val="0"/>
              </w:rPr>
              <w:t>Case fatality rate for severe exacerbations (base case 15.6%)</w:t>
            </w:r>
          </w:p>
        </w:tc>
      </w:tr>
      <w:tr w:rsidR="00BF50CC" w:rsidRPr="00D27683" w14:paraId="69EC3E3E" w14:textId="77777777">
        <w:trPr>
          <w:cantSplit/>
          <w:trHeight w:val="20"/>
        </w:trPr>
        <w:tc>
          <w:tcPr>
            <w:tcW w:w="1894" w:type="pct"/>
          </w:tcPr>
          <w:p w14:paraId="28AD13D9" w14:textId="77777777" w:rsidR="00BF50CC" w:rsidRPr="00D27683" w:rsidRDefault="00BF50CC" w:rsidP="00135EE0">
            <w:pPr>
              <w:pStyle w:val="TableText0"/>
            </w:pPr>
            <w:r w:rsidRPr="00D27683">
              <w:t>Lower CI:10.9%</w:t>
            </w:r>
          </w:p>
        </w:tc>
        <w:tc>
          <w:tcPr>
            <w:tcW w:w="777" w:type="pct"/>
          </w:tcPr>
          <w:p w14:paraId="12DF2CB9" w14:textId="147E9CFA"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16C37439" w14:textId="77777777" w:rsidR="00BF50CC" w:rsidRPr="00D27683" w:rsidRDefault="00BF50CC" w:rsidP="00135EE0">
            <w:pPr>
              <w:pStyle w:val="TableText0"/>
              <w:jc w:val="center"/>
            </w:pPr>
            <w:r w:rsidRPr="00D27683">
              <w:t>0.677</w:t>
            </w:r>
          </w:p>
        </w:tc>
        <w:tc>
          <w:tcPr>
            <w:tcW w:w="952" w:type="pct"/>
          </w:tcPr>
          <w:p w14:paraId="634E7F54" w14:textId="668EABD6" w:rsidR="00BF50CC" w:rsidRPr="00E7481E" w:rsidRDefault="00BF50CC" w:rsidP="00135EE0">
            <w:pPr>
              <w:pStyle w:val="TableText0"/>
              <w:jc w:val="center"/>
              <w:rPr>
                <w:vertAlign w:val="superscript"/>
              </w:rPr>
            </w:pPr>
            <w:r w:rsidRPr="00D27683">
              <w:t>$</w:t>
            </w:r>
            <w:r w:rsidR="003C172C" w:rsidRPr="003C172C">
              <w:rPr>
                <w:sz w:val="2"/>
                <w:highlight w:val="black"/>
              </w:rPr>
              <w:t>redacted content</w:t>
            </w:r>
            <w:r w:rsidR="00E7481E">
              <w:rPr>
                <w:vertAlign w:val="superscript"/>
              </w:rPr>
              <w:t>1</w:t>
            </w:r>
          </w:p>
        </w:tc>
        <w:tc>
          <w:tcPr>
            <w:tcW w:w="600" w:type="pct"/>
          </w:tcPr>
          <w:p w14:paraId="5577A470" w14:textId="15E458EE"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6D6FD8" w14:paraId="5DAE5B56" w14:textId="77777777">
        <w:trPr>
          <w:cantSplit/>
          <w:trHeight w:val="20"/>
        </w:trPr>
        <w:tc>
          <w:tcPr>
            <w:tcW w:w="1894" w:type="pct"/>
          </w:tcPr>
          <w:p w14:paraId="271CBD65" w14:textId="126A954B" w:rsidR="00BF50CC" w:rsidRPr="006D6FD8" w:rsidRDefault="00BF50CC" w:rsidP="00135EE0">
            <w:pPr>
              <w:pStyle w:val="TableText0"/>
              <w:rPr>
                <w:vertAlign w:val="superscript"/>
              </w:rPr>
            </w:pPr>
            <w:r w:rsidRPr="006D6FD8">
              <w:t>0%</w:t>
            </w:r>
            <w:r w:rsidR="008D6DB4" w:rsidRPr="006D6FD8">
              <w:rPr>
                <w:vertAlign w:val="superscript"/>
              </w:rPr>
              <w:t>a</w:t>
            </w:r>
          </w:p>
        </w:tc>
        <w:tc>
          <w:tcPr>
            <w:tcW w:w="777" w:type="pct"/>
          </w:tcPr>
          <w:p w14:paraId="149AA29C" w14:textId="1A77DFD5" w:rsidR="00BF50CC" w:rsidRPr="006D6FD8" w:rsidRDefault="00BF50CC" w:rsidP="00135EE0">
            <w:pPr>
              <w:pStyle w:val="TableText0"/>
              <w:jc w:val="center"/>
            </w:pPr>
            <w:r w:rsidRPr="006D6FD8">
              <w:t>$</w:t>
            </w:r>
            <w:r w:rsidR="003C172C" w:rsidRPr="003C172C">
              <w:rPr>
                <w:sz w:val="2"/>
                <w:highlight w:val="black"/>
              </w:rPr>
              <w:t>redacted content</w:t>
            </w:r>
          </w:p>
        </w:tc>
        <w:tc>
          <w:tcPr>
            <w:tcW w:w="777" w:type="pct"/>
          </w:tcPr>
          <w:p w14:paraId="0B5D0920" w14:textId="77777777" w:rsidR="00BF50CC" w:rsidRPr="006D6FD8" w:rsidRDefault="00BF50CC" w:rsidP="00135EE0">
            <w:pPr>
              <w:pStyle w:val="TableText0"/>
              <w:keepNext w:val="0"/>
              <w:jc w:val="center"/>
              <w:rPr>
                <w:iCs/>
              </w:rPr>
            </w:pPr>
            <w:r w:rsidRPr="006D6FD8">
              <w:rPr>
                <w:iCs/>
              </w:rPr>
              <w:t>0.020</w:t>
            </w:r>
          </w:p>
        </w:tc>
        <w:tc>
          <w:tcPr>
            <w:tcW w:w="952" w:type="pct"/>
          </w:tcPr>
          <w:p w14:paraId="0B33CAEC" w14:textId="430B1B0F" w:rsidR="00BF50CC" w:rsidRPr="00E7481E" w:rsidRDefault="00BF50CC" w:rsidP="00135EE0">
            <w:pPr>
              <w:pStyle w:val="TableText0"/>
              <w:keepNext w:val="0"/>
              <w:jc w:val="center"/>
              <w:rPr>
                <w:vertAlign w:val="superscript"/>
              </w:rPr>
            </w:pPr>
            <w:r w:rsidRPr="006D6FD8">
              <w:t>$</w:t>
            </w:r>
            <w:r w:rsidR="003C172C" w:rsidRPr="003C172C">
              <w:rPr>
                <w:sz w:val="2"/>
                <w:highlight w:val="black"/>
              </w:rPr>
              <w:t>redacted content</w:t>
            </w:r>
            <w:r w:rsidR="003F5347">
              <w:rPr>
                <w:vertAlign w:val="superscript"/>
              </w:rPr>
              <w:t>4</w:t>
            </w:r>
          </w:p>
        </w:tc>
        <w:tc>
          <w:tcPr>
            <w:tcW w:w="600" w:type="pct"/>
          </w:tcPr>
          <w:p w14:paraId="5CFC7F59" w14:textId="272B04FD" w:rsidR="00BF50CC" w:rsidRPr="006D6FD8"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6D6FD8">
              <w:rPr>
                <w:rFonts w:eastAsia="Calibri"/>
                <w:szCs w:val="20"/>
              </w:rPr>
              <w:t>%</w:t>
            </w:r>
          </w:p>
        </w:tc>
      </w:tr>
      <w:tr w:rsidR="00BF50CC" w:rsidRPr="00D27683" w14:paraId="11652246" w14:textId="77777777">
        <w:trPr>
          <w:cantSplit/>
          <w:trHeight w:val="20"/>
        </w:trPr>
        <w:tc>
          <w:tcPr>
            <w:tcW w:w="1894" w:type="pct"/>
          </w:tcPr>
          <w:p w14:paraId="04F2E290" w14:textId="7F4A0716" w:rsidR="00BF50CC" w:rsidRPr="00D27683" w:rsidRDefault="00BF50CC" w:rsidP="00135EE0">
            <w:pPr>
              <w:pStyle w:val="TableText0"/>
            </w:pPr>
            <w:r w:rsidRPr="00D27683">
              <w:t xml:space="preserve">No added mortality per age </w:t>
            </w:r>
            <w:r w:rsidR="00E83EC1" w:rsidRPr="00D27683">
              <w:rPr>
                <w:vertAlign w:val="superscript"/>
              </w:rPr>
              <w:t>a</w:t>
            </w:r>
          </w:p>
        </w:tc>
        <w:tc>
          <w:tcPr>
            <w:tcW w:w="777" w:type="pct"/>
          </w:tcPr>
          <w:p w14:paraId="74EA6C80" w14:textId="040D1503"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6051618F" w14:textId="77777777" w:rsidR="00BF50CC" w:rsidRPr="00D27683" w:rsidRDefault="00BF50CC" w:rsidP="00135EE0">
            <w:pPr>
              <w:pStyle w:val="TableText0"/>
              <w:jc w:val="center"/>
            </w:pPr>
            <w:r w:rsidRPr="00D27683">
              <w:t>0.776</w:t>
            </w:r>
          </w:p>
        </w:tc>
        <w:tc>
          <w:tcPr>
            <w:tcW w:w="952" w:type="pct"/>
          </w:tcPr>
          <w:p w14:paraId="2D189CEB" w14:textId="651D0E4B" w:rsidR="00BF50CC" w:rsidRPr="003F5347" w:rsidRDefault="00BF50CC" w:rsidP="00135EE0">
            <w:pPr>
              <w:pStyle w:val="TableText0"/>
              <w:jc w:val="center"/>
              <w:rPr>
                <w:vertAlign w:val="superscript"/>
              </w:rPr>
            </w:pPr>
            <w:r w:rsidRPr="00D27683">
              <w:t>$</w:t>
            </w:r>
            <w:r w:rsidR="003C172C" w:rsidRPr="003C172C">
              <w:rPr>
                <w:sz w:val="2"/>
                <w:highlight w:val="black"/>
              </w:rPr>
              <w:t>redacted content</w:t>
            </w:r>
            <w:r w:rsidR="003F5347">
              <w:rPr>
                <w:vertAlign w:val="superscript"/>
              </w:rPr>
              <w:t>1</w:t>
            </w:r>
          </w:p>
        </w:tc>
        <w:tc>
          <w:tcPr>
            <w:tcW w:w="600" w:type="pct"/>
          </w:tcPr>
          <w:p w14:paraId="2448A16A" w14:textId="521257A0"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D27683" w14:paraId="1354E26E" w14:textId="77777777">
        <w:trPr>
          <w:cantSplit/>
          <w:trHeight w:val="20"/>
        </w:trPr>
        <w:tc>
          <w:tcPr>
            <w:tcW w:w="5000" w:type="pct"/>
            <w:gridSpan w:val="5"/>
          </w:tcPr>
          <w:p w14:paraId="6FE084D5" w14:textId="77777777" w:rsidR="00BF50CC" w:rsidRPr="00D27683" w:rsidRDefault="00BF50CC" w:rsidP="00135EE0">
            <w:pPr>
              <w:pStyle w:val="TableText0"/>
              <w:rPr>
                <w:rFonts w:eastAsia="Calibri"/>
                <w:b/>
                <w:bCs w:val="0"/>
                <w:szCs w:val="20"/>
              </w:rPr>
            </w:pPr>
            <w:r w:rsidRPr="00D27683">
              <w:rPr>
                <w:b/>
                <w:bCs w:val="0"/>
              </w:rPr>
              <w:t>Discount rate (base case: 5%)</w:t>
            </w:r>
          </w:p>
        </w:tc>
      </w:tr>
      <w:tr w:rsidR="00BF50CC" w:rsidRPr="00D27683" w14:paraId="76A9B692" w14:textId="77777777">
        <w:trPr>
          <w:cantSplit/>
          <w:trHeight w:val="20"/>
        </w:trPr>
        <w:tc>
          <w:tcPr>
            <w:tcW w:w="1894" w:type="pct"/>
          </w:tcPr>
          <w:p w14:paraId="3A7F63F6" w14:textId="77777777" w:rsidR="00BF50CC" w:rsidRPr="00D27683" w:rsidRDefault="00BF50CC" w:rsidP="00135EE0">
            <w:pPr>
              <w:pStyle w:val="TableText0"/>
            </w:pPr>
            <w:r w:rsidRPr="00D27683">
              <w:t>0%</w:t>
            </w:r>
          </w:p>
        </w:tc>
        <w:tc>
          <w:tcPr>
            <w:tcW w:w="777" w:type="pct"/>
          </w:tcPr>
          <w:p w14:paraId="442AB194" w14:textId="53B67DB1" w:rsidR="00BF50CC" w:rsidRPr="00D27683" w:rsidRDefault="00BF50CC" w:rsidP="00135EE0">
            <w:pPr>
              <w:pStyle w:val="TableText0"/>
              <w:jc w:val="center"/>
              <w:rPr>
                <w:rFonts w:eastAsia="Calibri"/>
                <w:szCs w:val="20"/>
              </w:rPr>
            </w:pPr>
            <w:r w:rsidRPr="00D27683">
              <w:t>$</w:t>
            </w:r>
            <w:r w:rsidR="003C172C" w:rsidRPr="003C172C">
              <w:rPr>
                <w:sz w:val="2"/>
                <w:highlight w:val="black"/>
              </w:rPr>
              <w:t>redacted content</w:t>
            </w:r>
          </w:p>
        </w:tc>
        <w:tc>
          <w:tcPr>
            <w:tcW w:w="777" w:type="pct"/>
          </w:tcPr>
          <w:p w14:paraId="34EB531B" w14:textId="77777777" w:rsidR="00BF50CC" w:rsidRPr="00D27683" w:rsidRDefault="00BF50CC" w:rsidP="00135EE0">
            <w:pPr>
              <w:pStyle w:val="TableText0"/>
              <w:jc w:val="center"/>
              <w:rPr>
                <w:rFonts w:eastAsia="Calibri"/>
                <w:szCs w:val="20"/>
              </w:rPr>
            </w:pPr>
            <w:r w:rsidRPr="00D27683">
              <w:t>1.171</w:t>
            </w:r>
          </w:p>
        </w:tc>
        <w:tc>
          <w:tcPr>
            <w:tcW w:w="952" w:type="pct"/>
          </w:tcPr>
          <w:p w14:paraId="42E01291" w14:textId="0BA693EC" w:rsidR="00BF50CC" w:rsidRPr="003F5347" w:rsidRDefault="00BF50CC" w:rsidP="00135EE0">
            <w:pPr>
              <w:pStyle w:val="TableText0"/>
              <w:jc w:val="center"/>
              <w:rPr>
                <w:rFonts w:eastAsia="Calibri"/>
                <w:szCs w:val="20"/>
                <w:vertAlign w:val="superscript"/>
              </w:rPr>
            </w:pPr>
            <w:r w:rsidRPr="00D27683">
              <w:t>$</w:t>
            </w:r>
            <w:r w:rsidR="003C172C" w:rsidRPr="003C172C">
              <w:rPr>
                <w:sz w:val="2"/>
                <w:highlight w:val="black"/>
              </w:rPr>
              <w:t>redacted content</w:t>
            </w:r>
            <w:r w:rsidR="004D05A9">
              <w:rPr>
                <w:vertAlign w:val="superscript"/>
              </w:rPr>
              <w:t>5</w:t>
            </w:r>
          </w:p>
        </w:tc>
        <w:tc>
          <w:tcPr>
            <w:tcW w:w="600" w:type="pct"/>
          </w:tcPr>
          <w:p w14:paraId="293523C3" w14:textId="6AD1C7C1" w:rsidR="00BF50CC" w:rsidRPr="00D27683" w:rsidRDefault="00BF50CC" w:rsidP="00135EE0">
            <w:pPr>
              <w:pStyle w:val="TableText0"/>
              <w:jc w:val="center"/>
              <w:rPr>
                <w:rFonts w:eastAsia="Calibri"/>
                <w:szCs w:val="20"/>
              </w:rPr>
            </w:pPr>
            <w:r w:rsidRPr="00D27683">
              <w:rPr>
                <w:rFonts w:eastAsia="Calibri"/>
                <w:szCs w:val="20"/>
              </w:rPr>
              <w:t>-</w:t>
            </w:r>
            <w:r w:rsidR="003C172C" w:rsidRPr="003C172C">
              <w:rPr>
                <w:rFonts w:eastAsia="Calibri"/>
                <w:sz w:val="2"/>
                <w:szCs w:val="20"/>
                <w:highlight w:val="black"/>
              </w:rPr>
              <w:t>redacted content</w:t>
            </w:r>
            <w:r w:rsidRPr="00D27683">
              <w:rPr>
                <w:rFonts w:eastAsia="Calibri"/>
                <w:szCs w:val="20"/>
              </w:rPr>
              <w:t>%</w:t>
            </w:r>
          </w:p>
        </w:tc>
      </w:tr>
      <w:tr w:rsidR="00BF50CC" w:rsidRPr="00D27683" w14:paraId="12A08A3A" w14:textId="77777777">
        <w:trPr>
          <w:cantSplit/>
          <w:trHeight w:val="20"/>
        </w:trPr>
        <w:tc>
          <w:tcPr>
            <w:tcW w:w="1894" w:type="pct"/>
          </w:tcPr>
          <w:p w14:paraId="67CDEADC" w14:textId="77777777" w:rsidR="00BF50CC" w:rsidRPr="00D27683" w:rsidRDefault="00BF50CC" w:rsidP="00135EE0">
            <w:pPr>
              <w:pStyle w:val="TableText0"/>
            </w:pPr>
            <w:r w:rsidRPr="00D27683">
              <w:t>3.5%</w:t>
            </w:r>
          </w:p>
        </w:tc>
        <w:tc>
          <w:tcPr>
            <w:tcW w:w="777" w:type="pct"/>
          </w:tcPr>
          <w:p w14:paraId="61B7E272" w14:textId="664D1A97" w:rsidR="00BF50CC" w:rsidRPr="00D27683" w:rsidRDefault="00BF50CC" w:rsidP="00135EE0">
            <w:pPr>
              <w:pStyle w:val="TableText0"/>
              <w:jc w:val="center"/>
              <w:rPr>
                <w:rFonts w:eastAsia="Calibri"/>
                <w:szCs w:val="20"/>
              </w:rPr>
            </w:pPr>
            <w:r w:rsidRPr="00D27683">
              <w:t>$</w:t>
            </w:r>
            <w:r w:rsidR="003C172C" w:rsidRPr="003C172C">
              <w:rPr>
                <w:sz w:val="2"/>
                <w:highlight w:val="black"/>
              </w:rPr>
              <w:t>redacted content</w:t>
            </w:r>
          </w:p>
        </w:tc>
        <w:tc>
          <w:tcPr>
            <w:tcW w:w="777" w:type="pct"/>
          </w:tcPr>
          <w:p w14:paraId="66771829" w14:textId="77777777" w:rsidR="00BF50CC" w:rsidRPr="00D27683" w:rsidRDefault="00BF50CC" w:rsidP="00135EE0">
            <w:pPr>
              <w:pStyle w:val="TableText0"/>
              <w:jc w:val="center"/>
            </w:pPr>
            <w:r w:rsidRPr="00D27683">
              <w:t>0.876</w:t>
            </w:r>
          </w:p>
        </w:tc>
        <w:tc>
          <w:tcPr>
            <w:tcW w:w="952" w:type="pct"/>
          </w:tcPr>
          <w:p w14:paraId="01E6DA8E" w14:textId="62353F90" w:rsidR="00BF50CC" w:rsidRPr="004D05A9" w:rsidRDefault="00BF50CC" w:rsidP="00135EE0">
            <w:pPr>
              <w:pStyle w:val="TableText0"/>
              <w:jc w:val="center"/>
              <w:rPr>
                <w:vertAlign w:val="superscript"/>
              </w:rPr>
            </w:pPr>
            <w:r w:rsidRPr="00D27683">
              <w:t>$</w:t>
            </w:r>
            <w:r w:rsidR="003C172C" w:rsidRPr="003C172C">
              <w:rPr>
                <w:sz w:val="2"/>
                <w:highlight w:val="black"/>
              </w:rPr>
              <w:t>redacted content</w:t>
            </w:r>
            <w:r w:rsidR="004D05A9">
              <w:rPr>
                <w:vertAlign w:val="superscript"/>
              </w:rPr>
              <w:t>1</w:t>
            </w:r>
          </w:p>
        </w:tc>
        <w:tc>
          <w:tcPr>
            <w:tcW w:w="600" w:type="pct"/>
          </w:tcPr>
          <w:p w14:paraId="105B1E27" w14:textId="038CC50E" w:rsidR="00BF50CC" w:rsidRPr="00D27683" w:rsidRDefault="00BF50CC" w:rsidP="00135EE0">
            <w:pPr>
              <w:pStyle w:val="TableText0"/>
              <w:jc w:val="center"/>
              <w:rPr>
                <w:rFonts w:eastAsia="Calibri"/>
                <w:szCs w:val="20"/>
              </w:rPr>
            </w:pPr>
            <w:r w:rsidRPr="00D27683">
              <w:rPr>
                <w:rFonts w:eastAsia="Calibri"/>
                <w:szCs w:val="20"/>
              </w:rPr>
              <w:t>-</w:t>
            </w:r>
            <w:r w:rsidR="003C172C" w:rsidRPr="003C172C">
              <w:rPr>
                <w:rFonts w:eastAsia="Calibri"/>
                <w:sz w:val="2"/>
                <w:szCs w:val="20"/>
                <w:highlight w:val="black"/>
              </w:rPr>
              <w:t>redacted content</w:t>
            </w:r>
            <w:r w:rsidRPr="00D27683">
              <w:rPr>
                <w:rFonts w:eastAsia="Calibri"/>
                <w:szCs w:val="20"/>
              </w:rPr>
              <w:t>%</w:t>
            </w:r>
          </w:p>
        </w:tc>
      </w:tr>
      <w:tr w:rsidR="00BF50CC" w:rsidRPr="00D27683" w14:paraId="3A79BCDC" w14:textId="77777777">
        <w:trPr>
          <w:cantSplit/>
          <w:trHeight w:val="20"/>
        </w:trPr>
        <w:tc>
          <w:tcPr>
            <w:tcW w:w="5000" w:type="pct"/>
            <w:gridSpan w:val="5"/>
          </w:tcPr>
          <w:p w14:paraId="33E38533" w14:textId="77777777" w:rsidR="00BF50CC" w:rsidRPr="00D27683" w:rsidRDefault="00BF50CC" w:rsidP="00135EE0">
            <w:pPr>
              <w:pStyle w:val="TableText0"/>
              <w:rPr>
                <w:rFonts w:eastAsia="Calibri"/>
                <w:b/>
                <w:bCs w:val="0"/>
                <w:szCs w:val="20"/>
              </w:rPr>
            </w:pPr>
            <w:r w:rsidRPr="00D27683">
              <w:rPr>
                <w:b/>
                <w:bCs w:val="0"/>
              </w:rPr>
              <w:t>Baseline exacerbation rates (base case MATINEE calibrated)</w:t>
            </w:r>
          </w:p>
        </w:tc>
      </w:tr>
      <w:tr w:rsidR="00BF50CC" w:rsidRPr="00D27683" w14:paraId="439DE2AE" w14:textId="77777777">
        <w:trPr>
          <w:cantSplit/>
          <w:trHeight w:val="20"/>
        </w:trPr>
        <w:tc>
          <w:tcPr>
            <w:tcW w:w="1894" w:type="pct"/>
          </w:tcPr>
          <w:p w14:paraId="6B4F1AC3" w14:textId="5A60A7F6" w:rsidR="00BF50CC" w:rsidRPr="00D27683" w:rsidRDefault="00BF50CC" w:rsidP="00135EE0">
            <w:pPr>
              <w:pStyle w:val="TableText0"/>
            </w:pPr>
            <w:r w:rsidRPr="00D27683">
              <w:t>Pooled COPD trials</w:t>
            </w:r>
            <w:r w:rsidR="00D16992">
              <w:t xml:space="preserve"> </w:t>
            </w:r>
            <w:r w:rsidR="0030385C">
              <w:rPr>
                <w:vertAlign w:val="superscript"/>
              </w:rPr>
              <w:t>c</w:t>
            </w:r>
          </w:p>
        </w:tc>
        <w:tc>
          <w:tcPr>
            <w:tcW w:w="777" w:type="pct"/>
          </w:tcPr>
          <w:p w14:paraId="54C298AF" w14:textId="51A2E76D"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48685681" w14:textId="77777777" w:rsidR="00BF50CC" w:rsidRPr="00D27683" w:rsidRDefault="00BF50CC" w:rsidP="00135EE0">
            <w:pPr>
              <w:pStyle w:val="TableText0"/>
              <w:jc w:val="center"/>
            </w:pPr>
            <w:r w:rsidRPr="00D27683">
              <w:t>0.686</w:t>
            </w:r>
          </w:p>
        </w:tc>
        <w:tc>
          <w:tcPr>
            <w:tcW w:w="952" w:type="pct"/>
          </w:tcPr>
          <w:p w14:paraId="65CB600A" w14:textId="01D05918" w:rsidR="00BF50CC" w:rsidRPr="004D05A9"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3</w:t>
            </w:r>
          </w:p>
        </w:tc>
        <w:tc>
          <w:tcPr>
            <w:tcW w:w="600" w:type="pct"/>
          </w:tcPr>
          <w:p w14:paraId="46303CEB" w14:textId="007BCDE1"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D27683" w14:paraId="04764C4B" w14:textId="77777777">
        <w:trPr>
          <w:cantSplit/>
          <w:trHeight w:val="20"/>
        </w:trPr>
        <w:tc>
          <w:tcPr>
            <w:tcW w:w="5000" w:type="pct"/>
            <w:gridSpan w:val="5"/>
          </w:tcPr>
          <w:p w14:paraId="1B0E08DA" w14:textId="77777777" w:rsidR="00BF50CC" w:rsidRPr="00D27683" w:rsidRDefault="00BF50CC" w:rsidP="00135EE0">
            <w:pPr>
              <w:pStyle w:val="TableText0"/>
              <w:rPr>
                <w:rFonts w:eastAsia="Calibri"/>
                <w:b/>
                <w:bCs w:val="0"/>
                <w:szCs w:val="20"/>
              </w:rPr>
            </w:pPr>
            <w:r w:rsidRPr="00D27683">
              <w:rPr>
                <w:b/>
                <w:bCs w:val="0"/>
              </w:rPr>
              <w:t>Treatment efficacy severe exacerbation Year 1 (base case 0.66)</w:t>
            </w:r>
          </w:p>
        </w:tc>
      </w:tr>
      <w:tr w:rsidR="00BF50CC" w:rsidRPr="00D27683" w14:paraId="0B3BFAA1" w14:textId="77777777">
        <w:trPr>
          <w:cantSplit/>
          <w:trHeight w:val="20"/>
        </w:trPr>
        <w:tc>
          <w:tcPr>
            <w:tcW w:w="1894" w:type="pct"/>
          </w:tcPr>
          <w:p w14:paraId="49599C75" w14:textId="3C36B448" w:rsidR="00BF50CC" w:rsidRPr="00D27683" w:rsidRDefault="00BF50CC" w:rsidP="00135EE0">
            <w:pPr>
              <w:pStyle w:val="TableText0"/>
            </w:pPr>
            <w:r w:rsidRPr="00D27683">
              <w:t xml:space="preserve">Lower CI severe 0.43 </w:t>
            </w:r>
            <w:r w:rsidR="00E83EC1" w:rsidRPr="00D27683">
              <w:rPr>
                <w:vertAlign w:val="superscript"/>
              </w:rPr>
              <w:t>a</w:t>
            </w:r>
          </w:p>
        </w:tc>
        <w:tc>
          <w:tcPr>
            <w:tcW w:w="777" w:type="pct"/>
          </w:tcPr>
          <w:p w14:paraId="0DD40BB9" w14:textId="16336841"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1AD27C2B" w14:textId="77777777" w:rsidR="00BF50CC" w:rsidRPr="00D27683" w:rsidRDefault="00BF50CC" w:rsidP="00135EE0">
            <w:pPr>
              <w:pStyle w:val="TableText0"/>
              <w:jc w:val="center"/>
            </w:pPr>
            <w:r w:rsidRPr="00D27683">
              <w:t>0.858</w:t>
            </w:r>
          </w:p>
        </w:tc>
        <w:tc>
          <w:tcPr>
            <w:tcW w:w="952" w:type="pct"/>
          </w:tcPr>
          <w:p w14:paraId="17F24DCC" w14:textId="45173B71" w:rsidR="00BF50CC" w:rsidRPr="00E71B9C"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1</w:t>
            </w:r>
          </w:p>
        </w:tc>
        <w:tc>
          <w:tcPr>
            <w:tcW w:w="600" w:type="pct"/>
          </w:tcPr>
          <w:p w14:paraId="459F4C39" w14:textId="49523076" w:rsidR="00BF50CC" w:rsidRPr="00D27683" w:rsidRDefault="00BF50CC" w:rsidP="00135EE0">
            <w:pPr>
              <w:pStyle w:val="TableText0"/>
              <w:jc w:val="center"/>
              <w:rPr>
                <w:rFonts w:eastAsia="Calibri"/>
                <w:szCs w:val="20"/>
              </w:rPr>
            </w:pPr>
            <w:r w:rsidRPr="00D27683">
              <w:rPr>
                <w:rFonts w:eastAsia="Calibri"/>
                <w:szCs w:val="20"/>
              </w:rPr>
              <w:t>-</w:t>
            </w:r>
            <w:r w:rsidR="003C172C" w:rsidRPr="003C172C">
              <w:rPr>
                <w:rFonts w:eastAsia="Calibri"/>
                <w:sz w:val="2"/>
                <w:szCs w:val="20"/>
                <w:highlight w:val="black"/>
              </w:rPr>
              <w:t>redacted content</w:t>
            </w:r>
            <w:r w:rsidRPr="00D27683">
              <w:rPr>
                <w:rFonts w:eastAsia="Calibri"/>
                <w:szCs w:val="20"/>
              </w:rPr>
              <w:t>%</w:t>
            </w:r>
          </w:p>
        </w:tc>
      </w:tr>
      <w:tr w:rsidR="00BF50CC" w:rsidRPr="00D27683" w14:paraId="627589B7" w14:textId="77777777">
        <w:trPr>
          <w:cantSplit/>
          <w:trHeight w:val="20"/>
        </w:trPr>
        <w:tc>
          <w:tcPr>
            <w:tcW w:w="1894" w:type="pct"/>
          </w:tcPr>
          <w:p w14:paraId="170AB6C0" w14:textId="57146519" w:rsidR="00BF50CC" w:rsidRPr="00D27683" w:rsidRDefault="00BF50CC" w:rsidP="00135EE0">
            <w:pPr>
              <w:pStyle w:val="TableText0"/>
            </w:pPr>
            <w:r w:rsidRPr="00D27683">
              <w:t xml:space="preserve">Upper CI severe 1.01 </w:t>
            </w:r>
            <w:r w:rsidR="00E83EC1" w:rsidRPr="00D27683">
              <w:rPr>
                <w:vertAlign w:val="superscript"/>
              </w:rPr>
              <w:t>a</w:t>
            </w:r>
          </w:p>
        </w:tc>
        <w:tc>
          <w:tcPr>
            <w:tcW w:w="777" w:type="pct"/>
          </w:tcPr>
          <w:p w14:paraId="1111A970" w14:textId="0ACBFBEC"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6D9DDE50" w14:textId="77777777" w:rsidR="00BF50CC" w:rsidRPr="00D27683" w:rsidRDefault="00BF50CC" w:rsidP="00135EE0">
            <w:pPr>
              <w:pStyle w:val="TableText0"/>
              <w:jc w:val="center"/>
            </w:pPr>
            <w:r w:rsidRPr="00D27683">
              <w:t>0.661</w:t>
            </w:r>
          </w:p>
        </w:tc>
        <w:tc>
          <w:tcPr>
            <w:tcW w:w="952" w:type="pct"/>
          </w:tcPr>
          <w:p w14:paraId="5C669ED8" w14:textId="778D9202" w:rsidR="00BF50CC" w:rsidRPr="00E71B9C"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1</w:t>
            </w:r>
          </w:p>
        </w:tc>
        <w:tc>
          <w:tcPr>
            <w:tcW w:w="600" w:type="pct"/>
          </w:tcPr>
          <w:p w14:paraId="67E8A101" w14:textId="373F113B"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D27683" w14:paraId="3F3E5271" w14:textId="77777777">
        <w:trPr>
          <w:cantSplit/>
          <w:trHeight w:val="20"/>
        </w:trPr>
        <w:tc>
          <w:tcPr>
            <w:tcW w:w="5000" w:type="pct"/>
            <w:gridSpan w:val="5"/>
          </w:tcPr>
          <w:p w14:paraId="52310FF7" w14:textId="77777777" w:rsidR="00BF50CC" w:rsidRPr="00D27683" w:rsidRDefault="00BF50CC" w:rsidP="00135EE0">
            <w:pPr>
              <w:pStyle w:val="TableText0"/>
              <w:rPr>
                <w:rFonts w:eastAsia="Calibri"/>
                <w:b/>
                <w:bCs w:val="0"/>
                <w:szCs w:val="20"/>
              </w:rPr>
            </w:pPr>
            <w:r w:rsidRPr="00D27683">
              <w:rPr>
                <w:b/>
                <w:bCs w:val="0"/>
              </w:rPr>
              <w:t>Treatment efficacy severe exacerbation Year 2 (base case 0.33)</w:t>
            </w:r>
          </w:p>
        </w:tc>
      </w:tr>
      <w:tr w:rsidR="00BF50CC" w:rsidRPr="00D27683" w14:paraId="33404A5E" w14:textId="77777777">
        <w:trPr>
          <w:cantSplit/>
          <w:trHeight w:val="20"/>
        </w:trPr>
        <w:tc>
          <w:tcPr>
            <w:tcW w:w="1894" w:type="pct"/>
          </w:tcPr>
          <w:p w14:paraId="54ED9F7A" w14:textId="1B7DCC34" w:rsidR="00BF50CC" w:rsidRPr="00D27683" w:rsidRDefault="00BF50CC" w:rsidP="00135EE0">
            <w:pPr>
              <w:pStyle w:val="TableText0"/>
            </w:pPr>
            <w:r w:rsidRPr="00D27683">
              <w:t xml:space="preserve">Lower CI severe 0.17 </w:t>
            </w:r>
            <w:r w:rsidR="00E83EC1" w:rsidRPr="00D27683">
              <w:rPr>
                <w:vertAlign w:val="superscript"/>
              </w:rPr>
              <w:t>a</w:t>
            </w:r>
          </w:p>
        </w:tc>
        <w:tc>
          <w:tcPr>
            <w:tcW w:w="777" w:type="pct"/>
          </w:tcPr>
          <w:p w14:paraId="3B0BF0C6" w14:textId="453C840C"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5420B385" w14:textId="77777777" w:rsidR="00BF50CC" w:rsidRPr="00D27683" w:rsidRDefault="00BF50CC" w:rsidP="00135EE0">
            <w:pPr>
              <w:pStyle w:val="TableText0"/>
              <w:jc w:val="center"/>
            </w:pPr>
            <w:r w:rsidRPr="00D27683">
              <w:t>0.913</w:t>
            </w:r>
          </w:p>
        </w:tc>
        <w:tc>
          <w:tcPr>
            <w:tcW w:w="952" w:type="pct"/>
          </w:tcPr>
          <w:p w14:paraId="0593DC1F" w14:textId="21E8895E" w:rsidR="00BF50CC" w:rsidRPr="00E71B9C"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5</w:t>
            </w:r>
          </w:p>
        </w:tc>
        <w:tc>
          <w:tcPr>
            <w:tcW w:w="600" w:type="pct"/>
          </w:tcPr>
          <w:p w14:paraId="14704CD5" w14:textId="712C44C5" w:rsidR="00BF50CC" w:rsidRPr="00D27683" w:rsidRDefault="00BF50CC" w:rsidP="00135EE0">
            <w:pPr>
              <w:pStyle w:val="TableText0"/>
              <w:jc w:val="center"/>
              <w:rPr>
                <w:rFonts w:eastAsia="Calibri"/>
                <w:szCs w:val="20"/>
              </w:rPr>
            </w:pPr>
            <w:r w:rsidRPr="00D27683">
              <w:rPr>
                <w:rFonts w:eastAsia="Calibri"/>
                <w:szCs w:val="20"/>
              </w:rPr>
              <w:t>-</w:t>
            </w:r>
            <w:r w:rsidR="003C172C" w:rsidRPr="003C172C">
              <w:rPr>
                <w:rFonts w:eastAsia="Calibri"/>
                <w:sz w:val="2"/>
                <w:szCs w:val="20"/>
                <w:highlight w:val="black"/>
              </w:rPr>
              <w:t>redacted content</w:t>
            </w:r>
            <w:r w:rsidRPr="00D27683">
              <w:rPr>
                <w:rFonts w:eastAsia="Calibri"/>
                <w:szCs w:val="20"/>
              </w:rPr>
              <w:t>%</w:t>
            </w:r>
          </w:p>
        </w:tc>
      </w:tr>
      <w:tr w:rsidR="00BF50CC" w:rsidRPr="00D27683" w14:paraId="7A7ED76B" w14:textId="77777777">
        <w:trPr>
          <w:cantSplit/>
          <w:trHeight w:val="20"/>
        </w:trPr>
        <w:tc>
          <w:tcPr>
            <w:tcW w:w="1894" w:type="pct"/>
          </w:tcPr>
          <w:p w14:paraId="4471BA76" w14:textId="021CAECC" w:rsidR="00BF50CC" w:rsidRPr="00D27683" w:rsidRDefault="00BF50CC" w:rsidP="00135EE0">
            <w:pPr>
              <w:pStyle w:val="TableText0"/>
            </w:pPr>
            <w:r w:rsidRPr="00D27683">
              <w:t xml:space="preserve">Upper CI severe 0.63 </w:t>
            </w:r>
            <w:r w:rsidR="00E83EC1" w:rsidRPr="00D27683">
              <w:rPr>
                <w:vertAlign w:val="superscript"/>
              </w:rPr>
              <w:t>a</w:t>
            </w:r>
          </w:p>
        </w:tc>
        <w:tc>
          <w:tcPr>
            <w:tcW w:w="777" w:type="pct"/>
          </w:tcPr>
          <w:p w14:paraId="5A0B1130" w14:textId="0C36B003"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759F53D9" w14:textId="77777777" w:rsidR="00BF50CC" w:rsidRPr="00D27683" w:rsidRDefault="00BF50CC" w:rsidP="00135EE0">
            <w:pPr>
              <w:pStyle w:val="TableText0"/>
              <w:jc w:val="center"/>
            </w:pPr>
            <w:r w:rsidRPr="00D27683">
              <w:t>0.475</w:t>
            </w:r>
          </w:p>
        </w:tc>
        <w:tc>
          <w:tcPr>
            <w:tcW w:w="952" w:type="pct"/>
          </w:tcPr>
          <w:p w14:paraId="7C609DDF" w14:textId="28623660" w:rsidR="00BF50CC" w:rsidRPr="00E71B9C"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2</w:t>
            </w:r>
          </w:p>
        </w:tc>
        <w:tc>
          <w:tcPr>
            <w:tcW w:w="600" w:type="pct"/>
          </w:tcPr>
          <w:p w14:paraId="21955F89" w14:textId="7FCFD192"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BF50CC" w:rsidRPr="00D27683" w14:paraId="7E386ABF" w14:textId="77777777">
        <w:trPr>
          <w:cantSplit/>
          <w:trHeight w:val="20"/>
        </w:trPr>
        <w:tc>
          <w:tcPr>
            <w:tcW w:w="5000" w:type="pct"/>
            <w:gridSpan w:val="5"/>
          </w:tcPr>
          <w:p w14:paraId="6F1B1D1A" w14:textId="216A7931" w:rsidR="00BF50CC" w:rsidRPr="00D27683" w:rsidRDefault="00BF50CC" w:rsidP="00135EE0">
            <w:pPr>
              <w:pStyle w:val="TableText0"/>
              <w:rPr>
                <w:rFonts w:eastAsia="Calibri"/>
                <w:b/>
                <w:bCs w:val="0"/>
                <w:szCs w:val="20"/>
                <w:vertAlign w:val="superscript"/>
              </w:rPr>
            </w:pPr>
            <w:r w:rsidRPr="00D27683">
              <w:rPr>
                <w:b/>
                <w:bCs w:val="0"/>
              </w:rPr>
              <w:t xml:space="preserve">Multivariate </w:t>
            </w:r>
            <w:proofErr w:type="spellStart"/>
            <w:r w:rsidRPr="00D27683">
              <w:rPr>
                <w:b/>
                <w:bCs w:val="0"/>
              </w:rPr>
              <w:t>analyses</w:t>
            </w:r>
            <w:r w:rsidR="00E83EC1" w:rsidRPr="00D27683">
              <w:rPr>
                <w:b/>
                <w:bCs w:val="0"/>
                <w:vertAlign w:val="superscript"/>
              </w:rPr>
              <w:t>a</w:t>
            </w:r>
            <w:proofErr w:type="spellEnd"/>
          </w:p>
        </w:tc>
      </w:tr>
      <w:tr w:rsidR="00BF50CC" w:rsidRPr="00D27683" w14:paraId="48D79C7B" w14:textId="77777777">
        <w:trPr>
          <w:cantSplit/>
          <w:trHeight w:val="20"/>
        </w:trPr>
        <w:tc>
          <w:tcPr>
            <w:tcW w:w="1894" w:type="pct"/>
          </w:tcPr>
          <w:p w14:paraId="7DD11848" w14:textId="4CACF5C2" w:rsidR="00F1391A" w:rsidRPr="006D6FD8" w:rsidRDefault="00F1391A" w:rsidP="00135EE0">
            <w:pPr>
              <w:pStyle w:val="TableText0"/>
              <w:rPr>
                <w:iCs/>
              </w:rPr>
            </w:pPr>
            <w:r w:rsidRPr="006D6FD8">
              <w:rPr>
                <w:iCs/>
              </w:rPr>
              <w:t>Stopping rule every 6 months (1)</w:t>
            </w:r>
            <w:r w:rsidR="00475AF4">
              <w:rPr>
                <w:iCs/>
              </w:rPr>
              <w:t xml:space="preserve"> </w:t>
            </w:r>
            <w:r w:rsidR="00475AF4">
              <w:rPr>
                <w:vertAlign w:val="superscript"/>
              </w:rPr>
              <w:t>b</w:t>
            </w:r>
            <w:r w:rsidRPr="006D6FD8">
              <w:rPr>
                <w:iCs/>
              </w:rPr>
              <w:t xml:space="preserve"> +</w:t>
            </w:r>
          </w:p>
          <w:p w14:paraId="55642EC7" w14:textId="6B1C2D4D" w:rsidR="00BF50CC" w:rsidRPr="00D27683" w:rsidRDefault="00AA3915" w:rsidP="00135EE0">
            <w:pPr>
              <w:pStyle w:val="TableText0"/>
              <w:rPr>
                <w:i/>
                <w:iCs/>
              </w:rPr>
            </w:pPr>
            <w:r w:rsidRPr="006D6FD8">
              <w:rPr>
                <w:iCs/>
              </w:rPr>
              <w:t xml:space="preserve">Discontinuation from </w:t>
            </w:r>
            <w:r w:rsidR="00D70DF1" w:rsidRPr="006D6FD8">
              <w:rPr>
                <w:iCs/>
              </w:rPr>
              <w:t xml:space="preserve">Year 2 </w:t>
            </w:r>
            <w:r w:rsidRPr="006D6FD8">
              <w:rPr>
                <w:iCs/>
              </w:rPr>
              <w:t xml:space="preserve">responders </w:t>
            </w:r>
            <w:r w:rsidR="00380738" w:rsidRPr="006D6FD8">
              <w:rPr>
                <w:iCs/>
              </w:rPr>
              <w:t xml:space="preserve">(no exacerbation) </w:t>
            </w:r>
            <w:r w:rsidRPr="006D6FD8">
              <w:rPr>
                <w:iCs/>
              </w:rPr>
              <w:t>1.37%</w:t>
            </w:r>
            <w:r w:rsidR="00FF4523" w:rsidRPr="006D6FD8">
              <w:rPr>
                <w:iCs/>
              </w:rPr>
              <w:t xml:space="preserve"> (2)</w:t>
            </w:r>
            <w:r w:rsidRPr="006D6FD8">
              <w:rPr>
                <w:iCs/>
              </w:rPr>
              <w:t xml:space="preserve"> </w:t>
            </w:r>
          </w:p>
        </w:tc>
        <w:tc>
          <w:tcPr>
            <w:tcW w:w="777" w:type="pct"/>
          </w:tcPr>
          <w:p w14:paraId="7F6358D6" w14:textId="5B9A0718" w:rsidR="00BF50CC" w:rsidRPr="00D27683" w:rsidRDefault="00BF50CC" w:rsidP="00135EE0">
            <w:pPr>
              <w:pStyle w:val="TableText0"/>
              <w:jc w:val="center"/>
            </w:pPr>
            <w:r w:rsidRPr="00D27683">
              <w:t>$</w:t>
            </w:r>
            <w:r w:rsidR="003C172C" w:rsidRPr="003C172C">
              <w:rPr>
                <w:sz w:val="2"/>
                <w:highlight w:val="black"/>
              </w:rPr>
              <w:t>redacted content</w:t>
            </w:r>
          </w:p>
        </w:tc>
        <w:tc>
          <w:tcPr>
            <w:tcW w:w="777" w:type="pct"/>
          </w:tcPr>
          <w:p w14:paraId="21541410" w14:textId="77777777" w:rsidR="00BF50CC" w:rsidRPr="00D27683" w:rsidRDefault="00BF50CC" w:rsidP="00135EE0">
            <w:pPr>
              <w:pStyle w:val="TableText0"/>
              <w:jc w:val="center"/>
            </w:pPr>
            <w:r w:rsidRPr="00D27683">
              <w:t>0.468</w:t>
            </w:r>
          </w:p>
        </w:tc>
        <w:tc>
          <w:tcPr>
            <w:tcW w:w="952" w:type="pct"/>
          </w:tcPr>
          <w:p w14:paraId="31926947" w14:textId="3D2AC83C" w:rsidR="00BF50CC" w:rsidRPr="00E71B9C" w:rsidRDefault="00BF50CC" w:rsidP="00135EE0">
            <w:pPr>
              <w:pStyle w:val="TableText0"/>
              <w:jc w:val="center"/>
              <w:rPr>
                <w:vertAlign w:val="superscript"/>
              </w:rPr>
            </w:pPr>
            <w:r w:rsidRPr="00D27683">
              <w:t>$</w:t>
            </w:r>
            <w:r w:rsidR="003C172C" w:rsidRPr="003C172C">
              <w:rPr>
                <w:sz w:val="2"/>
                <w:highlight w:val="black"/>
              </w:rPr>
              <w:t>redacted content</w:t>
            </w:r>
            <w:r w:rsidR="00E71B9C">
              <w:rPr>
                <w:vertAlign w:val="superscript"/>
              </w:rPr>
              <w:t>1</w:t>
            </w:r>
          </w:p>
        </w:tc>
        <w:tc>
          <w:tcPr>
            <w:tcW w:w="600" w:type="pct"/>
          </w:tcPr>
          <w:p w14:paraId="58DD9CDC" w14:textId="0251D801" w:rsidR="00BF50CC" w:rsidRPr="00D27683" w:rsidRDefault="003C172C" w:rsidP="00135EE0">
            <w:pPr>
              <w:pStyle w:val="TableText0"/>
              <w:jc w:val="center"/>
              <w:rPr>
                <w:rFonts w:eastAsia="Calibri"/>
                <w:szCs w:val="20"/>
              </w:rPr>
            </w:pPr>
            <w:r w:rsidRPr="003C172C">
              <w:rPr>
                <w:rFonts w:eastAsia="Calibri"/>
                <w:sz w:val="2"/>
                <w:szCs w:val="20"/>
                <w:highlight w:val="black"/>
              </w:rPr>
              <w:t>redacted content</w:t>
            </w:r>
            <w:r w:rsidR="00BF50CC" w:rsidRPr="00D27683">
              <w:rPr>
                <w:rFonts w:eastAsia="Calibri"/>
                <w:szCs w:val="20"/>
              </w:rPr>
              <w:t>%</w:t>
            </w:r>
          </w:p>
        </w:tc>
      </w:tr>
      <w:tr w:rsidR="00DA7328" w:rsidRPr="006D6FD8" w14:paraId="38977F9E" w14:textId="77777777" w:rsidTr="005046F4">
        <w:trPr>
          <w:cantSplit/>
          <w:trHeight w:val="20"/>
        </w:trPr>
        <w:tc>
          <w:tcPr>
            <w:tcW w:w="1894" w:type="pct"/>
          </w:tcPr>
          <w:p w14:paraId="6CCFD0AC" w14:textId="16D92E9D" w:rsidR="006E4F2D" w:rsidRPr="006D6FD8" w:rsidRDefault="000D3604" w:rsidP="00135EE0">
            <w:pPr>
              <w:pStyle w:val="TableText0"/>
              <w:rPr>
                <w:iCs/>
              </w:rPr>
            </w:pPr>
            <w:r w:rsidRPr="006D6FD8">
              <w:rPr>
                <w:iCs/>
              </w:rPr>
              <w:t xml:space="preserve">Discontinuation from Year 2 responders (no exacerbation) 1.37% </w:t>
            </w:r>
            <w:r w:rsidR="00DA7328" w:rsidRPr="006D6FD8">
              <w:rPr>
                <w:iCs/>
              </w:rPr>
              <w:t>(2)</w:t>
            </w:r>
            <w:r w:rsidR="00834958" w:rsidRPr="006D6FD8">
              <w:rPr>
                <w:iCs/>
              </w:rPr>
              <w:t xml:space="preserve"> + </w:t>
            </w:r>
          </w:p>
          <w:p w14:paraId="129AFE7E" w14:textId="5E9A9EED" w:rsidR="00DA7328" w:rsidRPr="006D6FD8" w:rsidRDefault="00834958" w:rsidP="00135EE0">
            <w:pPr>
              <w:pStyle w:val="TableText0"/>
              <w:rPr>
                <w:iCs/>
              </w:rPr>
            </w:pPr>
            <w:r w:rsidRPr="006D6FD8">
              <w:rPr>
                <w:iCs/>
              </w:rPr>
              <w:t xml:space="preserve">10-year time horizon (3) </w:t>
            </w:r>
          </w:p>
        </w:tc>
        <w:tc>
          <w:tcPr>
            <w:tcW w:w="777" w:type="pct"/>
            <w:vAlign w:val="center"/>
          </w:tcPr>
          <w:p w14:paraId="5F21D926" w14:textId="3FD67F1D" w:rsidR="00DA7328" w:rsidRPr="006D6FD8" w:rsidRDefault="00DA7328" w:rsidP="00135EE0">
            <w:pPr>
              <w:pStyle w:val="TableText0"/>
              <w:jc w:val="center"/>
              <w:rPr>
                <w:iCs/>
              </w:rPr>
            </w:pPr>
            <w:r w:rsidRPr="006D6FD8">
              <w:rPr>
                <w:iCs/>
              </w:rPr>
              <w:t>$</w:t>
            </w:r>
            <w:r w:rsidR="003C172C" w:rsidRPr="003C172C">
              <w:rPr>
                <w:iCs/>
                <w:sz w:val="2"/>
                <w:highlight w:val="black"/>
              </w:rPr>
              <w:t>redacted content</w:t>
            </w:r>
          </w:p>
        </w:tc>
        <w:tc>
          <w:tcPr>
            <w:tcW w:w="777" w:type="pct"/>
            <w:vAlign w:val="center"/>
          </w:tcPr>
          <w:p w14:paraId="30947B8B" w14:textId="4BD0CC98" w:rsidR="00DA7328" w:rsidRPr="006D6FD8" w:rsidRDefault="00DA7328" w:rsidP="00135EE0">
            <w:pPr>
              <w:pStyle w:val="TableText0"/>
              <w:jc w:val="center"/>
              <w:rPr>
                <w:iCs/>
              </w:rPr>
            </w:pPr>
            <w:r w:rsidRPr="006D6FD8">
              <w:rPr>
                <w:iCs/>
              </w:rPr>
              <w:t>0.606</w:t>
            </w:r>
          </w:p>
        </w:tc>
        <w:tc>
          <w:tcPr>
            <w:tcW w:w="952" w:type="pct"/>
            <w:vAlign w:val="center"/>
          </w:tcPr>
          <w:p w14:paraId="4B545D2F" w14:textId="398B9A34" w:rsidR="00DA7328" w:rsidRPr="00E71B9C" w:rsidRDefault="00DA7328" w:rsidP="00135EE0">
            <w:pPr>
              <w:pStyle w:val="TableText0"/>
              <w:jc w:val="center"/>
              <w:rPr>
                <w:iCs/>
                <w:vertAlign w:val="superscript"/>
              </w:rPr>
            </w:pPr>
            <w:r w:rsidRPr="006D6FD8">
              <w:rPr>
                <w:iCs/>
              </w:rPr>
              <w:t>$</w:t>
            </w:r>
            <w:r w:rsidR="003C172C" w:rsidRPr="003C172C">
              <w:rPr>
                <w:iCs/>
                <w:sz w:val="2"/>
                <w:highlight w:val="black"/>
              </w:rPr>
              <w:t>redacted content</w:t>
            </w:r>
            <w:r w:rsidR="00E70CF7">
              <w:rPr>
                <w:iCs/>
                <w:vertAlign w:val="superscript"/>
              </w:rPr>
              <w:t>3</w:t>
            </w:r>
          </w:p>
        </w:tc>
        <w:tc>
          <w:tcPr>
            <w:tcW w:w="600" w:type="pct"/>
            <w:vAlign w:val="center"/>
          </w:tcPr>
          <w:p w14:paraId="7E87BE2B" w14:textId="26799F2D" w:rsidR="00DA7328" w:rsidRPr="006D6FD8" w:rsidRDefault="003C172C" w:rsidP="00135EE0">
            <w:pPr>
              <w:pStyle w:val="TableText0"/>
              <w:jc w:val="center"/>
              <w:rPr>
                <w:rFonts w:eastAsia="Calibri"/>
                <w:iCs/>
                <w:szCs w:val="20"/>
              </w:rPr>
            </w:pPr>
            <w:r w:rsidRPr="003C172C">
              <w:rPr>
                <w:rFonts w:eastAsia="Calibri"/>
                <w:iCs/>
                <w:sz w:val="2"/>
                <w:szCs w:val="20"/>
                <w:highlight w:val="black"/>
              </w:rPr>
              <w:t>redacted content</w:t>
            </w:r>
            <w:r w:rsidR="005046F4" w:rsidRPr="006D6FD8">
              <w:rPr>
                <w:rFonts w:eastAsia="Calibri"/>
                <w:iCs/>
                <w:szCs w:val="20"/>
              </w:rPr>
              <w:t>%</w:t>
            </w:r>
          </w:p>
        </w:tc>
      </w:tr>
      <w:tr w:rsidR="00DA7328" w:rsidRPr="006D6FD8" w14:paraId="716C7ED1" w14:textId="77777777" w:rsidTr="005046F4">
        <w:trPr>
          <w:cantSplit/>
          <w:trHeight w:val="20"/>
        </w:trPr>
        <w:tc>
          <w:tcPr>
            <w:tcW w:w="1894" w:type="pct"/>
          </w:tcPr>
          <w:p w14:paraId="49DCFD09" w14:textId="0A6896A1" w:rsidR="00F1391A" w:rsidRPr="006D6FD8" w:rsidRDefault="00F1391A" w:rsidP="00135EE0">
            <w:pPr>
              <w:pStyle w:val="TableText0"/>
              <w:rPr>
                <w:iCs/>
              </w:rPr>
            </w:pPr>
            <w:r w:rsidRPr="006D6FD8">
              <w:rPr>
                <w:iCs/>
              </w:rPr>
              <w:t xml:space="preserve">Stopping rule every 6 months </w:t>
            </w:r>
            <w:r w:rsidR="00475AF4">
              <w:rPr>
                <w:vertAlign w:val="superscript"/>
              </w:rPr>
              <w:t>b</w:t>
            </w:r>
            <w:r w:rsidR="00475AF4" w:rsidRPr="006D6FD8">
              <w:rPr>
                <w:iCs/>
              </w:rPr>
              <w:t xml:space="preserve"> </w:t>
            </w:r>
            <w:r w:rsidRPr="006D6FD8">
              <w:rPr>
                <w:iCs/>
              </w:rPr>
              <w:t xml:space="preserve">(1) + </w:t>
            </w:r>
          </w:p>
          <w:p w14:paraId="46CB0A56" w14:textId="4CB43E85" w:rsidR="006E4F2D" w:rsidRPr="006D6FD8" w:rsidRDefault="000D3604" w:rsidP="00135EE0">
            <w:pPr>
              <w:pStyle w:val="TableText0"/>
              <w:rPr>
                <w:iCs/>
              </w:rPr>
            </w:pPr>
            <w:r w:rsidRPr="006D6FD8">
              <w:rPr>
                <w:iCs/>
              </w:rPr>
              <w:t>Discontinuation from Year 2 responders (no exacerbation) 1.37%</w:t>
            </w:r>
            <w:r w:rsidR="00834958" w:rsidRPr="006D6FD8">
              <w:rPr>
                <w:iCs/>
              </w:rPr>
              <w:t xml:space="preserve"> (2)</w:t>
            </w:r>
            <w:r w:rsidR="00DA7328" w:rsidRPr="006D6FD8">
              <w:rPr>
                <w:iCs/>
              </w:rPr>
              <w:t xml:space="preserve"> + </w:t>
            </w:r>
          </w:p>
          <w:p w14:paraId="27079DF3" w14:textId="532E4526" w:rsidR="00DA7328" w:rsidRPr="006D6FD8" w:rsidRDefault="00834958" w:rsidP="00135EE0">
            <w:pPr>
              <w:pStyle w:val="TableText0"/>
              <w:rPr>
                <w:iCs/>
              </w:rPr>
            </w:pPr>
            <w:r w:rsidRPr="006D6FD8">
              <w:rPr>
                <w:iCs/>
              </w:rPr>
              <w:t xml:space="preserve">10-year time horizon </w:t>
            </w:r>
            <w:r w:rsidR="00F1391A" w:rsidRPr="006D6FD8">
              <w:rPr>
                <w:iCs/>
              </w:rPr>
              <w:t>(3)</w:t>
            </w:r>
          </w:p>
        </w:tc>
        <w:tc>
          <w:tcPr>
            <w:tcW w:w="777" w:type="pct"/>
            <w:vAlign w:val="center"/>
          </w:tcPr>
          <w:p w14:paraId="6A434D0A" w14:textId="7A47163F" w:rsidR="00DA7328" w:rsidRPr="006D6FD8" w:rsidRDefault="00DA7328" w:rsidP="00135EE0">
            <w:pPr>
              <w:pStyle w:val="TableText0"/>
              <w:jc w:val="center"/>
              <w:rPr>
                <w:iCs/>
              </w:rPr>
            </w:pPr>
            <w:r w:rsidRPr="006D6FD8">
              <w:rPr>
                <w:iCs/>
              </w:rPr>
              <w:t>$</w:t>
            </w:r>
            <w:r w:rsidR="003C172C" w:rsidRPr="003C172C">
              <w:rPr>
                <w:iCs/>
                <w:sz w:val="2"/>
                <w:highlight w:val="black"/>
              </w:rPr>
              <w:t>redacted content</w:t>
            </w:r>
          </w:p>
        </w:tc>
        <w:tc>
          <w:tcPr>
            <w:tcW w:w="777" w:type="pct"/>
            <w:vAlign w:val="center"/>
          </w:tcPr>
          <w:p w14:paraId="32EF69B3" w14:textId="127C5C44" w:rsidR="00DA7328" w:rsidRPr="006D6FD8" w:rsidRDefault="00DA7328" w:rsidP="00135EE0">
            <w:pPr>
              <w:pStyle w:val="TableText0"/>
              <w:jc w:val="center"/>
              <w:rPr>
                <w:iCs/>
              </w:rPr>
            </w:pPr>
            <w:r w:rsidRPr="006D6FD8">
              <w:rPr>
                <w:iCs/>
              </w:rPr>
              <w:t>0.375</w:t>
            </w:r>
          </w:p>
        </w:tc>
        <w:tc>
          <w:tcPr>
            <w:tcW w:w="952" w:type="pct"/>
            <w:vAlign w:val="center"/>
          </w:tcPr>
          <w:p w14:paraId="25B6D58A" w14:textId="2ABE7D20" w:rsidR="00DA7328" w:rsidRPr="00E70CF7" w:rsidRDefault="00DA7328" w:rsidP="00135EE0">
            <w:pPr>
              <w:pStyle w:val="TableText0"/>
              <w:jc w:val="center"/>
              <w:rPr>
                <w:iCs/>
                <w:vertAlign w:val="superscript"/>
              </w:rPr>
            </w:pPr>
            <w:r w:rsidRPr="006D6FD8">
              <w:rPr>
                <w:iCs/>
              </w:rPr>
              <w:t>$</w:t>
            </w:r>
            <w:r w:rsidR="003C172C" w:rsidRPr="003C172C">
              <w:rPr>
                <w:iCs/>
                <w:sz w:val="2"/>
                <w:highlight w:val="black"/>
              </w:rPr>
              <w:t>redacted content</w:t>
            </w:r>
            <w:r w:rsidR="00E70CF7">
              <w:rPr>
                <w:iCs/>
                <w:vertAlign w:val="superscript"/>
              </w:rPr>
              <w:t>3</w:t>
            </w:r>
          </w:p>
        </w:tc>
        <w:tc>
          <w:tcPr>
            <w:tcW w:w="600" w:type="pct"/>
            <w:vAlign w:val="center"/>
          </w:tcPr>
          <w:p w14:paraId="722ADCFB" w14:textId="0271AD55" w:rsidR="00DA7328" w:rsidRPr="006D6FD8" w:rsidRDefault="003C172C" w:rsidP="00135EE0">
            <w:pPr>
              <w:pStyle w:val="TableText0"/>
              <w:jc w:val="center"/>
              <w:rPr>
                <w:rFonts w:eastAsia="Calibri"/>
                <w:iCs/>
                <w:szCs w:val="20"/>
              </w:rPr>
            </w:pPr>
            <w:r w:rsidRPr="003C172C">
              <w:rPr>
                <w:rFonts w:eastAsia="Calibri"/>
                <w:iCs/>
                <w:sz w:val="2"/>
                <w:szCs w:val="20"/>
                <w:highlight w:val="black"/>
              </w:rPr>
              <w:t>redacted content</w:t>
            </w:r>
            <w:r w:rsidR="005046F4" w:rsidRPr="006D6FD8">
              <w:rPr>
                <w:rFonts w:eastAsia="Calibri"/>
                <w:iCs/>
                <w:szCs w:val="20"/>
              </w:rPr>
              <w:t>%</w:t>
            </w:r>
          </w:p>
        </w:tc>
      </w:tr>
      <w:tr w:rsidR="008217F8" w:rsidRPr="006D6FD8" w14:paraId="661DF0BB" w14:textId="77777777" w:rsidTr="008217F8">
        <w:trPr>
          <w:cantSplit/>
          <w:trHeight w:val="20"/>
        </w:trPr>
        <w:tc>
          <w:tcPr>
            <w:tcW w:w="5000" w:type="pct"/>
            <w:gridSpan w:val="5"/>
          </w:tcPr>
          <w:p w14:paraId="6F9C9C1D" w14:textId="162E8B8F" w:rsidR="008217F8" w:rsidRPr="008217F8" w:rsidRDefault="008217F8" w:rsidP="00135EE0">
            <w:pPr>
              <w:pStyle w:val="TableText0"/>
              <w:rPr>
                <w:rFonts w:eastAsia="Calibri"/>
                <w:b/>
                <w:bCs w:val="0"/>
                <w:iCs/>
                <w:szCs w:val="20"/>
              </w:rPr>
            </w:pPr>
            <w:r w:rsidRPr="008217F8">
              <w:rPr>
                <w:rFonts w:eastAsia="Calibri"/>
                <w:b/>
                <w:bCs w:val="0"/>
                <w:iCs/>
                <w:szCs w:val="20"/>
              </w:rPr>
              <w:t>Pre-PBAC Response</w:t>
            </w:r>
          </w:p>
        </w:tc>
      </w:tr>
      <w:tr w:rsidR="000C6366" w:rsidRPr="006D6FD8" w14:paraId="5BBA4FBC" w14:textId="77777777" w:rsidTr="005046F4">
        <w:trPr>
          <w:cantSplit/>
          <w:trHeight w:val="20"/>
        </w:trPr>
        <w:tc>
          <w:tcPr>
            <w:tcW w:w="1894" w:type="pct"/>
          </w:tcPr>
          <w:p w14:paraId="04DC801C" w14:textId="31764DFA" w:rsidR="000C6366" w:rsidRPr="006D6FD8" w:rsidRDefault="000C6366" w:rsidP="00135EE0">
            <w:pPr>
              <w:pStyle w:val="TableText0"/>
              <w:rPr>
                <w:iCs/>
              </w:rPr>
            </w:pPr>
            <w:r w:rsidRPr="006D6FD8">
              <w:rPr>
                <w:iCs/>
              </w:rPr>
              <w:t>Stopping rule every 6 months</w:t>
            </w:r>
            <w:r w:rsidRPr="00ED0186">
              <w:rPr>
                <w:iCs/>
                <w:vertAlign w:val="superscript"/>
              </w:rPr>
              <w:t xml:space="preserve"> d</w:t>
            </w:r>
            <w:r w:rsidR="005D45D2">
              <w:rPr>
                <w:iCs/>
              </w:rPr>
              <w:t xml:space="preserve"> </w:t>
            </w:r>
            <w:r w:rsidRPr="006D6FD8">
              <w:rPr>
                <w:iCs/>
              </w:rPr>
              <w:t xml:space="preserve">+ </w:t>
            </w:r>
          </w:p>
          <w:p w14:paraId="1A2B7576" w14:textId="77777777" w:rsidR="000C6366" w:rsidRPr="006D6FD8" w:rsidRDefault="000C6366" w:rsidP="00135EE0">
            <w:pPr>
              <w:pStyle w:val="TableText0"/>
              <w:rPr>
                <w:iCs/>
              </w:rPr>
            </w:pPr>
            <w:r w:rsidRPr="006D6FD8">
              <w:rPr>
                <w:iCs/>
              </w:rPr>
              <w:t xml:space="preserve">Discontinuation from Year 2 responders (no exacerbation) 1.37% (2) + </w:t>
            </w:r>
          </w:p>
          <w:p w14:paraId="3F0F43FE" w14:textId="1045E7B1" w:rsidR="000C6366" w:rsidRPr="006D6FD8" w:rsidRDefault="000C6366" w:rsidP="00135EE0">
            <w:pPr>
              <w:pStyle w:val="TableText0"/>
              <w:rPr>
                <w:iCs/>
              </w:rPr>
            </w:pPr>
            <w:r w:rsidRPr="006D6FD8">
              <w:rPr>
                <w:iCs/>
              </w:rPr>
              <w:t>10-year time horizon (3</w:t>
            </w:r>
            <w:r>
              <w:rPr>
                <w:iCs/>
              </w:rPr>
              <w:t>)</w:t>
            </w:r>
          </w:p>
        </w:tc>
        <w:tc>
          <w:tcPr>
            <w:tcW w:w="777" w:type="pct"/>
            <w:vAlign w:val="center"/>
          </w:tcPr>
          <w:p w14:paraId="47B04DC6" w14:textId="22D2B22D" w:rsidR="000C6366" w:rsidRDefault="000C6366" w:rsidP="00135EE0">
            <w:pPr>
              <w:pStyle w:val="TableText0"/>
              <w:jc w:val="center"/>
              <w:rPr>
                <w:iCs/>
              </w:rPr>
            </w:pPr>
            <w:r>
              <w:rPr>
                <w:iCs/>
              </w:rPr>
              <w:t>$</w:t>
            </w:r>
            <w:r w:rsidR="003C172C" w:rsidRPr="003C172C">
              <w:rPr>
                <w:iCs/>
                <w:sz w:val="2"/>
                <w:highlight w:val="black"/>
              </w:rPr>
              <w:t>redacted content</w:t>
            </w:r>
          </w:p>
        </w:tc>
        <w:tc>
          <w:tcPr>
            <w:tcW w:w="777" w:type="pct"/>
            <w:vAlign w:val="center"/>
          </w:tcPr>
          <w:p w14:paraId="51A4915A" w14:textId="261BC85B" w:rsidR="000C6366" w:rsidRPr="006D6FD8" w:rsidRDefault="000815C8" w:rsidP="00135EE0">
            <w:pPr>
              <w:pStyle w:val="TableText0"/>
              <w:jc w:val="center"/>
              <w:rPr>
                <w:iCs/>
              </w:rPr>
            </w:pPr>
            <w:r>
              <w:rPr>
                <w:iCs/>
              </w:rPr>
              <w:t>0.418</w:t>
            </w:r>
          </w:p>
        </w:tc>
        <w:tc>
          <w:tcPr>
            <w:tcW w:w="952" w:type="pct"/>
            <w:vAlign w:val="center"/>
          </w:tcPr>
          <w:p w14:paraId="3168FD2B" w14:textId="0BF9045B" w:rsidR="000C6366" w:rsidRPr="00E70CF7" w:rsidRDefault="00A35979" w:rsidP="00135EE0">
            <w:pPr>
              <w:pStyle w:val="TableText0"/>
              <w:jc w:val="center"/>
              <w:rPr>
                <w:iCs/>
                <w:vertAlign w:val="superscript"/>
              </w:rPr>
            </w:pPr>
            <w:r>
              <w:rPr>
                <w:iCs/>
              </w:rPr>
              <w:t>$</w:t>
            </w:r>
            <w:r w:rsidR="003C172C" w:rsidRPr="003C172C">
              <w:rPr>
                <w:iCs/>
                <w:sz w:val="2"/>
                <w:highlight w:val="black"/>
              </w:rPr>
              <w:t>redacted content</w:t>
            </w:r>
            <w:r w:rsidR="00E70CF7">
              <w:rPr>
                <w:iCs/>
                <w:vertAlign w:val="superscript"/>
              </w:rPr>
              <w:t>3</w:t>
            </w:r>
          </w:p>
        </w:tc>
        <w:tc>
          <w:tcPr>
            <w:tcW w:w="600" w:type="pct"/>
            <w:vAlign w:val="center"/>
          </w:tcPr>
          <w:p w14:paraId="23C51B70" w14:textId="16F47B30" w:rsidR="000C6366" w:rsidRPr="006D6FD8" w:rsidRDefault="003C172C" w:rsidP="00135EE0">
            <w:pPr>
              <w:pStyle w:val="TableText0"/>
              <w:jc w:val="center"/>
              <w:rPr>
                <w:rFonts w:eastAsia="Calibri"/>
                <w:iCs/>
                <w:szCs w:val="20"/>
              </w:rPr>
            </w:pPr>
            <w:r w:rsidRPr="003C172C">
              <w:rPr>
                <w:rFonts w:eastAsia="Calibri"/>
                <w:iCs/>
                <w:sz w:val="2"/>
                <w:szCs w:val="20"/>
                <w:highlight w:val="black"/>
              </w:rPr>
              <w:t>redacted content</w:t>
            </w:r>
            <w:r w:rsidR="00F13887">
              <w:rPr>
                <w:rFonts w:eastAsia="Calibri"/>
                <w:iCs/>
                <w:szCs w:val="20"/>
              </w:rPr>
              <w:t>%</w:t>
            </w:r>
          </w:p>
        </w:tc>
      </w:tr>
      <w:tr w:rsidR="00475AF4" w:rsidRPr="006D6FD8" w14:paraId="208264CE" w14:textId="77777777" w:rsidTr="005046F4">
        <w:trPr>
          <w:cantSplit/>
          <w:trHeight w:val="20"/>
        </w:trPr>
        <w:tc>
          <w:tcPr>
            <w:tcW w:w="1894" w:type="pct"/>
          </w:tcPr>
          <w:p w14:paraId="7D142190" w14:textId="140B89F1" w:rsidR="00ED0186" w:rsidRPr="006D6FD8" w:rsidRDefault="00ED0186" w:rsidP="00135EE0">
            <w:pPr>
              <w:pStyle w:val="TableText0"/>
              <w:rPr>
                <w:iCs/>
              </w:rPr>
            </w:pPr>
            <w:r w:rsidRPr="006D6FD8">
              <w:rPr>
                <w:iCs/>
              </w:rPr>
              <w:t>Stopping rule every 6 months</w:t>
            </w:r>
            <w:r w:rsidRPr="00ED0186">
              <w:rPr>
                <w:iCs/>
                <w:vertAlign w:val="superscript"/>
              </w:rPr>
              <w:t xml:space="preserve"> d</w:t>
            </w:r>
            <w:r w:rsidR="005D45D2">
              <w:rPr>
                <w:iCs/>
              </w:rPr>
              <w:t xml:space="preserve"> </w:t>
            </w:r>
            <w:r w:rsidRPr="006D6FD8">
              <w:rPr>
                <w:iCs/>
              </w:rPr>
              <w:t xml:space="preserve">+ </w:t>
            </w:r>
          </w:p>
          <w:p w14:paraId="08587B57" w14:textId="77777777" w:rsidR="00ED0186" w:rsidRPr="006D6FD8" w:rsidRDefault="00ED0186" w:rsidP="00135EE0">
            <w:pPr>
              <w:pStyle w:val="TableText0"/>
              <w:rPr>
                <w:iCs/>
              </w:rPr>
            </w:pPr>
            <w:r w:rsidRPr="006D6FD8">
              <w:rPr>
                <w:iCs/>
              </w:rPr>
              <w:t xml:space="preserve">Discontinuation from Year 2 responders (no exacerbation) 1.37% (2) + </w:t>
            </w:r>
          </w:p>
          <w:p w14:paraId="4C1C0772" w14:textId="77777777" w:rsidR="00475AF4" w:rsidRDefault="00ED0186" w:rsidP="00135EE0">
            <w:pPr>
              <w:pStyle w:val="TableText0"/>
              <w:rPr>
                <w:iCs/>
              </w:rPr>
            </w:pPr>
            <w:r w:rsidRPr="006D6FD8">
              <w:rPr>
                <w:iCs/>
              </w:rPr>
              <w:t>10-year time horizon (3</w:t>
            </w:r>
            <w:r w:rsidR="00F32CF6">
              <w:rPr>
                <w:iCs/>
              </w:rPr>
              <w:t>) +</w:t>
            </w:r>
          </w:p>
          <w:p w14:paraId="458E4799" w14:textId="2DB7D8AF" w:rsidR="00F32CF6" w:rsidRPr="006D6FD8" w:rsidRDefault="00F32CF6" w:rsidP="00135EE0">
            <w:pPr>
              <w:pStyle w:val="TableText0"/>
              <w:rPr>
                <w:iCs/>
              </w:rPr>
            </w:pPr>
            <w:r>
              <w:rPr>
                <w:iCs/>
              </w:rPr>
              <w:t xml:space="preserve">Price </w:t>
            </w:r>
            <w:r w:rsidRPr="003165F6">
              <w:rPr>
                <w:iCs/>
              </w:rPr>
              <w:t xml:space="preserve">reduction </w:t>
            </w:r>
            <w:r w:rsidR="00022E39" w:rsidRPr="003165F6">
              <w:rPr>
                <w:iCs/>
              </w:rPr>
              <w:t>(</w:t>
            </w:r>
            <w:r w:rsidR="00022E39" w:rsidRPr="003165F6">
              <w:t>$</w:t>
            </w:r>
            <w:r w:rsidR="003C172C" w:rsidRPr="003C172C">
              <w:rPr>
                <w:sz w:val="2"/>
                <w:highlight w:val="black"/>
              </w:rPr>
              <w:t>redacted content</w:t>
            </w:r>
            <w:r w:rsidR="003C172C" w:rsidRPr="003C172C">
              <w:t xml:space="preserve"> </w:t>
            </w:r>
            <w:r w:rsidR="00022E39" w:rsidRPr="003165F6">
              <w:t>per 100</w:t>
            </w:r>
            <w:r w:rsidR="00022E39">
              <w:t xml:space="preserve"> mg pre-filled pen)</w:t>
            </w:r>
          </w:p>
        </w:tc>
        <w:tc>
          <w:tcPr>
            <w:tcW w:w="777" w:type="pct"/>
            <w:vAlign w:val="center"/>
          </w:tcPr>
          <w:p w14:paraId="7E5D89E0" w14:textId="09C697A7" w:rsidR="00475AF4" w:rsidRPr="006D6FD8" w:rsidRDefault="00022E39" w:rsidP="00135EE0">
            <w:pPr>
              <w:pStyle w:val="TableText0"/>
              <w:jc w:val="center"/>
              <w:rPr>
                <w:iCs/>
              </w:rPr>
            </w:pPr>
            <w:r>
              <w:rPr>
                <w:iCs/>
              </w:rPr>
              <w:t>$</w:t>
            </w:r>
            <w:r w:rsidR="003C172C" w:rsidRPr="003C172C">
              <w:rPr>
                <w:iCs/>
                <w:sz w:val="2"/>
                <w:highlight w:val="black"/>
              </w:rPr>
              <w:t>redacted content</w:t>
            </w:r>
          </w:p>
        </w:tc>
        <w:tc>
          <w:tcPr>
            <w:tcW w:w="777" w:type="pct"/>
            <w:vAlign w:val="center"/>
          </w:tcPr>
          <w:p w14:paraId="657F59A6" w14:textId="5DBC0D55" w:rsidR="00475AF4" w:rsidRPr="006D6FD8" w:rsidRDefault="000815C8" w:rsidP="00135EE0">
            <w:pPr>
              <w:pStyle w:val="TableText0"/>
              <w:jc w:val="center"/>
              <w:rPr>
                <w:iCs/>
              </w:rPr>
            </w:pPr>
            <w:r>
              <w:rPr>
                <w:iCs/>
              </w:rPr>
              <w:t>0.418</w:t>
            </w:r>
          </w:p>
        </w:tc>
        <w:tc>
          <w:tcPr>
            <w:tcW w:w="952" w:type="pct"/>
            <w:vAlign w:val="center"/>
          </w:tcPr>
          <w:p w14:paraId="619F1822" w14:textId="066876FF" w:rsidR="00475AF4" w:rsidRPr="00E70CF7" w:rsidRDefault="00A35979" w:rsidP="00135EE0">
            <w:pPr>
              <w:pStyle w:val="TableText0"/>
              <w:jc w:val="center"/>
              <w:rPr>
                <w:iCs/>
                <w:vertAlign w:val="superscript"/>
              </w:rPr>
            </w:pPr>
            <w:r>
              <w:rPr>
                <w:iCs/>
              </w:rPr>
              <w:t>$</w:t>
            </w:r>
            <w:r w:rsidR="003C172C" w:rsidRPr="003C172C">
              <w:rPr>
                <w:iCs/>
                <w:sz w:val="2"/>
                <w:highlight w:val="black"/>
              </w:rPr>
              <w:t>redacted content</w:t>
            </w:r>
            <w:r w:rsidR="00E70CF7">
              <w:rPr>
                <w:iCs/>
                <w:vertAlign w:val="superscript"/>
              </w:rPr>
              <w:t>1</w:t>
            </w:r>
          </w:p>
        </w:tc>
        <w:tc>
          <w:tcPr>
            <w:tcW w:w="600" w:type="pct"/>
            <w:vAlign w:val="center"/>
          </w:tcPr>
          <w:p w14:paraId="2F6DC098" w14:textId="3BDDA8BD" w:rsidR="00475AF4" w:rsidRPr="006D6FD8" w:rsidRDefault="003C172C" w:rsidP="00135EE0">
            <w:pPr>
              <w:pStyle w:val="TableText0"/>
              <w:jc w:val="center"/>
              <w:rPr>
                <w:rFonts w:eastAsia="Calibri"/>
                <w:iCs/>
                <w:szCs w:val="20"/>
              </w:rPr>
            </w:pPr>
            <w:r w:rsidRPr="003C172C">
              <w:rPr>
                <w:rFonts w:eastAsia="Calibri"/>
                <w:iCs/>
                <w:sz w:val="2"/>
                <w:szCs w:val="20"/>
                <w:highlight w:val="black"/>
              </w:rPr>
              <w:t>redacted content</w:t>
            </w:r>
            <w:r w:rsidR="00F13887">
              <w:rPr>
                <w:rFonts w:eastAsia="Calibri"/>
                <w:iCs/>
                <w:szCs w:val="20"/>
              </w:rPr>
              <w:t>%</w:t>
            </w:r>
          </w:p>
        </w:tc>
      </w:tr>
    </w:tbl>
    <w:p w14:paraId="6A4A1F05" w14:textId="77777777" w:rsidR="00BF50CC" w:rsidRPr="00D27683" w:rsidRDefault="00BF50CC" w:rsidP="003338A0">
      <w:pPr>
        <w:pStyle w:val="TableFigureFooter"/>
      </w:pPr>
      <w:r w:rsidRPr="00D27683">
        <w:t>Source: Table 3-51, pp174-175 of the submission. Text in italics was estimated in the evaluation using Attachment ‘Nucala (Mepolizumab) COPD Mar 26 CUA’ of the submission.</w:t>
      </w:r>
    </w:p>
    <w:p w14:paraId="3894EFD6" w14:textId="77777777" w:rsidR="00BF50CC" w:rsidRPr="00D27683" w:rsidRDefault="00BF50CC" w:rsidP="003338A0">
      <w:pPr>
        <w:pStyle w:val="TableFigureFooter"/>
      </w:pPr>
      <w:r w:rsidRPr="00D27683">
        <w:t>CI = confidence interval; COPD = chronic obstructive pulmonary disease; ICER = incremental cost-effectiveness ratio; QALY = quality adjusted life year.</w:t>
      </w:r>
    </w:p>
    <w:p w14:paraId="56F1EB1A" w14:textId="7CB971C0" w:rsidR="00495833" w:rsidRDefault="00372D6E" w:rsidP="003338A0">
      <w:pPr>
        <w:pStyle w:val="TableFigureFooter"/>
      </w:pPr>
      <w:r w:rsidRPr="00D27683">
        <w:rPr>
          <w:vertAlign w:val="superscript"/>
        </w:rPr>
        <w:t>a</w:t>
      </w:r>
      <w:r w:rsidR="00495833" w:rsidRPr="00D27683">
        <w:t xml:space="preserve"> Calculated during the evaluation</w:t>
      </w:r>
      <w:r w:rsidR="008D6DB4" w:rsidRPr="00D27683">
        <w:t xml:space="preserve"> </w:t>
      </w:r>
      <w:r w:rsidR="008D6DB4" w:rsidRPr="006D6FD8">
        <w:t xml:space="preserve">and during the preparation of the ESC </w:t>
      </w:r>
      <w:r w:rsidR="00742654" w:rsidRPr="006D6FD8">
        <w:t xml:space="preserve">DUSC </w:t>
      </w:r>
      <w:r w:rsidR="008D6DB4" w:rsidRPr="006D6FD8">
        <w:t>advice</w:t>
      </w:r>
      <w:r w:rsidR="00495833" w:rsidRPr="006D6FD8">
        <w:t>.</w:t>
      </w:r>
    </w:p>
    <w:p w14:paraId="2270EB84" w14:textId="2CC8C7A7" w:rsidR="00417E37" w:rsidRPr="00203805" w:rsidRDefault="00417E37" w:rsidP="003338A0">
      <w:pPr>
        <w:pStyle w:val="TableFigureFooter"/>
      </w:pPr>
      <w:r>
        <w:rPr>
          <w:vertAlign w:val="superscript"/>
        </w:rPr>
        <w:lastRenderedPageBreak/>
        <w:t>b</w:t>
      </w:r>
      <w:r>
        <w:t xml:space="preserve"> The </w:t>
      </w:r>
      <w:r w:rsidR="00E45208">
        <w:t xml:space="preserve">0 to </w:t>
      </w:r>
      <w:r w:rsidRPr="00203805">
        <w:t xml:space="preserve">12-month stopping rule discontinuation </w:t>
      </w:r>
      <w:r w:rsidR="00694E0A">
        <w:t>probabilities</w:t>
      </w:r>
      <w:r w:rsidRPr="00203805">
        <w:t xml:space="preserve"> (</w:t>
      </w:r>
      <w:r w:rsidR="00C32664">
        <w:t xml:space="preserve">moderate = </w:t>
      </w:r>
      <w:r w:rsidRPr="00203805">
        <w:t>12.64</w:t>
      </w:r>
      <w:r w:rsidR="00C32664">
        <w:t xml:space="preserve">%, </w:t>
      </w:r>
      <w:r w:rsidR="00C5767D">
        <w:t>Severe</w:t>
      </w:r>
      <w:r w:rsidR="00011B31">
        <w:t xml:space="preserve">/Post-Severe </w:t>
      </w:r>
      <w:r w:rsidR="00C5767D">
        <w:t>= 42.57%; Frequent Severe = 34.74%</w:t>
      </w:r>
      <w:r w:rsidRPr="00203805">
        <w:t xml:space="preserve">) </w:t>
      </w:r>
      <w:r>
        <w:t xml:space="preserve">applied </w:t>
      </w:r>
      <w:r w:rsidRPr="00203805">
        <w:t>every 6 months</w:t>
      </w:r>
      <w:r>
        <w:t>.</w:t>
      </w:r>
    </w:p>
    <w:p w14:paraId="4840FECA" w14:textId="73B5FA1D" w:rsidR="00BF50CC" w:rsidRDefault="0030385C" w:rsidP="003338A0">
      <w:pPr>
        <w:pStyle w:val="TableFigureFooter"/>
      </w:pPr>
      <w:r>
        <w:rPr>
          <w:vertAlign w:val="superscript"/>
        </w:rPr>
        <w:t>c</w:t>
      </w:r>
      <w:r w:rsidR="00BF50CC" w:rsidRPr="00D27683">
        <w:t xml:space="preserve"> Pooled COPD trials comprise pooled data from MATINEE, METREX, METREO, IMPACT, ECLIPSE, where data from METREX, METREO, IMPACT, ELIPSE were limited to subgroup with ≥2 moderate or ≥1 severe exacerbation in the prior year and BEC ≥300 cells/µL while on optimised inhaled therapy. Only the </w:t>
      </w:r>
      <w:r w:rsidR="00B51B84" w:rsidRPr="00D27683">
        <w:t>mepolizumab</w:t>
      </w:r>
      <w:r w:rsidR="00BF50CC" w:rsidRPr="00D27683">
        <w:t xml:space="preserve"> dosage of 100mg SC from the METREO trial was included. </w:t>
      </w:r>
    </w:p>
    <w:p w14:paraId="1E0C4423" w14:textId="21208BA2" w:rsidR="00216AA2" w:rsidRPr="004D05A9" w:rsidRDefault="0030385C" w:rsidP="003338A0">
      <w:pPr>
        <w:pStyle w:val="TableFigureFooter"/>
      </w:pPr>
      <w:r>
        <w:rPr>
          <w:vertAlign w:val="superscript"/>
        </w:rPr>
        <w:t>d</w:t>
      </w:r>
      <w:r>
        <w:t xml:space="preserve"> </w:t>
      </w:r>
      <w:r w:rsidR="00E45208" w:rsidRPr="00203805">
        <w:t>12</w:t>
      </w:r>
      <w:r w:rsidR="00E45208">
        <w:t xml:space="preserve">-24 </w:t>
      </w:r>
      <w:r w:rsidR="00E45208" w:rsidRPr="00203805">
        <w:t xml:space="preserve">month stopping rule discontinuation </w:t>
      </w:r>
      <w:r w:rsidR="00E45208">
        <w:t>probabilities</w:t>
      </w:r>
      <w:r w:rsidR="00E45208" w:rsidRPr="00203805">
        <w:t xml:space="preserve"> (</w:t>
      </w:r>
      <w:r w:rsidR="00E45208">
        <w:t xml:space="preserve">moderate = </w:t>
      </w:r>
      <w:r w:rsidR="00285C50">
        <w:t>8.85</w:t>
      </w:r>
      <w:r w:rsidR="00E45208">
        <w:t xml:space="preserve">%, Severe/Post-Severe = </w:t>
      </w:r>
      <w:r w:rsidR="00445EDB">
        <w:t>29.29</w:t>
      </w:r>
      <w:r w:rsidR="00E45208">
        <w:t xml:space="preserve">%; Frequent Severe = </w:t>
      </w:r>
      <w:r w:rsidR="00445EDB">
        <w:t>24.04</w:t>
      </w:r>
      <w:r w:rsidR="00E45208">
        <w:t>%</w:t>
      </w:r>
      <w:r w:rsidR="00E45208" w:rsidRPr="00203805">
        <w:t xml:space="preserve">) </w:t>
      </w:r>
      <w:r w:rsidR="00E45208">
        <w:t xml:space="preserve">applied </w:t>
      </w:r>
      <w:r w:rsidR="00E45208" w:rsidRPr="00203805">
        <w:t>every 6 months</w:t>
      </w:r>
      <w:r w:rsidR="00E45208">
        <w:t>.</w:t>
      </w:r>
      <w:r w:rsidR="00216AA2">
        <w:br/>
        <w:t>The redacted values correspond to the following ranges:</w:t>
      </w:r>
      <w:r w:rsidR="00216AA2">
        <w:br/>
      </w:r>
      <w:r w:rsidR="00216AA2">
        <w:rPr>
          <w:vertAlign w:val="superscript"/>
        </w:rPr>
        <w:t>1</w:t>
      </w:r>
      <w:r w:rsidR="00216AA2">
        <w:t xml:space="preserve"> $55,000 to &lt; $75,000</w:t>
      </w:r>
      <w:r w:rsidR="00216AA2">
        <w:br/>
      </w:r>
      <w:r w:rsidR="00216AA2">
        <w:rPr>
          <w:vertAlign w:val="superscript"/>
        </w:rPr>
        <w:t>2</w:t>
      </w:r>
      <w:r w:rsidR="00216AA2">
        <w:t xml:space="preserve"> $</w:t>
      </w:r>
      <w:r w:rsidR="00E7481E">
        <w:t>95,000 to &lt; $115,000</w:t>
      </w:r>
      <w:r w:rsidR="00E7481E">
        <w:br/>
      </w:r>
      <w:r w:rsidR="00E7481E">
        <w:rPr>
          <w:vertAlign w:val="superscript"/>
        </w:rPr>
        <w:t>3</w:t>
      </w:r>
      <w:r w:rsidR="00E7481E">
        <w:t xml:space="preserve"> $75,000 to &lt; $95,000</w:t>
      </w:r>
      <w:r w:rsidR="003F5347">
        <w:br/>
      </w:r>
      <w:r w:rsidR="003F5347">
        <w:rPr>
          <w:vertAlign w:val="superscript"/>
        </w:rPr>
        <w:t>4</w:t>
      </w:r>
      <w:r w:rsidR="003F5347">
        <w:t xml:space="preserve"> &gt; $1,055,000</w:t>
      </w:r>
      <w:r w:rsidR="003F5347">
        <w:br/>
      </w:r>
      <w:r w:rsidR="003F5347">
        <w:rPr>
          <w:vertAlign w:val="superscript"/>
        </w:rPr>
        <w:t>5</w:t>
      </w:r>
      <w:r w:rsidR="003F5347">
        <w:t xml:space="preserve"> </w:t>
      </w:r>
      <w:r w:rsidR="004D05A9">
        <w:t>$45,000 to &lt; $55,000</w:t>
      </w:r>
    </w:p>
    <w:p w14:paraId="49C9C4BE" w14:textId="768E855D" w:rsidR="007C1ECC" w:rsidRPr="007C1ECC" w:rsidRDefault="004D7FF7" w:rsidP="00135EE0">
      <w:pPr>
        <w:pStyle w:val="3-BodyText"/>
      </w:pPr>
      <w:bookmarkStart w:id="157" w:name="_Ref225935294"/>
      <w:r w:rsidRPr="00E06D31">
        <w:t>The ICERs</w:t>
      </w:r>
      <w:r w:rsidR="0013267E">
        <w:t xml:space="preserve"> for </w:t>
      </w:r>
      <w:r w:rsidR="00EE670B">
        <w:t>PBAC recommendations</w:t>
      </w:r>
      <w:r w:rsidRPr="00E06D31">
        <w:t xml:space="preserve"> for </w:t>
      </w:r>
      <w:r w:rsidR="002F5513" w:rsidRPr="00E06D31">
        <w:t xml:space="preserve">related conditions </w:t>
      </w:r>
      <w:r w:rsidR="008578EC" w:rsidRPr="00E06D31">
        <w:t>includ</w:t>
      </w:r>
      <w:r w:rsidR="000A61A0">
        <w:t>e</w:t>
      </w:r>
      <w:r w:rsidR="008578EC" w:rsidRPr="00E06D31">
        <w:t xml:space="preserve"> </w:t>
      </w:r>
      <w:r w:rsidR="00D86C54" w:rsidRPr="00E06D31">
        <w:t>$40,000</w:t>
      </w:r>
      <w:r w:rsidR="001132E5" w:rsidRPr="00E06D31">
        <w:t xml:space="preserve"> - $45,000 per QALY </w:t>
      </w:r>
      <w:r w:rsidR="00F36588" w:rsidRPr="00E06D31">
        <w:t xml:space="preserve">for </w:t>
      </w:r>
      <w:r w:rsidR="001F5D95" w:rsidRPr="00E06D31">
        <w:t xml:space="preserve">omalizumab </w:t>
      </w:r>
      <w:r w:rsidR="00B27531" w:rsidRPr="00E06D31">
        <w:t>for uncontrolled severe allergic asthma</w:t>
      </w:r>
      <w:r w:rsidR="009302BA" w:rsidRPr="00E06D31">
        <w:t xml:space="preserve"> (</w:t>
      </w:r>
      <w:r w:rsidR="00503E0C" w:rsidRPr="00E06D31">
        <w:t xml:space="preserve">omalizumab PSD, November </w:t>
      </w:r>
      <w:r w:rsidR="003910BD" w:rsidRPr="00E06D31">
        <w:t>2010</w:t>
      </w:r>
      <w:r w:rsidR="005D2C51" w:rsidRPr="00E06D31">
        <w:t xml:space="preserve"> PBAC Meeting</w:t>
      </w:r>
      <w:r w:rsidR="003910BD" w:rsidRPr="00E06D31">
        <w:t xml:space="preserve">) </w:t>
      </w:r>
      <w:r w:rsidR="0039442E" w:rsidRPr="00E06D31">
        <w:t xml:space="preserve">and $45,000 </w:t>
      </w:r>
      <w:r w:rsidR="009251B7" w:rsidRPr="00E06D31">
        <w:t>to &lt; $55</w:t>
      </w:r>
      <w:r w:rsidR="006E484B" w:rsidRPr="00E06D31">
        <w:t xml:space="preserve">,000 per QALY gained for </w:t>
      </w:r>
      <w:proofErr w:type="spellStart"/>
      <w:r w:rsidR="006E484B" w:rsidRPr="00E06D31">
        <w:t>tezepelumab</w:t>
      </w:r>
      <w:proofErr w:type="spellEnd"/>
      <w:r w:rsidR="006E484B" w:rsidRPr="00E06D31">
        <w:t xml:space="preserve"> for non-eosinophilic and non-allergic </w:t>
      </w:r>
      <w:r w:rsidR="005D2C51" w:rsidRPr="00E06D31">
        <w:t>severe uncontrolled asthma (</w:t>
      </w:r>
      <w:r w:rsidR="00E02772" w:rsidRPr="00E06D31">
        <w:t xml:space="preserve">paragraph </w:t>
      </w:r>
      <w:r w:rsidR="000E6EBD" w:rsidRPr="00E06D31">
        <w:t xml:space="preserve">7.11, </w:t>
      </w:r>
      <w:proofErr w:type="spellStart"/>
      <w:r w:rsidR="005D2C51" w:rsidRPr="00E06D31">
        <w:t>tezepelumab</w:t>
      </w:r>
      <w:proofErr w:type="spellEnd"/>
      <w:r w:rsidR="005D2C51" w:rsidRPr="00E06D31">
        <w:t xml:space="preserve"> PSD, November 2025 PBAC Meeting). </w:t>
      </w:r>
      <w:r w:rsidR="0074103E" w:rsidRPr="00E06D31">
        <w:t>The net cost to the PBS</w:t>
      </w:r>
      <w:r w:rsidR="00D63F5F" w:rsidRPr="00E06D31">
        <w:t xml:space="preserve">/RPBS </w:t>
      </w:r>
      <w:r w:rsidR="005C1756" w:rsidRPr="00E06D31">
        <w:t xml:space="preserve">for omalizumab was </w:t>
      </w:r>
      <w:r w:rsidR="00451F70" w:rsidRPr="00E06D31">
        <w:t xml:space="preserve">estimated </w:t>
      </w:r>
      <w:r w:rsidR="00E72770" w:rsidRPr="00E06D31">
        <w:t xml:space="preserve">by the submission </w:t>
      </w:r>
      <w:r w:rsidR="00451F70" w:rsidRPr="00E06D31">
        <w:t xml:space="preserve">to be less than $10 million in any of the first 5 years </w:t>
      </w:r>
      <w:r w:rsidR="00F471C2" w:rsidRPr="00E06D31">
        <w:t xml:space="preserve">(omalizumab PSD, November 2010 PBAC Meeting). </w:t>
      </w:r>
      <w:r w:rsidR="00BE5329" w:rsidRPr="00E06D31">
        <w:t xml:space="preserve">The net cost </w:t>
      </w:r>
      <w:r w:rsidR="007B6CE1" w:rsidRPr="00E06D31">
        <w:t xml:space="preserve">to the PBS/RPBS for </w:t>
      </w:r>
      <w:r w:rsidR="00E72770" w:rsidRPr="00E06D31">
        <w:t xml:space="preserve">of listing </w:t>
      </w:r>
      <w:proofErr w:type="spellStart"/>
      <w:r w:rsidR="00E72770" w:rsidRPr="00E06D31">
        <w:t>tezepelumab</w:t>
      </w:r>
      <w:proofErr w:type="spellEnd"/>
      <w:r w:rsidR="00E72770" w:rsidRPr="00E06D31">
        <w:t xml:space="preserve"> was estimated by the submission to be $30 million to &lt; $40 million in Year 6, and a total of $100 million to &lt; $200 million in the first 6 years of listing</w:t>
      </w:r>
      <w:r w:rsidR="0053150C">
        <w:t xml:space="preserve"> (paragraph 6.84, </w:t>
      </w:r>
      <w:proofErr w:type="spellStart"/>
      <w:r w:rsidR="0053150C">
        <w:t>tezepelumab</w:t>
      </w:r>
      <w:proofErr w:type="spellEnd"/>
      <w:r w:rsidR="0053150C">
        <w:t xml:space="preserve"> </w:t>
      </w:r>
      <w:r w:rsidR="00BB4B8E">
        <w:t>PSD</w:t>
      </w:r>
      <w:r w:rsidR="007812B4">
        <w:t>, November 2025 PBAC Meeting)</w:t>
      </w:r>
      <w:r w:rsidR="00E06D31" w:rsidRPr="00E06D31">
        <w:t>.</w:t>
      </w:r>
      <w:r w:rsidR="005D45D2">
        <w:t xml:space="preserve"> </w:t>
      </w:r>
      <w:r w:rsidR="00110BE7">
        <w:t xml:space="preserve">The PBAC has previously suggested </w:t>
      </w:r>
      <w:r w:rsidR="005C59D2">
        <w:t xml:space="preserve">lower </w:t>
      </w:r>
      <w:r w:rsidR="009B20BA">
        <w:t xml:space="preserve">acceptable </w:t>
      </w:r>
      <w:r w:rsidR="004306B5">
        <w:t xml:space="preserve">ICERs for other conditions </w:t>
      </w:r>
      <w:r w:rsidR="003E1926">
        <w:t xml:space="preserve">with larger numbers of eligible patients and </w:t>
      </w:r>
      <w:r w:rsidR="00635798">
        <w:t xml:space="preserve">larger estimated </w:t>
      </w:r>
      <w:r w:rsidR="00B52A23">
        <w:t xml:space="preserve">net costs </w:t>
      </w:r>
      <w:r w:rsidR="005C59D2">
        <w:t>to the PBS/RPBS</w:t>
      </w:r>
      <w:r w:rsidR="00B92FEE">
        <w:t xml:space="preserve"> than those reported for omalizumab and </w:t>
      </w:r>
      <w:proofErr w:type="spellStart"/>
      <w:r w:rsidR="00B92FEE">
        <w:t>tezepelumab</w:t>
      </w:r>
      <w:proofErr w:type="spellEnd"/>
      <w:r w:rsidR="005C59D2">
        <w:t>.</w:t>
      </w:r>
      <w:r w:rsidR="00C96D97">
        <w:t xml:space="preserve"> </w:t>
      </w:r>
      <w:r w:rsidR="00EB020A">
        <w:t xml:space="preserve">An ICER </w:t>
      </w:r>
      <w:r w:rsidR="003A4DD6">
        <w:t>of less than $15</w:t>
      </w:r>
      <w:r w:rsidR="00A011B3">
        <w:t xml:space="preserve">,000 - $45,000 per QALY was accepted for </w:t>
      </w:r>
      <w:proofErr w:type="spellStart"/>
      <w:r w:rsidR="00A011B3">
        <w:t>evolocumab</w:t>
      </w:r>
      <w:proofErr w:type="spellEnd"/>
      <w:r w:rsidR="00A011B3">
        <w:t xml:space="preserve"> </w:t>
      </w:r>
      <w:r w:rsidR="003414AC">
        <w:t xml:space="preserve">(paragraph </w:t>
      </w:r>
      <w:r w:rsidR="00866B4E">
        <w:t xml:space="preserve">5.8, </w:t>
      </w:r>
      <w:proofErr w:type="spellStart"/>
      <w:r w:rsidR="00866B4E">
        <w:t>evolocumab</w:t>
      </w:r>
      <w:proofErr w:type="spellEnd"/>
      <w:r w:rsidR="00866B4E">
        <w:t xml:space="preserve"> PSD, November 2019 PBAC Meeting), </w:t>
      </w:r>
      <w:r w:rsidR="00B4650B">
        <w:t>an ICER</w:t>
      </w:r>
      <w:r w:rsidR="00866B4E">
        <w:t xml:space="preserve"> </w:t>
      </w:r>
      <w:r w:rsidR="00EB020A">
        <w:t xml:space="preserve">in the order of $30,000 per QALY gained was considered appropriate </w:t>
      </w:r>
      <w:r w:rsidR="00FF6E4B">
        <w:t xml:space="preserve">in the PBAC’s deferral of </w:t>
      </w:r>
      <w:r w:rsidR="0082333D">
        <w:t>tirzepatide for the treatment of ad</w:t>
      </w:r>
      <w:r w:rsidR="008D3EDD">
        <w:t xml:space="preserve">ult patients with inadequately controlled </w:t>
      </w:r>
      <w:r w:rsidR="00F22697">
        <w:t>type 2 diabetes</w:t>
      </w:r>
      <w:r w:rsidR="00672362">
        <w:t xml:space="preserve"> </w:t>
      </w:r>
      <w:r w:rsidR="00FF6E4B">
        <w:t>(</w:t>
      </w:r>
      <w:r w:rsidR="00F61CE8">
        <w:t>paragraph</w:t>
      </w:r>
      <w:r w:rsidR="00EE06D7">
        <w:t xml:space="preserve"> </w:t>
      </w:r>
      <w:r w:rsidR="008748FB">
        <w:t>7.9, tirzepatide PSD, July 2025 PBAC Meeting)</w:t>
      </w:r>
      <w:r w:rsidR="00C01395">
        <w:t xml:space="preserve">, </w:t>
      </w:r>
      <w:r w:rsidR="00B4650B">
        <w:t xml:space="preserve">and an ICER of </w:t>
      </w:r>
      <w:r w:rsidR="00C01395">
        <w:t>up to $25,000 per QALY</w:t>
      </w:r>
      <w:r w:rsidR="00D51975">
        <w:t xml:space="preserve"> gained </w:t>
      </w:r>
      <w:r w:rsidR="00E3318E">
        <w:t xml:space="preserve">for </w:t>
      </w:r>
      <w:r w:rsidR="005413BA">
        <w:t xml:space="preserve">semaglutide for use </w:t>
      </w:r>
      <w:r w:rsidR="007879A2">
        <w:t xml:space="preserve">in patients with established cardiovascular disease with obesity </w:t>
      </w:r>
      <w:r w:rsidR="00124B5C">
        <w:t>accepted</w:t>
      </w:r>
      <w:r w:rsidR="006A17C3">
        <w:t xml:space="preserve"> (paragraph 7.12, semaglutide </w:t>
      </w:r>
      <w:r w:rsidR="0058743F">
        <w:t>PSD, November 2025 PBAC Meeting)</w:t>
      </w:r>
      <w:r w:rsidR="00124B5C">
        <w:t>.</w:t>
      </w:r>
      <w:bookmarkEnd w:id="157"/>
    </w:p>
    <w:p w14:paraId="007B6A52" w14:textId="77777777" w:rsidR="00BF50CC" w:rsidRPr="00D27683" w:rsidRDefault="00BF50CC" w:rsidP="00135EE0">
      <w:pPr>
        <w:pStyle w:val="4-SubsectionHeading"/>
      </w:pPr>
      <w:bookmarkStart w:id="158" w:name="_Toc22897646"/>
      <w:bookmarkStart w:id="159" w:name="_Toc219884822"/>
      <w:r w:rsidRPr="00D27683">
        <w:t>Mepolizumab cost/patient/year</w:t>
      </w:r>
      <w:bookmarkEnd w:id="158"/>
      <w:bookmarkEnd w:id="159"/>
    </w:p>
    <w:p w14:paraId="3DAD3C32" w14:textId="376BE1ED" w:rsidR="00BF50CC" w:rsidRDefault="00996A36" w:rsidP="00135EE0">
      <w:pPr>
        <w:pStyle w:val="3-BodyText"/>
      </w:pPr>
      <w:bookmarkStart w:id="160" w:name="_Ref104805102"/>
      <w:r>
        <w:t xml:space="preserve">The </w:t>
      </w:r>
      <w:r w:rsidR="00C435F4">
        <w:t>c</w:t>
      </w:r>
      <w:r w:rsidR="00BF50CC" w:rsidRPr="00D27683">
        <w:t xml:space="preserve">ost/patient/year estimated in the evaluation is presented in </w:t>
      </w:r>
      <w:r w:rsidR="00BF50CC" w:rsidRPr="00D27683">
        <w:fldChar w:fldCharType="begin"/>
      </w:r>
      <w:r w:rsidR="00BF50CC" w:rsidRPr="00D27683">
        <w:instrText xml:space="preserve"> REF _Ref217395365 \h  \* MERGEFORMAT </w:instrText>
      </w:r>
      <w:r w:rsidR="00BF50CC" w:rsidRPr="00D27683">
        <w:fldChar w:fldCharType="separate"/>
      </w:r>
      <w:r w:rsidR="00FA28CE" w:rsidRPr="00D27683">
        <w:t xml:space="preserve">Table </w:t>
      </w:r>
      <w:r w:rsidR="006B52CE">
        <w:rPr>
          <w:noProof/>
        </w:rPr>
        <w:t>18</w:t>
      </w:r>
      <w:r w:rsidR="00BF50CC" w:rsidRPr="00D27683">
        <w:fldChar w:fldCharType="end"/>
      </w:r>
      <w:r w:rsidR="00BF50CC" w:rsidRPr="00D27683">
        <w:t xml:space="preserve">. For the economic model and financial estimates, the stopping rule at 6 and 12 months was applied per </w:t>
      </w:r>
      <w:r w:rsidR="00B94230">
        <w:fldChar w:fldCharType="begin"/>
      </w:r>
      <w:r w:rsidR="00B94230">
        <w:instrText xml:space="preserve"> REF _Ref217383489 \h </w:instrText>
      </w:r>
      <w:r w:rsidR="00B94230">
        <w:fldChar w:fldCharType="separate"/>
      </w:r>
      <w:r w:rsidR="00B94230" w:rsidRPr="00D27683">
        <w:t xml:space="preserve">Table </w:t>
      </w:r>
      <w:r w:rsidR="00B94230">
        <w:rPr>
          <w:noProof/>
        </w:rPr>
        <w:t>13</w:t>
      </w:r>
      <w:r w:rsidR="00B94230">
        <w:fldChar w:fldCharType="end"/>
      </w:r>
      <w:r w:rsidR="00BF50CC" w:rsidRPr="00D27683">
        <w:t>.</w:t>
      </w:r>
    </w:p>
    <w:p w14:paraId="3A132611" w14:textId="132F69DE" w:rsidR="000A0472" w:rsidRPr="00D27683" w:rsidRDefault="000A0472" w:rsidP="00135EE0">
      <w:pPr>
        <w:pStyle w:val="3-BodyText"/>
      </w:pPr>
      <w:r>
        <w:t>The Pre-PBAC Response proposed a revised effective EMP of $</w:t>
      </w:r>
      <w:r w:rsidR="003C172C" w:rsidRPr="003C172C">
        <w:rPr>
          <w:sz w:val="2"/>
          <w:highlight w:val="black"/>
        </w:rPr>
        <w:t>redacted content</w:t>
      </w:r>
      <w:r>
        <w:t xml:space="preserve"> per 100 mg pre-filled pen.</w:t>
      </w:r>
    </w:p>
    <w:p w14:paraId="39EB1701" w14:textId="19E5A6CC" w:rsidR="00BF50CC" w:rsidRPr="00D27683" w:rsidRDefault="00BF50CC" w:rsidP="00135EE0">
      <w:pPr>
        <w:pStyle w:val="Caption"/>
        <w:rPr>
          <w:rStyle w:val="CommentReference"/>
          <w:b/>
          <w:szCs w:val="24"/>
        </w:rPr>
      </w:pPr>
      <w:bookmarkStart w:id="161" w:name="_Ref217395365"/>
      <w:r w:rsidRPr="00D27683">
        <w:lastRenderedPageBreak/>
        <w:t xml:space="preserve">Table </w:t>
      </w:r>
      <w:fldSimple w:instr=" SEQ Table \* ARABIC ">
        <w:r w:rsidR="00FA28CE">
          <w:rPr>
            <w:noProof/>
          </w:rPr>
          <w:t>18</w:t>
        </w:r>
      </w:fldSimple>
      <w:bookmarkEnd w:id="160"/>
      <w:bookmarkEnd w:id="161"/>
      <w:r w:rsidRPr="00D27683">
        <w:t>:</w:t>
      </w:r>
      <w:r w:rsidRPr="00D27683">
        <w:rPr>
          <w:rStyle w:val="CommentReference"/>
          <w:b/>
          <w:szCs w:val="24"/>
        </w:rPr>
        <w:t xml:space="preserve"> Drug cost per patient for </w:t>
      </w:r>
      <w:r w:rsidR="00B51B84" w:rsidRPr="00D27683">
        <w:rPr>
          <w:rStyle w:val="CommentReference"/>
          <w:b/>
          <w:szCs w:val="24"/>
        </w:rPr>
        <w:t>mepolizumab</w:t>
      </w:r>
      <w:r w:rsidRPr="00D27683">
        <w:rPr>
          <w:rStyle w:val="CommentReference"/>
          <w:b/>
          <w:szCs w:val="24"/>
        </w:rPr>
        <w:t xml:space="preserve"> and </w:t>
      </w:r>
      <w:r w:rsidRPr="00D27683">
        <w:t>triple inhaled therapy alone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Drug cost per patient for mepolizumab and triple inhaled therapy alone"/>
      </w:tblPr>
      <w:tblGrid>
        <w:gridCol w:w="2261"/>
        <w:gridCol w:w="2258"/>
        <w:gridCol w:w="2251"/>
        <w:gridCol w:w="2247"/>
      </w:tblGrid>
      <w:tr w:rsidR="00DD65C7" w:rsidRPr="00D27683" w14:paraId="4F8C41FA" w14:textId="77777777">
        <w:trPr>
          <w:cantSplit/>
          <w:tblHeader/>
          <w:jc w:val="center"/>
        </w:trPr>
        <w:tc>
          <w:tcPr>
            <w:tcW w:w="1254" w:type="pct"/>
            <w:tcBorders>
              <w:right w:val="single" w:sz="4" w:space="0" w:color="auto"/>
            </w:tcBorders>
            <w:vAlign w:val="center"/>
          </w:tcPr>
          <w:p w14:paraId="0ADE5270" w14:textId="77777777" w:rsidR="00BF50CC" w:rsidRPr="00D27683" w:rsidRDefault="00BF50CC" w:rsidP="00135EE0">
            <w:pPr>
              <w:pStyle w:val="In-tableHeading"/>
              <w:rPr>
                <w:lang w:val="en-AU"/>
              </w:rPr>
            </w:pPr>
          </w:p>
        </w:tc>
        <w:tc>
          <w:tcPr>
            <w:tcW w:w="1252" w:type="pct"/>
            <w:tcBorders>
              <w:top w:val="single" w:sz="4" w:space="0" w:color="auto"/>
              <w:left w:val="single" w:sz="4" w:space="0" w:color="auto"/>
              <w:bottom w:val="single" w:sz="4" w:space="0" w:color="auto"/>
              <w:right w:val="single" w:sz="4" w:space="0" w:color="auto"/>
            </w:tcBorders>
            <w:vAlign w:val="center"/>
          </w:tcPr>
          <w:p w14:paraId="0E0D5AB2" w14:textId="6506CCF3" w:rsidR="00BF50CC" w:rsidRPr="00D27683" w:rsidRDefault="00B51B84" w:rsidP="00135EE0">
            <w:pPr>
              <w:pStyle w:val="In-tableHeading"/>
              <w:jc w:val="center"/>
              <w:rPr>
                <w:lang w:val="en-AU"/>
              </w:rPr>
            </w:pPr>
            <w:r w:rsidRPr="00D27683">
              <w:rPr>
                <w:lang w:val="en-AU"/>
              </w:rPr>
              <w:t>T</w:t>
            </w:r>
            <w:r w:rsidR="00BF50CC" w:rsidRPr="00D27683">
              <w:rPr>
                <w:lang w:val="en-AU"/>
              </w:rPr>
              <w:t>rial dose and duration</w:t>
            </w:r>
          </w:p>
        </w:tc>
        <w:tc>
          <w:tcPr>
            <w:tcW w:w="1248" w:type="pct"/>
            <w:tcBorders>
              <w:top w:val="single" w:sz="4" w:space="0" w:color="auto"/>
              <w:left w:val="single" w:sz="4" w:space="0" w:color="auto"/>
              <w:bottom w:val="single" w:sz="4" w:space="0" w:color="auto"/>
              <w:right w:val="single" w:sz="4" w:space="0" w:color="auto"/>
            </w:tcBorders>
            <w:vAlign w:val="center"/>
          </w:tcPr>
          <w:p w14:paraId="315D277F" w14:textId="6045D85E" w:rsidR="00BF50CC" w:rsidRPr="00D27683" w:rsidRDefault="00B51B84" w:rsidP="00135EE0">
            <w:pPr>
              <w:pStyle w:val="In-tableHeading"/>
              <w:jc w:val="center"/>
              <w:rPr>
                <w:lang w:val="en-AU"/>
              </w:rPr>
            </w:pPr>
            <w:r w:rsidRPr="00D27683">
              <w:rPr>
                <w:lang w:val="en-AU"/>
              </w:rPr>
              <w:t>Economic m</w:t>
            </w:r>
            <w:r w:rsidR="00BF50CC" w:rsidRPr="00D27683">
              <w:rPr>
                <w:lang w:val="en-AU"/>
              </w:rPr>
              <w:t>odel</w:t>
            </w:r>
          </w:p>
        </w:tc>
        <w:tc>
          <w:tcPr>
            <w:tcW w:w="1246" w:type="pct"/>
            <w:tcBorders>
              <w:top w:val="single" w:sz="4" w:space="0" w:color="auto"/>
              <w:left w:val="single" w:sz="4" w:space="0" w:color="auto"/>
              <w:bottom w:val="single" w:sz="4" w:space="0" w:color="auto"/>
              <w:right w:val="single" w:sz="4" w:space="0" w:color="auto"/>
            </w:tcBorders>
            <w:vAlign w:val="center"/>
          </w:tcPr>
          <w:p w14:paraId="5DC0FBE4" w14:textId="30D65109" w:rsidR="00BF50CC" w:rsidRPr="00D27683" w:rsidRDefault="00BF50CC" w:rsidP="00135EE0">
            <w:pPr>
              <w:pStyle w:val="In-tableHeading"/>
              <w:jc w:val="center"/>
              <w:rPr>
                <w:lang w:val="en-AU"/>
              </w:rPr>
            </w:pPr>
            <w:r w:rsidRPr="00D27683">
              <w:rPr>
                <w:lang w:val="en-AU"/>
              </w:rPr>
              <w:t xml:space="preserve"> Financial estimates</w:t>
            </w:r>
          </w:p>
        </w:tc>
      </w:tr>
      <w:tr w:rsidR="00F75BF5" w:rsidRPr="00D27683" w14:paraId="7C28ACAA" w14:textId="77777777">
        <w:trPr>
          <w:cantSplit/>
          <w:jc w:val="center"/>
        </w:trPr>
        <w:tc>
          <w:tcPr>
            <w:tcW w:w="1254" w:type="pct"/>
            <w:tcBorders>
              <w:right w:val="single" w:sz="4" w:space="0" w:color="auto"/>
            </w:tcBorders>
            <w:vAlign w:val="center"/>
          </w:tcPr>
          <w:p w14:paraId="52CC0017" w14:textId="77777777" w:rsidR="00BF50CC" w:rsidRPr="00D27683" w:rsidRDefault="00BF50CC" w:rsidP="00135EE0">
            <w:pPr>
              <w:pStyle w:val="TableText0"/>
            </w:pPr>
            <w:r w:rsidRPr="00D27683">
              <w:t>Mean dose</w:t>
            </w:r>
          </w:p>
        </w:tc>
        <w:tc>
          <w:tcPr>
            <w:tcW w:w="3746" w:type="pct"/>
            <w:gridSpan w:val="3"/>
            <w:tcBorders>
              <w:top w:val="single" w:sz="4" w:space="0" w:color="auto"/>
              <w:left w:val="single" w:sz="4" w:space="0" w:color="auto"/>
              <w:bottom w:val="single" w:sz="4" w:space="0" w:color="auto"/>
              <w:right w:val="single" w:sz="4" w:space="0" w:color="auto"/>
            </w:tcBorders>
            <w:vAlign w:val="center"/>
          </w:tcPr>
          <w:p w14:paraId="772C5E40" w14:textId="223F1D8B" w:rsidR="00BF50CC" w:rsidRPr="00D27683" w:rsidRDefault="00BF50CC" w:rsidP="00135EE0">
            <w:pPr>
              <w:pStyle w:val="TableText0"/>
              <w:jc w:val="center"/>
              <w:rPr>
                <w:bCs w:val="0"/>
              </w:rPr>
            </w:pPr>
            <w:r w:rsidRPr="00D27683">
              <w:rPr>
                <w:bCs w:val="0"/>
              </w:rPr>
              <w:t>1</w:t>
            </w:r>
            <w:r w:rsidR="008A35C6">
              <w:rPr>
                <w:bCs w:val="0"/>
              </w:rPr>
              <w:t>00 mg</w:t>
            </w:r>
            <w:r w:rsidRPr="00D27683">
              <w:rPr>
                <w:bCs w:val="0"/>
              </w:rPr>
              <w:t xml:space="preserve"> every 4 weeks</w:t>
            </w:r>
          </w:p>
        </w:tc>
      </w:tr>
      <w:tr w:rsidR="00FD2FC3" w:rsidRPr="00D27683" w14:paraId="4F26EDD7" w14:textId="77777777">
        <w:trPr>
          <w:cantSplit/>
          <w:jc w:val="center"/>
        </w:trPr>
        <w:tc>
          <w:tcPr>
            <w:tcW w:w="1254" w:type="pct"/>
            <w:tcBorders>
              <w:right w:val="single" w:sz="4" w:space="0" w:color="auto"/>
            </w:tcBorders>
            <w:vAlign w:val="center"/>
          </w:tcPr>
          <w:p w14:paraId="3F74F9DB" w14:textId="77777777" w:rsidR="00BF50CC" w:rsidRPr="00D27683" w:rsidRDefault="00BF50CC" w:rsidP="00135EE0">
            <w:pPr>
              <w:pStyle w:val="TableText0"/>
            </w:pPr>
            <w:r w:rsidRPr="00D27683">
              <w:t>Mean duration (months)</w:t>
            </w:r>
          </w:p>
        </w:tc>
        <w:tc>
          <w:tcPr>
            <w:tcW w:w="1252" w:type="pct"/>
            <w:tcBorders>
              <w:top w:val="single" w:sz="4" w:space="0" w:color="auto"/>
              <w:left w:val="single" w:sz="4" w:space="0" w:color="auto"/>
              <w:bottom w:val="single" w:sz="4" w:space="0" w:color="auto"/>
              <w:right w:val="single" w:sz="4" w:space="0" w:color="auto"/>
            </w:tcBorders>
            <w:vAlign w:val="center"/>
          </w:tcPr>
          <w:p w14:paraId="05A22965" w14:textId="77777777" w:rsidR="00BF50CC" w:rsidRPr="00D27683" w:rsidRDefault="00BF50CC" w:rsidP="00135EE0">
            <w:pPr>
              <w:pStyle w:val="TableText0"/>
              <w:jc w:val="center"/>
              <w:rPr>
                <w:bCs w:val="0"/>
              </w:rPr>
            </w:pPr>
            <w:r w:rsidRPr="00D27683">
              <w:rPr>
                <w:bCs w:val="0"/>
              </w:rPr>
              <w:t>15.1</w:t>
            </w:r>
          </w:p>
        </w:tc>
        <w:tc>
          <w:tcPr>
            <w:tcW w:w="2494" w:type="pct"/>
            <w:gridSpan w:val="2"/>
            <w:tcBorders>
              <w:top w:val="single" w:sz="4" w:space="0" w:color="auto"/>
              <w:left w:val="single" w:sz="4" w:space="0" w:color="auto"/>
              <w:bottom w:val="single" w:sz="4" w:space="0" w:color="auto"/>
              <w:right w:val="single" w:sz="4" w:space="0" w:color="auto"/>
            </w:tcBorders>
            <w:vAlign w:val="center"/>
          </w:tcPr>
          <w:p w14:paraId="391AAB35" w14:textId="3979891C" w:rsidR="00BF50CC" w:rsidRPr="00D27683" w:rsidRDefault="00BF50CC" w:rsidP="00135EE0">
            <w:pPr>
              <w:pStyle w:val="TableText0"/>
              <w:jc w:val="center"/>
              <w:rPr>
                <w:bCs w:val="0"/>
              </w:rPr>
            </w:pPr>
            <w:r w:rsidRPr="00CF0EBF">
              <w:rPr>
                <w:bCs w:val="0"/>
              </w:rPr>
              <w:t>45.6 (3.8 years)</w:t>
            </w:r>
          </w:p>
        </w:tc>
      </w:tr>
      <w:tr w:rsidR="00FD2FC3" w:rsidRPr="00D27683" w14:paraId="10955EA0" w14:textId="77777777">
        <w:trPr>
          <w:cantSplit/>
          <w:jc w:val="center"/>
        </w:trPr>
        <w:tc>
          <w:tcPr>
            <w:tcW w:w="1254" w:type="pct"/>
            <w:tcBorders>
              <w:right w:val="single" w:sz="4" w:space="0" w:color="auto"/>
            </w:tcBorders>
            <w:vAlign w:val="center"/>
          </w:tcPr>
          <w:p w14:paraId="237F25ED" w14:textId="77777777" w:rsidR="00BF50CC" w:rsidRPr="00D27683" w:rsidRDefault="00BF50CC" w:rsidP="00135EE0">
            <w:pPr>
              <w:pStyle w:val="TableText0"/>
            </w:pPr>
            <w:r w:rsidRPr="00D27683">
              <w:t>Continuing patients incorporating stopping rule</w:t>
            </w:r>
          </w:p>
        </w:tc>
        <w:tc>
          <w:tcPr>
            <w:tcW w:w="1252" w:type="pct"/>
            <w:tcBorders>
              <w:top w:val="single" w:sz="4" w:space="0" w:color="auto"/>
              <w:left w:val="single" w:sz="4" w:space="0" w:color="auto"/>
              <w:bottom w:val="single" w:sz="4" w:space="0" w:color="auto"/>
              <w:right w:val="single" w:sz="4" w:space="0" w:color="auto"/>
            </w:tcBorders>
            <w:vAlign w:val="center"/>
          </w:tcPr>
          <w:p w14:paraId="5FDEC040" w14:textId="77777777" w:rsidR="00BF50CC" w:rsidRPr="00D27683" w:rsidRDefault="00BF50CC" w:rsidP="00135EE0">
            <w:pPr>
              <w:pStyle w:val="TableText0"/>
              <w:jc w:val="center"/>
              <w:rPr>
                <w:bCs w:val="0"/>
              </w:rPr>
            </w:pPr>
            <w:r w:rsidRPr="00D27683">
              <w:rPr>
                <w:bCs w:val="0"/>
              </w:rPr>
              <w:t>No</w:t>
            </w:r>
          </w:p>
        </w:tc>
        <w:tc>
          <w:tcPr>
            <w:tcW w:w="2494" w:type="pct"/>
            <w:gridSpan w:val="2"/>
            <w:tcBorders>
              <w:top w:val="single" w:sz="4" w:space="0" w:color="auto"/>
              <w:left w:val="single" w:sz="4" w:space="0" w:color="auto"/>
              <w:bottom w:val="single" w:sz="4" w:space="0" w:color="auto"/>
              <w:right w:val="single" w:sz="4" w:space="0" w:color="auto"/>
            </w:tcBorders>
            <w:vAlign w:val="center"/>
          </w:tcPr>
          <w:p w14:paraId="7F823834" w14:textId="77777777" w:rsidR="00BF50CC" w:rsidRPr="00D27683" w:rsidRDefault="00BF50CC" w:rsidP="00135EE0">
            <w:pPr>
              <w:pStyle w:val="TableText0"/>
              <w:jc w:val="center"/>
              <w:rPr>
                <w:bCs w:val="0"/>
              </w:rPr>
            </w:pPr>
            <w:r w:rsidRPr="00D27683">
              <w:rPr>
                <w:bCs w:val="0"/>
              </w:rPr>
              <w:t xml:space="preserve">95.1% months 0-6 </w:t>
            </w:r>
          </w:p>
          <w:p w14:paraId="41B324BE" w14:textId="77777777" w:rsidR="00BF50CC" w:rsidRPr="00D27683" w:rsidRDefault="00BF50CC" w:rsidP="00135EE0">
            <w:pPr>
              <w:pStyle w:val="TableText0"/>
              <w:jc w:val="center"/>
              <w:rPr>
                <w:bCs w:val="0"/>
              </w:rPr>
            </w:pPr>
            <w:r w:rsidRPr="00D27683">
              <w:rPr>
                <w:bCs w:val="0"/>
              </w:rPr>
              <w:t xml:space="preserve">88.2% months 6-12 </w:t>
            </w:r>
          </w:p>
        </w:tc>
      </w:tr>
      <w:tr w:rsidR="00F75BF5" w:rsidRPr="00D27683" w14:paraId="1AD16F9D" w14:textId="77777777">
        <w:trPr>
          <w:cantSplit/>
          <w:jc w:val="center"/>
        </w:trPr>
        <w:tc>
          <w:tcPr>
            <w:tcW w:w="1254" w:type="pct"/>
            <w:tcBorders>
              <w:right w:val="single" w:sz="4" w:space="0" w:color="auto"/>
            </w:tcBorders>
            <w:vAlign w:val="center"/>
          </w:tcPr>
          <w:p w14:paraId="4D5BCC2F" w14:textId="44CED6AF" w:rsidR="00BF50CC" w:rsidRPr="00D27683" w:rsidRDefault="00BF50CC" w:rsidP="00135EE0">
            <w:pPr>
              <w:pStyle w:val="TableText0"/>
            </w:pPr>
            <w:r w:rsidRPr="00D27683">
              <w:t>Drug cost</w:t>
            </w:r>
            <w:r w:rsidR="002C1956">
              <w:t xml:space="preserve"> (</w:t>
            </w:r>
            <w:r w:rsidR="00380EA3">
              <w:t xml:space="preserve">effective </w:t>
            </w:r>
            <w:r w:rsidR="002C1956">
              <w:t>DPMQ)</w:t>
            </w:r>
          </w:p>
        </w:tc>
        <w:tc>
          <w:tcPr>
            <w:tcW w:w="3746" w:type="pct"/>
            <w:gridSpan w:val="3"/>
            <w:tcBorders>
              <w:top w:val="single" w:sz="4" w:space="0" w:color="auto"/>
              <w:left w:val="single" w:sz="4" w:space="0" w:color="auto"/>
              <w:bottom w:val="single" w:sz="4" w:space="0" w:color="auto"/>
              <w:right w:val="single" w:sz="4" w:space="0" w:color="auto"/>
            </w:tcBorders>
            <w:vAlign w:val="center"/>
          </w:tcPr>
          <w:p w14:paraId="55B4F96B" w14:textId="1B30CBBB" w:rsidR="00BF50CC" w:rsidRPr="00380EA3" w:rsidRDefault="00380EA3" w:rsidP="00135EE0">
            <w:pPr>
              <w:pStyle w:val="TableText0"/>
              <w:jc w:val="center"/>
              <w:rPr>
                <w:bCs w:val="0"/>
              </w:rPr>
            </w:pPr>
            <w:r>
              <w:rPr>
                <w:rFonts w:eastAsia="Arial Narrow" w:cs="Arial Narrow"/>
                <w:szCs w:val="20"/>
              </w:rPr>
              <w:t xml:space="preserve">Submission = </w:t>
            </w:r>
            <w:r w:rsidR="00BF50CC" w:rsidRPr="00D27683">
              <w:rPr>
                <w:rFonts w:eastAsia="Arial Narrow" w:cs="Arial Narrow"/>
                <w:szCs w:val="20"/>
              </w:rPr>
              <w:t>$</w:t>
            </w:r>
            <w:r w:rsidR="003C172C" w:rsidRPr="003C172C">
              <w:rPr>
                <w:rFonts w:eastAsia="Arial Narrow" w:cs="Arial Narrow"/>
                <w:sz w:val="2"/>
                <w:szCs w:val="20"/>
                <w:highlight w:val="black"/>
              </w:rPr>
              <w:t xml:space="preserve">redacted </w:t>
            </w:r>
            <w:proofErr w:type="spellStart"/>
            <w:r w:rsidR="003C172C" w:rsidRPr="003C172C">
              <w:rPr>
                <w:rFonts w:eastAsia="Arial Narrow" w:cs="Arial Narrow"/>
                <w:sz w:val="2"/>
                <w:szCs w:val="20"/>
                <w:highlight w:val="black"/>
              </w:rPr>
              <w:t>content</w:t>
            </w:r>
            <w:r w:rsidR="00BF50CC" w:rsidRPr="00D27683">
              <w:rPr>
                <w:rFonts w:eastAsia="Arial Narrow" w:cs="Arial Narrow"/>
                <w:szCs w:val="20"/>
                <w:vertAlign w:val="superscript"/>
              </w:rPr>
              <w:t>a</w:t>
            </w:r>
            <w:proofErr w:type="spellEnd"/>
            <w:r>
              <w:rPr>
                <w:rFonts w:eastAsia="Arial Narrow" w:cs="Arial Narrow"/>
                <w:szCs w:val="20"/>
              </w:rPr>
              <w:t xml:space="preserve"> / Pre-PBAC Response =</w:t>
            </w:r>
            <w:r w:rsidR="00FA7073">
              <w:rPr>
                <w:rFonts w:eastAsia="Arial Narrow" w:cs="Arial Narrow"/>
                <w:szCs w:val="20"/>
              </w:rPr>
              <w:t xml:space="preserve"> $</w:t>
            </w:r>
            <w:r w:rsidR="003C172C" w:rsidRPr="003C172C">
              <w:rPr>
                <w:rFonts w:eastAsia="Arial Narrow" w:cs="Arial Narrow"/>
                <w:sz w:val="2"/>
                <w:szCs w:val="20"/>
                <w:highlight w:val="black"/>
              </w:rPr>
              <w:t>redacted content</w:t>
            </w:r>
          </w:p>
        </w:tc>
      </w:tr>
      <w:tr w:rsidR="00F75BF5" w:rsidRPr="00D27683" w14:paraId="57E412D6" w14:textId="77777777">
        <w:trPr>
          <w:cantSplit/>
          <w:jc w:val="center"/>
        </w:trPr>
        <w:tc>
          <w:tcPr>
            <w:tcW w:w="1254" w:type="pct"/>
            <w:tcBorders>
              <w:right w:val="single" w:sz="4" w:space="0" w:color="auto"/>
            </w:tcBorders>
            <w:vAlign w:val="center"/>
          </w:tcPr>
          <w:p w14:paraId="6FB3A988" w14:textId="4F726844" w:rsidR="00BF50CC" w:rsidRPr="005A49C1" w:rsidRDefault="00BF50CC" w:rsidP="00135EE0">
            <w:pPr>
              <w:pStyle w:val="TableText0"/>
              <w:rPr>
                <w:vertAlign w:val="superscript"/>
              </w:rPr>
            </w:pPr>
            <w:r w:rsidRPr="00D27683">
              <w:t>Cost/patient/month</w:t>
            </w:r>
            <w:r w:rsidR="005A49C1">
              <w:t xml:space="preserve"> </w:t>
            </w:r>
            <w:r w:rsidR="005A49C1">
              <w:rPr>
                <w:vertAlign w:val="superscript"/>
              </w:rPr>
              <w:t>b</w:t>
            </w:r>
          </w:p>
        </w:tc>
        <w:tc>
          <w:tcPr>
            <w:tcW w:w="3746" w:type="pct"/>
            <w:gridSpan w:val="3"/>
            <w:tcBorders>
              <w:top w:val="single" w:sz="4" w:space="0" w:color="auto"/>
              <w:left w:val="single" w:sz="4" w:space="0" w:color="auto"/>
              <w:bottom w:val="single" w:sz="4" w:space="0" w:color="auto"/>
              <w:right w:val="single" w:sz="4" w:space="0" w:color="auto"/>
            </w:tcBorders>
            <w:vAlign w:val="center"/>
          </w:tcPr>
          <w:p w14:paraId="5A7BBBE4" w14:textId="002F4235" w:rsidR="00BF50CC" w:rsidRPr="00D27683" w:rsidRDefault="002C4234" w:rsidP="00135EE0">
            <w:pPr>
              <w:pStyle w:val="TableText0"/>
              <w:jc w:val="center"/>
              <w:rPr>
                <w:bCs w:val="0"/>
              </w:rPr>
            </w:pPr>
            <w:r>
              <w:rPr>
                <w:bCs w:val="0"/>
              </w:rPr>
              <w:t xml:space="preserve">Submission = </w:t>
            </w:r>
            <w:r w:rsidR="00BF50CC" w:rsidRPr="00D27683">
              <w:rPr>
                <w:bCs w:val="0"/>
              </w:rPr>
              <w:t>$</w:t>
            </w:r>
            <w:r w:rsidR="003C172C" w:rsidRPr="003C172C">
              <w:rPr>
                <w:bCs w:val="0"/>
                <w:sz w:val="2"/>
                <w:highlight w:val="black"/>
              </w:rPr>
              <w:t>redacted content</w:t>
            </w:r>
            <w:r>
              <w:rPr>
                <w:bCs w:val="0"/>
              </w:rPr>
              <w:t xml:space="preserve"> / Pre-PBAC Response = $</w:t>
            </w:r>
            <w:r w:rsidR="003C172C" w:rsidRPr="003C172C">
              <w:rPr>
                <w:bCs w:val="0"/>
                <w:sz w:val="2"/>
                <w:highlight w:val="black"/>
              </w:rPr>
              <w:t>redacted content</w:t>
            </w:r>
          </w:p>
        </w:tc>
      </w:tr>
      <w:tr w:rsidR="00FD2FC3" w:rsidRPr="00D27683" w14:paraId="30B603CF" w14:textId="77777777">
        <w:trPr>
          <w:cantSplit/>
          <w:jc w:val="center"/>
        </w:trPr>
        <w:tc>
          <w:tcPr>
            <w:tcW w:w="1254" w:type="pct"/>
            <w:tcBorders>
              <w:right w:val="single" w:sz="4" w:space="0" w:color="auto"/>
            </w:tcBorders>
            <w:vAlign w:val="center"/>
          </w:tcPr>
          <w:p w14:paraId="63B382FE" w14:textId="753D0E8B" w:rsidR="00BF50CC" w:rsidRPr="005E33FA" w:rsidRDefault="00BF50CC" w:rsidP="00135EE0">
            <w:pPr>
              <w:pStyle w:val="TableText0"/>
              <w:rPr>
                <w:vertAlign w:val="superscript"/>
              </w:rPr>
            </w:pPr>
            <w:r w:rsidRPr="00D27683">
              <w:t>Cost/patient/year</w:t>
            </w:r>
            <w:r w:rsidR="005E33FA">
              <w:t xml:space="preserve"> </w:t>
            </w:r>
            <w:r w:rsidR="005E33FA">
              <w:rPr>
                <w:vertAlign w:val="superscript"/>
              </w:rPr>
              <w:t>b</w:t>
            </w:r>
          </w:p>
        </w:tc>
        <w:tc>
          <w:tcPr>
            <w:tcW w:w="1252" w:type="pct"/>
            <w:tcBorders>
              <w:top w:val="single" w:sz="4" w:space="0" w:color="auto"/>
              <w:left w:val="single" w:sz="4" w:space="0" w:color="auto"/>
              <w:bottom w:val="single" w:sz="4" w:space="0" w:color="auto"/>
              <w:right w:val="single" w:sz="4" w:space="0" w:color="auto"/>
            </w:tcBorders>
            <w:vAlign w:val="center"/>
          </w:tcPr>
          <w:p w14:paraId="78B52FA6" w14:textId="49A7091F" w:rsidR="00BF50CC" w:rsidRPr="00D27683" w:rsidRDefault="00337EA0" w:rsidP="00135EE0">
            <w:pPr>
              <w:pStyle w:val="TableText0"/>
              <w:jc w:val="center"/>
              <w:rPr>
                <w:bCs w:val="0"/>
              </w:rPr>
            </w:pPr>
            <w:r>
              <w:rPr>
                <w:bCs w:val="0"/>
              </w:rPr>
              <w:t xml:space="preserve">Submission = </w:t>
            </w:r>
            <w:r w:rsidR="00BF50CC" w:rsidRPr="00D27683">
              <w:rPr>
                <w:bCs w:val="0"/>
              </w:rPr>
              <w:t>$</w:t>
            </w:r>
            <w:r w:rsidR="003C172C" w:rsidRPr="003C172C">
              <w:rPr>
                <w:bCs w:val="0"/>
                <w:sz w:val="2"/>
                <w:highlight w:val="black"/>
              </w:rPr>
              <w:t>redacted content</w:t>
            </w:r>
            <w:r>
              <w:rPr>
                <w:bCs w:val="0"/>
              </w:rPr>
              <w:t xml:space="preserve"> / Pre-PBAC Response = </w:t>
            </w:r>
            <w:r w:rsidR="006E2E76">
              <w:rPr>
                <w:bCs w:val="0"/>
              </w:rPr>
              <w:t>$</w:t>
            </w:r>
            <w:r w:rsidR="003C172C" w:rsidRPr="003C172C">
              <w:rPr>
                <w:bCs w:val="0"/>
                <w:sz w:val="2"/>
                <w:highlight w:val="black"/>
              </w:rPr>
              <w:t>redacted content</w:t>
            </w:r>
          </w:p>
        </w:tc>
        <w:tc>
          <w:tcPr>
            <w:tcW w:w="2494" w:type="pct"/>
            <w:gridSpan w:val="2"/>
            <w:tcBorders>
              <w:top w:val="single" w:sz="4" w:space="0" w:color="auto"/>
              <w:left w:val="single" w:sz="4" w:space="0" w:color="auto"/>
              <w:bottom w:val="single" w:sz="4" w:space="0" w:color="auto"/>
              <w:right w:val="single" w:sz="4" w:space="0" w:color="auto"/>
            </w:tcBorders>
            <w:vAlign w:val="center"/>
          </w:tcPr>
          <w:p w14:paraId="59F1EA4A" w14:textId="102758DE" w:rsidR="00BF50CC" w:rsidRPr="00431DF7" w:rsidRDefault="008F7E4D" w:rsidP="00135EE0">
            <w:pPr>
              <w:pStyle w:val="TableText0"/>
              <w:jc w:val="center"/>
              <w:rPr>
                <w:bCs w:val="0"/>
                <w:vertAlign w:val="superscript"/>
              </w:rPr>
            </w:pPr>
            <w:r>
              <w:rPr>
                <w:bCs w:val="0"/>
              </w:rPr>
              <w:t xml:space="preserve">Submission = </w:t>
            </w:r>
            <w:r w:rsidR="00BF50CC" w:rsidRPr="00D27683">
              <w:rPr>
                <w:bCs w:val="0"/>
              </w:rPr>
              <w:t>$</w:t>
            </w:r>
            <w:r w:rsidR="003C172C" w:rsidRPr="003C172C">
              <w:rPr>
                <w:bCs w:val="0"/>
                <w:sz w:val="2"/>
                <w:highlight w:val="black"/>
              </w:rPr>
              <w:t xml:space="preserve">redacted </w:t>
            </w:r>
            <w:proofErr w:type="spellStart"/>
            <w:r w:rsidR="003C172C" w:rsidRPr="003C172C">
              <w:rPr>
                <w:bCs w:val="0"/>
                <w:sz w:val="2"/>
                <w:highlight w:val="black"/>
              </w:rPr>
              <w:t>content</w:t>
            </w:r>
            <w:r w:rsidR="005A49C1">
              <w:rPr>
                <w:bCs w:val="0"/>
                <w:vertAlign w:val="superscript"/>
              </w:rPr>
              <w:t>c</w:t>
            </w:r>
            <w:proofErr w:type="spellEnd"/>
            <w:r w:rsidR="00431DF7">
              <w:rPr>
                <w:bCs w:val="0"/>
              </w:rPr>
              <w:t>/ Pre-PBAC Response = $</w:t>
            </w:r>
            <w:r w:rsidR="003C172C" w:rsidRPr="003C172C">
              <w:rPr>
                <w:bCs w:val="0"/>
                <w:sz w:val="2"/>
                <w:highlight w:val="black"/>
              </w:rPr>
              <w:t xml:space="preserve">redacted </w:t>
            </w:r>
            <w:proofErr w:type="spellStart"/>
            <w:r w:rsidR="003C172C" w:rsidRPr="003C172C">
              <w:rPr>
                <w:bCs w:val="0"/>
                <w:sz w:val="2"/>
                <w:highlight w:val="black"/>
              </w:rPr>
              <w:t>content</w:t>
            </w:r>
            <w:r w:rsidR="00431DF7">
              <w:rPr>
                <w:bCs w:val="0"/>
                <w:vertAlign w:val="superscript"/>
              </w:rPr>
              <w:t>c</w:t>
            </w:r>
            <w:proofErr w:type="spellEnd"/>
          </w:p>
        </w:tc>
      </w:tr>
    </w:tbl>
    <w:p w14:paraId="703C5519" w14:textId="00E936B7" w:rsidR="002C1956" w:rsidRPr="002C1956" w:rsidRDefault="002C1956" w:rsidP="00135EE0">
      <w:pPr>
        <w:pStyle w:val="FooterTableFigure"/>
      </w:pPr>
      <w:r>
        <w:t xml:space="preserve">DPMQ = </w:t>
      </w:r>
      <w:r w:rsidRPr="002C1956">
        <w:t xml:space="preserve">Dispensed price for maximum quantity </w:t>
      </w:r>
    </w:p>
    <w:p w14:paraId="51BCD764" w14:textId="20BF9177" w:rsidR="00BF50CC" w:rsidRPr="00D27683" w:rsidRDefault="00BF50CC" w:rsidP="00135EE0">
      <w:pPr>
        <w:pStyle w:val="FooterTableFigure"/>
      </w:pPr>
      <w:r w:rsidRPr="00D27683">
        <w:t>Source: Table 2-12, p66 of the submission; Table 3-22, p143 of the submission; Table 3-45, p168 of the submission</w:t>
      </w:r>
    </w:p>
    <w:p w14:paraId="19CDEF72" w14:textId="28B9EFA5" w:rsidR="00BF50CC" w:rsidRPr="00D27683" w:rsidRDefault="00BF50CC" w:rsidP="00135EE0">
      <w:pPr>
        <w:pStyle w:val="FooterTableFigure"/>
      </w:pPr>
      <w:r w:rsidRPr="00D27683">
        <w:rPr>
          <w:vertAlign w:val="superscript"/>
        </w:rPr>
        <w:t>a</w:t>
      </w:r>
      <w:r w:rsidRPr="00D27683">
        <w:t xml:space="preserve"> Weighted using 2024 prescription data from mepolizumab for severe eosinophilic asthma, estimated as $</w:t>
      </w:r>
      <w:r w:rsidR="003C172C" w:rsidRPr="003C172C">
        <w:rPr>
          <w:sz w:val="2"/>
          <w:highlight w:val="black"/>
        </w:rPr>
        <w:t>redacted content</w:t>
      </w:r>
      <w:r w:rsidRPr="00D27683">
        <w:t xml:space="preserve"> = 60.</w:t>
      </w:r>
      <w:r w:rsidR="00E92A81">
        <w:t>47</w:t>
      </w:r>
      <w:r w:rsidRPr="00D27683">
        <w:t>% (public) x $</w:t>
      </w:r>
      <w:r w:rsidR="003C172C" w:rsidRPr="003C172C">
        <w:rPr>
          <w:sz w:val="2"/>
          <w:highlight w:val="black"/>
        </w:rPr>
        <w:t>redacted content</w:t>
      </w:r>
      <w:r w:rsidRPr="00D27683">
        <w:t xml:space="preserve"> + 39.5</w:t>
      </w:r>
      <w:r w:rsidR="00B83D03">
        <w:t>3</w:t>
      </w:r>
      <w:r w:rsidRPr="00D27683">
        <w:t>% (private) x $</w:t>
      </w:r>
      <w:r w:rsidR="003C172C" w:rsidRPr="003C172C">
        <w:rPr>
          <w:sz w:val="2"/>
          <w:highlight w:val="black"/>
        </w:rPr>
        <w:t>redacted content</w:t>
      </w:r>
      <w:r w:rsidRPr="00D27683">
        <w:t>.</w:t>
      </w:r>
      <w:r w:rsidR="00775E4F">
        <w:t xml:space="preserve"> Pre-PBAC Response: </w:t>
      </w:r>
      <w:r w:rsidR="008304AE" w:rsidRPr="00D27683">
        <w:t>$</w:t>
      </w:r>
      <w:r w:rsidR="003C172C" w:rsidRPr="003C172C">
        <w:rPr>
          <w:sz w:val="2"/>
          <w:highlight w:val="black"/>
        </w:rPr>
        <w:t>redacted content</w:t>
      </w:r>
      <w:r w:rsidR="00411FBA">
        <w:t xml:space="preserve"> </w:t>
      </w:r>
      <w:r w:rsidR="008304AE" w:rsidRPr="00D27683">
        <w:t>= 60.</w:t>
      </w:r>
      <w:r w:rsidR="00B83D03">
        <w:t>47</w:t>
      </w:r>
      <w:r w:rsidR="008304AE" w:rsidRPr="00D27683">
        <w:t>% (public) x $</w:t>
      </w:r>
      <w:r w:rsidR="003C172C" w:rsidRPr="003C172C">
        <w:rPr>
          <w:sz w:val="2"/>
          <w:highlight w:val="black"/>
        </w:rPr>
        <w:t>redacted content</w:t>
      </w:r>
      <w:r w:rsidR="008304AE" w:rsidRPr="00D27683">
        <w:t xml:space="preserve"> + 39.5</w:t>
      </w:r>
      <w:r w:rsidR="00B83D03">
        <w:t>3</w:t>
      </w:r>
      <w:r w:rsidR="008304AE" w:rsidRPr="00D27683">
        <w:t>% (private) x $</w:t>
      </w:r>
      <w:r w:rsidR="003C172C" w:rsidRPr="003C172C">
        <w:rPr>
          <w:sz w:val="2"/>
          <w:highlight w:val="black"/>
        </w:rPr>
        <w:t>redacted content</w:t>
      </w:r>
      <w:r w:rsidR="008304AE" w:rsidRPr="00D27683">
        <w:t>.</w:t>
      </w:r>
    </w:p>
    <w:p w14:paraId="126067FC" w14:textId="7D953BDD" w:rsidR="005A49C1" w:rsidRPr="005A49C1" w:rsidRDefault="005A49C1" w:rsidP="00135EE0">
      <w:pPr>
        <w:pStyle w:val="FooterTableFigure"/>
      </w:pPr>
      <w:r>
        <w:rPr>
          <w:vertAlign w:val="superscript"/>
        </w:rPr>
        <w:t>b</w:t>
      </w:r>
      <w:r>
        <w:t xml:space="preserve"> </w:t>
      </w:r>
      <w:r w:rsidR="00DF45C7">
        <w:t xml:space="preserve">Does not account for compliance. </w:t>
      </w:r>
    </w:p>
    <w:p w14:paraId="0C67B6DE" w14:textId="7C923559" w:rsidR="00BF50CC" w:rsidRPr="00D27683" w:rsidRDefault="005A49C1" w:rsidP="00135EE0">
      <w:pPr>
        <w:pStyle w:val="FooterTableFigure"/>
      </w:pPr>
      <w:r>
        <w:rPr>
          <w:vertAlign w:val="superscript"/>
        </w:rPr>
        <w:t>c</w:t>
      </w:r>
      <w:r w:rsidR="00BF50CC" w:rsidRPr="00D27683">
        <w:t xml:space="preserve"> Estimated by applying 95.1% to the first 6 months and 95.1%*88.2% = 83.9% to the last 6 months.</w:t>
      </w:r>
    </w:p>
    <w:p w14:paraId="01DF1CF2" w14:textId="77777777" w:rsidR="00BF50CC" w:rsidRPr="00D27683" w:rsidRDefault="00BF50CC" w:rsidP="00135EE0">
      <w:pPr>
        <w:pStyle w:val="4-SubsectionHeading"/>
      </w:pPr>
      <w:bookmarkStart w:id="162" w:name="_Toc22897647"/>
      <w:bookmarkStart w:id="163" w:name="_Toc219884823"/>
      <w:r w:rsidRPr="00D27683">
        <w:t>Estimated PBS usage &amp; financial implications</w:t>
      </w:r>
      <w:bookmarkEnd w:id="162"/>
      <w:bookmarkEnd w:id="163"/>
    </w:p>
    <w:p w14:paraId="0CFFAA26" w14:textId="487805DB" w:rsidR="00BD22CE" w:rsidRPr="006D6FD8" w:rsidRDefault="00477653" w:rsidP="00135EE0">
      <w:pPr>
        <w:pStyle w:val="3-BodyText"/>
        <w:rPr>
          <w:iCs/>
          <w:color w:val="0066FF"/>
        </w:rPr>
      </w:pPr>
      <w:bookmarkStart w:id="164" w:name="_Hlk219985270"/>
      <w:r w:rsidRPr="006D6FD8">
        <w:rPr>
          <w:rFonts w:eastAsia="Calibri"/>
          <w:iCs/>
        </w:rPr>
        <w:t>This su</w:t>
      </w:r>
      <w:r w:rsidR="00322138" w:rsidRPr="006D6FD8">
        <w:rPr>
          <w:rFonts w:eastAsia="Calibri"/>
          <w:iCs/>
        </w:rPr>
        <w:t>bm</w:t>
      </w:r>
      <w:r w:rsidRPr="006D6FD8">
        <w:rPr>
          <w:rFonts w:eastAsia="Calibri"/>
          <w:iCs/>
        </w:rPr>
        <w:t>i</w:t>
      </w:r>
      <w:r w:rsidR="00322138" w:rsidRPr="006D6FD8">
        <w:rPr>
          <w:rFonts w:eastAsia="Calibri"/>
          <w:iCs/>
        </w:rPr>
        <w:t xml:space="preserve">ssion </w:t>
      </w:r>
      <w:bookmarkEnd w:id="164"/>
      <w:r w:rsidR="004837FD" w:rsidRPr="006D6FD8">
        <w:rPr>
          <w:rFonts w:eastAsia="Calibri"/>
          <w:iCs/>
        </w:rPr>
        <w:t>was considered jointly by DUSC and ESC.</w:t>
      </w:r>
    </w:p>
    <w:p w14:paraId="563A300D" w14:textId="1391B539" w:rsidR="00BF50CC" w:rsidRPr="00D27683" w:rsidRDefault="00BF50CC" w:rsidP="00135EE0">
      <w:pPr>
        <w:pStyle w:val="3-BodyText"/>
        <w:spacing w:after="120"/>
      </w:pPr>
      <w:r w:rsidRPr="00D27683">
        <w:t>The submission adopted an epidemiological approach to derive the number of patients who would meet the proposed eligibility criteria for mepolizumab under the proposed PBS indication and to estimate the financial impact of its listing. T</w:t>
      </w:r>
      <w:r w:rsidR="00197533" w:rsidRPr="00D27683">
        <w:t>he evaluation considered t</w:t>
      </w:r>
      <w:r w:rsidRPr="00D27683">
        <w:t xml:space="preserve">his was reasonable. Inputs used in the financial model are presented in </w:t>
      </w:r>
      <w:r w:rsidRPr="00D27683">
        <w:fldChar w:fldCharType="begin"/>
      </w:r>
      <w:r w:rsidRPr="00D27683">
        <w:instrText xml:space="preserve"> REF _Ref104805262 \h </w:instrText>
      </w:r>
      <w:r w:rsidRPr="00D27683">
        <w:fldChar w:fldCharType="separate"/>
      </w:r>
      <w:r w:rsidR="00FA28CE" w:rsidRPr="00D27683">
        <w:t xml:space="preserve">Table </w:t>
      </w:r>
      <w:r w:rsidR="00FA28CE">
        <w:rPr>
          <w:noProof/>
        </w:rPr>
        <w:t>19</w:t>
      </w:r>
      <w:r w:rsidRPr="00D27683">
        <w:fldChar w:fldCharType="end"/>
      </w:r>
      <w:r w:rsidRPr="00D27683">
        <w:t>.</w:t>
      </w:r>
    </w:p>
    <w:p w14:paraId="115243AF" w14:textId="13004071" w:rsidR="00BF50CC" w:rsidRPr="00D27683" w:rsidRDefault="00BF50CC" w:rsidP="00135EE0">
      <w:pPr>
        <w:pStyle w:val="Caption"/>
        <w:rPr>
          <w:szCs w:val="24"/>
        </w:rPr>
      </w:pPr>
      <w:bookmarkStart w:id="165" w:name="_Ref104805262"/>
      <w:r w:rsidRPr="00D27683">
        <w:lastRenderedPageBreak/>
        <w:t xml:space="preserve">Table </w:t>
      </w:r>
      <w:fldSimple w:instr=" SEQ Table \* ARABIC ">
        <w:r w:rsidR="00FA28CE">
          <w:rPr>
            <w:noProof/>
          </w:rPr>
          <w:t>19</w:t>
        </w:r>
      </w:fldSimple>
      <w:bookmarkEnd w:id="165"/>
      <w:r w:rsidRPr="00D27683">
        <w:t>:</w:t>
      </w:r>
      <w:r w:rsidRPr="00D27683">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Key inputs for financial estimates"/>
      </w:tblPr>
      <w:tblGrid>
        <w:gridCol w:w="1980"/>
        <w:gridCol w:w="1417"/>
        <w:gridCol w:w="2268"/>
        <w:gridCol w:w="3515"/>
      </w:tblGrid>
      <w:tr w:rsidR="004452EA" w:rsidRPr="00D27683" w14:paraId="62CA9A6D" w14:textId="77777777" w:rsidTr="00EE5D15">
        <w:trPr>
          <w:cantSplit/>
          <w:tblHeader/>
        </w:trPr>
        <w:tc>
          <w:tcPr>
            <w:tcW w:w="1980" w:type="dxa"/>
            <w:vAlign w:val="center"/>
          </w:tcPr>
          <w:p w14:paraId="1BFB45B3" w14:textId="77777777" w:rsidR="00BF50CC" w:rsidRPr="00D27683" w:rsidRDefault="00BF50CC" w:rsidP="00135EE0">
            <w:pPr>
              <w:pStyle w:val="In-tableHeading"/>
              <w:jc w:val="center"/>
              <w:rPr>
                <w:lang w:val="en-AU"/>
              </w:rPr>
            </w:pPr>
            <w:r w:rsidRPr="00D27683">
              <w:rPr>
                <w:lang w:val="en-AU"/>
              </w:rPr>
              <w:t>Data</w:t>
            </w:r>
          </w:p>
        </w:tc>
        <w:tc>
          <w:tcPr>
            <w:tcW w:w="1417" w:type="dxa"/>
            <w:vAlign w:val="center"/>
          </w:tcPr>
          <w:p w14:paraId="11ADB58D" w14:textId="77777777" w:rsidR="00BF50CC" w:rsidRPr="00D27683" w:rsidRDefault="00BF50CC" w:rsidP="00135EE0">
            <w:pPr>
              <w:pStyle w:val="In-tableHeading"/>
              <w:jc w:val="center"/>
              <w:rPr>
                <w:lang w:val="en-AU"/>
              </w:rPr>
            </w:pPr>
            <w:r w:rsidRPr="00D27683">
              <w:rPr>
                <w:lang w:val="en-AU"/>
              </w:rPr>
              <w:t>Value</w:t>
            </w:r>
          </w:p>
        </w:tc>
        <w:tc>
          <w:tcPr>
            <w:tcW w:w="2268" w:type="dxa"/>
            <w:vAlign w:val="center"/>
          </w:tcPr>
          <w:p w14:paraId="501AADAD" w14:textId="77777777" w:rsidR="00BF50CC" w:rsidRPr="00D27683" w:rsidRDefault="00BF50CC" w:rsidP="00135EE0">
            <w:pPr>
              <w:pStyle w:val="In-tableHeading"/>
              <w:jc w:val="center"/>
              <w:rPr>
                <w:lang w:val="en-AU"/>
              </w:rPr>
            </w:pPr>
            <w:r w:rsidRPr="00D27683">
              <w:rPr>
                <w:lang w:val="en-AU"/>
              </w:rPr>
              <w:t>Source</w:t>
            </w:r>
          </w:p>
        </w:tc>
        <w:tc>
          <w:tcPr>
            <w:tcW w:w="3515" w:type="dxa"/>
            <w:vAlign w:val="center"/>
          </w:tcPr>
          <w:p w14:paraId="3E860104" w14:textId="4D33D42D" w:rsidR="00B62075" w:rsidRPr="00D27683" w:rsidRDefault="00A03644" w:rsidP="00135EE0">
            <w:pPr>
              <w:pStyle w:val="In-tableHeading"/>
              <w:jc w:val="center"/>
              <w:rPr>
                <w:lang w:val="en-AU"/>
              </w:rPr>
            </w:pPr>
            <w:r w:rsidRPr="00D27683">
              <w:rPr>
                <w:lang w:val="en-AU"/>
              </w:rPr>
              <w:t xml:space="preserve">Evaluators </w:t>
            </w:r>
            <w:r w:rsidR="00AC3198" w:rsidRPr="00D27683">
              <w:rPr>
                <w:lang w:val="en-AU"/>
              </w:rPr>
              <w:t>c</w:t>
            </w:r>
            <w:r w:rsidR="00BF50CC" w:rsidRPr="00D27683">
              <w:rPr>
                <w:lang w:val="en-AU"/>
              </w:rPr>
              <w:t>omment</w:t>
            </w:r>
          </w:p>
          <w:p w14:paraId="2A859C51" w14:textId="7A77CBCA" w:rsidR="00B62075" w:rsidRPr="00D27683" w:rsidRDefault="00B62075" w:rsidP="00135EE0">
            <w:pPr>
              <w:pStyle w:val="In-tableHeading"/>
              <w:jc w:val="center"/>
              <w:rPr>
                <w:i/>
                <w:iCs/>
                <w:lang w:val="en-AU"/>
              </w:rPr>
            </w:pPr>
            <w:r w:rsidRPr="006D6FD8">
              <w:rPr>
                <w:iCs/>
                <w:lang w:val="en-AU"/>
              </w:rPr>
              <w:t>Sub-Committees Comment</w:t>
            </w:r>
          </w:p>
        </w:tc>
      </w:tr>
      <w:tr w:rsidR="00765C02" w:rsidRPr="00D27683" w14:paraId="5930C0E9" w14:textId="77777777">
        <w:trPr>
          <w:cantSplit/>
        </w:trPr>
        <w:tc>
          <w:tcPr>
            <w:tcW w:w="9180" w:type="dxa"/>
            <w:gridSpan w:val="4"/>
            <w:vAlign w:val="center"/>
          </w:tcPr>
          <w:p w14:paraId="119340FC" w14:textId="77777777" w:rsidR="00BF50CC" w:rsidRPr="00D27683" w:rsidRDefault="00BF50CC" w:rsidP="00135EE0">
            <w:pPr>
              <w:pStyle w:val="In-tableHeading"/>
              <w:rPr>
                <w:lang w:val="en-AU"/>
              </w:rPr>
            </w:pPr>
            <w:r w:rsidRPr="00D27683">
              <w:rPr>
                <w:lang w:val="en-AU"/>
              </w:rPr>
              <w:t>Eligible population</w:t>
            </w:r>
          </w:p>
        </w:tc>
      </w:tr>
      <w:tr w:rsidR="004452EA" w:rsidRPr="006D6FD8" w14:paraId="6D31930F" w14:textId="77777777" w:rsidTr="00EE5D15">
        <w:trPr>
          <w:cantSplit/>
        </w:trPr>
        <w:tc>
          <w:tcPr>
            <w:tcW w:w="1980" w:type="dxa"/>
            <w:vAlign w:val="center"/>
          </w:tcPr>
          <w:p w14:paraId="3E65A1C8" w14:textId="77777777" w:rsidR="00BF50CC" w:rsidRPr="006D6FD8" w:rsidRDefault="00BF50CC" w:rsidP="00135EE0">
            <w:pPr>
              <w:pStyle w:val="TableText0"/>
              <w:keepNext w:val="0"/>
            </w:pPr>
            <w:r w:rsidRPr="006D6FD8">
              <w:t>Number of prevalent COPD patients on triple inhaled therapy</w:t>
            </w:r>
          </w:p>
        </w:tc>
        <w:tc>
          <w:tcPr>
            <w:tcW w:w="1417" w:type="dxa"/>
            <w:vAlign w:val="center"/>
          </w:tcPr>
          <w:p w14:paraId="634FF57D" w14:textId="77777777" w:rsidR="005E00E8" w:rsidRDefault="005E00E8" w:rsidP="00135EE0">
            <w:pPr>
              <w:pStyle w:val="TableText0"/>
              <w:keepNext w:val="0"/>
            </w:pPr>
            <w:r>
              <w:t>Submission:</w:t>
            </w:r>
          </w:p>
          <w:p w14:paraId="5BFC4827" w14:textId="174D2F4B" w:rsidR="00BF50CC" w:rsidRPr="0079247B" w:rsidRDefault="00BF50CC" w:rsidP="00135EE0">
            <w:pPr>
              <w:pStyle w:val="TableText0"/>
              <w:keepNext w:val="0"/>
              <w:rPr>
                <w:vertAlign w:val="superscript"/>
              </w:rPr>
            </w:pPr>
            <w:r w:rsidRPr="006D6FD8">
              <w:t xml:space="preserve">Yr 1: </w:t>
            </w:r>
            <w:r w:rsidR="003C172C" w:rsidRPr="003C172C">
              <w:rPr>
                <w:sz w:val="2"/>
                <w:highlight w:val="black"/>
              </w:rPr>
              <w:t>redacted content</w:t>
            </w:r>
            <w:r w:rsidR="0079247B">
              <w:rPr>
                <w:vertAlign w:val="superscript"/>
              </w:rPr>
              <w:t>1</w:t>
            </w:r>
          </w:p>
          <w:p w14:paraId="7868D97B" w14:textId="5C7965B2" w:rsidR="00BF50CC" w:rsidRPr="006D6FD8" w:rsidRDefault="00BF50CC" w:rsidP="00135EE0">
            <w:pPr>
              <w:pStyle w:val="TableText0"/>
              <w:keepNext w:val="0"/>
            </w:pPr>
            <w:r w:rsidRPr="006D6FD8">
              <w:t xml:space="preserve">Yr 2: </w:t>
            </w:r>
            <w:r w:rsidR="003C172C" w:rsidRPr="003C172C">
              <w:rPr>
                <w:sz w:val="2"/>
                <w:highlight w:val="black"/>
              </w:rPr>
              <w:t>redacted content</w:t>
            </w:r>
            <w:r w:rsidR="0079247B">
              <w:rPr>
                <w:vertAlign w:val="superscript"/>
              </w:rPr>
              <w:t>1</w:t>
            </w:r>
          </w:p>
          <w:p w14:paraId="696C314D" w14:textId="706DB979" w:rsidR="00BF50CC" w:rsidRPr="006D6FD8" w:rsidRDefault="00BF50CC" w:rsidP="00135EE0">
            <w:pPr>
              <w:pStyle w:val="TableText0"/>
              <w:keepNext w:val="0"/>
            </w:pPr>
            <w:r w:rsidRPr="006D6FD8">
              <w:t xml:space="preserve">Yr 3: </w:t>
            </w:r>
            <w:r w:rsidR="003C172C" w:rsidRPr="003C172C">
              <w:rPr>
                <w:sz w:val="2"/>
                <w:highlight w:val="black"/>
              </w:rPr>
              <w:t>redacted content</w:t>
            </w:r>
            <w:r w:rsidR="0079247B">
              <w:rPr>
                <w:vertAlign w:val="superscript"/>
              </w:rPr>
              <w:t>1</w:t>
            </w:r>
          </w:p>
          <w:p w14:paraId="76AC4D48" w14:textId="63BC2B1E" w:rsidR="00BF50CC" w:rsidRPr="006D6FD8" w:rsidRDefault="00BF50CC" w:rsidP="00135EE0">
            <w:pPr>
              <w:pStyle w:val="TableText0"/>
              <w:keepNext w:val="0"/>
            </w:pPr>
            <w:r w:rsidRPr="006D6FD8">
              <w:t xml:space="preserve">Yr 4: </w:t>
            </w:r>
            <w:r w:rsidR="003C172C" w:rsidRPr="003C172C">
              <w:rPr>
                <w:sz w:val="2"/>
                <w:highlight w:val="black"/>
              </w:rPr>
              <w:t>redacted content</w:t>
            </w:r>
            <w:r w:rsidR="0079247B">
              <w:rPr>
                <w:vertAlign w:val="superscript"/>
              </w:rPr>
              <w:t>1</w:t>
            </w:r>
          </w:p>
          <w:p w14:paraId="4B1DBC17" w14:textId="5807C586" w:rsidR="00BF50CC" w:rsidRPr="006D6FD8" w:rsidRDefault="00BF50CC" w:rsidP="00135EE0">
            <w:pPr>
              <w:pStyle w:val="TableText0"/>
              <w:keepNext w:val="0"/>
            </w:pPr>
            <w:r w:rsidRPr="006D6FD8">
              <w:t xml:space="preserve">Yr 5: </w:t>
            </w:r>
            <w:r w:rsidR="003C172C" w:rsidRPr="003C172C">
              <w:rPr>
                <w:sz w:val="2"/>
                <w:highlight w:val="black"/>
              </w:rPr>
              <w:t>redacted content</w:t>
            </w:r>
            <w:r w:rsidR="0079247B">
              <w:rPr>
                <w:vertAlign w:val="superscript"/>
              </w:rPr>
              <w:t>1</w:t>
            </w:r>
          </w:p>
          <w:p w14:paraId="65925F9C" w14:textId="2ECAC4EE" w:rsidR="00BF50CC" w:rsidRDefault="00BF50CC" w:rsidP="00135EE0">
            <w:pPr>
              <w:pStyle w:val="TableText0"/>
              <w:keepNext w:val="0"/>
            </w:pPr>
            <w:r w:rsidRPr="006D6FD8">
              <w:t xml:space="preserve">Yr 6: </w:t>
            </w:r>
            <w:r w:rsidR="003C172C" w:rsidRPr="003C172C">
              <w:rPr>
                <w:sz w:val="2"/>
                <w:highlight w:val="black"/>
              </w:rPr>
              <w:t>redacted content</w:t>
            </w:r>
            <w:r w:rsidR="0079247B">
              <w:rPr>
                <w:vertAlign w:val="superscript"/>
              </w:rPr>
              <w:t>1</w:t>
            </w:r>
          </w:p>
          <w:p w14:paraId="2E8C422A" w14:textId="77777777" w:rsidR="005E00E8" w:rsidRDefault="005E00E8" w:rsidP="00135EE0">
            <w:pPr>
              <w:pStyle w:val="TableText0"/>
              <w:keepNext w:val="0"/>
            </w:pPr>
          </w:p>
          <w:p w14:paraId="016A8953" w14:textId="24376405" w:rsidR="005E00E8" w:rsidRDefault="005E00E8" w:rsidP="00135EE0">
            <w:pPr>
              <w:pStyle w:val="TableText0"/>
              <w:keepNext w:val="0"/>
            </w:pPr>
            <w:r>
              <w:t>Pre-PBAC Response:</w:t>
            </w:r>
          </w:p>
          <w:p w14:paraId="103A97FA" w14:textId="58EAEE28" w:rsidR="005E00E8" w:rsidRDefault="005E00E8" w:rsidP="00135EE0">
            <w:pPr>
              <w:pStyle w:val="TableText0"/>
              <w:keepNext w:val="0"/>
            </w:pPr>
            <w:r>
              <w:t xml:space="preserve">Yr </w:t>
            </w:r>
            <w:r w:rsidR="008F621C">
              <w:t>1</w:t>
            </w:r>
            <w:r>
              <w:t>:</w:t>
            </w:r>
            <w:r w:rsidR="00D206A9">
              <w:t xml:space="preserve"> </w:t>
            </w:r>
            <w:r w:rsidR="003C172C" w:rsidRPr="003C172C">
              <w:rPr>
                <w:sz w:val="2"/>
                <w:highlight w:val="black"/>
              </w:rPr>
              <w:t>redacted content</w:t>
            </w:r>
            <w:r w:rsidR="0079247B">
              <w:rPr>
                <w:vertAlign w:val="superscript"/>
              </w:rPr>
              <w:t>1</w:t>
            </w:r>
          </w:p>
          <w:p w14:paraId="54204F07" w14:textId="113CC38A" w:rsidR="005E00E8" w:rsidRDefault="005E00E8" w:rsidP="00135EE0">
            <w:pPr>
              <w:pStyle w:val="TableText0"/>
              <w:keepNext w:val="0"/>
            </w:pPr>
            <w:r>
              <w:t xml:space="preserve">Yr </w:t>
            </w:r>
            <w:r w:rsidR="008F621C">
              <w:t>2</w:t>
            </w:r>
            <w:r>
              <w:t>:</w:t>
            </w:r>
            <w:r w:rsidR="00D206A9">
              <w:t xml:space="preserve"> </w:t>
            </w:r>
            <w:r w:rsidR="003C172C" w:rsidRPr="003C172C">
              <w:rPr>
                <w:sz w:val="2"/>
                <w:highlight w:val="black"/>
              </w:rPr>
              <w:t>redacted content</w:t>
            </w:r>
            <w:r w:rsidR="0079247B">
              <w:rPr>
                <w:vertAlign w:val="superscript"/>
              </w:rPr>
              <w:t>1</w:t>
            </w:r>
          </w:p>
          <w:p w14:paraId="5BB88079" w14:textId="4EEE8C78" w:rsidR="005E00E8" w:rsidRDefault="005E00E8" w:rsidP="00135EE0">
            <w:pPr>
              <w:pStyle w:val="TableText0"/>
              <w:keepNext w:val="0"/>
            </w:pPr>
            <w:r>
              <w:t xml:space="preserve">Yr </w:t>
            </w:r>
            <w:r w:rsidR="008F621C">
              <w:t>3</w:t>
            </w:r>
            <w:r>
              <w:t>:</w:t>
            </w:r>
            <w:r w:rsidR="00D206A9">
              <w:t xml:space="preserve"> </w:t>
            </w:r>
            <w:r w:rsidR="003C172C" w:rsidRPr="003C172C">
              <w:rPr>
                <w:sz w:val="2"/>
                <w:highlight w:val="black"/>
              </w:rPr>
              <w:t>redacted content</w:t>
            </w:r>
            <w:r w:rsidR="0079247B">
              <w:rPr>
                <w:vertAlign w:val="superscript"/>
              </w:rPr>
              <w:t>1</w:t>
            </w:r>
          </w:p>
          <w:p w14:paraId="6B0A63A5" w14:textId="1496957D" w:rsidR="008F621C" w:rsidRDefault="008F621C" w:rsidP="00135EE0">
            <w:pPr>
              <w:pStyle w:val="TableText0"/>
              <w:keepNext w:val="0"/>
            </w:pPr>
            <w:r>
              <w:t xml:space="preserve">Yr 4: </w:t>
            </w:r>
            <w:r w:rsidR="003C172C" w:rsidRPr="003C172C">
              <w:rPr>
                <w:sz w:val="2"/>
                <w:highlight w:val="black"/>
              </w:rPr>
              <w:t>redacted content</w:t>
            </w:r>
            <w:r w:rsidR="0079247B">
              <w:rPr>
                <w:vertAlign w:val="superscript"/>
              </w:rPr>
              <w:t>1</w:t>
            </w:r>
          </w:p>
          <w:p w14:paraId="0E884155" w14:textId="239F4CD1" w:rsidR="008637D3" w:rsidRDefault="008637D3" w:rsidP="00135EE0">
            <w:pPr>
              <w:pStyle w:val="TableText0"/>
              <w:keepNext w:val="0"/>
            </w:pPr>
            <w:r>
              <w:t xml:space="preserve">Yr 5: </w:t>
            </w:r>
            <w:r w:rsidR="003C172C" w:rsidRPr="003C172C">
              <w:rPr>
                <w:sz w:val="2"/>
                <w:highlight w:val="black"/>
              </w:rPr>
              <w:t>redacted content</w:t>
            </w:r>
            <w:r w:rsidR="00493ECD">
              <w:rPr>
                <w:vertAlign w:val="superscript"/>
              </w:rPr>
              <w:t>6</w:t>
            </w:r>
          </w:p>
          <w:p w14:paraId="4EC59ECA" w14:textId="4CB2DF4F" w:rsidR="00766B6D" w:rsidRPr="003F367F" w:rsidRDefault="00766B6D" w:rsidP="00135EE0">
            <w:pPr>
              <w:pStyle w:val="TableText0"/>
              <w:keepNext w:val="0"/>
              <w:rPr>
                <w:vertAlign w:val="superscript"/>
              </w:rPr>
            </w:pPr>
            <w:r>
              <w:t xml:space="preserve">Yr 6: </w:t>
            </w:r>
            <w:r w:rsidR="003C172C" w:rsidRPr="003C172C">
              <w:rPr>
                <w:sz w:val="2"/>
                <w:highlight w:val="black"/>
              </w:rPr>
              <w:t>redacted content</w:t>
            </w:r>
            <w:r w:rsidR="00493ECD">
              <w:rPr>
                <w:vertAlign w:val="superscript"/>
              </w:rPr>
              <w:t>6</w:t>
            </w:r>
          </w:p>
        </w:tc>
        <w:tc>
          <w:tcPr>
            <w:tcW w:w="2268" w:type="dxa"/>
            <w:vAlign w:val="center"/>
          </w:tcPr>
          <w:p w14:paraId="7FD85C82" w14:textId="3C601362" w:rsidR="00BF50CC" w:rsidRPr="006D6FD8" w:rsidRDefault="00BF50CC" w:rsidP="00135EE0">
            <w:pPr>
              <w:pStyle w:val="TableText0"/>
              <w:keepNext w:val="0"/>
            </w:pPr>
            <w:r w:rsidRPr="006D6FD8">
              <w:t xml:space="preserve">10% PBS sample data analysis. </w:t>
            </w:r>
          </w:p>
          <w:p w14:paraId="03A93FB5" w14:textId="77777777" w:rsidR="00BF50CC" w:rsidRPr="006D6FD8" w:rsidRDefault="00BF50CC" w:rsidP="00135EE0">
            <w:pPr>
              <w:pStyle w:val="TableText0"/>
              <w:keepNext w:val="0"/>
            </w:pPr>
            <w:r w:rsidRPr="006D6FD8">
              <w:t>Projection based on the number of prevalent COPD patients on triple inhaled therapy from January 2021 to December 2024.</w:t>
            </w:r>
            <w:r w:rsidR="00605C4F" w:rsidRPr="006D6FD8">
              <w:t xml:space="preserve"> </w:t>
            </w:r>
          </w:p>
          <w:p w14:paraId="733CD948" w14:textId="0A5D5541" w:rsidR="00EC5458" w:rsidRPr="006D6FD8" w:rsidRDefault="003C172C" w:rsidP="00135EE0">
            <w:pPr>
              <w:pStyle w:val="TableText0"/>
              <w:keepNext w:val="0"/>
            </w:pPr>
            <w:r w:rsidRPr="003C172C">
              <w:rPr>
                <w:sz w:val="2"/>
                <w:highlight w:val="black"/>
              </w:rPr>
              <w:t>redacted content</w:t>
            </w:r>
            <w:r w:rsidR="00875766">
              <w:rPr>
                <w:vertAlign w:val="superscript"/>
              </w:rPr>
              <w:t>1</w:t>
            </w:r>
            <w:r w:rsidR="00EC5458" w:rsidRPr="006D6FD8">
              <w:t xml:space="preserve"> patients on triple ther</w:t>
            </w:r>
            <w:r w:rsidR="00AD29DD" w:rsidRPr="006D6FD8">
              <w:t>apy in 2025</w:t>
            </w:r>
            <w:r w:rsidR="00D94927" w:rsidRPr="006D6FD8">
              <w:t xml:space="preserve"> with </w:t>
            </w:r>
            <w:r w:rsidR="009B49F0" w:rsidRPr="006D6FD8">
              <w:t xml:space="preserve">projections </w:t>
            </w:r>
            <w:r w:rsidR="00E246C6" w:rsidRPr="006D6FD8">
              <w:t>calculated by applying the</w:t>
            </w:r>
            <w:r w:rsidR="009B49F0" w:rsidRPr="006D6FD8">
              <w:t xml:space="preserve"> average annual growth of </w:t>
            </w:r>
            <w:r w:rsidRPr="003C172C">
              <w:rPr>
                <w:sz w:val="2"/>
                <w:highlight w:val="black"/>
              </w:rPr>
              <w:t>redacted content</w:t>
            </w:r>
            <w:r w:rsidRPr="003C172C">
              <w:t xml:space="preserve"> </w:t>
            </w:r>
            <w:r w:rsidR="009B49F0" w:rsidRPr="006D6FD8">
              <w:t>patients obser</w:t>
            </w:r>
            <w:r w:rsidR="002D51AF" w:rsidRPr="006D6FD8">
              <w:t>ved during the January 2021 to December 2024 period</w:t>
            </w:r>
            <w:r w:rsidR="005D45D2">
              <w:t>.</w:t>
            </w:r>
            <w:r w:rsidR="00AD29DD" w:rsidRPr="006D6FD8">
              <w:t xml:space="preserve"> </w:t>
            </w:r>
          </w:p>
          <w:p w14:paraId="2A61D66C" w14:textId="527D402E" w:rsidR="005B1E31" w:rsidRPr="006D6FD8" w:rsidRDefault="005B1E31" w:rsidP="00135EE0">
            <w:pPr>
              <w:pStyle w:val="TableText0"/>
              <w:keepNext w:val="0"/>
            </w:pPr>
          </w:p>
        </w:tc>
        <w:tc>
          <w:tcPr>
            <w:tcW w:w="3515" w:type="dxa"/>
            <w:vAlign w:val="center"/>
          </w:tcPr>
          <w:p w14:paraId="066BB5FE" w14:textId="01A9698E" w:rsidR="00A16ECC" w:rsidRPr="006D6FD8" w:rsidRDefault="00A16ECC" w:rsidP="00135EE0">
            <w:pPr>
              <w:pStyle w:val="TableText0"/>
              <w:keepNext w:val="0"/>
              <w:rPr>
                <w:iCs/>
              </w:rPr>
            </w:pPr>
            <w:r w:rsidRPr="006D6FD8">
              <w:rPr>
                <w:iCs/>
              </w:rPr>
              <w:t>The Sub-Committees considered that</w:t>
            </w:r>
            <w:r w:rsidR="00D873CB" w:rsidRPr="006D6FD8">
              <w:rPr>
                <w:iCs/>
              </w:rPr>
              <w:t xml:space="preserve"> </w:t>
            </w:r>
            <w:r w:rsidR="004627DC" w:rsidRPr="006D6FD8">
              <w:rPr>
                <w:iCs/>
              </w:rPr>
              <w:t xml:space="preserve">this estimate was uncertain. </w:t>
            </w:r>
            <w:r w:rsidR="00CD1C33" w:rsidRPr="006D6FD8">
              <w:rPr>
                <w:iCs/>
              </w:rPr>
              <w:t xml:space="preserve">The Sub-Committees noted that the </w:t>
            </w:r>
            <w:r w:rsidR="003C172C" w:rsidRPr="003C172C">
              <w:rPr>
                <w:iCs/>
                <w:sz w:val="2"/>
                <w:highlight w:val="black"/>
              </w:rPr>
              <w:t>redacted content</w:t>
            </w:r>
            <w:r w:rsidR="00C469AC">
              <w:rPr>
                <w:iCs/>
                <w:vertAlign w:val="superscript"/>
              </w:rPr>
              <w:t>1</w:t>
            </w:r>
            <w:r w:rsidR="00CD1C33" w:rsidRPr="006D6FD8">
              <w:rPr>
                <w:iCs/>
              </w:rPr>
              <w:t xml:space="preserve"> patients </w:t>
            </w:r>
            <w:r w:rsidR="00D9772F" w:rsidRPr="006D6FD8">
              <w:rPr>
                <w:iCs/>
              </w:rPr>
              <w:t xml:space="preserve">reported by the submission to be on triple therapy </w:t>
            </w:r>
            <w:r w:rsidR="008F7044" w:rsidRPr="006D6FD8">
              <w:rPr>
                <w:iCs/>
              </w:rPr>
              <w:t xml:space="preserve">in 2025 was based on patients receiving single inhaler FDC triple therapy and </w:t>
            </w:r>
            <w:r w:rsidR="00503646" w:rsidRPr="006D6FD8">
              <w:rPr>
                <w:iCs/>
              </w:rPr>
              <w:t xml:space="preserve">those receiving open triple therapy. </w:t>
            </w:r>
            <w:r w:rsidR="00B06EFB" w:rsidRPr="006D6FD8">
              <w:rPr>
                <w:iCs/>
              </w:rPr>
              <w:t xml:space="preserve">The submission stated that according to the </w:t>
            </w:r>
            <w:r w:rsidR="00135CB0" w:rsidRPr="006D6FD8">
              <w:rPr>
                <w:iCs/>
              </w:rPr>
              <w:t xml:space="preserve">10% PBS sample data analysis, </w:t>
            </w:r>
            <w:r w:rsidR="003C172C" w:rsidRPr="003C172C">
              <w:rPr>
                <w:iCs/>
                <w:sz w:val="2"/>
                <w:highlight w:val="black"/>
              </w:rPr>
              <w:t>redacted content</w:t>
            </w:r>
            <w:r w:rsidR="00B06EFB" w:rsidRPr="006D6FD8">
              <w:rPr>
                <w:iCs/>
              </w:rPr>
              <w:t xml:space="preserve">% of COPD patients </w:t>
            </w:r>
            <w:r w:rsidR="00135CB0" w:rsidRPr="006D6FD8">
              <w:rPr>
                <w:iCs/>
              </w:rPr>
              <w:t xml:space="preserve">receiving triple therapy </w:t>
            </w:r>
            <w:r w:rsidR="00717136" w:rsidRPr="006D6FD8">
              <w:rPr>
                <w:iCs/>
              </w:rPr>
              <w:t xml:space="preserve">were on single inhaler FDC triple therapy and </w:t>
            </w:r>
            <w:r w:rsidR="003C172C" w:rsidRPr="003C172C">
              <w:rPr>
                <w:iCs/>
                <w:sz w:val="2"/>
                <w:highlight w:val="black"/>
              </w:rPr>
              <w:t>redacted content</w:t>
            </w:r>
            <w:r w:rsidR="00717136" w:rsidRPr="006D6FD8">
              <w:rPr>
                <w:iCs/>
              </w:rPr>
              <w:t>% were on open triple therapy.</w:t>
            </w:r>
            <w:r w:rsidR="005D45D2">
              <w:rPr>
                <w:iCs/>
              </w:rPr>
              <w:t xml:space="preserve"> </w:t>
            </w:r>
            <w:r w:rsidR="00C43450" w:rsidRPr="006D6FD8">
              <w:rPr>
                <w:iCs/>
                <w:szCs w:val="20"/>
              </w:rPr>
              <w:t xml:space="preserve">The Sub-Committees noted that based on the 100% PBS sample, the number of prevalent patients who had received at least one prescription for single inhaler FDC triple therapy in 2025 was 186,168 (see </w:t>
            </w:r>
            <w:r w:rsidR="00C43450" w:rsidRPr="006D6FD8">
              <w:rPr>
                <w:iCs/>
                <w:szCs w:val="20"/>
              </w:rPr>
              <w:fldChar w:fldCharType="begin"/>
            </w:r>
            <w:r w:rsidR="00C43450" w:rsidRPr="006D6FD8">
              <w:rPr>
                <w:iCs/>
                <w:szCs w:val="20"/>
              </w:rPr>
              <w:instrText xml:space="preserve"> REF _Ref221787710 \h  \* MERGEFORMAT </w:instrText>
            </w:r>
            <w:r w:rsidR="00C43450" w:rsidRPr="006D6FD8">
              <w:rPr>
                <w:iCs/>
                <w:szCs w:val="20"/>
              </w:rPr>
            </w:r>
            <w:r w:rsidR="00C43450" w:rsidRPr="006D6FD8">
              <w:rPr>
                <w:iCs/>
                <w:szCs w:val="20"/>
              </w:rPr>
              <w:fldChar w:fldCharType="separate"/>
            </w:r>
            <w:r w:rsidR="00EF635A" w:rsidRPr="00EF635A">
              <w:rPr>
                <w:iCs/>
                <w:snapToGrid w:val="0"/>
                <w:szCs w:val="20"/>
              </w:rPr>
              <w:t xml:space="preserve">Table </w:t>
            </w:r>
            <w:r w:rsidR="00EF635A" w:rsidRPr="00EF635A">
              <w:rPr>
                <w:iCs/>
                <w:noProof/>
                <w:snapToGrid w:val="0"/>
                <w:szCs w:val="20"/>
              </w:rPr>
              <w:t>21</w:t>
            </w:r>
            <w:r w:rsidR="00C43450" w:rsidRPr="006D6FD8">
              <w:rPr>
                <w:iCs/>
                <w:szCs w:val="20"/>
              </w:rPr>
              <w:fldChar w:fldCharType="end"/>
            </w:r>
            <w:r w:rsidR="00C43450" w:rsidRPr="006D6FD8">
              <w:rPr>
                <w:iCs/>
                <w:szCs w:val="20"/>
              </w:rPr>
              <w:t>).</w:t>
            </w:r>
            <w:r w:rsidR="005D45D2">
              <w:rPr>
                <w:iCs/>
                <w:szCs w:val="20"/>
              </w:rPr>
              <w:t xml:space="preserve"> </w:t>
            </w:r>
            <w:r w:rsidR="00081377" w:rsidRPr="00940059">
              <w:rPr>
                <w:iCs/>
              </w:rPr>
              <w:t>The Pre-PBAC</w:t>
            </w:r>
            <w:r w:rsidR="00402ED4">
              <w:rPr>
                <w:iCs/>
              </w:rPr>
              <w:t xml:space="preserve"> Response</w:t>
            </w:r>
            <w:r w:rsidR="00081377" w:rsidRPr="00940059">
              <w:rPr>
                <w:iCs/>
              </w:rPr>
              <w:t xml:space="preserve"> proposed updated estimates incorporating a triple inhaled prevalent population based on </w:t>
            </w:r>
            <w:r w:rsidR="005C5B21">
              <w:rPr>
                <w:iCs/>
              </w:rPr>
              <w:t>the actual</w:t>
            </w:r>
            <w:r w:rsidR="00081377" w:rsidRPr="00940059">
              <w:rPr>
                <w:iCs/>
              </w:rPr>
              <w:t xml:space="preserve"> number of prevalent patients on </w:t>
            </w:r>
            <w:r w:rsidR="00940059" w:rsidRPr="00940059">
              <w:rPr>
                <w:iCs/>
              </w:rPr>
              <w:t>single inhale</w:t>
            </w:r>
            <w:r w:rsidR="00A15A06">
              <w:rPr>
                <w:iCs/>
              </w:rPr>
              <w:t>d triple</w:t>
            </w:r>
            <w:r w:rsidR="00940059" w:rsidRPr="00940059">
              <w:rPr>
                <w:iCs/>
              </w:rPr>
              <w:t xml:space="preserve"> therapy</w:t>
            </w:r>
            <w:r w:rsidR="00081377" w:rsidRPr="00940059">
              <w:rPr>
                <w:iCs/>
              </w:rPr>
              <w:t xml:space="preserve"> (PBS 100%) with additional estimate</w:t>
            </w:r>
            <w:r w:rsidR="00940059" w:rsidRPr="00940059">
              <w:rPr>
                <w:iCs/>
              </w:rPr>
              <w:t>s</w:t>
            </w:r>
            <w:r w:rsidR="00081377" w:rsidRPr="00940059">
              <w:rPr>
                <w:iCs/>
              </w:rPr>
              <w:t xml:space="preserve"> for open </w:t>
            </w:r>
            <w:r w:rsidR="00940059" w:rsidRPr="00940059">
              <w:rPr>
                <w:iCs/>
              </w:rPr>
              <w:t>triple inhaled therapy</w:t>
            </w:r>
            <w:r w:rsidR="00081377" w:rsidRPr="00940059">
              <w:rPr>
                <w:iCs/>
              </w:rPr>
              <w:t xml:space="preserve"> patients (relative market share, PBS 10%). A linear projection is applied</w:t>
            </w:r>
            <w:r w:rsidR="00940059" w:rsidRPr="00940059">
              <w:rPr>
                <w:iCs/>
              </w:rPr>
              <w:t>.</w:t>
            </w:r>
          </w:p>
        </w:tc>
      </w:tr>
      <w:tr w:rsidR="004452EA" w:rsidRPr="00D27683" w14:paraId="53C91616" w14:textId="77777777" w:rsidTr="00EE5D15">
        <w:trPr>
          <w:cantSplit/>
        </w:trPr>
        <w:tc>
          <w:tcPr>
            <w:tcW w:w="1980" w:type="dxa"/>
            <w:vAlign w:val="center"/>
          </w:tcPr>
          <w:p w14:paraId="21E392B9" w14:textId="26C16FAF" w:rsidR="00BF50CC" w:rsidRPr="00D27683" w:rsidRDefault="00BF50CC" w:rsidP="00135EE0">
            <w:pPr>
              <w:pStyle w:val="TableText0"/>
              <w:keepNext w:val="0"/>
            </w:pPr>
            <w:r w:rsidRPr="00D27683">
              <w:t xml:space="preserve">Proportion of COPD patients </w:t>
            </w:r>
            <w:r w:rsidR="00AD6B9E">
              <w:t>who are</w:t>
            </w:r>
            <w:r w:rsidRPr="00D27683">
              <w:t xml:space="preserve"> indicated </w:t>
            </w:r>
            <w:r w:rsidR="00AD6B9E">
              <w:t xml:space="preserve">for </w:t>
            </w:r>
            <w:r w:rsidRPr="00D27683">
              <w:t>triple therapy, but are using dual therapy due to intolerance to LAMA, LABA or ICS component</w:t>
            </w:r>
          </w:p>
        </w:tc>
        <w:tc>
          <w:tcPr>
            <w:tcW w:w="1417" w:type="dxa"/>
            <w:vAlign w:val="center"/>
          </w:tcPr>
          <w:p w14:paraId="328088D1" w14:textId="05E386A5" w:rsidR="00BF50CC" w:rsidRPr="00D27683" w:rsidRDefault="003C172C" w:rsidP="00135EE0">
            <w:pPr>
              <w:pStyle w:val="TableText0"/>
              <w:keepNext w:val="0"/>
            </w:pPr>
            <w:r w:rsidRPr="003C172C">
              <w:rPr>
                <w:sz w:val="2"/>
                <w:highlight w:val="black"/>
              </w:rPr>
              <w:t>redacted content</w:t>
            </w:r>
            <w:r w:rsidR="00BF50CC" w:rsidRPr="00D27683">
              <w:t>%</w:t>
            </w:r>
          </w:p>
        </w:tc>
        <w:tc>
          <w:tcPr>
            <w:tcW w:w="2268" w:type="dxa"/>
            <w:vAlign w:val="center"/>
          </w:tcPr>
          <w:p w14:paraId="080D89F4" w14:textId="77777777" w:rsidR="00BF50CC" w:rsidRPr="00D27683" w:rsidRDefault="00BF50CC" w:rsidP="00135EE0">
            <w:pPr>
              <w:pStyle w:val="TableText0"/>
              <w:keepNext w:val="0"/>
            </w:pPr>
            <w:r w:rsidRPr="00D27683">
              <w:t>Clinical expert opinion (GSK Mepolizumab COPD Advisory Board, 2025)</w:t>
            </w:r>
          </w:p>
        </w:tc>
        <w:tc>
          <w:tcPr>
            <w:tcW w:w="3515" w:type="dxa"/>
            <w:vAlign w:val="center"/>
          </w:tcPr>
          <w:p w14:paraId="528461F3" w14:textId="77777777" w:rsidR="00BF50CC" w:rsidRPr="00D27683" w:rsidRDefault="00BF50CC" w:rsidP="00135EE0">
            <w:pPr>
              <w:pStyle w:val="TableText0"/>
              <w:keepNext w:val="0"/>
            </w:pPr>
            <w:r w:rsidRPr="00D27683">
              <w:t>The accuracy of expert opinion was uncertain</w:t>
            </w:r>
            <w:r w:rsidR="000B0F93" w:rsidRPr="00D27683">
              <w:t>.</w:t>
            </w:r>
          </w:p>
          <w:p w14:paraId="4BAD03B1" w14:textId="77777777" w:rsidR="000B0F93" w:rsidRPr="00D27683" w:rsidRDefault="000B0F93" w:rsidP="00135EE0">
            <w:pPr>
              <w:pStyle w:val="TableText0"/>
              <w:keepNext w:val="0"/>
            </w:pPr>
          </w:p>
          <w:p w14:paraId="0A7208D2" w14:textId="14A72F3D" w:rsidR="000B0F93" w:rsidRPr="00D27683" w:rsidRDefault="00730B6E" w:rsidP="00135EE0">
            <w:pPr>
              <w:pStyle w:val="TableText0"/>
              <w:keepNext w:val="0"/>
              <w:rPr>
                <w:i/>
                <w:iCs/>
              </w:rPr>
            </w:pPr>
            <w:r w:rsidRPr="006D6FD8">
              <w:rPr>
                <w:iCs/>
              </w:rPr>
              <w:t xml:space="preserve">The Sub-Committees considered that the restriction should require patients to be taking a LABA, LAMA and ICS and hence this </w:t>
            </w:r>
            <w:r w:rsidR="008A4AF7" w:rsidRPr="006D6FD8">
              <w:rPr>
                <w:iCs/>
              </w:rPr>
              <w:t xml:space="preserve">input should be removed. </w:t>
            </w:r>
            <w:r w:rsidR="00402ED4">
              <w:rPr>
                <w:iCs/>
              </w:rPr>
              <w:t>The Pre-PBAC Response did not agree to exclude this parameter</w:t>
            </w:r>
            <w:r w:rsidR="00721910">
              <w:rPr>
                <w:iCs/>
              </w:rPr>
              <w:t xml:space="preserve"> (see paragraph </w:t>
            </w:r>
            <w:r w:rsidR="00721910">
              <w:rPr>
                <w:iCs/>
              </w:rPr>
              <w:fldChar w:fldCharType="begin"/>
            </w:r>
            <w:r w:rsidR="00721910">
              <w:rPr>
                <w:iCs/>
              </w:rPr>
              <w:instrText xml:space="preserve"> REF _Ref224650170 \r \h </w:instrText>
            </w:r>
            <w:r w:rsidR="00721910">
              <w:rPr>
                <w:iCs/>
              </w:rPr>
            </w:r>
            <w:r w:rsidR="00721910">
              <w:rPr>
                <w:iCs/>
              </w:rPr>
              <w:fldChar w:fldCharType="separate"/>
            </w:r>
            <w:r w:rsidR="005D45D2">
              <w:rPr>
                <w:iCs/>
              </w:rPr>
              <w:t>3.4</w:t>
            </w:r>
            <w:r w:rsidR="00721910">
              <w:rPr>
                <w:iCs/>
              </w:rPr>
              <w:fldChar w:fldCharType="end"/>
            </w:r>
            <w:r w:rsidR="00721910">
              <w:rPr>
                <w:iCs/>
              </w:rPr>
              <w:t>)</w:t>
            </w:r>
            <w:r w:rsidR="00402ED4">
              <w:rPr>
                <w:iCs/>
              </w:rPr>
              <w:t>.</w:t>
            </w:r>
            <w:r w:rsidR="002F09E6">
              <w:rPr>
                <w:iCs/>
              </w:rPr>
              <w:t xml:space="preserve"> However, the PBAC agreed with the Sub-Committees that </w:t>
            </w:r>
            <w:r w:rsidR="002F09E6" w:rsidRPr="00F94E46">
              <w:rPr>
                <w:iCs/>
              </w:rPr>
              <w:t>the restriction should require patients to be taking a LABA, LAMA and ICS</w:t>
            </w:r>
            <w:r w:rsidR="002F09E6">
              <w:rPr>
                <w:iCs/>
              </w:rPr>
              <w:t>.</w:t>
            </w:r>
          </w:p>
        </w:tc>
      </w:tr>
      <w:tr w:rsidR="004452EA" w:rsidRPr="006D6FD8" w14:paraId="10A15959" w14:textId="77777777" w:rsidTr="00EE5D15">
        <w:trPr>
          <w:cantSplit/>
        </w:trPr>
        <w:tc>
          <w:tcPr>
            <w:tcW w:w="1980" w:type="dxa"/>
            <w:vAlign w:val="center"/>
          </w:tcPr>
          <w:p w14:paraId="646133DD" w14:textId="42FE8BF4" w:rsidR="00BF50CC" w:rsidRPr="006D6FD8" w:rsidRDefault="00BF50CC" w:rsidP="00135EE0">
            <w:pPr>
              <w:pStyle w:val="TableText0"/>
              <w:keepNext w:val="0"/>
            </w:pPr>
            <w:r w:rsidRPr="006D6FD8">
              <w:t xml:space="preserve">Proportion </w:t>
            </w:r>
            <w:r w:rsidR="00AD3958">
              <w:t xml:space="preserve">on triple inhaled therapy </w:t>
            </w:r>
            <w:r w:rsidR="0055487C">
              <w:t xml:space="preserve">who </w:t>
            </w:r>
            <w:r w:rsidR="00AD3958">
              <w:t xml:space="preserve">have </w:t>
            </w:r>
            <w:r w:rsidR="0055487C">
              <w:t>experience</w:t>
            </w:r>
            <w:r w:rsidR="00AD3958">
              <w:t>d</w:t>
            </w:r>
            <w:r w:rsidR="0055487C" w:rsidRPr="006D6FD8">
              <w:t xml:space="preserve"> </w:t>
            </w:r>
            <w:r w:rsidRPr="006D6FD8">
              <w:t>≥ 2 moderate or ≥ 1 severe exacerbation</w:t>
            </w:r>
            <w:r w:rsidR="0055487C">
              <w:t>s</w:t>
            </w:r>
            <w:r w:rsidRPr="006D6FD8">
              <w:t xml:space="preserve"> </w:t>
            </w:r>
            <w:r w:rsidR="00AD3958">
              <w:t>in</w:t>
            </w:r>
            <w:r w:rsidR="00AD3958" w:rsidRPr="006D6FD8">
              <w:t xml:space="preserve"> </w:t>
            </w:r>
            <w:r w:rsidRPr="006D6FD8">
              <w:t xml:space="preserve">the past 12 months </w:t>
            </w:r>
          </w:p>
        </w:tc>
        <w:tc>
          <w:tcPr>
            <w:tcW w:w="1417" w:type="dxa"/>
            <w:vAlign w:val="center"/>
          </w:tcPr>
          <w:p w14:paraId="000F9861" w14:textId="77777777" w:rsidR="00BF50CC" w:rsidRPr="006D6FD8" w:rsidRDefault="00BF50CC" w:rsidP="00135EE0">
            <w:pPr>
              <w:pStyle w:val="TableText0"/>
              <w:keepNext w:val="0"/>
            </w:pPr>
            <w:r w:rsidRPr="006D6FD8">
              <w:t>60.54%</w:t>
            </w:r>
          </w:p>
        </w:tc>
        <w:tc>
          <w:tcPr>
            <w:tcW w:w="2268" w:type="dxa"/>
            <w:vAlign w:val="center"/>
          </w:tcPr>
          <w:p w14:paraId="715574B6" w14:textId="0A25B980" w:rsidR="00BF50CC" w:rsidRPr="006D6FD8" w:rsidRDefault="00BF50CC" w:rsidP="00135EE0">
            <w:pPr>
              <w:pStyle w:val="TableText0"/>
              <w:keepNext w:val="0"/>
            </w:pPr>
            <w:r w:rsidRPr="006D6FD8">
              <w:t>Benson et al. (2019)</w:t>
            </w:r>
            <w:r w:rsidR="00334B25">
              <w:t>,</w:t>
            </w:r>
            <w:r w:rsidRPr="006D6FD8">
              <w:t xml:space="preserve"> Figure 1</w:t>
            </w:r>
          </w:p>
        </w:tc>
        <w:tc>
          <w:tcPr>
            <w:tcW w:w="3515" w:type="dxa"/>
            <w:vAlign w:val="center"/>
          </w:tcPr>
          <w:p w14:paraId="766B6227" w14:textId="33ED14D4" w:rsidR="0071106F" w:rsidRPr="006D6FD8" w:rsidRDefault="00CF3D4D" w:rsidP="00135EE0">
            <w:pPr>
              <w:pStyle w:val="TableText0"/>
              <w:keepNext w:val="0"/>
              <w:rPr>
                <w:iCs/>
              </w:rPr>
            </w:pPr>
            <w:r w:rsidRPr="006D6FD8">
              <w:rPr>
                <w:color w:val="000000" w:themeColor="text1"/>
              </w:rPr>
              <w:t xml:space="preserve">The Sub-Committees considered that it was unclear </w:t>
            </w:r>
            <w:r w:rsidR="006511ED" w:rsidRPr="006D6FD8">
              <w:rPr>
                <w:color w:val="000000" w:themeColor="text1"/>
              </w:rPr>
              <w:t>how relevant</w:t>
            </w:r>
            <w:r w:rsidRPr="006D6FD8">
              <w:rPr>
                <w:color w:val="000000" w:themeColor="text1"/>
              </w:rPr>
              <w:t xml:space="preserve"> the Benson et al (2019) study</w:t>
            </w:r>
            <w:r w:rsidR="006511ED" w:rsidRPr="006D6FD8">
              <w:rPr>
                <w:color w:val="000000" w:themeColor="text1"/>
              </w:rPr>
              <w:t xml:space="preserve"> was to the Australian population, </w:t>
            </w:r>
            <w:r w:rsidR="009C0F96" w:rsidRPr="006D6FD8">
              <w:rPr>
                <w:color w:val="000000" w:themeColor="text1"/>
              </w:rPr>
              <w:t xml:space="preserve">particularly given that the data were collected in 2017, and </w:t>
            </w:r>
            <w:r w:rsidR="00875C05" w:rsidRPr="006D6FD8">
              <w:rPr>
                <w:bCs w:val="0"/>
                <w:iCs/>
                <w:color w:val="000000" w:themeColor="text1"/>
              </w:rPr>
              <w:t>single inhaler FDC triple therapy</w:t>
            </w:r>
            <w:r w:rsidR="009C0F96" w:rsidRPr="006D6FD8">
              <w:rPr>
                <w:color w:val="000000" w:themeColor="text1"/>
              </w:rPr>
              <w:t xml:space="preserve"> was</w:t>
            </w:r>
            <w:r w:rsidR="00C37DF0" w:rsidRPr="006D6FD8">
              <w:rPr>
                <w:color w:val="000000" w:themeColor="text1"/>
              </w:rPr>
              <w:t xml:space="preserve"> </w:t>
            </w:r>
            <w:r w:rsidR="00FE24D7" w:rsidRPr="006D6FD8">
              <w:rPr>
                <w:color w:val="000000" w:themeColor="text1"/>
              </w:rPr>
              <w:t>not introduced</w:t>
            </w:r>
            <w:r w:rsidR="009C0F96" w:rsidRPr="006D6FD8">
              <w:rPr>
                <w:color w:val="000000" w:themeColor="text1"/>
              </w:rPr>
              <w:t xml:space="preserve"> </w:t>
            </w:r>
            <w:r w:rsidR="00C37DF0" w:rsidRPr="006D6FD8">
              <w:rPr>
                <w:color w:val="000000" w:themeColor="text1"/>
              </w:rPr>
              <w:t>until</w:t>
            </w:r>
            <w:r w:rsidR="009C0F96" w:rsidRPr="006D6FD8">
              <w:rPr>
                <w:color w:val="000000" w:themeColor="text1"/>
              </w:rPr>
              <w:t xml:space="preserve"> 2018.</w:t>
            </w:r>
            <w:r w:rsidR="00CF6D80" w:rsidRPr="006D6FD8">
              <w:rPr>
                <w:iCs/>
                <w:color w:val="000000" w:themeColor="text1"/>
              </w:rPr>
              <w:t xml:space="preserve"> </w:t>
            </w:r>
            <w:r w:rsidR="00CF6D80" w:rsidRPr="006D6FD8">
              <w:rPr>
                <w:bCs w:val="0"/>
                <w:iCs/>
                <w:color w:val="000000" w:themeColor="text1"/>
              </w:rPr>
              <w:t>The Sub-Committee</w:t>
            </w:r>
            <w:r w:rsidR="00F95268">
              <w:rPr>
                <w:bCs w:val="0"/>
                <w:iCs/>
                <w:color w:val="000000" w:themeColor="text1"/>
              </w:rPr>
              <w:t>s</w:t>
            </w:r>
            <w:r w:rsidR="00CF6D80" w:rsidRPr="006D6FD8">
              <w:rPr>
                <w:bCs w:val="0"/>
                <w:iCs/>
                <w:color w:val="000000" w:themeColor="text1"/>
              </w:rPr>
              <w:t xml:space="preserve"> considered that patient estimates based on </w:t>
            </w:r>
            <w:r w:rsidR="000255BA" w:rsidRPr="006D6FD8">
              <w:rPr>
                <w:bCs w:val="0"/>
                <w:iCs/>
                <w:color w:val="000000" w:themeColor="text1"/>
              </w:rPr>
              <w:t>open triple therapy</w:t>
            </w:r>
            <w:r w:rsidR="00CF6D80" w:rsidRPr="006D6FD8">
              <w:rPr>
                <w:bCs w:val="0"/>
                <w:iCs/>
                <w:color w:val="000000" w:themeColor="text1"/>
              </w:rPr>
              <w:t xml:space="preserve"> may not suitably translate to the </w:t>
            </w:r>
            <w:r w:rsidR="00BA6337" w:rsidRPr="006D6FD8">
              <w:rPr>
                <w:bCs w:val="0"/>
                <w:iCs/>
                <w:color w:val="000000" w:themeColor="text1"/>
              </w:rPr>
              <w:t>single inhaler FDC triple therapy</w:t>
            </w:r>
            <w:r w:rsidR="00CF6D80" w:rsidRPr="006D6FD8">
              <w:rPr>
                <w:bCs w:val="0"/>
                <w:iCs/>
                <w:color w:val="000000" w:themeColor="text1"/>
              </w:rPr>
              <w:t xml:space="preserve"> setting without further analysis. </w:t>
            </w:r>
            <w:r w:rsidR="00445861">
              <w:rPr>
                <w:bCs w:val="0"/>
                <w:iCs/>
                <w:color w:val="000000" w:themeColor="text1"/>
              </w:rPr>
              <w:t>The Pre-PBAC</w:t>
            </w:r>
            <w:r w:rsidR="00003F80">
              <w:rPr>
                <w:bCs w:val="0"/>
                <w:iCs/>
                <w:color w:val="000000" w:themeColor="text1"/>
              </w:rPr>
              <w:t xml:space="preserve"> Response maintained that this parameter was appropriate.</w:t>
            </w:r>
          </w:p>
        </w:tc>
      </w:tr>
      <w:tr w:rsidR="004452EA" w:rsidRPr="00D27683" w14:paraId="3F982792" w14:textId="77777777" w:rsidTr="00EE5D15">
        <w:trPr>
          <w:cantSplit/>
        </w:trPr>
        <w:tc>
          <w:tcPr>
            <w:tcW w:w="1980" w:type="dxa"/>
            <w:vAlign w:val="center"/>
          </w:tcPr>
          <w:p w14:paraId="18ED6375" w14:textId="5B22C660" w:rsidR="00BF50CC" w:rsidRPr="00D27683" w:rsidRDefault="00BF50CC" w:rsidP="00135EE0">
            <w:pPr>
              <w:pStyle w:val="TableText0"/>
              <w:keepNext w:val="0"/>
            </w:pPr>
            <w:r w:rsidRPr="00D27683">
              <w:lastRenderedPageBreak/>
              <w:t xml:space="preserve">Proportion </w:t>
            </w:r>
            <w:r w:rsidR="009A070A">
              <w:t xml:space="preserve">of patients who are </w:t>
            </w:r>
            <w:r w:rsidRPr="00D27683">
              <w:t>optimised on triple therapy, i.e., ≥ 3 months of use (among those with ≥ 2 moderate or ≥ 1 severe exacerbation over recent 12 months while on triple inhaled therapy)</w:t>
            </w:r>
          </w:p>
        </w:tc>
        <w:tc>
          <w:tcPr>
            <w:tcW w:w="1417" w:type="dxa"/>
            <w:vAlign w:val="center"/>
          </w:tcPr>
          <w:p w14:paraId="660D34DA" w14:textId="77777777" w:rsidR="00BF50CC" w:rsidRPr="00D27683" w:rsidRDefault="00BF50CC" w:rsidP="00135EE0">
            <w:pPr>
              <w:pStyle w:val="TableText0"/>
              <w:keepNext w:val="0"/>
            </w:pPr>
            <w:r w:rsidRPr="00D27683">
              <w:t>74.81%</w:t>
            </w:r>
          </w:p>
        </w:tc>
        <w:tc>
          <w:tcPr>
            <w:tcW w:w="2268" w:type="dxa"/>
            <w:vAlign w:val="center"/>
          </w:tcPr>
          <w:p w14:paraId="23B175A0" w14:textId="115CDB83" w:rsidR="00BF50CC" w:rsidRPr="00D27683" w:rsidRDefault="00BF50CC" w:rsidP="00135EE0">
            <w:pPr>
              <w:pStyle w:val="TableText0"/>
              <w:keepNext w:val="0"/>
            </w:pPr>
            <w:r w:rsidRPr="00D27683">
              <w:t>Benson et al. 2019; Sensitivity analysis 2</w:t>
            </w:r>
          </w:p>
        </w:tc>
        <w:tc>
          <w:tcPr>
            <w:tcW w:w="3515" w:type="dxa"/>
            <w:vAlign w:val="center"/>
          </w:tcPr>
          <w:p w14:paraId="52048148" w14:textId="518DACB7" w:rsidR="00BF50CC" w:rsidRPr="00D27683" w:rsidRDefault="001C5C35" w:rsidP="00135EE0">
            <w:pPr>
              <w:pStyle w:val="TableText0"/>
              <w:keepNext w:val="0"/>
            </w:pPr>
            <w:r>
              <w:t>The evaluation noted that the e</w:t>
            </w:r>
            <w:r w:rsidR="007F537C" w:rsidRPr="00D27683">
              <w:t>stimates calculated</w:t>
            </w:r>
            <w:r>
              <w:t xml:space="preserve"> were</w:t>
            </w:r>
            <w:r w:rsidR="007F537C" w:rsidRPr="00D27683">
              <w:t xml:space="preserve"> from different </w:t>
            </w:r>
            <w:r w:rsidR="00303379" w:rsidRPr="00D27683">
              <w:t>subpopulations and</w:t>
            </w:r>
            <w:r>
              <w:t xml:space="preserve"> </w:t>
            </w:r>
            <w:r w:rsidR="00E26ED1">
              <w:t>were</w:t>
            </w:r>
            <w:r>
              <w:t xml:space="preserve"> </w:t>
            </w:r>
            <w:r w:rsidR="007F537C" w:rsidRPr="00D27683">
              <w:t xml:space="preserve">therefore not comparable. </w:t>
            </w:r>
          </w:p>
          <w:p w14:paraId="69FA3A36" w14:textId="493D0B10" w:rsidR="00737171" w:rsidRPr="00D27683" w:rsidRDefault="00737171" w:rsidP="00135EE0">
            <w:pPr>
              <w:pStyle w:val="TableText0"/>
              <w:keepNext w:val="0"/>
              <w:rPr>
                <w:i/>
                <w:iCs/>
              </w:rPr>
            </w:pPr>
            <w:r w:rsidRPr="006D6FD8">
              <w:rPr>
                <w:iCs/>
              </w:rPr>
              <w:t>As outlined above</w:t>
            </w:r>
            <w:r w:rsidR="00E26ED1">
              <w:rPr>
                <w:iCs/>
              </w:rPr>
              <w:t>,</w:t>
            </w:r>
            <w:r w:rsidRPr="006D6FD8">
              <w:rPr>
                <w:iCs/>
              </w:rPr>
              <w:t xml:space="preserve"> the Sub-Committees considered </w:t>
            </w:r>
            <w:r w:rsidR="00E26ED1">
              <w:rPr>
                <w:iCs/>
              </w:rPr>
              <w:t xml:space="preserve">that </w:t>
            </w:r>
            <w:r w:rsidRPr="006D6FD8">
              <w:rPr>
                <w:iCs/>
              </w:rPr>
              <w:t>it was unclear how relevant the Benson et al (201</w:t>
            </w:r>
            <w:r w:rsidR="0083170A" w:rsidRPr="006D6FD8">
              <w:rPr>
                <w:iCs/>
              </w:rPr>
              <w:t xml:space="preserve">9) study was the to the Australian population. </w:t>
            </w:r>
          </w:p>
        </w:tc>
      </w:tr>
      <w:tr w:rsidR="004452EA" w:rsidRPr="00D27683" w14:paraId="3EB6CCF8" w14:textId="77777777" w:rsidTr="00EE5D15">
        <w:trPr>
          <w:cantSplit/>
        </w:trPr>
        <w:tc>
          <w:tcPr>
            <w:tcW w:w="1980" w:type="dxa"/>
            <w:vAlign w:val="center"/>
          </w:tcPr>
          <w:p w14:paraId="4B32F2D7" w14:textId="77777777" w:rsidR="00BF50CC" w:rsidRPr="00D27683" w:rsidRDefault="00BF50CC" w:rsidP="00135EE0">
            <w:pPr>
              <w:pStyle w:val="TableText0"/>
              <w:keepNext w:val="0"/>
            </w:pPr>
            <w:r w:rsidRPr="00D27683">
              <w:t xml:space="preserve">Proportion with BEC ≥ 300 cells/μL (among those with ≥2 moderate or ≥1 severe exacerbation over recent 12 months while on triple inhaled therapy) </w:t>
            </w:r>
          </w:p>
        </w:tc>
        <w:tc>
          <w:tcPr>
            <w:tcW w:w="1417" w:type="dxa"/>
            <w:vAlign w:val="center"/>
          </w:tcPr>
          <w:p w14:paraId="7C9B0409" w14:textId="77777777" w:rsidR="00BF50CC" w:rsidRPr="00D27683" w:rsidRDefault="00BF50CC" w:rsidP="00135EE0">
            <w:pPr>
              <w:pStyle w:val="TableText0"/>
              <w:keepNext w:val="0"/>
            </w:pPr>
            <w:r w:rsidRPr="00D27683">
              <w:t xml:space="preserve">45.93% </w:t>
            </w:r>
          </w:p>
        </w:tc>
        <w:tc>
          <w:tcPr>
            <w:tcW w:w="2268" w:type="dxa"/>
            <w:vAlign w:val="center"/>
          </w:tcPr>
          <w:p w14:paraId="61F6B69E" w14:textId="77777777" w:rsidR="00BF50CC" w:rsidRPr="00D27683" w:rsidRDefault="00BF50CC" w:rsidP="00135EE0">
            <w:pPr>
              <w:pStyle w:val="TableText0"/>
              <w:keepNext w:val="0"/>
            </w:pPr>
            <w:r w:rsidRPr="00D27683">
              <w:t>Benson et al. (2019) Figure 1</w:t>
            </w:r>
          </w:p>
        </w:tc>
        <w:tc>
          <w:tcPr>
            <w:tcW w:w="3515" w:type="dxa"/>
            <w:vAlign w:val="center"/>
          </w:tcPr>
          <w:p w14:paraId="50C8B439" w14:textId="68CC802A" w:rsidR="00BF50CC" w:rsidRPr="00D27683" w:rsidRDefault="00355D0B" w:rsidP="00135EE0">
            <w:pPr>
              <w:pStyle w:val="TableText0"/>
              <w:keepNext w:val="0"/>
              <w:rPr>
                <w:i/>
                <w:iCs/>
              </w:rPr>
            </w:pPr>
            <w:r w:rsidRPr="006D6FD8">
              <w:rPr>
                <w:iCs/>
              </w:rPr>
              <w:t>The Sub-Committees considered</w:t>
            </w:r>
            <w:r w:rsidR="007C459C" w:rsidRPr="006D6FD8">
              <w:rPr>
                <w:iCs/>
              </w:rPr>
              <w:t xml:space="preserve"> that</w:t>
            </w:r>
            <w:r w:rsidR="00BD25BE" w:rsidRPr="006D6FD8">
              <w:rPr>
                <w:iCs/>
              </w:rPr>
              <w:t xml:space="preserve"> the proportion with BEC ≥ 300 cells/μL</w:t>
            </w:r>
            <w:r w:rsidR="00A330C0" w:rsidRPr="006D6FD8">
              <w:rPr>
                <w:iCs/>
              </w:rPr>
              <w:t xml:space="preserve"> was likely overestimated. The Sub-Committees noted that</w:t>
            </w:r>
            <w:r w:rsidR="001E5396" w:rsidRPr="006D6FD8">
              <w:rPr>
                <w:iCs/>
              </w:rPr>
              <w:t xml:space="preserve"> the results of an Australian study of COPD patients in outpatient clinics (Hiles et al. 2021) </w:t>
            </w:r>
            <w:r w:rsidR="001F4B1A" w:rsidRPr="006D6FD8">
              <w:rPr>
                <w:iCs/>
              </w:rPr>
              <w:t xml:space="preserve">estimated 29.4% of patients have a </w:t>
            </w:r>
            <w:r w:rsidR="000147BC" w:rsidRPr="006D6FD8">
              <w:rPr>
                <w:iCs/>
              </w:rPr>
              <w:t>BEC ≥ 300 cells/μL.</w:t>
            </w:r>
            <w:r w:rsidR="00D30D4C" w:rsidRPr="006D6FD8">
              <w:rPr>
                <w:rStyle w:val="FootnoteReference"/>
                <w:iCs/>
              </w:rPr>
              <w:footnoteReference w:id="10"/>
            </w:r>
            <w:r w:rsidR="000147BC" w:rsidRPr="00D27683">
              <w:t xml:space="preserve"> </w:t>
            </w:r>
            <w:r w:rsidR="00A52265">
              <w:rPr>
                <w:iCs/>
              </w:rPr>
              <w:t>The Pre-PBAC response proposed a</w:t>
            </w:r>
            <w:r w:rsidR="00A52265" w:rsidRPr="00553747">
              <w:rPr>
                <w:iCs/>
              </w:rPr>
              <w:t xml:space="preserve"> weighted average of 40.94%</w:t>
            </w:r>
            <w:r w:rsidR="00A52265">
              <w:rPr>
                <w:iCs/>
              </w:rPr>
              <w:t xml:space="preserve"> (see paragraph </w:t>
            </w:r>
            <w:r w:rsidR="00A52265">
              <w:rPr>
                <w:iCs/>
              </w:rPr>
              <w:fldChar w:fldCharType="begin"/>
            </w:r>
            <w:r w:rsidR="00A52265">
              <w:rPr>
                <w:iCs/>
              </w:rPr>
              <w:instrText xml:space="preserve"> REF _Ref225068064 \r \h </w:instrText>
            </w:r>
            <w:r w:rsidR="00A52265">
              <w:rPr>
                <w:iCs/>
              </w:rPr>
            </w:r>
            <w:r w:rsidR="00A52265">
              <w:rPr>
                <w:iCs/>
              </w:rPr>
              <w:fldChar w:fldCharType="separate"/>
            </w:r>
            <w:r w:rsidR="005D45D2">
              <w:rPr>
                <w:iCs/>
              </w:rPr>
              <w:t>6.64</w:t>
            </w:r>
            <w:r w:rsidR="00A52265">
              <w:rPr>
                <w:iCs/>
              </w:rPr>
              <w:fldChar w:fldCharType="end"/>
            </w:r>
            <w:r w:rsidR="00A52265">
              <w:rPr>
                <w:iCs/>
              </w:rPr>
              <w:t>).</w:t>
            </w:r>
          </w:p>
        </w:tc>
      </w:tr>
      <w:tr w:rsidR="004452EA" w:rsidRPr="00D27683" w14:paraId="4500E353" w14:textId="77777777" w:rsidTr="00EE5D15">
        <w:trPr>
          <w:cantSplit/>
        </w:trPr>
        <w:tc>
          <w:tcPr>
            <w:tcW w:w="1980" w:type="dxa"/>
            <w:vAlign w:val="center"/>
          </w:tcPr>
          <w:p w14:paraId="05E20CE8" w14:textId="77777777" w:rsidR="00BF50CC" w:rsidRPr="00D27683" w:rsidRDefault="00BF50CC" w:rsidP="00135EE0">
            <w:pPr>
              <w:pStyle w:val="TableText0"/>
              <w:keepNext w:val="0"/>
            </w:pPr>
            <w:r w:rsidRPr="00D27683">
              <w:t>Eligible patients</w:t>
            </w:r>
          </w:p>
        </w:tc>
        <w:tc>
          <w:tcPr>
            <w:tcW w:w="1417" w:type="dxa"/>
            <w:vAlign w:val="center"/>
          </w:tcPr>
          <w:p w14:paraId="2FE93C99" w14:textId="54A81033" w:rsidR="00953236" w:rsidRDefault="00953236" w:rsidP="00135EE0">
            <w:pPr>
              <w:pStyle w:val="TableText0"/>
              <w:keepNext w:val="0"/>
            </w:pPr>
            <w:r>
              <w:t>Submission:</w:t>
            </w:r>
          </w:p>
          <w:p w14:paraId="4C15C658" w14:textId="16D507CF" w:rsidR="00BF50CC" w:rsidRPr="0079247B" w:rsidRDefault="00BF50CC" w:rsidP="00135EE0">
            <w:pPr>
              <w:pStyle w:val="TableText0"/>
              <w:keepNext w:val="0"/>
              <w:rPr>
                <w:vertAlign w:val="superscript"/>
              </w:rPr>
            </w:pPr>
            <w:r w:rsidRPr="00D27683">
              <w:t xml:space="preserve">Yr 1: </w:t>
            </w:r>
            <w:r w:rsidR="003C172C" w:rsidRPr="003C172C">
              <w:rPr>
                <w:sz w:val="2"/>
                <w:highlight w:val="black"/>
              </w:rPr>
              <w:t>redacted content</w:t>
            </w:r>
            <w:r w:rsidR="0079247B">
              <w:rPr>
                <w:vertAlign w:val="superscript"/>
              </w:rPr>
              <w:t>2</w:t>
            </w:r>
          </w:p>
          <w:p w14:paraId="7A67024B" w14:textId="647E0D3E" w:rsidR="00BF50CC" w:rsidRPr="00FA3F97" w:rsidRDefault="00BF50CC" w:rsidP="00135EE0">
            <w:pPr>
              <w:pStyle w:val="TableText0"/>
              <w:keepNext w:val="0"/>
              <w:rPr>
                <w:vertAlign w:val="superscript"/>
              </w:rPr>
            </w:pPr>
            <w:r w:rsidRPr="00D27683">
              <w:t xml:space="preserve">Yr 2: </w:t>
            </w:r>
            <w:r w:rsidR="003C172C" w:rsidRPr="003C172C">
              <w:rPr>
                <w:sz w:val="2"/>
                <w:highlight w:val="black"/>
              </w:rPr>
              <w:t>redacted content</w:t>
            </w:r>
            <w:r w:rsidR="00FA3F97" w:rsidRPr="00FA3F97">
              <w:rPr>
                <w:vertAlign w:val="superscript"/>
              </w:rPr>
              <w:t>3</w:t>
            </w:r>
          </w:p>
          <w:p w14:paraId="5CCFFFC4" w14:textId="65B5C2F4" w:rsidR="00BF50CC" w:rsidRPr="00D27683" w:rsidRDefault="00BF50CC" w:rsidP="00135EE0">
            <w:pPr>
              <w:pStyle w:val="TableText0"/>
              <w:keepNext w:val="0"/>
            </w:pPr>
            <w:r w:rsidRPr="00D27683">
              <w:t xml:space="preserve">Yr 3: </w:t>
            </w:r>
            <w:r w:rsidR="003C172C" w:rsidRPr="003C172C">
              <w:rPr>
                <w:sz w:val="2"/>
                <w:highlight w:val="black"/>
              </w:rPr>
              <w:t>redacted content</w:t>
            </w:r>
            <w:r w:rsidR="00FA3F97" w:rsidRPr="00FA3F97">
              <w:rPr>
                <w:vertAlign w:val="superscript"/>
              </w:rPr>
              <w:t>3</w:t>
            </w:r>
          </w:p>
          <w:p w14:paraId="3293DA3F" w14:textId="2019622E" w:rsidR="00BF50CC" w:rsidRPr="00D27683" w:rsidRDefault="00BF50CC" w:rsidP="00135EE0">
            <w:pPr>
              <w:pStyle w:val="TableText0"/>
              <w:keepNext w:val="0"/>
            </w:pPr>
            <w:r w:rsidRPr="00D27683">
              <w:t xml:space="preserve">Yr 4: </w:t>
            </w:r>
            <w:r w:rsidR="003C172C" w:rsidRPr="003C172C">
              <w:rPr>
                <w:sz w:val="2"/>
                <w:highlight w:val="black"/>
              </w:rPr>
              <w:t>redacted content</w:t>
            </w:r>
            <w:r w:rsidR="00FA3F97" w:rsidRPr="00FA3F97">
              <w:rPr>
                <w:vertAlign w:val="superscript"/>
              </w:rPr>
              <w:t>3</w:t>
            </w:r>
          </w:p>
          <w:p w14:paraId="6D2866C5" w14:textId="6AD058AC" w:rsidR="00BF50CC" w:rsidRPr="00D27683" w:rsidRDefault="00BF50CC" w:rsidP="00135EE0">
            <w:pPr>
              <w:pStyle w:val="TableText0"/>
              <w:keepNext w:val="0"/>
            </w:pPr>
            <w:r w:rsidRPr="00D27683">
              <w:t xml:space="preserve">Yr 5: </w:t>
            </w:r>
            <w:r w:rsidR="003C172C" w:rsidRPr="003C172C">
              <w:rPr>
                <w:sz w:val="2"/>
                <w:highlight w:val="black"/>
              </w:rPr>
              <w:t>redacted content</w:t>
            </w:r>
            <w:r w:rsidR="00FA3F97">
              <w:rPr>
                <w:vertAlign w:val="superscript"/>
              </w:rPr>
              <w:t>4</w:t>
            </w:r>
          </w:p>
          <w:p w14:paraId="4356E39D" w14:textId="104536A7" w:rsidR="00BF50CC" w:rsidRDefault="00BF50CC" w:rsidP="00135EE0">
            <w:pPr>
              <w:pStyle w:val="TableText0"/>
              <w:keepNext w:val="0"/>
            </w:pPr>
            <w:r w:rsidRPr="00D27683">
              <w:t xml:space="preserve">Yr 6: </w:t>
            </w:r>
            <w:r w:rsidR="003C172C" w:rsidRPr="003C172C">
              <w:rPr>
                <w:sz w:val="2"/>
                <w:highlight w:val="black"/>
              </w:rPr>
              <w:t>redacted content</w:t>
            </w:r>
            <w:r w:rsidR="00FA3F97">
              <w:rPr>
                <w:vertAlign w:val="superscript"/>
              </w:rPr>
              <w:t>4</w:t>
            </w:r>
          </w:p>
          <w:p w14:paraId="1701B5DA" w14:textId="77777777" w:rsidR="00953236" w:rsidRDefault="00953236" w:rsidP="00135EE0">
            <w:pPr>
              <w:pStyle w:val="TableText0"/>
              <w:keepNext w:val="0"/>
            </w:pPr>
          </w:p>
          <w:p w14:paraId="2E512313" w14:textId="77777777" w:rsidR="00953236" w:rsidRDefault="00953236" w:rsidP="00135EE0">
            <w:pPr>
              <w:pStyle w:val="TableText0"/>
              <w:keepNext w:val="0"/>
            </w:pPr>
            <w:r>
              <w:t>Pre-PBAC response:</w:t>
            </w:r>
          </w:p>
          <w:p w14:paraId="1E28C879" w14:textId="3C61608D" w:rsidR="009B7A0F" w:rsidRPr="007E6074" w:rsidRDefault="00953236" w:rsidP="00135EE0">
            <w:pPr>
              <w:pStyle w:val="TableText0"/>
              <w:keepNext w:val="0"/>
            </w:pPr>
            <w:r>
              <w:t xml:space="preserve">Yr 1: </w:t>
            </w:r>
            <w:r w:rsidR="003C172C" w:rsidRPr="003C172C">
              <w:rPr>
                <w:bCs w:val="0"/>
                <w:sz w:val="2"/>
                <w:highlight w:val="black"/>
              </w:rPr>
              <w:t>redacted content</w:t>
            </w:r>
            <w:r w:rsidR="00FA3F97">
              <w:rPr>
                <w:vertAlign w:val="superscript"/>
              </w:rPr>
              <w:t>2</w:t>
            </w:r>
            <w:r w:rsidR="009B7A0F" w:rsidRPr="007E6074">
              <w:rPr>
                <w:bCs w:val="0"/>
              </w:rPr>
              <w:t xml:space="preserve"> </w:t>
            </w:r>
          </w:p>
          <w:p w14:paraId="16C05AFA" w14:textId="6D76AC8F" w:rsidR="0039475A" w:rsidRPr="007E6074" w:rsidRDefault="009B7A0F" w:rsidP="00135EE0">
            <w:pPr>
              <w:pStyle w:val="TableText0"/>
              <w:keepNext w:val="0"/>
            </w:pPr>
            <w:r>
              <w:t>Yr</w:t>
            </w:r>
            <w:r w:rsidR="0041581A">
              <w:t xml:space="preserve"> 2: </w:t>
            </w:r>
            <w:r w:rsidR="003C172C" w:rsidRPr="003C172C">
              <w:rPr>
                <w:bCs w:val="0"/>
                <w:sz w:val="2"/>
                <w:highlight w:val="black"/>
              </w:rPr>
              <w:t>redacted content</w:t>
            </w:r>
            <w:r w:rsidR="00FA3F97">
              <w:rPr>
                <w:vertAlign w:val="superscript"/>
              </w:rPr>
              <w:t>2</w:t>
            </w:r>
            <w:r w:rsidR="0039475A" w:rsidRPr="007E6074">
              <w:rPr>
                <w:bCs w:val="0"/>
              </w:rPr>
              <w:t xml:space="preserve"> </w:t>
            </w:r>
          </w:p>
          <w:p w14:paraId="248F576D" w14:textId="764B2953" w:rsidR="00F27C24" w:rsidRPr="00A84D87" w:rsidRDefault="0039475A" w:rsidP="00135EE0">
            <w:pPr>
              <w:pStyle w:val="TableText0"/>
              <w:keepNext w:val="0"/>
            </w:pPr>
            <w:r>
              <w:t>Yr 3:</w:t>
            </w:r>
            <w:r w:rsidR="00A84D87">
              <w:t xml:space="preserve"> </w:t>
            </w:r>
            <w:r w:rsidR="003C172C" w:rsidRPr="003C172C">
              <w:rPr>
                <w:bCs w:val="0"/>
                <w:sz w:val="2"/>
                <w:highlight w:val="black"/>
              </w:rPr>
              <w:t>redacted content</w:t>
            </w:r>
            <w:r w:rsidR="00FA3F97">
              <w:rPr>
                <w:vertAlign w:val="superscript"/>
              </w:rPr>
              <w:t>3</w:t>
            </w:r>
            <w:r w:rsidR="00F27C24" w:rsidRPr="007E6074">
              <w:rPr>
                <w:bCs w:val="0"/>
              </w:rPr>
              <w:t xml:space="preserve"> </w:t>
            </w:r>
          </w:p>
          <w:p w14:paraId="6296B404" w14:textId="2F62D441" w:rsidR="001E77F9" w:rsidRPr="00D92914" w:rsidRDefault="00F27C24" w:rsidP="00135EE0">
            <w:pPr>
              <w:pStyle w:val="TableText0"/>
              <w:keepNext w:val="0"/>
            </w:pPr>
            <w:r>
              <w:t xml:space="preserve">Yr 4: </w:t>
            </w:r>
            <w:r w:rsidR="003C172C" w:rsidRPr="003C172C">
              <w:rPr>
                <w:bCs w:val="0"/>
                <w:sz w:val="2"/>
                <w:highlight w:val="black"/>
              </w:rPr>
              <w:t>redacted content</w:t>
            </w:r>
            <w:r w:rsidR="00FA3F97">
              <w:rPr>
                <w:vertAlign w:val="superscript"/>
              </w:rPr>
              <w:t>3</w:t>
            </w:r>
            <w:r w:rsidR="001E77F9" w:rsidRPr="007E6074">
              <w:rPr>
                <w:bCs w:val="0"/>
              </w:rPr>
              <w:t xml:space="preserve"> </w:t>
            </w:r>
          </w:p>
          <w:p w14:paraId="20D3E4E5" w14:textId="232A2AB4" w:rsidR="000D188F" w:rsidRPr="00D92914" w:rsidRDefault="001E77F9" w:rsidP="00135EE0">
            <w:pPr>
              <w:pStyle w:val="TableText0"/>
              <w:keepNext w:val="0"/>
            </w:pPr>
            <w:r>
              <w:t>Yr 5:</w:t>
            </w:r>
            <w:r w:rsidR="00D92914">
              <w:t xml:space="preserve"> </w:t>
            </w:r>
            <w:r w:rsidR="003C172C" w:rsidRPr="003C172C">
              <w:rPr>
                <w:bCs w:val="0"/>
                <w:sz w:val="2"/>
                <w:highlight w:val="black"/>
              </w:rPr>
              <w:t>redacted content</w:t>
            </w:r>
            <w:r w:rsidR="00FA3F97">
              <w:rPr>
                <w:vertAlign w:val="superscript"/>
              </w:rPr>
              <w:t>4</w:t>
            </w:r>
            <w:r w:rsidR="000D188F" w:rsidRPr="007E6074">
              <w:rPr>
                <w:bCs w:val="0"/>
              </w:rPr>
              <w:t xml:space="preserve"> </w:t>
            </w:r>
          </w:p>
          <w:p w14:paraId="41FB8323" w14:textId="725BA85D" w:rsidR="000D188F" w:rsidRPr="00D92914" w:rsidRDefault="000D188F" w:rsidP="00135EE0">
            <w:pPr>
              <w:pStyle w:val="TableText0"/>
              <w:keepNext w:val="0"/>
            </w:pPr>
            <w:r>
              <w:t xml:space="preserve">Yr 6: </w:t>
            </w:r>
            <w:r w:rsidR="003C172C" w:rsidRPr="003C172C">
              <w:rPr>
                <w:bCs w:val="0"/>
                <w:sz w:val="2"/>
                <w:highlight w:val="black"/>
              </w:rPr>
              <w:t>redacted content</w:t>
            </w:r>
            <w:r w:rsidR="00FA3F97">
              <w:rPr>
                <w:vertAlign w:val="superscript"/>
              </w:rPr>
              <w:t>4</w:t>
            </w:r>
            <w:r w:rsidR="007E6074">
              <w:rPr>
                <w:rFonts w:ascii="Arial" w:hAnsi="Arial" w:cs="Arial"/>
                <w:color w:val="000000"/>
                <w:szCs w:val="20"/>
              </w:rPr>
              <w:t xml:space="preserve"> </w:t>
            </w:r>
          </w:p>
        </w:tc>
        <w:tc>
          <w:tcPr>
            <w:tcW w:w="2268" w:type="dxa"/>
            <w:vAlign w:val="center"/>
          </w:tcPr>
          <w:p w14:paraId="68E29B05" w14:textId="17DF5EC7" w:rsidR="00BF50CC" w:rsidRPr="00D27683" w:rsidRDefault="00BF50CC" w:rsidP="00135EE0">
            <w:pPr>
              <w:pStyle w:val="TableText0"/>
              <w:keepNext w:val="0"/>
            </w:pPr>
            <w:r w:rsidRPr="00D27683">
              <w:t xml:space="preserve">Calculated </w:t>
            </w:r>
          </w:p>
        </w:tc>
        <w:tc>
          <w:tcPr>
            <w:tcW w:w="3515" w:type="dxa"/>
            <w:vAlign w:val="center"/>
          </w:tcPr>
          <w:p w14:paraId="58620FB1" w14:textId="1C5E85D4" w:rsidR="00BF50CC" w:rsidRPr="00D27683" w:rsidRDefault="00BF50CC" w:rsidP="00135EE0">
            <w:pPr>
              <w:pStyle w:val="TableText0"/>
              <w:keepNext w:val="0"/>
            </w:pPr>
          </w:p>
        </w:tc>
      </w:tr>
      <w:tr w:rsidR="00765C02" w:rsidRPr="00D27683" w14:paraId="3F4ED65E" w14:textId="77777777">
        <w:trPr>
          <w:cantSplit/>
        </w:trPr>
        <w:tc>
          <w:tcPr>
            <w:tcW w:w="9180" w:type="dxa"/>
            <w:gridSpan w:val="4"/>
            <w:vAlign w:val="center"/>
          </w:tcPr>
          <w:p w14:paraId="2AA9632F" w14:textId="0D462D09" w:rsidR="00FA7799" w:rsidRPr="00D27683" w:rsidDel="00F96F1F" w:rsidRDefault="00FA7799" w:rsidP="00135EE0">
            <w:pPr>
              <w:pStyle w:val="TableText0"/>
              <w:keepNext w:val="0"/>
              <w:rPr>
                <w:b/>
                <w:bCs w:val="0"/>
              </w:rPr>
            </w:pPr>
            <w:r w:rsidRPr="00D27683">
              <w:rPr>
                <w:b/>
                <w:bCs w:val="0"/>
              </w:rPr>
              <w:t xml:space="preserve">Grandfather population </w:t>
            </w:r>
          </w:p>
        </w:tc>
      </w:tr>
      <w:tr w:rsidR="004452EA" w:rsidRPr="00D27683" w14:paraId="7DDED75C" w14:textId="77777777" w:rsidTr="00EE5D15">
        <w:trPr>
          <w:cantSplit/>
        </w:trPr>
        <w:tc>
          <w:tcPr>
            <w:tcW w:w="1980" w:type="dxa"/>
            <w:vAlign w:val="center"/>
          </w:tcPr>
          <w:p w14:paraId="0EFEC035" w14:textId="072D3DE8" w:rsidR="00FA7799" w:rsidRPr="00D27683" w:rsidRDefault="00FA7799" w:rsidP="00135EE0">
            <w:pPr>
              <w:pStyle w:val="TableText0"/>
              <w:keepNext w:val="0"/>
            </w:pPr>
            <w:r w:rsidRPr="00D27683">
              <w:t xml:space="preserve"> Grandfathered patients</w:t>
            </w:r>
          </w:p>
        </w:tc>
        <w:tc>
          <w:tcPr>
            <w:tcW w:w="1417" w:type="dxa"/>
            <w:vAlign w:val="center"/>
          </w:tcPr>
          <w:p w14:paraId="5E205777" w14:textId="412C6E61" w:rsidR="00FA7799" w:rsidRPr="00F27737" w:rsidRDefault="003C172C" w:rsidP="00135EE0">
            <w:pPr>
              <w:pStyle w:val="TableText0"/>
              <w:keepNext w:val="0"/>
              <w:rPr>
                <w:vertAlign w:val="superscript"/>
              </w:rPr>
            </w:pPr>
            <w:r w:rsidRPr="003C172C">
              <w:rPr>
                <w:sz w:val="2"/>
                <w:highlight w:val="black"/>
              </w:rPr>
              <w:t>redacted content</w:t>
            </w:r>
            <w:r w:rsidR="00F27737">
              <w:rPr>
                <w:vertAlign w:val="superscript"/>
              </w:rPr>
              <w:t>5</w:t>
            </w:r>
          </w:p>
        </w:tc>
        <w:tc>
          <w:tcPr>
            <w:tcW w:w="2268" w:type="dxa"/>
            <w:vAlign w:val="center"/>
          </w:tcPr>
          <w:p w14:paraId="02C1C4AC" w14:textId="31383C3E" w:rsidR="00FA7799" w:rsidRPr="00D27683" w:rsidRDefault="00FA7799" w:rsidP="00135EE0">
            <w:pPr>
              <w:pStyle w:val="TableText0"/>
              <w:keepNext w:val="0"/>
            </w:pPr>
            <w:r w:rsidRPr="00D27683">
              <w:t>Assumption</w:t>
            </w:r>
            <w:r w:rsidR="00FF12C8" w:rsidRPr="00D27683">
              <w:t>.</w:t>
            </w:r>
          </w:p>
          <w:p w14:paraId="19C86280" w14:textId="3A17CD24" w:rsidR="00A23D49" w:rsidRPr="00D27683" w:rsidRDefault="00A23D49" w:rsidP="00135EE0">
            <w:pPr>
              <w:pStyle w:val="TableText0"/>
              <w:keepNext w:val="0"/>
            </w:pPr>
            <w:r w:rsidRPr="00D27683">
              <w:rPr>
                <w:szCs w:val="20"/>
              </w:rPr>
              <w:t>Grandfathered patients considered to be a subset of the eligible patient population and were assumed to have the same discontinuation rates as initiating patients.</w:t>
            </w:r>
          </w:p>
        </w:tc>
        <w:tc>
          <w:tcPr>
            <w:tcW w:w="3515" w:type="dxa"/>
            <w:vAlign w:val="center"/>
          </w:tcPr>
          <w:p w14:paraId="37777C0D" w14:textId="77777777" w:rsidR="00FA7799" w:rsidRPr="00D27683" w:rsidDel="00F96F1F" w:rsidRDefault="00FA7799" w:rsidP="00135EE0">
            <w:pPr>
              <w:pStyle w:val="TableText0"/>
              <w:keepNext w:val="0"/>
            </w:pPr>
          </w:p>
        </w:tc>
      </w:tr>
      <w:tr w:rsidR="00765C02" w:rsidRPr="00D27683" w14:paraId="66A14085" w14:textId="77777777">
        <w:trPr>
          <w:cantSplit/>
        </w:trPr>
        <w:tc>
          <w:tcPr>
            <w:tcW w:w="9180" w:type="dxa"/>
            <w:gridSpan w:val="4"/>
            <w:vAlign w:val="center"/>
          </w:tcPr>
          <w:p w14:paraId="4E1DC1D1" w14:textId="77777777" w:rsidR="00BF50CC" w:rsidRPr="00D27683" w:rsidRDefault="00BF50CC" w:rsidP="00135EE0">
            <w:pPr>
              <w:pStyle w:val="In-tableHeading"/>
              <w:rPr>
                <w:lang w:val="en-AU"/>
              </w:rPr>
            </w:pPr>
            <w:r w:rsidRPr="00D27683">
              <w:rPr>
                <w:lang w:val="en-AU"/>
              </w:rPr>
              <w:lastRenderedPageBreak/>
              <w:t>Treatment utilisation</w:t>
            </w:r>
          </w:p>
        </w:tc>
      </w:tr>
      <w:tr w:rsidR="004452EA" w:rsidRPr="00D27683" w14:paraId="087840C2" w14:textId="77777777" w:rsidTr="00EE5D15">
        <w:trPr>
          <w:cantSplit/>
        </w:trPr>
        <w:tc>
          <w:tcPr>
            <w:tcW w:w="1980" w:type="dxa"/>
            <w:vAlign w:val="center"/>
          </w:tcPr>
          <w:p w14:paraId="5335271A" w14:textId="77777777" w:rsidR="00BF50CC" w:rsidRPr="00D27683" w:rsidRDefault="00BF50CC" w:rsidP="00135EE0">
            <w:pPr>
              <w:pStyle w:val="TableText0"/>
              <w:keepNext w:val="0"/>
            </w:pPr>
            <w:r w:rsidRPr="00D27683">
              <w:t>Uptake rate</w:t>
            </w:r>
          </w:p>
        </w:tc>
        <w:tc>
          <w:tcPr>
            <w:tcW w:w="1417" w:type="dxa"/>
            <w:vAlign w:val="center"/>
          </w:tcPr>
          <w:p w14:paraId="3929E2CB" w14:textId="117F326A" w:rsidR="00BF50CC" w:rsidRPr="00D27683" w:rsidRDefault="00BF50CC" w:rsidP="00135EE0">
            <w:pPr>
              <w:pStyle w:val="TableText0"/>
              <w:keepNext w:val="0"/>
            </w:pPr>
            <w:r w:rsidRPr="00D27683">
              <w:t xml:space="preserve">Yr 1: </w:t>
            </w:r>
            <w:r w:rsidR="003C172C" w:rsidRPr="003C172C">
              <w:rPr>
                <w:sz w:val="2"/>
                <w:highlight w:val="black"/>
              </w:rPr>
              <w:t>redacted content</w:t>
            </w:r>
            <w:r w:rsidRPr="00D27683">
              <w:t>%</w:t>
            </w:r>
          </w:p>
          <w:p w14:paraId="16EE5120" w14:textId="2424E79C" w:rsidR="00BF50CC" w:rsidRPr="00D27683" w:rsidRDefault="00BF50CC" w:rsidP="00135EE0">
            <w:pPr>
              <w:pStyle w:val="TableText0"/>
              <w:keepNext w:val="0"/>
            </w:pPr>
            <w:r w:rsidRPr="00D27683">
              <w:t xml:space="preserve">Yr 2: </w:t>
            </w:r>
            <w:r w:rsidR="003C172C" w:rsidRPr="003C172C">
              <w:rPr>
                <w:sz w:val="2"/>
                <w:highlight w:val="black"/>
              </w:rPr>
              <w:t>redacted content</w:t>
            </w:r>
            <w:r w:rsidRPr="00D27683">
              <w:t>%</w:t>
            </w:r>
          </w:p>
          <w:p w14:paraId="4FAB0820" w14:textId="4F199364" w:rsidR="00BF50CC" w:rsidRPr="00D27683" w:rsidRDefault="00BF50CC" w:rsidP="00135EE0">
            <w:pPr>
              <w:pStyle w:val="TableText0"/>
              <w:keepNext w:val="0"/>
            </w:pPr>
            <w:r w:rsidRPr="00D27683">
              <w:t xml:space="preserve">Yr 3: </w:t>
            </w:r>
            <w:r w:rsidR="003C172C" w:rsidRPr="003C172C">
              <w:rPr>
                <w:sz w:val="2"/>
                <w:highlight w:val="black"/>
              </w:rPr>
              <w:t>redacted content</w:t>
            </w:r>
            <w:r w:rsidRPr="00D27683">
              <w:t>%</w:t>
            </w:r>
          </w:p>
          <w:p w14:paraId="6F6382BF" w14:textId="42C2A76F" w:rsidR="00BF50CC" w:rsidRPr="00D27683" w:rsidRDefault="00BF50CC" w:rsidP="00135EE0">
            <w:pPr>
              <w:pStyle w:val="TableText0"/>
              <w:keepNext w:val="0"/>
            </w:pPr>
            <w:r w:rsidRPr="00D27683">
              <w:t xml:space="preserve">Yr 4: </w:t>
            </w:r>
            <w:r w:rsidR="003C172C" w:rsidRPr="003C172C">
              <w:rPr>
                <w:sz w:val="2"/>
                <w:highlight w:val="black"/>
              </w:rPr>
              <w:t>redacted content</w:t>
            </w:r>
            <w:r w:rsidRPr="00D27683">
              <w:t>%</w:t>
            </w:r>
          </w:p>
          <w:p w14:paraId="579BD265" w14:textId="10764F3B" w:rsidR="00BF50CC" w:rsidRPr="00D27683" w:rsidRDefault="00BF50CC" w:rsidP="00135EE0">
            <w:pPr>
              <w:pStyle w:val="TableText0"/>
              <w:keepNext w:val="0"/>
            </w:pPr>
            <w:r w:rsidRPr="00D27683">
              <w:t xml:space="preserve">Yr 5: </w:t>
            </w:r>
            <w:r w:rsidR="003C172C" w:rsidRPr="003C172C">
              <w:rPr>
                <w:sz w:val="2"/>
                <w:highlight w:val="black"/>
              </w:rPr>
              <w:t>redacted content</w:t>
            </w:r>
            <w:r w:rsidRPr="00D27683">
              <w:t>%</w:t>
            </w:r>
          </w:p>
          <w:p w14:paraId="0FE35405" w14:textId="5D6AA626" w:rsidR="00BF50CC" w:rsidRPr="00D27683" w:rsidRDefault="00BF50CC" w:rsidP="00135EE0">
            <w:pPr>
              <w:pStyle w:val="TableText0"/>
              <w:keepNext w:val="0"/>
            </w:pPr>
            <w:r w:rsidRPr="00D27683">
              <w:t xml:space="preserve">Yr 6: </w:t>
            </w:r>
            <w:r w:rsidR="003C172C" w:rsidRPr="003C172C">
              <w:rPr>
                <w:sz w:val="2"/>
                <w:highlight w:val="black"/>
              </w:rPr>
              <w:t>redacted content</w:t>
            </w:r>
            <w:r w:rsidRPr="00D27683">
              <w:t>%</w:t>
            </w:r>
          </w:p>
        </w:tc>
        <w:tc>
          <w:tcPr>
            <w:tcW w:w="2268" w:type="dxa"/>
            <w:vAlign w:val="center"/>
          </w:tcPr>
          <w:p w14:paraId="1F1B09CD" w14:textId="0DA1D8B0" w:rsidR="00BF50CC" w:rsidRPr="00D27683" w:rsidRDefault="00BF50CC" w:rsidP="00135EE0">
            <w:pPr>
              <w:pStyle w:val="TableText0"/>
              <w:keepNext w:val="0"/>
            </w:pPr>
            <w:r w:rsidRPr="00D27683">
              <w:t>Yr</w:t>
            </w:r>
            <w:r w:rsidR="00CC7F4B" w:rsidRPr="00D27683">
              <w:t xml:space="preserve"> </w:t>
            </w:r>
            <w:r w:rsidRPr="00D27683">
              <w:t>6 was sourced from clinical expert opinion, Yr</w:t>
            </w:r>
            <w:r w:rsidR="00CC7F4B" w:rsidRPr="00D27683">
              <w:t xml:space="preserve"> </w:t>
            </w:r>
            <w:r w:rsidRPr="00D27683">
              <w:t>1 was an assumption, and Yrs</w:t>
            </w:r>
            <w:r w:rsidR="00CC7F4B" w:rsidRPr="00D27683">
              <w:t xml:space="preserve"> </w:t>
            </w:r>
            <w:r w:rsidRPr="00D27683">
              <w:t>2-5 were a linear extrapolation between Yrs1 and 6.</w:t>
            </w:r>
          </w:p>
        </w:tc>
        <w:tc>
          <w:tcPr>
            <w:tcW w:w="3515" w:type="dxa"/>
            <w:vAlign w:val="center"/>
          </w:tcPr>
          <w:p w14:paraId="25EBB43F" w14:textId="064103B5" w:rsidR="00FF12C8" w:rsidRPr="00D27683" w:rsidRDefault="00BF50CC" w:rsidP="00135EE0">
            <w:pPr>
              <w:pStyle w:val="TableText0"/>
              <w:keepNext w:val="0"/>
            </w:pPr>
            <w:r w:rsidRPr="00D27683">
              <w:t>The Year 1 uptake rates were not justified by</w:t>
            </w:r>
            <w:r w:rsidR="00631B9B">
              <w:t xml:space="preserve"> the</w:t>
            </w:r>
            <w:r w:rsidRPr="00D27683">
              <w:t xml:space="preserve"> submission. </w:t>
            </w:r>
          </w:p>
          <w:p w14:paraId="6B53C9F9" w14:textId="56799419" w:rsidR="00BF50CC" w:rsidRPr="00D27683" w:rsidRDefault="00BF50CC" w:rsidP="00135EE0">
            <w:pPr>
              <w:pStyle w:val="TableText0"/>
              <w:keepNext w:val="0"/>
            </w:pPr>
          </w:p>
        </w:tc>
      </w:tr>
      <w:tr w:rsidR="004452EA" w:rsidRPr="00D27683" w14:paraId="3FE1EC80" w14:textId="77777777" w:rsidTr="00EE5D15">
        <w:trPr>
          <w:cantSplit/>
        </w:trPr>
        <w:tc>
          <w:tcPr>
            <w:tcW w:w="1980" w:type="dxa"/>
            <w:vAlign w:val="center"/>
          </w:tcPr>
          <w:p w14:paraId="4E5C4AA8" w14:textId="6C98F266" w:rsidR="00BF50CC" w:rsidRPr="00D27683" w:rsidRDefault="00BF50CC" w:rsidP="00135EE0">
            <w:pPr>
              <w:pStyle w:val="TableText0"/>
              <w:keepNext w:val="0"/>
            </w:pPr>
            <w:r w:rsidRPr="00D27683">
              <w:t>Treatment persistence</w:t>
            </w:r>
          </w:p>
        </w:tc>
        <w:tc>
          <w:tcPr>
            <w:tcW w:w="1417" w:type="dxa"/>
          </w:tcPr>
          <w:p w14:paraId="2FED3D79" w14:textId="03B4F1B9" w:rsidR="00E53189" w:rsidRPr="000215AF" w:rsidRDefault="00E53189" w:rsidP="00135EE0">
            <w:pPr>
              <w:pStyle w:val="TableText0"/>
              <w:keepNext w:val="0"/>
            </w:pPr>
            <w:r w:rsidRPr="000215AF">
              <w:t>Submission:</w:t>
            </w:r>
          </w:p>
          <w:p w14:paraId="45A8E5B9" w14:textId="5A7E075C" w:rsidR="00BF50CC" w:rsidRPr="000215AF" w:rsidRDefault="00BF50CC" w:rsidP="00135EE0">
            <w:pPr>
              <w:pStyle w:val="TableText0"/>
              <w:keepNext w:val="0"/>
            </w:pPr>
            <w:r w:rsidRPr="000215AF">
              <w:t xml:space="preserve">Yr 1: 100% </w:t>
            </w:r>
          </w:p>
          <w:p w14:paraId="6D611B8A" w14:textId="192B6DBD" w:rsidR="005F4328" w:rsidRPr="000215AF" w:rsidRDefault="00811F84" w:rsidP="00135EE0">
            <w:pPr>
              <w:pStyle w:val="TableText0"/>
              <w:keepNext w:val="0"/>
            </w:pPr>
            <w:r w:rsidRPr="000215AF">
              <w:t>Yr 1 (6 month): 83.2%</w:t>
            </w:r>
          </w:p>
          <w:p w14:paraId="7B81CA1D" w14:textId="77777777" w:rsidR="00BF50CC" w:rsidRPr="000215AF" w:rsidRDefault="00BF50CC" w:rsidP="00135EE0">
            <w:pPr>
              <w:pStyle w:val="TableText0"/>
              <w:keepNext w:val="0"/>
            </w:pPr>
            <w:r w:rsidRPr="000215AF">
              <w:t>Yr 2: 66.9%</w:t>
            </w:r>
          </w:p>
          <w:p w14:paraId="3D33A78E" w14:textId="77777777" w:rsidR="00BF50CC" w:rsidRPr="000215AF" w:rsidRDefault="00BF50CC" w:rsidP="00135EE0">
            <w:pPr>
              <w:pStyle w:val="TableText0"/>
              <w:keepNext w:val="0"/>
            </w:pPr>
            <w:r w:rsidRPr="000215AF">
              <w:t>Yr 3: 58.4%</w:t>
            </w:r>
          </w:p>
          <w:p w14:paraId="01AFD785" w14:textId="77777777" w:rsidR="00BF50CC" w:rsidRPr="000215AF" w:rsidRDefault="00BF50CC" w:rsidP="00135EE0">
            <w:pPr>
              <w:pStyle w:val="TableText0"/>
              <w:keepNext w:val="0"/>
            </w:pPr>
            <w:r w:rsidRPr="000215AF">
              <w:t>Yr 4: 50.4%</w:t>
            </w:r>
          </w:p>
          <w:p w14:paraId="51EBB021" w14:textId="77777777" w:rsidR="00BF50CC" w:rsidRPr="000215AF" w:rsidRDefault="00BF50CC" w:rsidP="00135EE0">
            <w:pPr>
              <w:pStyle w:val="TableText0"/>
              <w:keepNext w:val="0"/>
            </w:pPr>
            <w:r w:rsidRPr="000215AF">
              <w:t>Yr 5: 43.3%</w:t>
            </w:r>
          </w:p>
          <w:p w14:paraId="38467C8C" w14:textId="77777777" w:rsidR="009759A1" w:rsidRPr="000215AF" w:rsidRDefault="00BF50CC" w:rsidP="00135EE0">
            <w:pPr>
              <w:pStyle w:val="TableText0"/>
              <w:keepNext w:val="0"/>
            </w:pPr>
            <w:r w:rsidRPr="000215AF">
              <w:t>Yr 6: 37.0%</w:t>
            </w:r>
          </w:p>
          <w:p w14:paraId="2B5A5A96" w14:textId="77777777" w:rsidR="009759A1" w:rsidRPr="000215AF" w:rsidRDefault="009759A1" w:rsidP="00135EE0">
            <w:pPr>
              <w:pStyle w:val="TableText0"/>
              <w:keepNext w:val="0"/>
            </w:pPr>
          </w:p>
          <w:p w14:paraId="535836E3" w14:textId="77777777" w:rsidR="00E53189" w:rsidRPr="000215AF" w:rsidRDefault="00E53189" w:rsidP="00135EE0">
            <w:pPr>
              <w:pStyle w:val="TableText0"/>
              <w:keepNext w:val="0"/>
            </w:pPr>
            <w:r w:rsidRPr="000215AF">
              <w:t>Pre-PBAC response:</w:t>
            </w:r>
          </w:p>
          <w:p w14:paraId="56444BCB" w14:textId="77777777" w:rsidR="00E53189" w:rsidRPr="000215AF" w:rsidRDefault="00E53189" w:rsidP="00135EE0">
            <w:pPr>
              <w:pStyle w:val="TableText0"/>
              <w:keepNext w:val="0"/>
            </w:pPr>
            <w:r w:rsidRPr="000215AF">
              <w:t>Yr</w:t>
            </w:r>
            <w:r w:rsidR="00040AFF" w:rsidRPr="000215AF">
              <w:t xml:space="preserve"> 1: 100%</w:t>
            </w:r>
          </w:p>
          <w:p w14:paraId="4149815A" w14:textId="7980BEC0" w:rsidR="009759A1" w:rsidRPr="000215AF" w:rsidRDefault="009759A1" w:rsidP="00135EE0">
            <w:pPr>
              <w:pStyle w:val="TableText0"/>
              <w:keepNext w:val="0"/>
            </w:pPr>
            <w:r w:rsidRPr="000215AF">
              <w:t>Yr 1 (6 month): 83.2%</w:t>
            </w:r>
          </w:p>
          <w:p w14:paraId="1E1223F9" w14:textId="77777777" w:rsidR="00040AFF" w:rsidRPr="000215AF" w:rsidRDefault="00040AFF" w:rsidP="00135EE0">
            <w:pPr>
              <w:pStyle w:val="TableText0"/>
              <w:keepNext w:val="0"/>
            </w:pPr>
            <w:r w:rsidRPr="000215AF">
              <w:t xml:space="preserve">Yr 2: </w:t>
            </w:r>
            <w:r w:rsidR="00B369E3" w:rsidRPr="000215AF">
              <w:t>67.</w:t>
            </w:r>
            <w:r w:rsidR="001F52A5" w:rsidRPr="000215AF">
              <w:t>6%</w:t>
            </w:r>
          </w:p>
          <w:p w14:paraId="17B7D97E" w14:textId="77777777" w:rsidR="001F52A5" w:rsidRPr="000215AF" w:rsidRDefault="001F52A5" w:rsidP="00135EE0">
            <w:pPr>
              <w:pStyle w:val="TableText0"/>
              <w:keepNext w:val="0"/>
            </w:pPr>
            <w:r w:rsidRPr="000215AF">
              <w:t xml:space="preserve">Yr 3: </w:t>
            </w:r>
            <w:r w:rsidR="00817575" w:rsidRPr="000215AF">
              <w:t>50.0%</w:t>
            </w:r>
          </w:p>
          <w:p w14:paraId="1FCEE5F0" w14:textId="77777777" w:rsidR="00817575" w:rsidRPr="000215AF" w:rsidRDefault="00817575" w:rsidP="00135EE0">
            <w:pPr>
              <w:pStyle w:val="TableText0"/>
              <w:keepNext w:val="0"/>
            </w:pPr>
            <w:r w:rsidRPr="000215AF">
              <w:t>Yr 4: 36.2%</w:t>
            </w:r>
          </w:p>
          <w:p w14:paraId="673D92DB" w14:textId="77777777" w:rsidR="00817575" w:rsidRPr="000215AF" w:rsidRDefault="00817575" w:rsidP="00135EE0">
            <w:pPr>
              <w:pStyle w:val="TableText0"/>
              <w:keepNext w:val="0"/>
            </w:pPr>
            <w:r w:rsidRPr="000215AF">
              <w:t>Yr 5: 25.9%</w:t>
            </w:r>
          </w:p>
          <w:p w14:paraId="59D0BF46" w14:textId="6001EF71" w:rsidR="00817575" w:rsidRPr="00D27683" w:rsidRDefault="00817575" w:rsidP="00135EE0">
            <w:pPr>
              <w:pStyle w:val="TableText0"/>
              <w:keepNext w:val="0"/>
            </w:pPr>
            <w:r w:rsidRPr="000215AF">
              <w:t>Yr 6: 18.3%</w:t>
            </w:r>
          </w:p>
        </w:tc>
        <w:tc>
          <w:tcPr>
            <w:tcW w:w="2268" w:type="dxa"/>
            <w:vAlign w:val="center"/>
          </w:tcPr>
          <w:p w14:paraId="3846D6BE" w14:textId="77777777" w:rsidR="00BF50CC" w:rsidRPr="00D27683" w:rsidRDefault="00BF50CC" w:rsidP="00135EE0">
            <w:pPr>
              <w:pStyle w:val="TableText0"/>
              <w:keepNext w:val="0"/>
            </w:pPr>
            <w:r w:rsidRPr="00D27683">
              <w:t>Economic model</w:t>
            </w:r>
          </w:p>
        </w:tc>
        <w:tc>
          <w:tcPr>
            <w:tcW w:w="3515" w:type="dxa"/>
            <w:vAlign w:val="center"/>
          </w:tcPr>
          <w:p w14:paraId="10A90999" w14:textId="78C49F78" w:rsidR="00BF50CC" w:rsidRPr="00D27683" w:rsidRDefault="00F15025" w:rsidP="00135EE0">
            <w:pPr>
              <w:pStyle w:val="TableText0"/>
              <w:keepNext w:val="0"/>
            </w:pPr>
            <w:r w:rsidRPr="00D27683">
              <w:t xml:space="preserve">The submission </w:t>
            </w:r>
            <w:r w:rsidR="009759A1">
              <w:t xml:space="preserve">and pre-PBAC response revised estimates </w:t>
            </w:r>
            <w:r w:rsidRPr="00D27683">
              <w:t xml:space="preserve">applied a stopping rule (83.2% per the economic model) </w:t>
            </w:r>
            <w:r w:rsidR="0053719B" w:rsidRPr="00D27683">
              <w:t xml:space="preserve">at 6 months. </w:t>
            </w:r>
          </w:p>
        </w:tc>
      </w:tr>
      <w:tr w:rsidR="004452EA" w:rsidRPr="00D27683" w14:paraId="564B1F7A" w14:textId="77777777" w:rsidTr="00EE5D15">
        <w:trPr>
          <w:cantSplit/>
        </w:trPr>
        <w:tc>
          <w:tcPr>
            <w:tcW w:w="1980" w:type="dxa"/>
            <w:vAlign w:val="center"/>
          </w:tcPr>
          <w:p w14:paraId="7CB45A40" w14:textId="77777777" w:rsidR="00BF50CC" w:rsidRPr="00D27683" w:rsidRDefault="00BF50CC" w:rsidP="00135EE0">
            <w:pPr>
              <w:pStyle w:val="TableText0"/>
              <w:keepNext w:val="0"/>
            </w:pPr>
            <w:r w:rsidRPr="00D27683">
              <w:t>Compliance</w:t>
            </w:r>
          </w:p>
        </w:tc>
        <w:tc>
          <w:tcPr>
            <w:tcW w:w="1417" w:type="dxa"/>
            <w:vAlign w:val="center"/>
          </w:tcPr>
          <w:p w14:paraId="2DF74FAC" w14:textId="77777777" w:rsidR="00BF50CC" w:rsidRPr="00D27683" w:rsidRDefault="00BF50CC" w:rsidP="00135EE0">
            <w:pPr>
              <w:pStyle w:val="TableText0"/>
              <w:keepNext w:val="0"/>
            </w:pPr>
            <w:r w:rsidRPr="00D27683">
              <w:t>98.7%</w:t>
            </w:r>
          </w:p>
        </w:tc>
        <w:tc>
          <w:tcPr>
            <w:tcW w:w="2268" w:type="dxa"/>
            <w:vAlign w:val="center"/>
          </w:tcPr>
          <w:p w14:paraId="03B84E3B" w14:textId="77777777" w:rsidR="00BF50CC" w:rsidRPr="00D27683" w:rsidRDefault="00BF50CC" w:rsidP="00135EE0">
            <w:pPr>
              <w:pStyle w:val="TableText0"/>
              <w:keepNext w:val="0"/>
            </w:pPr>
            <w:r w:rsidRPr="00D27683">
              <w:t>MATINEE trial</w:t>
            </w:r>
          </w:p>
        </w:tc>
        <w:tc>
          <w:tcPr>
            <w:tcW w:w="3515" w:type="dxa"/>
            <w:vAlign w:val="center"/>
          </w:tcPr>
          <w:p w14:paraId="509DF19E" w14:textId="51AA8595" w:rsidR="004972A6" w:rsidRPr="00D27683" w:rsidRDefault="003038A6" w:rsidP="00135EE0">
            <w:pPr>
              <w:pStyle w:val="TableText0"/>
              <w:keepNext w:val="0"/>
              <w:rPr>
                <w:i/>
              </w:rPr>
            </w:pPr>
            <w:r w:rsidRPr="006D6FD8">
              <w:t>The Sub-Committee</w:t>
            </w:r>
            <w:r w:rsidR="009D59C6" w:rsidRPr="006D6FD8">
              <w:t>s</w:t>
            </w:r>
            <w:r w:rsidRPr="006D6FD8">
              <w:t xml:space="preserve"> noted </w:t>
            </w:r>
            <w:r w:rsidR="00517394">
              <w:t>that the submission assumed that</w:t>
            </w:r>
            <w:r w:rsidR="00517394" w:rsidRPr="006D6FD8">
              <w:t xml:space="preserve"> </w:t>
            </w:r>
            <w:r w:rsidR="00EE1654" w:rsidRPr="006D6FD8">
              <w:t xml:space="preserve">compliance in the MATINEE trial </w:t>
            </w:r>
            <w:r w:rsidR="00517394">
              <w:t>(</w:t>
            </w:r>
            <w:r w:rsidR="00EE1654" w:rsidRPr="006D6FD8">
              <w:t>98.7%</w:t>
            </w:r>
            <w:r w:rsidR="00517394">
              <w:t>)</w:t>
            </w:r>
            <w:r w:rsidR="00EE1654" w:rsidRPr="006D6FD8">
              <w:t xml:space="preserve"> </w:t>
            </w:r>
            <w:r w:rsidR="00D61E2E">
              <w:t>would</w:t>
            </w:r>
            <w:r w:rsidR="00EE1654" w:rsidRPr="006D6FD8">
              <w:t xml:space="preserve"> follow through to </w:t>
            </w:r>
            <w:r w:rsidR="00292AA5" w:rsidRPr="006D6FD8">
              <w:t xml:space="preserve">the </w:t>
            </w:r>
            <w:r w:rsidR="004550E1" w:rsidRPr="006D6FD8">
              <w:t>real-world</w:t>
            </w:r>
            <w:r w:rsidR="00EE1654" w:rsidRPr="006D6FD8">
              <w:t xml:space="preserve"> ex</w:t>
            </w:r>
            <w:r w:rsidR="00292AA5" w:rsidRPr="006D6FD8">
              <w:t>perience</w:t>
            </w:r>
            <w:r w:rsidR="00EE1654" w:rsidRPr="006D6FD8">
              <w:t xml:space="preserve">, however </w:t>
            </w:r>
            <w:r w:rsidR="00292AA5" w:rsidRPr="006D6FD8">
              <w:t>the Sub-Committee</w:t>
            </w:r>
            <w:r w:rsidR="00B44C57">
              <w:t>s</w:t>
            </w:r>
            <w:r w:rsidR="00292AA5" w:rsidRPr="006D6FD8">
              <w:t xml:space="preserve"> considered that this was </w:t>
            </w:r>
            <w:r w:rsidR="00EE1654" w:rsidRPr="006D6FD8">
              <w:t>unlikely</w:t>
            </w:r>
            <w:r w:rsidR="00292AA5" w:rsidRPr="006D6FD8">
              <w:t>.</w:t>
            </w:r>
            <w:r w:rsidR="009D59C6" w:rsidRPr="006D6FD8">
              <w:t xml:space="preserve"> The Sub-Committees considered a compliance </w:t>
            </w:r>
            <w:r w:rsidR="00576E59" w:rsidRPr="006D6FD8">
              <w:t xml:space="preserve">of 93% may be </w:t>
            </w:r>
            <w:r w:rsidR="0061192A" w:rsidRPr="006D6FD8">
              <w:t xml:space="preserve">more appropriate. </w:t>
            </w:r>
            <w:r w:rsidR="006140A5">
              <w:t>The Pre-PBAC Response</w:t>
            </w:r>
            <w:r w:rsidR="00F67F3B">
              <w:t xml:space="preserve"> noted that there was no source to support the 93% and</w:t>
            </w:r>
            <w:r w:rsidR="006140A5">
              <w:t xml:space="preserve"> maintained that 98.7% was appropriate.</w:t>
            </w:r>
            <w:r w:rsidR="00B851C4">
              <w:t xml:space="preserve"> </w:t>
            </w:r>
            <w:r w:rsidR="00B851C4">
              <w:rPr>
                <w:iCs/>
                <w:szCs w:val="20"/>
              </w:rPr>
              <w:t xml:space="preserve">The PBAC noted the compliance rate of 93% was consistent with that considered appropriate by DUSC in the consideration of </w:t>
            </w:r>
            <w:proofErr w:type="spellStart"/>
            <w:r w:rsidR="00B851C4">
              <w:rPr>
                <w:iCs/>
                <w:szCs w:val="20"/>
              </w:rPr>
              <w:t>tezepelumab</w:t>
            </w:r>
            <w:proofErr w:type="spellEnd"/>
            <w:r w:rsidR="00B851C4">
              <w:rPr>
                <w:iCs/>
                <w:szCs w:val="20"/>
              </w:rPr>
              <w:t xml:space="preserve"> for non-eosinophilic and non-allergic severe uncontrolled asthma population (Table 20, </w:t>
            </w:r>
            <w:proofErr w:type="spellStart"/>
            <w:r w:rsidR="00B851C4">
              <w:rPr>
                <w:iCs/>
                <w:szCs w:val="20"/>
              </w:rPr>
              <w:t>tezepelumab</w:t>
            </w:r>
            <w:proofErr w:type="spellEnd"/>
            <w:r w:rsidR="00B851C4">
              <w:rPr>
                <w:iCs/>
                <w:szCs w:val="20"/>
              </w:rPr>
              <w:t xml:space="preserve"> PSD, November 2025 PBAC meeting).</w:t>
            </w:r>
          </w:p>
        </w:tc>
      </w:tr>
      <w:tr w:rsidR="00765C02" w:rsidRPr="00D27683" w14:paraId="7C66AF77" w14:textId="77777777">
        <w:trPr>
          <w:cantSplit/>
        </w:trPr>
        <w:tc>
          <w:tcPr>
            <w:tcW w:w="9180" w:type="dxa"/>
            <w:gridSpan w:val="4"/>
            <w:vAlign w:val="center"/>
          </w:tcPr>
          <w:p w14:paraId="2834607F" w14:textId="77777777" w:rsidR="00BF50CC" w:rsidRPr="00D27683" w:rsidRDefault="00BF50CC" w:rsidP="00135EE0">
            <w:pPr>
              <w:pStyle w:val="In-tableHeading"/>
              <w:rPr>
                <w:lang w:val="en-AU"/>
              </w:rPr>
            </w:pPr>
            <w:r w:rsidRPr="00D27683">
              <w:rPr>
                <w:lang w:val="en-AU"/>
              </w:rPr>
              <w:t>Costs</w:t>
            </w:r>
          </w:p>
        </w:tc>
      </w:tr>
      <w:tr w:rsidR="004452EA" w:rsidRPr="00D27683" w14:paraId="2F9821C0" w14:textId="77777777" w:rsidTr="00EE5D15">
        <w:trPr>
          <w:cantSplit/>
        </w:trPr>
        <w:tc>
          <w:tcPr>
            <w:tcW w:w="1980" w:type="dxa"/>
            <w:vAlign w:val="center"/>
          </w:tcPr>
          <w:p w14:paraId="0A666570" w14:textId="361B9C6B" w:rsidR="00BF50CC" w:rsidRPr="00D27683" w:rsidRDefault="00964889" w:rsidP="00135EE0">
            <w:pPr>
              <w:pStyle w:val="TableText0"/>
              <w:keepNext w:val="0"/>
            </w:pPr>
            <w:r w:rsidRPr="00D27683">
              <w:t>Mepolizumab</w:t>
            </w:r>
            <w:r w:rsidR="00135CA7">
              <w:t xml:space="preserve"> (DPMQ)</w:t>
            </w:r>
          </w:p>
        </w:tc>
        <w:tc>
          <w:tcPr>
            <w:tcW w:w="1417" w:type="dxa"/>
            <w:vAlign w:val="center"/>
          </w:tcPr>
          <w:p w14:paraId="154E413F" w14:textId="2160FA05" w:rsidR="00BF50CC" w:rsidRPr="00D27683" w:rsidRDefault="00BF50CC" w:rsidP="00135EE0">
            <w:pPr>
              <w:pStyle w:val="TableText0"/>
              <w:keepNext w:val="0"/>
            </w:pPr>
            <w:r w:rsidRPr="00D27683">
              <w:t>$</w:t>
            </w:r>
            <w:r w:rsidR="003C172C" w:rsidRPr="003C172C">
              <w:rPr>
                <w:sz w:val="2"/>
                <w:highlight w:val="black"/>
              </w:rPr>
              <w:t>redacted content</w:t>
            </w:r>
          </w:p>
          <w:p w14:paraId="7629D344" w14:textId="44B15E2A" w:rsidR="00BF50CC" w:rsidRPr="00D27683" w:rsidRDefault="00BF50CC" w:rsidP="00135EE0">
            <w:pPr>
              <w:pStyle w:val="TableText0"/>
              <w:keepNext w:val="0"/>
            </w:pPr>
            <w:r w:rsidRPr="00D27683">
              <w:t>$</w:t>
            </w:r>
            <w:r w:rsidR="003C172C" w:rsidRPr="003C172C">
              <w:rPr>
                <w:sz w:val="2"/>
                <w:highlight w:val="black"/>
              </w:rPr>
              <w:t>redacted content</w:t>
            </w:r>
          </w:p>
          <w:p w14:paraId="3D9ADF8C" w14:textId="4BE3F2FD" w:rsidR="00BF50CC" w:rsidRPr="00D27683" w:rsidRDefault="00BF50CC" w:rsidP="00135EE0">
            <w:pPr>
              <w:pStyle w:val="TableText0"/>
              <w:keepNext w:val="0"/>
            </w:pPr>
            <w:r w:rsidRPr="00D27683">
              <w:t>$</w:t>
            </w:r>
            <w:r w:rsidR="003C172C" w:rsidRPr="003C172C">
              <w:rPr>
                <w:sz w:val="2"/>
                <w:highlight w:val="black"/>
              </w:rPr>
              <w:t>redacted content</w:t>
            </w:r>
          </w:p>
          <w:p w14:paraId="797EE3D5" w14:textId="714F6604" w:rsidR="00BF50CC" w:rsidRPr="00D27683" w:rsidRDefault="00BF50CC" w:rsidP="00135EE0">
            <w:pPr>
              <w:pStyle w:val="TableText0"/>
              <w:keepNext w:val="0"/>
            </w:pPr>
            <w:r w:rsidRPr="00D27683">
              <w:t>$</w:t>
            </w:r>
            <w:r w:rsidR="003C172C" w:rsidRPr="003C172C">
              <w:rPr>
                <w:sz w:val="2"/>
                <w:highlight w:val="black"/>
              </w:rPr>
              <w:t>redacted content</w:t>
            </w:r>
          </w:p>
        </w:tc>
        <w:tc>
          <w:tcPr>
            <w:tcW w:w="2268" w:type="dxa"/>
            <w:vAlign w:val="center"/>
          </w:tcPr>
          <w:p w14:paraId="13F76AC0" w14:textId="77777777" w:rsidR="00BF50CC" w:rsidRPr="00D27683" w:rsidRDefault="00BF50CC" w:rsidP="00135EE0">
            <w:pPr>
              <w:pStyle w:val="TableText0"/>
              <w:keepNext w:val="0"/>
            </w:pPr>
            <w:r w:rsidRPr="00D27683">
              <w:t>Published price public</w:t>
            </w:r>
          </w:p>
          <w:p w14:paraId="15C711B5" w14:textId="77777777" w:rsidR="00BF50CC" w:rsidRPr="00D27683" w:rsidRDefault="00BF50CC" w:rsidP="00135EE0">
            <w:pPr>
              <w:pStyle w:val="TableText0"/>
              <w:keepNext w:val="0"/>
            </w:pPr>
            <w:r w:rsidRPr="00D27683">
              <w:t>Published price private</w:t>
            </w:r>
          </w:p>
          <w:p w14:paraId="10FF0AF3" w14:textId="77777777" w:rsidR="00BF50CC" w:rsidRPr="00D27683" w:rsidRDefault="00BF50CC" w:rsidP="00135EE0">
            <w:pPr>
              <w:pStyle w:val="TableText0"/>
              <w:keepNext w:val="0"/>
            </w:pPr>
            <w:r w:rsidRPr="00D27683">
              <w:t>Effective price public</w:t>
            </w:r>
          </w:p>
          <w:p w14:paraId="2353B69D" w14:textId="77777777" w:rsidR="00BF50CC" w:rsidRPr="00D27683" w:rsidRDefault="00BF50CC" w:rsidP="00135EE0">
            <w:pPr>
              <w:pStyle w:val="TableText0"/>
              <w:keepNext w:val="0"/>
            </w:pPr>
            <w:r w:rsidRPr="00D27683">
              <w:t>Effective price private</w:t>
            </w:r>
          </w:p>
        </w:tc>
        <w:tc>
          <w:tcPr>
            <w:tcW w:w="3515" w:type="dxa"/>
            <w:vAlign w:val="center"/>
          </w:tcPr>
          <w:p w14:paraId="5D917090" w14:textId="1259DD86" w:rsidR="00795ECC" w:rsidRPr="00D27683" w:rsidRDefault="00BF50CC" w:rsidP="00135EE0">
            <w:pPr>
              <w:pStyle w:val="TableText0"/>
              <w:keepNext w:val="0"/>
            </w:pPr>
            <w:r w:rsidRPr="00D27683">
              <w:t>As per the submission</w:t>
            </w:r>
            <w:r w:rsidR="005D0A65">
              <w:t xml:space="preserve">. </w:t>
            </w:r>
            <w:r w:rsidR="000A0472">
              <w:t>The Pre-PBAC Response proposed a revised effective EMP of $</w:t>
            </w:r>
            <w:r w:rsidR="003C172C" w:rsidRPr="003C172C">
              <w:rPr>
                <w:sz w:val="2"/>
                <w:highlight w:val="black"/>
              </w:rPr>
              <w:t>redacted content</w:t>
            </w:r>
            <w:r w:rsidR="000A0472">
              <w:t xml:space="preserve"> per 100 mg pre-filled pen</w:t>
            </w:r>
            <w:r w:rsidR="00F069DE">
              <w:t xml:space="preserve"> (</w:t>
            </w:r>
            <w:r w:rsidR="00260D2E">
              <w:t xml:space="preserve">public DPMQ </w:t>
            </w:r>
            <w:r w:rsidR="005838DF">
              <w:t>$</w:t>
            </w:r>
            <w:r w:rsidR="003C172C" w:rsidRPr="003C172C">
              <w:rPr>
                <w:sz w:val="2"/>
                <w:highlight w:val="black"/>
              </w:rPr>
              <w:t>redacted content</w:t>
            </w:r>
            <w:r w:rsidR="00416009">
              <w:t xml:space="preserve"> </w:t>
            </w:r>
            <w:r w:rsidR="00260D2E">
              <w:t>/ private DPMQ = $</w:t>
            </w:r>
            <w:r w:rsidR="003C172C" w:rsidRPr="003C172C">
              <w:rPr>
                <w:sz w:val="2"/>
                <w:highlight w:val="black"/>
              </w:rPr>
              <w:t>redacted content</w:t>
            </w:r>
            <w:r w:rsidR="00260D2E">
              <w:t>)</w:t>
            </w:r>
            <w:r w:rsidR="000A0472">
              <w:t>.</w:t>
            </w:r>
            <w:r w:rsidR="008A7219">
              <w:t xml:space="preserve"> </w:t>
            </w:r>
          </w:p>
        </w:tc>
      </w:tr>
      <w:tr w:rsidR="004452EA" w:rsidRPr="00D27683" w14:paraId="0A4C5862" w14:textId="77777777" w:rsidTr="00EE5D15">
        <w:trPr>
          <w:cantSplit/>
        </w:trPr>
        <w:tc>
          <w:tcPr>
            <w:tcW w:w="1980" w:type="dxa"/>
            <w:vAlign w:val="center"/>
          </w:tcPr>
          <w:p w14:paraId="7A5389A1" w14:textId="376576DB" w:rsidR="00BF50CC" w:rsidRPr="00D27683" w:rsidRDefault="00BF50CC" w:rsidP="00135EE0">
            <w:pPr>
              <w:pStyle w:val="TableText0"/>
              <w:keepNext w:val="0"/>
            </w:pPr>
            <w:r w:rsidRPr="00D27683">
              <w:lastRenderedPageBreak/>
              <w:t>Section 100 Private/Public split</w:t>
            </w:r>
          </w:p>
        </w:tc>
        <w:tc>
          <w:tcPr>
            <w:tcW w:w="1417" w:type="dxa"/>
            <w:vAlign w:val="center"/>
          </w:tcPr>
          <w:p w14:paraId="71D3DF3E" w14:textId="77777777" w:rsidR="00BF50CC" w:rsidRPr="00D27683" w:rsidRDefault="00BF50CC" w:rsidP="00135EE0">
            <w:pPr>
              <w:pStyle w:val="TableText0"/>
              <w:keepNext w:val="0"/>
            </w:pPr>
            <w:r w:rsidRPr="00D27683">
              <w:t>33.8% / 66.2%</w:t>
            </w:r>
          </w:p>
        </w:tc>
        <w:tc>
          <w:tcPr>
            <w:tcW w:w="2268" w:type="dxa"/>
            <w:vAlign w:val="center"/>
          </w:tcPr>
          <w:p w14:paraId="6828542B" w14:textId="0EEFDD4B" w:rsidR="00BF50CC" w:rsidRPr="00D27683" w:rsidRDefault="00BF50CC" w:rsidP="00135EE0">
            <w:pPr>
              <w:pStyle w:val="TableText0"/>
              <w:keepNext w:val="0"/>
            </w:pPr>
            <w:r w:rsidRPr="00D27683">
              <w:t xml:space="preserve">PBS/RPBS </w:t>
            </w:r>
            <w:r w:rsidR="00663CAE" w:rsidRPr="00D27683">
              <w:t>mepolizumab</w:t>
            </w:r>
            <w:r w:rsidRPr="00D27683">
              <w:t xml:space="preserve"> script services for uncontrolled severe asthma indication (Jan 2024 to Dec 2024) </w:t>
            </w:r>
          </w:p>
        </w:tc>
        <w:tc>
          <w:tcPr>
            <w:tcW w:w="3515" w:type="dxa"/>
            <w:vAlign w:val="center"/>
          </w:tcPr>
          <w:p w14:paraId="6E31DF31" w14:textId="3BB718B4" w:rsidR="00BF50CC" w:rsidRPr="00D27683" w:rsidRDefault="00B359A3" w:rsidP="00135EE0">
            <w:pPr>
              <w:pStyle w:val="TableText0"/>
              <w:keepNext w:val="0"/>
            </w:pPr>
            <w:r>
              <w:t>The evaluation considered that this was r</w:t>
            </w:r>
            <w:r w:rsidR="00BF50CC" w:rsidRPr="00D27683">
              <w:t>easonable</w:t>
            </w:r>
            <w:r>
              <w:t>.</w:t>
            </w:r>
          </w:p>
        </w:tc>
      </w:tr>
      <w:tr w:rsidR="004452EA" w:rsidRPr="00D27683" w14:paraId="2D4CD36F" w14:textId="77777777" w:rsidTr="00EE5D15">
        <w:trPr>
          <w:cantSplit/>
        </w:trPr>
        <w:tc>
          <w:tcPr>
            <w:tcW w:w="1980" w:type="dxa"/>
            <w:vAlign w:val="center"/>
          </w:tcPr>
          <w:p w14:paraId="5F486F98" w14:textId="77777777" w:rsidR="00BF50CC" w:rsidRPr="00D27683" w:rsidRDefault="00BF50CC" w:rsidP="00135EE0">
            <w:pPr>
              <w:pStyle w:val="TableText0"/>
              <w:keepNext w:val="0"/>
            </w:pPr>
            <w:r w:rsidRPr="00D27683">
              <w:t>Patient training for self-administration by a nurse practitioner</w:t>
            </w:r>
          </w:p>
        </w:tc>
        <w:tc>
          <w:tcPr>
            <w:tcW w:w="1417" w:type="dxa"/>
            <w:vAlign w:val="center"/>
          </w:tcPr>
          <w:p w14:paraId="78EDF268" w14:textId="77777777" w:rsidR="00BF50CC" w:rsidRPr="00D27683" w:rsidRDefault="00BF50CC" w:rsidP="00135EE0">
            <w:pPr>
              <w:pStyle w:val="TableText0"/>
              <w:keepNext w:val="0"/>
            </w:pPr>
            <w:r w:rsidRPr="00D27683">
              <w:t xml:space="preserve">$88.90 </w:t>
            </w:r>
          </w:p>
        </w:tc>
        <w:tc>
          <w:tcPr>
            <w:tcW w:w="2268" w:type="dxa"/>
            <w:vAlign w:val="center"/>
          </w:tcPr>
          <w:p w14:paraId="5B7977F7" w14:textId="77777777" w:rsidR="00BF50CC" w:rsidRPr="00D27683" w:rsidRDefault="00BF50CC" w:rsidP="00135EE0">
            <w:pPr>
              <w:pStyle w:val="TableText0"/>
              <w:keepNext w:val="0"/>
            </w:pPr>
            <w:r w:rsidRPr="00D27683">
              <w:t>MBS item 82215, used 80% total fee and was assumed once per initiator.</w:t>
            </w:r>
          </w:p>
        </w:tc>
        <w:tc>
          <w:tcPr>
            <w:tcW w:w="3515" w:type="dxa"/>
            <w:vAlign w:val="center"/>
          </w:tcPr>
          <w:p w14:paraId="5DFC260E" w14:textId="19B36E35" w:rsidR="0069280D" w:rsidRPr="00D27683" w:rsidRDefault="00FC298B" w:rsidP="00135EE0">
            <w:pPr>
              <w:pStyle w:val="TableText0"/>
              <w:keepNext w:val="0"/>
              <w:rPr>
                <w:i/>
                <w:iCs/>
              </w:rPr>
            </w:pPr>
            <w:r>
              <w:rPr>
                <w:iCs/>
              </w:rPr>
              <w:t>T</w:t>
            </w:r>
            <w:r w:rsidR="00171E4F" w:rsidRPr="006D6FD8">
              <w:rPr>
                <w:iCs/>
              </w:rPr>
              <w:t>he</w:t>
            </w:r>
            <w:r w:rsidR="0069280D" w:rsidRPr="006D6FD8">
              <w:rPr>
                <w:iCs/>
              </w:rPr>
              <w:t xml:space="preserve"> evaluation noted that not all patients will be able to self-administer or have a carer and will therefore require administration by a healthcare </w:t>
            </w:r>
            <w:r w:rsidR="005D631C" w:rsidRPr="006D6FD8">
              <w:rPr>
                <w:iCs/>
              </w:rPr>
              <w:t>professional</w:t>
            </w:r>
            <w:r w:rsidR="0069280D" w:rsidRPr="006D6FD8">
              <w:rPr>
                <w:iCs/>
              </w:rPr>
              <w:t xml:space="preserve">. </w:t>
            </w:r>
          </w:p>
        </w:tc>
      </w:tr>
    </w:tbl>
    <w:p w14:paraId="775815D3" w14:textId="77777777" w:rsidR="00BF50CC" w:rsidRPr="00D27683" w:rsidRDefault="00BF50CC" w:rsidP="003338A0">
      <w:pPr>
        <w:pStyle w:val="TableFigureFooter"/>
      </w:pPr>
      <w:r w:rsidRPr="00D27683">
        <w:t>Source: Table 4-1, pp177-178 of the submission.</w:t>
      </w:r>
    </w:p>
    <w:p w14:paraId="24E2BCCB" w14:textId="77777777" w:rsidR="0079247B" w:rsidRDefault="00BF50CC" w:rsidP="003338A0">
      <w:pPr>
        <w:pStyle w:val="TableFigureFooter"/>
      </w:pPr>
      <w:r w:rsidRPr="00D27683">
        <w:t>BEC = blood eosinophil count; COPD = chronic obstructive pulmonary disease;</w:t>
      </w:r>
      <w:r w:rsidR="0007588A">
        <w:t xml:space="preserve"> FDC = </w:t>
      </w:r>
      <w:r w:rsidR="00353ED3">
        <w:t>fixed-dose combination;</w:t>
      </w:r>
      <w:r w:rsidRPr="00D27683">
        <w:t xml:space="preserve"> MBS = Medicare Benefits Schedule; PBS = Pharmaceutical Benefits Scheme; RPBS = Repatriation Pharmaceutical Benefits Scheme; Yr = year. </w:t>
      </w:r>
      <w:r w:rsidR="0079247B">
        <w:br/>
        <w:t>The redacted values correspond to the following ranges:</w:t>
      </w:r>
      <w:r w:rsidR="0079247B">
        <w:br/>
      </w:r>
      <w:r w:rsidR="0079247B">
        <w:rPr>
          <w:vertAlign w:val="superscript"/>
        </w:rPr>
        <w:t>1</w:t>
      </w:r>
      <w:r w:rsidR="0079247B">
        <w:t xml:space="preserve"> 200,000 to &lt; 300,000</w:t>
      </w:r>
    </w:p>
    <w:p w14:paraId="397DD250" w14:textId="77777777" w:rsidR="00F27737" w:rsidRDefault="0079247B" w:rsidP="003338A0">
      <w:pPr>
        <w:pStyle w:val="TableFigureFooter"/>
      </w:pPr>
      <w:r>
        <w:rPr>
          <w:vertAlign w:val="superscript"/>
        </w:rPr>
        <w:t>2</w:t>
      </w:r>
      <w:r>
        <w:t xml:space="preserve"> 40,000 to &lt; 50,000</w:t>
      </w:r>
      <w:r>
        <w:br/>
      </w:r>
      <w:r>
        <w:rPr>
          <w:vertAlign w:val="superscript"/>
        </w:rPr>
        <w:t>3</w:t>
      </w:r>
      <w:r>
        <w:t xml:space="preserve"> 50,000 to &lt; 60,000</w:t>
      </w:r>
      <w:r>
        <w:br/>
      </w:r>
      <w:r w:rsidRPr="00FA3F97">
        <w:rPr>
          <w:vertAlign w:val="superscript"/>
        </w:rPr>
        <w:t>4</w:t>
      </w:r>
      <w:r w:rsidRPr="00FA3F97">
        <w:t xml:space="preserve"> </w:t>
      </w:r>
      <w:r w:rsidR="00FA3F97">
        <w:t>60,000 to &lt; 70,000</w:t>
      </w:r>
    </w:p>
    <w:p w14:paraId="337D1231" w14:textId="77777777" w:rsidR="00493ECD" w:rsidRDefault="00F27737" w:rsidP="003338A0">
      <w:pPr>
        <w:pStyle w:val="TableFigureFooter"/>
      </w:pPr>
      <w:r>
        <w:rPr>
          <w:vertAlign w:val="superscript"/>
        </w:rPr>
        <w:t>5</w:t>
      </w:r>
      <w:r>
        <w:t xml:space="preserve"> &lt; 500</w:t>
      </w:r>
    </w:p>
    <w:p w14:paraId="094A2AF4" w14:textId="76BA221D" w:rsidR="00CB3D09" w:rsidRDefault="00493ECD" w:rsidP="003338A0">
      <w:pPr>
        <w:pStyle w:val="TableFigureFooter"/>
      </w:pPr>
      <w:r>
        <w:rPr>
          <w:vertAlign w:val="superscript"/>
        </w:rPr>
        <w:t xml:space="preserve">6 </w:t>
      </w:r>
      <w:r>
        <w:t>300,000 to &lt; 400,000</w:t>
      </w:r>
      <w:r w:rsidR="0079247B">
        <w:br/>
      </w:r>
    </w:p>
    <w:p w14:paraId="6C4A3AAE" w14:textId="09B47296" w:rsidR="00BF50CC" w:rsidRPr="00CB3D09" w:rsidRDefault="00CB3D09" w:rsidP="00CB3D09">
      <w:pPr>
        <w:jc w:val="left"/>
        <w:rPr>
          <w:rFonts w:ascii="Arial Narrow" w:eastAsiaTheme="majorEastAsia" w:hAnsi="Arial Narrow"/>
          <w:i/>
          <w:iCs/>
          <w:snapToGrid w:val="0"/>
          <w:sz w:val="18"/>
          <w:szCs w:val="22"/>
        </w:rPr>
      </w:pPr>
      <w:r>
        <w:br w:type="page"/>
      </w:r>
    </w:p>
    <w:p w14:paraId="7D5E8A4F" w14:textId="73499F9A" w:rsidR="00BF50CC" w:rsidRPr="00D27683" w:rsidRDefault="00BF50CC" w:rsidP="00135EE0">
      <w:pPr>
        <w:pStyle w:val="3-BodyText"/>
      </w:pPr>
      <w:r w:rsidRPr="00D27683">
        <w:lastRenderedPageBreak/>
        <w:t xml:space="preserve">The estimated use and financial implications of listing mepolizumab </w:t>
      </w:r>
      <w:r w:rsidR="00BC2CCB">
        <w:t>o</w:t>
      </w:r>
      <w:r w:rsidRPr="00D27683">
        <w:t>n the PBS</w:t>
      </w:r>
      <w:r w:rsidR="00BC2CCB">
        <w:t xml:space="preserve"> as presented in the submission and Pre-PBAC Response</w:t>
      </w:r>
      <w:r w:rsidRPr="00D27683">
        <w:t xml:space="preserve"> are presented in</w:t>
      </w:r>
      <w:r w:rsidR="00EC615D" w:rsidRPr="00D27683">
        <w:t xml:space="preserve"> </w:t>
      </w:r>
      <w:r w:rsidR="0008138E" w:rsidRPr="00D27683">
        <w:fldChar w:fldCharType="begin"/>
      </w:r>
      <w:r w:rsidR="0008138E" w:rsidRPr="00D27683">
        <w:instrText xml:space="preserve"> REF _Ref222764889 \h </w:instrText>
      </w:r>
      <w:r w:rsidR="0008138E" w:rsidRPr="00D27683">
        <w:fldChar w:fldCharType="separate"/>
      </w:r>
      <w:r w:rsidR="00FA28CE" w:rsidRPr="00D27683">
        <w:t xml:space="preserve">Table </w:t>
      </w:r>
      <w:r w:rsidR="00FA28CE">
        <w:rPr>
          <w:noProof/>
        </w:rPr>
        <w:t>20</w:t>
      </w:r>
      <w:r w:rsidR="0008138E" w:rsidRPr="00D27683">
        <w:fldChar w:fldCharType="end"/>
      </w:r>
      <w:r w:rsidR="00EC615D" w:rsidRPr="00D27683">
        <w:t>.</w:t>
      </w:r>
    </w:p>
    <w:p w14:paraId="2EECF754" w14:textId="318602A8" w:rsidR="00BF50CC" w:rsidRPr="00D27683" w:rsidRDefault="00733955" w:rsidP="00135EE0">
      <w:pPr>
        <w:pStyle w:val="Caption"/>
      </w:pPr>
      <w:bookmarkStart w:id="166" w:name="_Ref222764889"/>
      <w:r w:rsidRPr="00D27683">
        <w:t xml:space="preserve">Table </w:t>
      </w:r>
      <w:fldSimple w:instr=" SEQ Table \* ARABIC ">
        <w:r w:rsidR="00FA28CE">
          <w:rPr>
            <w:noProof/>
          </w:rPr>
          <w:t>20</w:t>
        </w:r>
      </w:fldSimple>
      <w:bookmarkEnd w:id="166"/>
      <w:r w:rsidR="00BF50CC" w:rsidRPr="00D27683">
        <w:t>:</w:t>
      </w:r>
      <w:r w:rsidR="00BF50CC" w:rsidRPr="00D27683">
        <w:rPr>
          <w:rStyle w:val="CommentReference"/>
          <w:b/>
          <w:szCs w:val="24"/>
        </w:rPr>
        <w:t xml:space="preserve"> Estimated use and financial implications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20: Estimated use and financial implications (effective price)"/>
      </w:tblPr>
      <w:tblGrid>
        <w:gridCol w:w="989"/>
        <w:gridCol w:w="1134"/>
        <w:gridCol w:w="1134"/>
        <w:gridCol w:w="1134"/>
        <w:gridCol w:w="1133"/>
        <w:gridCol w:w="1134"/>
        <w:gridCol w:w="1133"/>
        <w:gridCol w:w="1226"/>
      </w:tblGrid>
      <w:tr w:rsidR="00BF50CC" w:rsidRPr="00D27683" w14:paraId="5CC85B48" w14:textId="77777777" w:rsidTr="000A749A">
        <w:trPr>
          <w:tblHeader/>
        </w:trPr>
        <w:tc>
          <w:tcPr>
            <w:tcW w:w="548" w:type="pct"/>
            <w:vAlign w:val="center"/>
          </w:tcPr>
          <w:p w14:paraId="53D92A74" w14:textId="77777777" w:rsidR="00BF50CC" w:rsidRPr="00D27683" w:rsidRDefault="00BF50CC" w:rsidP="00135EE0">
            <w:pPr>
              <w:pStyle w:val="In-tableHeading"/>
              <w:rPr>
                <w:lang w:val="en-AU"/>
              </w:rPr>
            </w:pPr>
          </w:p>
        </w:tc>
        <w:tc>
          <w:tcPr>
            <w:tcW w:w="629" w:type="pct"/>
            <w:vAlign w:val="center"/>
          </w:tcPr>
          <w:p w14:paraId="4D3E9548" w14:textId="77777777" w:rsidR="00BF50CC" w:rsidRPr="00D27683" w:rsidRDefault="00BF50CC" w:rsidP="00135EE0">
            <w:pPr>
              <w:pStyle w:val="In-tableHeading"/>
              <w:jc w:val="center"/>
              <w:rPr>
                <w:lang w:val="en-AU"/>
              </w:rPr>
            </w:pPr>
            <w:r w:rsidRPr="00D27683">
              <w:rPr>
                <w:lang w:val="en-AU"/>
              </w:rPr>
              <w:t>2026</w:t>
            </w:r>
          </w:p>
        </w:tc>
        <w:tc>
          <w:tcPr>
            <w:tcW w:w="629" w:type="pct"/>
            <w:vAlign w:val="center"/>
          </w:tcPr>
          <w:p w14:paraId="74F1CFA2" w14:textId="77777777" w:rsidR="00BF50CC" w:rsidRPr="00D27683" w:rsidRDefault="00BF50CC" w:rsidP="00135EE0">
            <w:pPr>
              <w:pStyle w:val="In-tableHeading"/>
              <w:jc w:val="center"/>
              <w:rPr>
                <w:lang w:val="en-AU"/>
              </w:rPr>
            </w:pPr>
            <w:r w:rsidRPr="00D27683">
              <w:rPr>
                <w:lang w:val="en-AU"/>
              </w:rPr>
              <w:t>2027</w:t>
            </w:r>
          </w:p>
        </w:tc>
        <w:tc>
          <w:tcPr>
            <w:tcW w:w="629" w:type="pct"/>
            <w:vAlign w:val="center"/>
          </w:tcPr>
          <w:p w14:paraId="7BB769F1" w14:textId="77777777" w:rsidR="00BF50CC" w:rsidRPr="00D27683" w:rsidRDefault="00BF50CC" w:rsidP="00135EE0">
            <w:pPr>
              <w:pStyle w:val="In-tableHeading"/>
              <w:jc w:val="center"/>
              <w:rPr>
                <w:lang w:val="en-AU"/>
              </w:rPr>
            </w:pPr>
            <w:r w:rsidRPr="00D27683">
              <w:rPr>
                <w:lang w:val="en-AU"/>
              </w:rPr>
              <w:t>2028</w:t>
            </w:r>
          </w:p>
        </w:tc>
        <w:tc>
          <w:tcPr>
            <w:tcW w:w="628" w:type="pct"/>
            <w:vAlign w:val="center"/>
          </w:tcPr>
          <w:p w14:paraId="46683890" w14:textId="77777777" w:rsidR="00BF50CC" w:rsidRPr="00D27683" w:rsidRDefault="00BF50CC" w:rsidP="00135EE0">
            <w:pPr>
              <w:pStyle w:val="In-tableHeading"/>
              <w:jc w:val="center"/>
              <w:rPr>
                <w:lang w:val="en-AU"/>
              </w:rPr>
            </w:pPr>
            <w:r w:rsidRPr="00D27683">
              <w:rPr>
                <w:lang w:val="en-AU"/>
              </w:rPr>
              <w:t>2029</w:t>
            </w:r>
          </w:p>
        </w:tc>
        <w:tc>
          <w:tcPr>
            <w:tcW w:w="629" w:type="pct"/>
            <w:vAlign w:val="center"/>
          </w:tcPr>
          <w:p w14:paraId="274EC973" w14:textId="77777777" w:rsidR="00BF50CC" w:rsidRPr="00D27683" w:rsidRDefault="00BF50CC" w:rsidP="00135EE0">
            <w:pPr>
              <w:pStyle w:val="In-tableHeading"/>
              <w:jc w:val="center"/>
              <w:rPr>
                <w:lang w:val="en-AU"/>
              </w:rPr>
            </w:pPr>
            <w:r w:rsidRPr="00D27683">
              <w:rPr>
                <w:lang w:val="en-AU"/>
              </w:rPr>
              <w:t>2030</w:t>
            </w:r>
          </w:p>
        </w:tc>
        <w:tc>
          <w:tcPr>
            <w:tcW w:w="628" w:type="pct"/>
            <w:vAlign w:val="center"/>
          </w:tcPr>
          <w:p w14:paraId="14931227" w14:textId="77777777" w:rsidR="00BF50CC" w:rsidRPr="00D27683" w:rsidRDefault="00BF50CC" w:rsidP="00135EE0">
            <w:pPr>
              <w:pStyle w:val="In-tableHeading"/>
              <w:jc w:val="center"/>
              <w:rPr>
                <w:lang w:val="en-AU"/>
              </w:rPr>
            </w:pPr>
            <w:r w:rsidRPr="00D27683">
              <w:rPr>
                <w:lang w:val="en-AU"/>
              </w:rPr>
              <w:t>2031</w:t>
            </w:r>
          </w:p>
        </w:tc>
        <w:tc>
          <w:tcPr>
            <w:tcW w:w="680" w:type="pct"/>
            <w:vAlign w:val="center"/>
          </w:tcPr>
          <w:p w14:paraId="692C1FAF" w14:textId="77777777" w:rsidR="00BF50CC" w:rsidRPr="00D27683" w:rsidRDefault="00BF50CC" w:rsidP="00135EE0">
            <w:pPr>
              <w:pStyle w:val="In-tableHeading"/>
              <w:jc w:val="center"/>
              <w:rPr>
                <w:lang w:val="en-AU"/>
              </w:rPr>
            </w:pPr>
            <w:r w:rsidRPr="00D27683">
              <w:rPr>
                <w:lang w:val="en-AU"/>
              </w:rPr>
              <w:t>Total</w:t>
            </w:r>
          </w:p>
        </w:tc>
      </w:tr>
      <w:tr w:rsidR="00BF50CC" w:rsidRPr="00D27683" w14:paraId="21E38AFF" w14:textId="77777777">
        <w:tc>
          <w:tcPr>
            <w:tcW w:w="5000" w:type="pct"/>
            <w:gridSpan w:val="8"/>
            <w:vAlign w:val="center"/>
          </w:tcPr>
          <w:p w14:paraId="0D62C9C7" w14:textId="071D4628" w:rsidR="00BF50CC" w:rsidRPr="00D27683" w:rsidRDefault="00BF50CC" w:rsidP="00135EE0">
            <w:pPr>
              <w:pStyle w:val="In-tableHeading"/>
              <w:rPr>
                <w:lang w:val="en-AU"/>
              </w:rPr>
            </w:pPr>
            <w:r w:rsidRPr="00D27683">
              <w:rPr>
                <w:lang w:val="en-AU"/>
              </w:rPr>
              <w:t>Estimated extent of use</w:t>
            </w:r>
            <w:r w:rsidR="0047481F">
              <w:rPr>
                <w:lang w:val="en-AU"/>
              </w:rPr>
              <w:t xml:space="preserve"> - Submission</w:t>
            </w:r>
          </w:p>
        </w:tc>
      </w:tr>
      <w:tr w:rsidR="00BF50CC" w:rsidRPr="00AB688C" w14:paraId="2768744C" w14:textId="77777777" w:rsidTr="000A749A">
        <w:tc>
          <w:tcPr>
            <w:tcW w:w="548" w:type="pct"/>
            <w:vAlign w:val="center"/>
          </w:tcPr>
          <w:p w14:paraId="315818DA" w14:textId="77777777" w:rsidR="00BF50CC" w:rsidRPr="00AB688C" w:rsidRDefault="00BF50CC" w:rsidP="00135EE0">
            <w:pPr>
              <w:pStyle w:val="TableText0"/>
              <w:rPr>
                <w:rFonts w:ascii="Times" w:hAnsi="Times"/>
              </w:rPr>
            </w:pPr>
            <w:bookmarkStart w:id="167" w:name="_Hlk217397194"/>
            <w:r w:rsidRPr="00AB688C">
              <w:t>Number of patients treated</w:t>
            </w:r>
          </w:p>
        </w:tc>
        <w:tc>
          <w:tcPr>
            <w:tcW w:w="629" w:type="pct"/>
            <w:vAlign w:val="center"/>
          </w:tcPr>
          <w:p w14:paraId="1BBE3039" w14:textId="767747CE" w:rsidR="00BF50CC" w:rsidRPr="003E0F49" w:rsidRDefault="003C172C" w:rsidP="00135EE0">
            <w:pPr>
              <w:pStyle w:val="TableText0"/>
              <w:jc w:val="center"/>
              <w:rPr>
                <w:color w:val="000000"/>
                <w:vertAlign w:val="superscript"/>
              </w:rPr>
            </w:pPr>
            <w:r w:rsidRPr="003C172C">
              <w:rPr>
                <w:sz w:val="2"/>
                <w:highlight w:val="black"/>
              </w:rPr>
              <w:t>redacted content</w:t>
            </w:r>
            <w:r w:rsidR="003E0F49">
              <w:rPr>
                <w:vertAlign w:val="superscript"/>
              </w:rPr>
              <w:t>1</w:t>
            </w:r>
          </w:p>
        </w:tc>
        <w:tc>
          <w:tcPr>
            <w:tcW w:w="629" w:type="pct"/>
            <w:vAlign w:val="center"/>
          </w:tcPr>
          <w:p w14:paraId="6A4CCA0E" w14:textId="07FF20D5"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1</w:t>
            </w:r>
          </w:p>
        </w:tc>
        <w:tc>
          <w:tcPr>
            <w:tcW w:w="629" w:type="pct"/>
            <w:vAlign w:val="center"/>
          </w:tcPr>
          <w:p w14:paraId="1EF062A4" w14:textId="1DBE329A"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1</w:t>
            </w:r>
          </w:p>
        </w:tc>
        <w:tc>
          <w:tcPr>
            <w:tcW w:w="628" w:type="pct"/>
            <w:vAlign w:val="center"/>
          </w:tcPr>
          <w:p w14:paraId="0704E21B" w14:textId="5AFC615C"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1</w:t>
            </w:r>
          </w:p>
        </w:tc>
        <w:tc>
          <w:tcPr>
            <w:tcW w:w="629" w:type="pct"/>
            <w:vAlign w:val="center"/>
          </w:tcPr>
          <w:p w14:paraId="6162E5F2" w14:textId="0DFFB662"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1</w:t>
            </w:r>
          </w:p>
        </w:tc>
        <w:tc>
          <w:tcPr>
            <w:tcW w:w="628" w:type="pct"/>
            <w:vAlign w:val="center"/>
          </w:tcPr>
          <w:p w14:paraId="2A1C6156" w14:textId="14491FEB"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1</w:t>
            </w:r>
          </w:p>
        </w:tc>
        <w:tc>
          <w:tcPr>
            <w:tcW w:w="680" w:type="pct"/>
            <w:vAlign w:val="center"/>
          </w:tcPr>
          <w:p w14:paraId="1DCEF3B7" w14:textId="77777777" w:rsidR="00BF50CC" w:rsidRPr="00AB688C" w:rsidRDefault="00BF50CC" w:rsidP="00135EE0">
            <w:pPr>
              <w:pStyle w:val="TableText0"/>
              <w:jc w:val="center"/>
            </w:pPr>
            <w:r w:rsidRPr="00AB688C">
              <w:t>-</w:t>
            </w:r>
          </w:p>
        </w:tc>
      </w:tr>
      <w:tr w:rsidR="00BF50CC" w:rsidRPr="00D27683" w14:paraId="0469FF16" w14:textId="77777777" w:rsidTr="000A749A">
        <w:tc>
          <w:tcPr>
            <w:tcW w:w="548" w:type="pct"/>
            <w:vAlign w:val="center"/>
          </w:tcPr>
          <w:p w14:paraId="6D423FA7" w14:textId="77777777" w:rsidR="00BF50CC" w:rsidRPr="00AB688C" w:rsidRDefault="00BF50CC" w:rsidP="00135EE0">
            <w:pPr>
              <w:pStyle w:val="TableText0"/>
              <w:rPr>
                <w:rFonts w:ascii="Times" w:hAnsi="Times"/>
              </w:rPr>
            </w:pPr>
            <w:r w:rsidRPr="00AB688C">
              <w:t>Number of scripts dispensed</w:t>
            </w:r>
          </w:p>
        </w:tc>
        <w:tc>
          <w:tcPr>
            <w:tcW w:w="629" w:type="pct"/>
            <w:vAlign w:val="center"/>
          </w:tcPr>
          <w:p w14:paraId="2190E4C7" w14:textId="2227D4CF" w:rsidR="00BF50CC" w:rsidRPr="00AB688C" w:rsidRDefault="003C172C" w:rsidP="00135EE0">
            <w:pPr>
              <w:pStyle w:val="TableText0"/>
              <w:jc w:val="center"/>
              <w:rPr>
                <w:color w:val="000000"/>
              </w:rPr>
            </w:pPr>
            <w:r w:rsidRPr="003C172C">
              <w:rPr>
                <w:sz w:val="2"/>
                <w:highlight w:val="black"/>
              </w:rPr>
              <w:t>redacted content</w:t>
            </w:r>
            <w:r w:rsidR="0031629B">
              <w:rPr>
                <w:vertAlign w:val="superscript"/>
              </w:rPr>
              <w:t>2</w:t>
            </w:r>
          </w:p>
        </w:tc>
        <w:tc>
          <w:tcPr>
            <w:tcW w:w="629" w:type="pct"/>
            <w:vAlign w:val="center"/>
          </w:tcPr>
          <w:p w14:paraId="4EA56A8D" w14:textId="5E63D086" w:rsidR="00BF50CC" w:rsidRPr="00AB688C" w:rsidRDefault="003C172C" w:rsidP="00135EE0">
            <w:pPr>
              <w:pStyle w:val="TableText0"/>
              <w:jc w:val="center"/>
              <w:rPr>
                <w:color w:val="000000"/>
              </w:rPr>
            </w:pPr>
            <w:r w:rsidRPr="003C172C">
              <w:rPr>
                <w:sz w:val="2"/>
                <w:highlight w:val="black"/>
              </w:rPr>
              <w:t>redacted content</w:t>
            </w:r>
            <w:r w:rsidR="003C254A">
              <w:rPr>
                <w:vertAlign w:val="superscript"/>
              </w:rPr>
              <w:t>2</w:t>
            </w:r>
          </w:p>
        </w:tc>
        <w:tc>
          <w:tcPr>
            <w:tcW w:w="629" w:type="pct"/>
            <w:vAlign w:val="center"/>
          </w:tcPr>
          <w:p w14:paraId="3AF58F45" w14:textId="58A3EB9B" w:rsidR="00BF50CC" w:rsidRPr="00AB688C" w:rsidRDefault="003C172C" w:rsidP="00135EE0">
            <w:pPr>
              <w:pStyle w:val="TableText0"/>
              <w:jc w:val="center"/>
              <w:rPr>
                <w:color w:val="000000"/>
              </w:rPr>
            </w:pPr>
            <w:r w:rsidRPr="003C172C">
              <w:rPr>
                <w:sz w:val="2"/>
                <w:highlight w:val="black"/>
              </w:rPr>
              <w:t>redacted content</w:t>
            </w:r>
            <w:r w:rsidR="003C254A">
              <w:rPr>
                <w:vertAlign w:val="superscript"/>
              </w:rPr>
              <w:t>2</w:t>
            </w:r>
          </w:p>
        </w:tc>
        <w:tc>
          <w:tcPr>
            <w:tcW w:w="628" w:type="pct"/>
            <w:vAlign w:val="center"/>
          </w:tcPr>
          <w:p w14:paraId="7986210E" w14:textId="44C58590" w:rsidR="00BF50CC" w:rsidRPr="003C254A" w:rsidRDefault="003C172C" w:rsidP="00135EE0">
            <w:pPr>
              <w:pStyle w:val="TableText0"/>
              <w:jc w:val="center"/>
              <w:rPr>
                <w:color w:val="000000"/>
                <w:vertAlign w:val="superscript"/>
              </w:rPr>
            </w:pPr>
            <w:r w:rsidRPr="003C172C">
              <w:rPr>
                <w:sz w:val="2"/>
                <w:highlight w:val="black"/>
              </w:rPr>
              <w:t>redacted content</w:t>
            </w:r>
            <w:r w:rsidR="003C254A">
              <w:rPr>
                <w:vertAlign w:val="superscript"/>
              </w:rPr>
              <w:t>3</w:t>
            </w:r>
          </w:p>
        </w:tc>
        <w:tc>
          <w:tcPr>
            <w:tcW w:w="629" w:type="pct"/>
            <w:vAlign w:val="center"/>
          </w:tcPr>
          <w:p w14:paraId="29AF11DF" w14:textId="1FA5130D" w:rsidR="00BF50CC" w:rsidRPr="00AB688C" w:rsidRDefault="003C172C" w:rsidP="00135EE0">
            <w:pPr>
              <w:pStyle w:val="TableText0"/>
              <w:jc w:val="center"/>
              <w:rPr>
                <w:color w:val="000000"/>
              </w:rPr>
            </w:pPr>
            <w:r w:rsidRPr="003C172C">
              <w:rPr>
                <w:sz w:val="2"/>
                <w:highlight w:val="black"/>
              </w:rPr>
              <w:t>redacted content</w:t>
            </w:r>
            <w:r w:rsidR="003C254A">
              <w:rPr>
                <w:vertAlign w:val="superscript"/>
              </w:rPr>
              <w:t>3</w:t>
            </w:r>
          </w:p>
        </w:tc>
        <w:tc>
          <w:tcPr>
            <w:tcW w:w="628" w:type="pct"/>
            <w:vAlign w:val="center"/>
          </w:tcPr>
          <w:p w14:paraId="3C4D4E2F" w14:textId="018265A2" w:rsidR="00BF50CC" w:rsidRPr="00AB688C" w:rsidRDefault="003C172C" w:rsidP="00135EE0">
            <w:pPr>
              <w:pStyle w:val="TableText0"/>
              <w:jc w:val="center"/>
              <w:rPr>
                <w:color w:val="000000"/>
              </w:rPr>
            </w:pPr>
            <w:r w:rsidRPr="003C172C">
              <w:rPr>
                <w:sz w:val="2"/>
                <w:highlight w:val="black"/>
              </w:rPr>
              <w:t>redacted content</w:t>
            </w:r>
            <w:r w:rsidR="003C254A">
              <w:rPr>
                <w:vertAlign w:val="superscript"/>
              </w:rPr>
              <w:t>3</w:t>
            </w:r>
          </w:p>
        </w:tc>
        <w:tc>
          <w:tcPr>
            <w:tcW w:w="680" w:type="pct"/>
            <w:vAlign w:val="center"/>
          </w:tcPr>
          <w:p w14:paraId="7CBD476C" w14:textId="77777777" w:rsidR="00BF50CC" w:rsidRPr="00D27683" w:rsidRDefault="00BF50CC" w:rsidP="00135EE0">
            <w:pPr>
              <w:pStyle w:val="TableText0"/>
              <w:jc w:val="center"/>
            </w:pPr>
            <w:r w:rsidRPr="00AB688C">
              <w:t>-</w:t>
            </w:r>
          </w:p>
        </w:tc>
      </w:tr>
      <w:bookmarkEnd w:id="167"/>
      <w:tr w:rsidR="00BF50CC" w:rsidRPr="00D27683" w14:paraId="692D22CB" w14:textId="77777777">
        <w:tc>
          <w:tcPr>
            <w:tcW w:w="5000" w:type="pct"/>
            <w:gridSpan w:val="8"/>
            <w:vAlign w:val="center"/>
          </w:tcPr>
          <w:p w14:paraId="66306204" w14:textId="09D03A90" w:rsidR="00BF50CC" w:rsidRPr="00D27683" w:rsidRDefault="00BF50CC" w:rsidP="00135EE0">
            <w:pPr>
              <w:pStyle w:val="In-tableHeading"/>
              <w:rPr>
                <w:lang w:val="en-AU"/>
              </w:rPr>
            </w:pPr>
            <w:r w:rsidRPr="00D27683">
              <w:rPr>
                <w:lang w:val="en-AU"/>
              </w:rPr>
              <w:t>Net financial implications</w:t>
            </w:r>
            <w:r w:rsidR="00757224">
              <w:rPr>
                <w:lang w:val="en-AU"/>
              </w:rPr>
              <w:t xml:space="preserve"> </w:t>
            </w:r>
            <w:r w:rsidR="00C43737">
              <w:rPr>
                <w:lang w:val="en-AU"/>
              </w:rPr>
              <w:t>–</w:t>
            </w:r>
            <w:r w:rsidR="00757224">
              <w:rPr>
                <w:lang w:val="en-AU"/>
              </w:rPr>
              <w:t xml:space="preserve"> Submission</w:t>
            </w:r>
            <w:r w:rsidR="00C43737">
              <w:rPr>
                <w:lang w:val="en-AU"/>
              </w:rPr>
              <w:t xml:space="preserve"> </w:t>
            </w:r>
            <w:r w:rsidR="00263275">
              <w:rPr>
                <w:lang w:val="en-AU"/>
              </w:rPr>
              <w:t xml:space="preserve">(DPMQ </w:t>
            </w:r>
            <w:r w:rsidR="00075F72">
              <w:rPr>
                <w:lang w:val="en-AU"/>
              </w:rPr>
              <w:t>public $</w:t>
            </w:r>
            <w:r w:rsidR="003C172C" w:rsidRPr="003C172C">
              <w:rPr>
                <w:sz w:val="2"/>
                <w:highlight w:val="black"/>
                <w:lang w:val="en-AU"/>
              </w:rPr>
              <w:t>redacted content</w:t>
            </w:r>
            <w:r w:rsidR="00476962">
              <w:rPr>
                <w:lang w:val="en-AU"/>
              </w:rPr>
              <w:t xml:space="preserve">, </w:t>
            </w:r>
            <w:r w:rsidR="00AB688C">
              <w:rPr>
                <w:lang w:val="en-AU"/>
              </w:rPr>
              <w:t xml:space="preserve">DPMQ </w:t>
            </w:r>
            <w:r w:rsidR="00476962">
              <w:rPr>
                <w:lang w:val="en-AU"/>
              </w:rPr>
              <w:t>private $</w:t>
            </w:r>
            <w:r w:rsidR="003C172C" w:rsidRPr="003C172C">
              <w:rPr>
                <w:sz w:val="2"/>
                <w:highlight w:val="black"/>
                <w:lang w:val="en-AU"/>
              </w:rPr>
              <w:t>redacted content</w:t>
            </w:r>
            <w:r w:rsidR="00F57485">
              <w:rPr>
                <w:lang w:val="en-AU"/>
              </w:rPr>
              <w:t>)</w:t>
            </w:r>
          </w:p>
        </w:tc>
      </w:tr>
      <w:tr w:rsidR="00BF50CC" w:rsidRPr="00D27683" w14:paraId="39E596BE" w14:textId="77777777" w:rsidTr="000A749A">
        <w:tc>
          <w:tcPr>
            <w:tcW w:w="548" w:type="pct"/>
            <w:vAlign w:val="center"/>
          </w:tcPr>
          <w:p w14:paraId="039CC2CE" w14:textId="77777777" w:rsidR="00BF50CC" w:rsidRPr="00D27683" w:rsidRDefault="00BF50CC" w:rsidP="00135EE0">
            <w:pPr>
              <w:pStyle w:val="TableText0"/>
              <w:rPr>
                <w:sz w:val="19"/>
                <w:szCs w:val="19"/>
              </w:rPr>
            </w:pPr>
            <w:r w:rsidRPr="00D27683">
              <w:rPr>
                <w:sz w:val="19"/>
                <w:szCs w:val="19"/>
              </w:rPr>
              <w:t>Net cost to PBS/RPBS</w:t>
            </w:r>
          </w:p>
        </w:tc>
        <w:tc>
          <w:tcPr>
            <w:tcW w:w="629" w:type="pct"/>
            <w:vAlign w:val="center"/>
          </w:tcPr>
          <w:p w14:paraId="2FEA1262" w14:textId="4158F8FD" w:rsidR="00BF50CC" w:rsidRPr="000A749A" w:rsidRDefault="00BF50CC" w:rsidP="00135EE0">
            <w:pPr>
              <w:pStyle w:val="TableText0"/>
              <w:jc w:val="center"/>
              <w:rPr>
                <w:vertAlign w:val="superscript"/>
              </w:rP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4</w:t>
            </w:r>
          </w:p>
        </w:tc>
        <w:tc>
          <w:tcPr>
            <w:tcW w:w="629" w:type="pct"/>
            <w:vAlign w:val="center"/>
          </w:tcPr>
          <w:p w14:paraId="41D00042" w14:textId="09F27846"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4</w:t>
            </w:r>
          </w:p>
        </w:tc>
        <w:tc>
          <w:tcPr>
            <w:tcW w:w="629" w:type="pct"/>
            <w:vAlign w:val="center"/>
          </w:tcPr>
          <w:p w14:paraId="63A6C8D4" w14:textId="3CA04A5E"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5</w:t>
            </w:r>
          </w:p>
        </w:tc>
        <w:tc>
          <w:tcPr>
            <w:tcW w:w="628" w:type="pct"/>
            <w:vAlign w:val="center"/>
          </w:tcPr>
          <w:p w14:paraId="10735997" w14:textId="1BAC54AB"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5</w:t>
            </w:r>
          </w:p>
        </w:tc>
        <w:tc>
          <w:tcPr>
            <w:tcW w:w="629" w:type="pct"/>
            <w:vAlign w:val="center"/>
          </w:tcPr>
          <w:p w14:paraId="3440B0E6" w14:textId="4B433CC4"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5</w:t>
            </w:r>
          </w:p>
        </w:tc>
        <w:tc>
          <w:tcPr>
            <w:tcW w:w="628" w:type="pct"/>
            <w:vAlign w:val="center"/>
          </w:tcPr>
          <w:p w14:paraId="30CF467D" w14:textId="3FCB67D2"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5</w:t>
            </w:r>
          </w:p>
        </w:tc>
        <w:tc>
          <w:tcPr>
            <w:tcW w:w="680" w:type="pct"/>
            <w:vAlign w:val="center"/>
          </w:tcPr>
          <w:p w14:paraId="1AD00892" w14:textId="27618052" w:rsidR="00BF50CC" w:rsidRPr="000A749A" w:rsidRDefault="00BF50CC" w:rsidP="00135EE0">
            <w:pPr>
              <w:pStyle w:val="TableText0"/>
              <w:jc w:val="center"/>
              <w:rPr>
                <w:vertAlign w:val="superscript"/>
              </w:rPr>
            </w:pPr>
            <w:r w:rsidRPr="00D27683">
              <w:rPr>
                <w:color w:val="000000"/>
                <w:szCs w:val="20"/>
              </w:rPr>
              <w:t>$</w:t>
            </w:r>
            <w:r w:rsidR="003C172C" w:rsidRPr="003C172C">
              <w:rPr>
                <w:color w:val="000000"/>
                <w:sz w:val="2"/>
                <w:szCs w:val="20"/>
                <w:highlight w:val="black"/>
              </w:rPr>
              <w:t>redacted content</w:t>
            </w:r>
            <w:r w:rsidR="000A749A">
              <w:rPr>
                <w:color w:val="000000"/>
                <w:szCs w:val="20"/>
                <w:vertAlign w:val="superscript"/>
              </w:rPr>
              <w:t>6</w:t>
            </w:r>
          </w:p>
        </w:tc>
      </w:tr>
      <w:tr w:rsidR="00BF50CC" w:rsidRPr="00D27683" w14:paraId="73AD35D0" w14:textId="77777777" w:rsidTr="000A749A">
        <w:tc>
          <w:tcPr>
            <w:tcW w:w="548" w:type="pct"/>
            <w:vAlign w:val="center"/>
          </w:tcPr>
          <w:p w14:paraId="37D4B85D" w14:textId="77777777" w:rsidR="00BF50CC" w:rsidRPr="00D27683" w:rsidRDefault="00BF50CC" w:rsidP="00135EE0">
            <w:pPr>
              <w:pStyle w:val="TableText0"/>
              <w:rPr>
                <w:rFonts w:ascii="Times" w:hAnsi="Times"/>
              </w:rPr>
            </w:pPr>
            <w:r w:rsidRPr="00D27683">
              <w:rPr>
                <w:sz w:val="19"/>
                <w:szCs w:val="19"/>
              </w:rPr>
              <w:t>Net cost to MBS</w:t>
            </w:r>
          </w:p>
        </w:tc>
        <w:tc>
          <w:tcPr>
            <w:tcW w:w="629" w:type="pct"/>
            <w:vAlign w:val="center"/>
          </w:tcPr>
          <w:p w14:paraId="76B18A3E" w14:textId="119DD62B" w:rsidR="00BF50CC" w:rsidRPr="00A22BCA" w:rsidRDefault="00BF50CC" w:rsidP="00135EE0">
            <w:pPr>
              <w:pStyle w:val="TableText0"/>
              <w:jc w:val="center"/>
              <w:rPr>
                <w:vertAlign w:val="superscript"/>
              </w:rP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29" w:type="pct"/>
            <w:vAlign w:val="center"/>
          </w:tcPr>
          <w:p w14:paraId="14117126" w14:textId="50902F2E"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29" w:type="pct"/>
            <w:vAlign w:val="center"/>
          </w:tcPr>
          <w:p w14:paraId="7C2E85C2" w14:textId="27BCB99E"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28" w:type="pct"/>
            <w:vAlign w:val="center"/>
          </w:tcPr>
          <w:p w14:paraId="1FCE6435" w14:textId="6D81375F"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29" w:type="pct"/>
            <w:vAlign w:val="center"/>
          </w:tcPr>
          <w:p w14:paraId="4BE6FB20" w14:textId="64EADCEB"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28" w:type="pct"/>
            <w:vAlign w:val="center"/>
          </w:tcPr>
          <w:p w14:paraId="773CEB77" w14:textId="67983C19"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c>
          <w:tcPr>
            <w:tcW w:w="680" w:type="pct"/>
            <w:vAlign w:val="center"/>
          </w:tcPr>
          <w:p w14:paraId="77222332" w14:textId="6B3AA29D" w:rsidR="00BF50CC" w:rsidRPr="00D27683" w:rsidRDefault="00BF50CC" w:rsidP="00135EE0">
            <w:pPr>
              <w:pStyle w:val="TableText0"/>
              <w:jc w:val="center"/>
            </w:pPr>
            <w:r w:rsidRPr="00D27683">
              <w:rPr>
                <w:color w:val="000000"/>
                <w:szCs w:val="20"/>
              </w:rPr>
              <w:t>$</w:t>
            </w:r>
            <w:r w:rsidR="003C172C" w:rsidRPr="003C172C">
              <w:rPr>
                <w:color w:val="000000"/>
                <w:sz w:val="2"/>
                <w:szCs w:val="20"/>
                <w:highlight w:val="black"/>
              </w:rPr>
              <w:t>redacted content</w:t>
            </w:r>
            <w:r w:rsidR="00A22BCA">
              <w:rPr>
                <w:color w:val="000000"/>
                <w:szCs w:val="20"/>
                <w:vertAlign w:val="superscript"/>
              </w:rPr>
              <w:t>7</w:t>
            </w:r>
          </w:p>
        </w:tc>
      </w:tr>
      <w:tr w:rsidR="00BF50CC" w:rsidRPr="00AB688C" w14:paraId="7B7E9125" w14:textId="77777777" w:rsidTr="000A749A">
        <w:tc>
          <w:tcPr>
            <w:tcW w:w="548" w:type="pct"/>
            <w:vAlign w:val="center"/>
          </w:tcPr>
          <w:p w14:paraId="56F6681E" w14:textId="77777777" w:rsidR="00BF50CC" w:rsidRPr="00AB688C" w:rsidRDefault="00BF50CC" w:rsidP="00135EE0">
            <w:pPr>
              <w:pStyle w:val="TableText0"/>
              <w:rPr>
                <w:sz w:val="19"/>
                <w:szCs w:val="19"/>
              </w:rPr>
            </w:pPr>
            <w:r w:rsidRPr="00AB688C">
              <w:rPr>
                <w:sz w:val="19"/>
                <w:szCs w:val="19"/>
              </w:rPr>
              <w:t>Net cost to Government</w:t>
            </w:r>
          </w:p>
        </w:tc>
        <w:tc>
          <w:tcPr>
            <w:tcW w:w="629" w:type="pct"/>
            <w:vAlign w:val="center"/>
          </w:tcPr>
          <w:p w14:paraId="460534F8" w14:textId="374289F2" w:rsidR="00BF50CC" w:rsidRPr="003F268F" w:rsidRDefault="00BF50CC" w:rsidP="00135EE0">
            <w:pPr>
              <w:pStyle w:val="TableText0"/>
              <w:jc w:val="center"/>
              <w:rPr>
                <w:vertAlign w:val="superscript"/>
              </w:rP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4</w:t>
            </w:r>
          </w:p>
        </w:tc>
        <w:tc>
          <w:tcPr>
            <w:tcW w:w="629" w:type="pct"/>
            <w:vAlign w:val="center"/>
          </w:tcPr>
          <w:p w14:paraId="50CDE16A" w14:textId="7FBA7765" w:rsidR="00BF50CC" w:rsidRPr="003F268F" w:rsidRDefault="00BF50CC" w:rsidP="00135EE0">
            <w:pPr>
              <w:pStyle w:val="TableText0"/>
              <w:jc w:val="center"/>
              <w:rPr>
                <w:vertAlign w:val="superscript"/>
              </w:rP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4</w:t>
            </w:r>
          </w:p>
        </w:tc>
        <w:tc>
          <w:tcPr>
            <w:tcW w:w="629" w:type="pct"/>
            <w:vAlign w:val="center"/>
          </w:tcPr>
          <w:p w14:paraId="054D78C0" w14:textId="5BCA61FA" w:rsidR="00BF50CC" w:rsidRPr="003F268F" w:rsidRDefault="00BF50CC" w:rsidP="00135EE0">
            <w:pPr>
              <w:pStyle w:val="TableText0"/>
              <w:jc w:val="center"/>
              <w:rPr>
                <w:vertAlign w:val="superscript"/>
              </w:rP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5</w:t>
            </w:r>
          </w:p>
        </w:tc>
        <w:tc>
          <w:tcPr>
            <w:tcW w:w="628" w:type="pct"/>
            <w:vAlign w:val="center"/>
          </w:tcPr>
          <w:p w14:paraId="081E1E0B" w14:textId="50DE6666" w:rsidR="00BF50CC" w:rsidRPr="00AB688C" w:rsidRDefault="00BF50CC" w:rsidP="00135EE0">
            <w:pPr>
              <w:pStyle w:val="TableText0"/>
              <w:jc w:val="cente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5</w:t>
            </w:r>
          </w:p>
        </w:tc>
        <w:tc>
          <w:tcPr>
            <w:tcW w:w="629" w:type="pct"/>
            <w:vAlign w:val="center"/>
          </w:tcPr>
          <w:p w14:paraId="067339A2" w14:textId="6D483CE0" w:rsidR="00BF50CC" w:rsidRPr="00AB688C" w:rsidRDefault="00BF50CC" w:rsidP="00135EE0">
            <w:pPr>
              <w:pStyle w:val="TableText0"/>
              <w:jc w:val="cente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5</w:t>
            </w:r>
          </w:p>
        </w:tc>
        <w:tc>
          <w:tcPr>
            <w:tcW w:w="628" w:type="pct"/>
            <w:vAlign w:val="center"/>
          </w:tcPr>
          <w:p w14:paraId="0D76A0B8" w14:textId="49045A9E" w:rsidR="00BF50CC" w:rsidRPr="00AB688C" w:rsidRDefault="00BF50CC" w:rsidP="00135EE0">
            <w:pPr>
              <w:pStyle w:val="TableText0"/>
              <w:jc w:val="center"/>
            </w:pPr>
            <w:r w:rsidRPr="00AB688C">
              <w:rPr>
                <w:color w:val="000000"/>
                <w:szCs w:val="20"/>
              </w:rPr>
              <w:t>$</w:t>
            </w:r>
            <w:r w:rsidR="003C172C" w:rsidRPr="003C172C">
              <w:rPr>
                <w:color w:val="000000"/>
                <w:sz w:val="2"/>
                <w:szCs w:val="20"/>
                <w:highlight w:val="black"/>
              </w:rPr>
              <w:t>redacted content</w:t>
            </w:r>
            <w:r w:rsidR="003F268F">
              <w:rPr>
                <w:color w:val="000000"/>
                <w:szCs w:val="20"/>
                <w:vertAlign w:val="superscript"/>
              </w:rPr>
              <w:t>5</w:t>
            </w:r>
          </w:p>
        </w:tc>
        <w:tc>
          <w:tcPr>
            <w:tcW w:w="680" w:type="pct"/>
            <w:vAlign w:val="center"/>
          </w:tcPr>
          <w:p w14:paraId="1B007469" w14:textId="15753CFF" w:rsidR="00BF50CC" w:rsidRPr="00AB688C" w:rsidRDefault="00BF50CC" w:rsidP="00135EE0">
            <w:pPr>
              <w:pStyle w:val="TableText0"/>
              <w:jc w:val="center"/>
            </w:pPr>
            <w:r w:rsidRPr="00AB688C">
              <w:rPr>
                <w:color w:val="000000"/>
                <w:szCs w:val="20"/>
              </w:rPr>
              <w:t>$</w:t>
            </w:r>
            <w:r w:rsidR="003C172C" w:rsidRPr="003C172C">
              <w:rPr>
                <w:color w:val="000000"/>
                <w:sz w:val="2"/>
                <w:szCs w:val="20"/>
                <w:highlight w:val="black"/>
              </w:rPr>
              <w:t>redacted content</w:t>
            </w:r>
            <w:r w:rsidR="003F268F" w:rsidRPr="003F268F">
              <w:rPr>
                <w:color w:val="000000"/>
                <w:sz w:val="18"/>
                <w:szCs w:val="18"/>
                <w:vertAlign w:val="superscript"/>
              </w:rPr>
              <w:t>6</w:t>
            </w:r>
          </w:p>
        </w:tc>
      </w:tr>
      <w:tr w:rsidR="008B23F7" w:rsidRPr="00AB688C" w14:paraId="328A08E0" w14:textId="77777777" w:rsidTr="009618C9">
        <w:tc>
          <w:tcPr>
            <w:tcW w:w="5000" w:type="pct"/>
            <w:gridSpan w:val="8"/>
            <w:vAlign w:val="center"/>
          </w:tcPr>
          <w:p w14:paraId="56A27C5E" w14:textId="3F70D3E3" w:rsidR="008B23F7" w:rsidRPr="009618C9" w:rsidRDefault="008B23F7" w:rsidP="00135EE0">
            <w:pPr>
              <w:pStyle w:val="TableText0"/>
              <w:rPr>
                <w:b/>
                <w:bCs w:val="0"/>
                <w:color w:val="000000"/>
                <w:szCs w:val="20"/>
              </w:rPr>
            </w:pPr>
            <w:r w:rsidRPr="009618C9">
              <w:rPr>
                <w:b/>
                <w:bCs w:val="0"/>
              </w:rPr>
              <w:t>Estimated extent of use – Pre-PBAC Response</w:t>
            </w:r>
          </w:p>
        </w:tc>
      </w:tr>
      <w:tr w:rsidR="00ED4D70" w:rsidRPr="00AB688C" w14:paraId="0B365A67" w14:textId="77777777" w:rsidTr="000A749A">
        <w:tc>
          <w:tcPr>
            <w:tcW w:w="548" w:type="pct"/>
            <w:vAlign w:val="center"/>
          </w:tcPr>
          <w:p w14:paraId="69323FF1" w14:textId="6D4B9B40" w:rsidR="00ED4D70" w:rsidRPr="006F601A" w:rsidRDefault="00ED4D70" w:rsidP="00135EE0">
            <w:pPr>
              <w:pStyle w:val="TableText0"/>
              <w:rPr>
                <w:sz w:val="19"/>
                <w:szCs w:val="19"/>
              </w:rPr>
            </w:pPr>
            <w:r w:rsidRPr="006F601A">
              <w:rPr>
                <w:sz w:val="19"/>
                <w:szCs w:val="19"/>
              </w:rPr>
              <w:t>Number of patients treated</w:t>
            </w:r>
          </w:p>
        </w:tc>
        <w:tc>
          <w:tcPr>
            <w:tcW w:w="629" w:type="pct"/>
            <w:vAlign w:val="center"/>
          </w:tcPr>
          <w:p w14:paraId="47CBF477" w14:textId="387B877D" w:rsidR="00ED4D70" w:rsidRPr="009618C9" w:rsidRDefault="003C172C" w:rsidP="00135EE0">
            <w:pPr>
              <w:pStyle w:val="TableText0"/>
              <w:jc w:val="center"/>
            </w:pPr>
            <w:r w:rsidRPr="003C172C">
              <w:rPr>
                <w:sz w:val="2"/>
                <w:highlight w:val="black"/>
              </w:rPr>
              <w:t>redacted content</w:t>
            </w:r>
            <w:r w:rsidR="001C685B">
              <w:rPr>
                <w:vertAlign w:val="superscript"/>
              </w:rPr>
              <w:t>8</w:t>
            </w:r>
            <w:r w:rsidR="00ED4D70" w:rsidRPr="009618C9">
              <w:t xml:space="preserve"> </w:t>
            </w:r>
          </w:p>
        </w:tc>
        <w:tc>
          <w:tcPr>
            <w:tcW w:w="629" w:type="pct"/>
            <w:vAlign w:val="center"/>
          </w:tcPr>
          <w:p w14:paraId="766E52FE" w14:textId="693EB577" w:rsidR="00ED4D70" w:rsidRPr="009618C9" w:rsidRDefault="003C172C" w:rsidP="00135EE0">
            <w:pPr>
              <w:pStyle w:val="TableText0"/>
              <w:jc w:val="center"/>
            </w:pPr>
            <w:r w:rsidRPr="003C172C">
              <w:rPr>
                <w:sz w:val="2"/>
                <w:highlight w:val="black"/>
              </w:rPr>
              <w:t>redacted content</w:t>
            </w:r>
            <w:r w:rsidR="001C685B">
              <w:rPr>
                <w:vertAlign w:val="superscript"/>
              </w:rPr>
              <w:t>8</w:t>
            </w:r>
          </w:p>
        </w:tc>
        <w:tc>
          <w:tcPr>
            <w:tcW w:w="629" w:type="pct"/>
            <w:vAlign w:val="center"/>
          </w:tcPr>
          <w:p w14:paraId="0172CB58" w14:textId="7E67D90D" w:rsidR="00ED4D70" w:rsidRPr="009618C9" w:rsidRDefault="003C172C" w:rsidP="00135EE0">
            <w:pPr>
              <w:pStyle w:val="TableText0"/>
              <w:jc w:val="center"/>
            </w:pPr>
            <w:r w:rsidRPr="003C172C">
              <w:rPr>
                <w:sz w:val="2"/>
                <w:highlight w:val="black"/>
              </w:rPr>
              <w:t>redacted content</w:t>
            </w:r>
            <w:r w:rsidR="001C685B">
              <w:rPr>
                <w:vertAlign w:val="superscript"/>
              </w:rPr>
              <w:t>8</w:t>
            </w:r>
            <w:r w:rsidR="00ED4D70" w:rsidRPr="009618C9">
              <w:t xml:space="preserve"> </w:t>
            </w:r>
          </w:p>
        </w:tc>
        <w:tc>
          <w:tcPr>
            <w:tcW w:w="628" w:type="pct"/>
            <w:vAlign w:val="center"/>
          </w:tcPr>
          <w:p w14:paraId="2BEFA631" w14:textId="7601469B" w:rsidR="00ED4D70" w:rsidRPr="009618C9" w:rsidRDefault="003C172C" w:rsidP="00135EE0">
            <w:pPr>
              <w:pStyle w:val="TableText0"/>
              <w:jc w:val="center"/>
            </w:pPr>
            <w:r w:rsidRPr="003C172C">
              <w:rPr>
                <w:sz w:val="2"/>
                <w:highlight w:val="black"/>
              </w:rPr>
              <w:t>redacted content</w:t>
            </w:r>
            <w:r w:rsidR="001C685B">
              <w:rPr>
                <w:vertAlign w:val="superscript"/>
              </w:rPr>
              <w:t>8</w:t>
            </w:r>
            <w:r w:rsidR="00ED4D70" w:rsidRPr="009618C9">
              <w:t xml:space="preserve"> </w:t>
            </w:r>
          </w:p>
        </w:tc>
        <w:tc>
          <w:tcPr>
            <w:tcW w:w="629" w:type="pct"/>
            <w:vAlign w:val="center"/>
          </w:tcPr>
          <w:p w14:paraId="23C77A9F" w14:textId="26ED19DC" w:rsidR="00ED4D70" w:rsidRPr="009618C9" w:rsidRDefault="003C172C" w:rsidP="00135EE0">
            <w:pPr>
              <w:pStyle w:val="TableText0"/>
              <w:jc w:val="center"/>
            </w:pPr>
            <w:r w:rsidRPr="003C172C">
              <w:rPr>
                <w:sz w:val="2"/>
                <w:highlight w:val="black"/>
              </w:rPr>
              <w:t>redacted content</w:t>
            </w:r>
            <w:r w:rsidR="001C685B">
              <w:rPr>
                <w:vertAlign w:val="superscript"/>
              </w:rPr>
              <w:t>8</w:t>
            </w:r>
            <w:r w:rsidR="00ED4D70" w:rsidRPr="009618C9">
              <w:t xml:space="preserve"> </w:t>
            </w:r>
          </w:p>
        </w:tc>
        <w:tc>
          <w:tcPr>
            <w:tcW w:w="628" w:type="pct"/>
            <w:vAlign w:val="center"/>
          </w:tcPr>
          <w:p w14:paraId="36B7FC6B" w14:textId="07B25833" w:rsidR="00ED4D70" w:rsidRPr="009618C9" w:rsidRDefault="003C172C" w:rsidP="00135EE0">
            <w:pPr>
              <w:pStyle w:val="TableText0"/>
              <w:jc w:val="center"/>
            </w:pPr>
            <w:r w:rsidRPr="003C172C">
              <w:rPr>
                <w:sz w:val="2"/>
                <w:highlight w:val="black"/>
              </w:rPr>
              <w:t>redacted content</w:t>
            </w:r>
            <w:r w:rsidR="001C685B">
              <w:rPr>
                <w:vertAlign w:val="superscript"/>
              </w:rPr>
              <w:t>8</w:t>
            </w:r>
            <w:r w:rsidR="00ED4D70" w:rsidRPr="009618C9">
              <w:t xml:space="preserve"> </w:t>
            </w:r>
          </w:p>
        </w:tc>
        <w:tc>
          <w:tcPr>
            <w:tcW w:w="680" w:type="pct"/>
            <w:vAlign w:val="center"/>
          </w:tcPr>
          <w:p w14:paraId="4B5B5E1D" w14:textId="0D2E651B" w:rsidR="00ED4D70" w:rsidRPr="009618C9" w:rsidRDefault="00ED4D70" w:rsidP="00135EE0">
            <w:pPr>
              <w:pStyle w:val="TableText0"/>
              <w:jc w:val="center"/>
            </w:pPr>
            <w:r w:rsidRPr="009618C9">
              <w:t>-</w:t>
            </w:r>
          </w:p>
        </w:tc>
      </w:tr>
      <w:tr w:rsidR="005A7237" w:rsidRPr="00AB688C" w14:paraId="769073BF" w14:textId="77777777" w:rsidTr="000A749A">
        <w:tc>
          <w:tcPr>
            <w:tcW w:w="548" w:type="pct"/>
            <w:vAlign w:val="center"/>
          </w:tcPr>
          <w:p w14:paraId="6B75C21B" w14:textId="088FC8B6" w:rsidR="005A7237" w:rsidRPr="009618C9" w:rsidRDefault="005A7237" w:rsidP="00135EE0">
            <w:pPr>
              <w:pStyle w:val="TableText0"/>
              <w:rPr>
                <w:sz w:val="19"/>
                <w:szCs w:val="19"/>
              </w:rPr>
            </w:pPr>
            <w:r w:rsidRPr="009618C9">
              <w:rPr>
                <w:sz w:val="19"/>
                <w:szCs w:val="19"/>
              </w:rPr>
              <w:t>Number of scripts dispensed</w:t>
            </w:r>
          </w:p>
        </w:tc>
        <w:tc>
          <w:tcPr>
            <w:tcW w:w="629" w:type="pct"/>
            <w:vAlign w:val="center"/>
          </w:tcPr>
          <w:p w14:paraId="1FA47B39" w14:textId="5646339A" w:rsidR="005A7237" w:rsidRPr="006F601A" w:rsidRDefault="003C172C" w:rsidP="00135EE0">
            <w:pPr>
              <w:pStyle w:val="TableText0"/>
              <w:jc w:val="center"/>
            </w:pPr>
            <w:r w:rsidRPr="003C172C">
              <w:rPr>
                <w:sz w:val="2"/>
                <w:highlight w:val="black"/>
              </w:rPr>
              <w:t>redacted content</w:t>
            </w:r>
            <w:r w:rsidR="00B5054F">
              <w:rPr>
                <w:vertAlign w:val="superscript"/>
              </w:rPr>
              <w:t>2</w:t>
            </w:r>
            <w:r w:rsidR="005A7237" w:rsidRPr="006F601A">
              <w:t xml:space="preserve"> </w:t>
            </w:r>
          </w:p>
        </w:tc>
        <w:tc>
          <w:tcPr>
            <w:tcW w:w="629" w:type="pct"/>
            <w:vAlign w:val="center"/>
          </w:tcPr>
          <w:p w14:paraId="04180577" w14:textId="6A4213A8" w:rsidR="005A7237" w:rsidRPr="009618C9" w:rsidRDefault="003C172C" w:rsidP="00135EE0">
            <w:pPr>
              <w:pStyle w:val="TableText0"/>
              <w:jc w:val="center"/>
            </w:pPr>
            <w:r w:rsidRPr="003C172C">
              <w:rPr>
                <w:sz w:val="2"/>
                <w:highlight w:val="black"/>
              </w:rPr>
              <w:t>redacted content</w:t>
            </w:r>
            <w:r w:rsidR="00B5054F">
              <w:rPr>
                <w:vertAlign w:val="superscript"/>
              </w:rPr>
              <w:t>2</w:t>
            </w:r>
            <w:r w:rsidR="005A7237" w:rsidRPr="009618C9">
              <w:t xml:space="preserve"> </w:t>
            </w:r>
          </w:p>
        </w:tc>
        <w:tc>
          <w:tcPr>
            <w:tcW w:w="629" w:type="pct"/>
            <w:vAlign w:val="center"/>
          </w:tcPr>
          <w:p w14:paraId="28964BD9" w14:textId="00880D27" w:rsidR="005A7237" w:rsidRPr="009618C9" w:rsidRDefault="003C172C" w:rsidP="00135EE0">
            <w:pPr>
              <w:pStyle w:val="TableText0"/>
              <w:jc w:val="center"/>
            </w:pPr>
            <w:r w:rsidRPr="003C172C">
              <w:rPr>
                <w:sz w:val="2"/>
                <w:highlight w:val="black"/>
              </w:rPr>
              <w:t>redacted content</w:t>
            </w:r>
            <w:r w:rsidR="00B5054F">
              <w:rPr>
                <w:vertAlign w:val="superscript"/>
              </w:rPr>
              <w:t>2</w:t>
            </w:r>
            <w:r w:rsidR="005A7237" w:rsidRPr="009618C9">
              <w:t xml:space="preserve"> </w:t>
            </w:r>
          </w:p>
        </w:tc>
        <w:tc>
          <w:tcPr>
            <w:tcW w:w="628" w:type="pct"/>
            <w:vAlign w:val="center"/>
          </w:tcPr>
          <w:p w14:paraId="28E87E5A" w14:textId="4059C657" w:rsidR="005A7237" w:rsidRPr="009618C9" w:rsidRDefault="003C172C" w:rsidP="00135EE0">
            <w:pPr>
              <w:pStyle w:val="TableText0"/>
              <w:jc w:val="center"/>
            </w:pPr>
            <w:r w:rsidRPr="003C172C">
              <w:rPr>
                <w:sz w:val="2"/>
                <w:highlight w:val="black"/>
              </w:rPr>
              <w:t>redacted content</w:t>
            </w:r>
            <w:r w:rsidR="00B5054F">
              <w:rPr>
                <w:vertAlign w:val="superscript"/>
              </w:rPr>
              <w:t>2</w:t>
            </w:r>
            <w:r w:rsidR="005A7237" w:rsidRPr="009618C9">
              <w:t xml:space="preserve"> </w:t>
            </w:r>
          </w:p>
        </w:tc>
        <w:tc>
          <w:tcPr>
            <w:tcW w:w="629" w:type="pct"/>
            <w:vAlign w:val="center"/>
          </w:tcPr>
          <w:p w14:paraId="7A441736" w14:textId="5229DC5D" w:rsidR="005A7237" w:rsidRPr="009618C9" w:rsidRDefault="003C172C" w:rsidP="00135EE0">
            <w:pPr>
              <w:pStyle w:val="TableText0"/>
              <w:jc w:val="center"/>
            </w:pPr>
            <w:r w:rsidRPr="003C172C">
              <w:rPr>
                <w:sz w:val="2"/>
                <w:highlight w:val="black"/>
              </w:rPr>
              <w:t>redacted content</w:t>
            </w:r>
            <w:r w:rsidR="00B5054F">
              <w:rPr>
                <w:vertAlign w:val="superscript"/>
              </w:rPr>
              <w:t>2</w:t>
            </w:r>
            <w:r w:rsidR="005A7237" w:rsidRPr="009618C9">
              <w:t xml:space="preserve"> </w:t>
            </w:r>
          </w:p>
        </w:tc>
        <w:tc>
          <w:tcPr>
            <w:tcW w:w="628" w:type="pct"/>
            <w:vAlign w:val="center"/>
          </w:tcPr>
          <w:p w14:paraId="213B6EA0" w14:textId="7B3655D9" w:rsidR="005A7237" w:rsidRPr="009618C9" w:rsidRDefault="003C172C" w:rsidP="00135EE0">
            <w:pPr>
              <w:pStyle w:val="TableText0"/>
              <w:jc w:val="center"/>
            </w:pPr>
            <w:r w:rsidRPr="003C172C">
              <w:rPr>
                <w:sz w:val="2"/>
                <w:highlight w:val="black"/>
              </w:rPr>
              <w:t>redacted content</w:t>
            </w:r>
            <w:r w:rsidR="00B5054F">
              <w:rPr>
                <w:vertAlign w:val="superscript"/>
              </w:rPr>
              <w:t>2</w:t>
            </w:r>
            <w:r w:rsidR="005A7237" w:rsidRPr="009618C9">
              <w:t xml:space="preserve"> </w:t>
            </w:r>
          </w:p>
        </w:tc>
        <w:tc>
          <w:tcPr>
            <w:tcW w:w="680" w:type="pct"/>
            <w:vAlign w:val="center"/>
          </w:tcPr>
          <w:p w14:paraId="000FBB48" w14:textId="6358CEEE" w:rsidR="005A7237" w:rsidRPr="009618C9" w:rsidRDefault="005A7237" w:rsidP="00135EE0">
            <w:pPr>
              <w:pStyle w:val="TableText0"/>
              <w:jc w:val="center"/>
            </w:pPr>
            <w:r w:rsidRPr="009618C9">
              <w:t>-</w:t>
            </w:r>
          </w:p>
        </w:tc>
      </w:tr>
      <w:tr w:rsidR="00757224" w:rsidRPr="001870CD" w14:paraId="44FAACF2" w14:textId="77777777" w:rsidTr="009618C9">
        <w:tc>
          <w:tcPr>
            <w:tcW w:w="5000" w:type="pct"/>
            <w:gridSpan w:val="8"/>
            <w:vAlign w:val="center"/>
          </w:tcPr>
          <w:p w14:paraId="1B090B14" w14:textId="43239884" w:rsidR="00757224" w:rsidRPr="001870CD" w:rsidRDefault="00757224" w:rsidP="00135EE0">
            <w:pPr>
              <w:pStyle w:val="In-tableHeading"/>
              <w:rPr>
                <w:lang w:val="fr-CH"/>
              </w:rPr>
            </w:pPr>
            <w:r w:rsidRPr="001870CD">
              <w:rPr>
                <w:lang w:val="fr-CH"/>
              </w:rPr>
              <w:t xml:space="preserve">Net </w:t>
            </w:r>
            <w:proofErr w:type="spellStart"/>
            <w:r w:rsidRPr="001870CD">
              <w:rPr>
                <w:lang w:val="fr-CH"/>
              </w:rPr>
              <w:t>financial</w:t>
            </w:r>
            <w:proofErr w:type="spellEnd"/>
            <w:r w:rsidRPr="001870CD">
              <w:rPr>
                <w:lang w:val="fr-CH"/>
              </w:rPr>
              <w:t xml:space="preserve"> implications – Pre-PBAC </w:t>
            </w:r>
            <w:proofErr w:type="spellStart"/>
            <w:r w:rsidR="00737FA7">
              <w:rPr>
                <w:lang w:val="fr-CH"/>
              </w:rPr>
              <w:t>Response</w:t>
            </w:r>
            <w:proofErr w:type="spellEnd"/>
            <w:r w:rsidR="00F57485" w:rsidRPr="00F52116">
              <w:rPr>
                <w:lang w:val="fr-CH"/>
              </w:rPr>
              <w:t xml:space="preserve"> (DPMQ public $</w:t>
            </w:r>
            <w:proofErr w:type="spellStart"/>
            <w:r w:rsidR="003C172C" w:rsidRPr="003C172C">
              <w:rPr>
                <w:sz w:val="2"/>
                <w:highlight w:val="black"/>
                <w:lang w:val="fr-CH"/>
              </w:rPr>
              <w:t>redacted</w:t>
            </w:r>
            <w:proofErr w:type="spellEnd"/>
            <w:r w:rsidR="003C172C" w:rsidRPr="003C172C">
              <w:rPr>
                <w:sz w:val="2"/>
                <w:highlight w:val="black"/>
                <w:lang w:val="fr-CH"/>
              </w:rPr>
              <w:t xml:space="preserve"> content</w:t>
            </w:r>
            <w:r w:rsidR="00F57485" w:rsidRPr="00F52116">
              <w:rPr>
                <w:lang w:val="fr-CH"/>
              </w:rPr>
              <w:t xml:space="preserve">, DPMQ </w:t>
            </w:r>
            <w:proofErr w:type="spellStart"/>
            <w:r w:rsidR="00F57485" w:rsidRPr="00F52116">
              <w:rPr>
                <w:lang w:val="fr-CH"/>
              </w:rPr>
              <w:t>private</w:t>
            </w:r>
            <w:proofErr w:type="spellEnd"/>
            <w:r w:rsidR="00F57485" w:rsidRPr="00F52116">
              <w:rPr>
                <w:lang w:val="fr-CH"/>
              </w:rPr>
              <w:t xml:space="preserve"> </w:t>
            </w:r>
            <w:r w:rsidR="00865D75" w:rsidRPr="00F52116">
              <w:rPr>
                <w:lang w:val="fr-CH"/>
              </w:rPr>
              <w:t>$</w:t>
            </w:r>
            <w:proofErr w:type="spellStart"/>
            <w:r w:rsidR="003C172C" w:rsidRPr="003C172C">
              <w:rPr>
                <w:sz w:val="2"/>
                <w:highlight w:val="black"/>
                <w:lang w:val="fr-CH"/>
              </w:rPr>
              <w:t>redacted</w:t>
            </w:r>
            <w:proofErr w:type="spellEnd"/>
            <w:r w:rsidR="003C172C" w:rsidRPr="003C172C">
              <w:rPr>
                <w:sz w:val="2"/>
                <w:highlight w:val="black"/>
                <w:lang w:val="fr-CH"/>
              </w:rPr>
              <w:t xml:space="preserve"> content</w:t>
            </w:r>
            <w:r w:rsidR="00865D75" w:rsidRPr="00F52116">
              <w:rPr>
                <w:lang w:val="fr-CH"/>
              </w:rPr>
              <w:t>)</w:t>
            </w:r>
          </w:p>
        </w:tc>
      </w:tr>
      <w:tr w:rsidR="00610F11" w:rsidRPr="00AB688C" w14:paraId="7EC6D005" w14:textId="77777777" w:rsidTr="000A749A">
        <w:tc>
          <w:tcPr>
            <w:tcW w:w="548" w:type="pct"/>
            <w:vAlign w:val="center"/>
          </w:tcPr>
          <w:p w14:paraId="5FC99FF8" w14:textId="77777777" w:rsidR="00610F11" w:rsidRPr="009618C9" w:rsidRDefault="00610F11" w:rsidP="00135EE0">
            <w:pPr>
              <w:pStyle w:val="TableText0"/>
              <w:rPr>
                <w:sz w:val="19"/>
                <w:szCs w:val="19"/>
              </w:rPr>
            </w:pPr>
            <w:r w:rsidRPr="009618C9">
              <w:rPr>
                <w:sz w:val="19"/>
                <w:szCs w:val="19"/>
              </w:rPr>
              <w:t>Net cost to PBS/RPBS</w:t>
            </w:r>
          </w:p>
        </w:tc>
        <w:tc>
          <w:tcPr>
            <w:tcW w:w="629" w:type="pct"/>
            <w:vAlign w:val="center"/>
          </w:tcPr>
          <w:p w14:paraId="550AE80D" w14:textId="3338BC61"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1E751756" w14:textId="5ECAF4F3"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0D0D0534" w14:textId="1F948A25"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8" w:type="pct"/>
            <w:vAlign w:val="center"/>
          </w:tcPr>
          <w:p w14:paraId="478D4FE4" w14:textId="13F6ACFB"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133EB9EB" w14:textId="15DBB431"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8" w:type="pct"/>
            <w:vAlign w:val="center"/>
          </w:tcPr>
          <w:p w14:paraId="686F28E9" w14:textId="1881D922"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80" w:type="pct"/>
            <w:vAlign w:val="center"/>
          </w:tcPr>
          <w:p w14:paraId="0B8169DC" w14:textId="1ACA8A34" w:rsidR="00610F11" w:rsidRPr="00B5054F" w:rsidRDefault="00610F11" w:rsidP="00135EE0">
            <w:pPr>
              <w:pStyle w:val="TableText0"/>
              <w:jc w:val="center"/>
              <w:rPr>
                <w:color w:val="000000"/>
                <w:szCs w:val="20"/>
                <w:vertAlign w:val="superscript"/>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9</w:t>
            </w:r>
          </w:p>
        </w:tc>
      </w:tr>
      <w:tr w:rsidR="00610F11" w:rsidRPr="00AB688C" w14:paraId="2F95551A" w14:textId="77777777" w:rsidTr="000A749A">
        <w:tc>
          <w:tcPr>
            <w:tcW w:w="548" w:type="pct"/>
            <w:vAlign w:val="center"/>
          </w:tcPr>
          <w:p w14:paraId="2C274B60" w14:textId="77777777" w:rsidR="00610F11" w:rsidRPr="009618C9" w:rsidRDefault="00610F11" w:rsidP="00135EE0">
            <w:pPr>
              <w:pStyle w:val="TableText0"/>
              <w:rPr>
                <w:rFonts w:ascii="Times" w:hAnsi="Times"/>
              </w:rPr>
            </w:pPr>
            <w:r w:rsidRPr="009618C9">
              <w:rPr>
                <w:sz w:val="19"/>
                <w:szCs w:val="19"/>
              </w:rPr>
              <w:t>Net cost to MBS</w:t>
            </w:r>
          </w:p>
        </w:tc>
        <w:tc>
          <w:tcPr>
            <w:tcW w:w="629" w:type="pct"/>
            <w:vAlign w:val="center"/>
          </w:tcPr>
          <w:p w14:paraId="7A836994" w14:textId="035CC57F" w:rsidR="00610F11" w:rsidRPr="00B5054F" w:rsidRDefault="00610F11" w:rsidP="00135EE0">
            <w:pPr>
              <w:pStyle w:val="TableText0"/>
              <w:jc w:val="center"/>
              <w:rPr>
                <w:color w:val="000000"/>
                <w:szCs w:val="20"/>
                <w:vertAlign w:val="superscript"/>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29" w:type="pct"/>
            <w:vAlign w:val="center"/>
          </w:tcPr>
          <w:p w14:paraId="1E764C74" w14:textId="48057116"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29" w:type="pct"/>
            <w:vAlign w:val="center"/>
          </w:tcPr>
          <w:p w14:paraId="3B5FB104" w14:textId="351E2858"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28" w:type="pct"/>
            <w:vAlign w:val="center"/>
          </w:tcPr>
          <w:p w14:paraId="6116CD1A" w14:textId="21887FBC"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29" w:type="pct"/>
            <w:vAlign w:val="center"/>
          </w:tcPr>
          <w:p w14:paraId="42C758CE" w14:textId="6836D321"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28" w:type="pct"/>
            <w:vAlign w:val="center"/>
          </w:tcPr>
          <w:p w14:paraId="74A6A210" w14:textId="529752A6"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c>
          <w:tcPr>
            <w:tcW w:w="680" w:type="pct"/>
            <w:vAlign w:val="center"/>
          </w:tcPr>
          <w:p w14:paraId="37A427BD" w14:textId="4E46A1ED"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color w:val="000000"/>
                <w:szCs w:val="20"/>
                <w:vertAlign w:val="superscript"/>
              </w:rPr>
              <w:t>7</w:t>
            </w:r>
          </w:p>
        </w:tc>
      </w:tr>
      <w:tr w:rsidR="00610F11" w:rsidRPr="00AB688C" w14:paraId="070F97AB" w14:textId="77777777" w:rsidTr="000A749A">
        <w:tc>
          <w:tcPr>
            <w:tcW w:w="548" w:type="pct"/>
            <w:vAlign w:val="center"/>
          </w:tcPr>
          <w:p w14:paraId="0EEE9F50" w14:textId="77777777" w:rsidR="00610F11" w:rsidRPr="009618C9" w:rsidRDefault="00610F11" w:rsidP="00135EE0">
            <w:pPr>
              <w:pStyle w:val="TableText0"/>
              <w:rPr>
                <w:sz w:val="19"/>
                <w:szCs w:val="19"/>
              </w:rPr>
            </w:pPr>
            <w:r w:rsidRPr="009618C9">
              <w:rPr>
                <w:sz w:val="19"/>
                <w:szCs w:val="19"/>
              </w:rPr>
              <w:t>Net cost to Government</w:t>
            </w:r>
          </w:p>
        </w:tc>
        <w:tc>
          <w:tcPr>
            <w:tcW w:w="629" w:type="pct"/>
            <w:vAlign w:val="center"/>
          </w:tcPr>
          <w:p w14:paraId="736283DF" w14:textId="629CFDF6"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2569EA9D" w14:textId="779B7D6B"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6B5A5263" w14:textId="3A5E9F83"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8" w:type="pct"/>
            <w:vAlign w:val="center"/>
          </w:tcPr>
          <w:p w14:paraId="03179981" w14:textId="19F666D5"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9" w:type="pct"/>
            <w:vAlign w:val="center"/>
          </w:tcPr>
          <w:p w14:paraId="3B688EF4" w14:textId="01A367D4"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28" w:type="pct"/>
            <w:vAlign w:val="center"/>
          </w:tcPr>
          <w:p w14:paraId="3540FD1C" w14:textId="56D06894"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4</w:t>
            </w:r>
          </w:p>
        </w:tc>
        <w:tc>
          <w:tcPr>
            <w:tcW w:w="680" w:type="pct"/>
            <w:vAlign w:val="center"/>
          </w:tcPr>
          <w:p w14:paraId="193AFD2E" w14:textId="4A28A9C5" w:rsidR="00610F11" w:rsidRPr="009618C9" w:rsidRDefault="00610F11" w:rsidP="00135EE0">
            <w:pPr>
              <w:pStyle w:val="TableText0"/>
              <w:jc w:val="center"/>
              <w:rPr>
                <w:color w:val="000000"/>
                <w:szCs w:val="20"/>
              </w:rPr>
            </w:pPr>
            <w:r w:rsidRPr="009618C9">
              <w:rPr>
                <w:color w:val="000000"/>
                <w:szCs w:val="20"/>
              </w:rPr>
              <w:t>$</w:t>
            </w:r>
            <w:r w:rsidR="003C172C" w:rsidRPr="003C172C">
              <w:rPr>
                <w:color w:val="000000"/>
                <w:sz w:val="2"/>
                <w:szCs w:val="20"/>
                <w:highlight w:val="black"/>
              </w:rPr>
              <w:t>redacted content</w:t>
            </w:r>
            <w:r w:rsidR="00B5054F">
              <w:rPr>
                <w:vertAlign w:val="superscript"/>
              </w:rPr>
              <w:t>9</w:t>
            </w:r>
          </w:p>
        </w:tc>
      </w:tr>
    </w:tbl>
    <w:p w14:paraId="419330B4" w14:textId="6D2EC133" w:rsidR="00BF50CC" w:rsidRPr="00D27683" w:rsidRDefault="00BF50CC" w:rsidP="00135EE0">
      <w:pPr>
        <w:pStyle w:val="FooterTableFigure"/>
      </w:pPr>
      <w:r w:rsidRPr="00D27683">
        <w:t>Source: Compiled from Section 4 of the submission.</w:t>
      </w:r>
      <w:r w:rsidR="00757224">
        <w:t xml:space="preserve"> Pre-PBAC Response.</w:t>
      </w:r>
    </w:p>
    <w:p w14:paraId="46C03166" w14:textId="77777777" w:rsidR="00BF50CC" w:rsidRDefault="00BF50CC" w:rsidP="00135EE0">
      <w:pPr>
        <w:pStyle w:val="FooterTableFigure"/>
      </w:pPr>
      <w:r w:rsidRPr="00D27683">
        <w:t>MBS = Medicare Benefits Schedule; PBS = Pharmaceutical Benefits Scheme, RPBS = Repatriation Pharmaceutical Benefits Scheme.</w:t>
      </w:r>
    </w:p>
    <w:p w14:paraId="77F68D47" w14:textId="530F814F" w:rsidR="00A67F73" w:rsidRDefault="0031629B" w:rsidP="00135EE0">
      <w:pPr>
        <w:pStyle w:val="FooterTableFigure"/>
        <w:rPr>
          <w:i/>
          <w:iCs/>
        </w:rPr>
      </w:pPr>
      <w:r>
        <w:rPr>
          <w:i/>
          <w:iCs/>
        </w:rPr>
        <w:t>The redacted values correspond to the following ranges:</w:t>
      </w:r>
    </w:p>
    <w:p w14:paraId="6404936C" w14:textId="35D96F0A" w:rsidR="0031629B" w:rsidRDefault="0031629B" w:rsidP="00135EE0">
      <w:pPr>
        <w:pStyle w:val="FooterTableFigure"/>
        <w:rPr>
          <w:i/>
          <w:iCs/>
        </w:rPr>
      </w:pPr>
      <w:r>
        <w:rPr>
          <w:i/>
          <w:iCs/>
          <w:vertAlign w:val="superscript"/>
        </w:rPr>
        <w:t>1</w:t>
      </w:r>
      <w:r>
        <w:rPr>
          <w:i/>
          <w:iCs/>
        </w:rPr>
        <w:t xml:space="preserve"> 10,000 to &lt; 20,000</w:t>
      </w:r>
    </w:p>
    <w:p w14:paraId="67C9A812" w14:textId="6E394883" w:rsidR="0031629B" w:rsidRDefault="0031629B" w:rsidP="00135EE0">
      <w:pPr>
        <w:pStyle w:val="FooterTableFigure"/>
        <w:rPr>
          <w:i/>
          <w:iCs/>
        </w:rPr>
      </w:pPr>
      <w:r>
        <w:rPr>
          <w:i/>
          <w:iCs/>
          <w:vertAlign w:val="superscript"/>
        </w:rPr>
        <w:t>2</w:t>
      </w:r>
      <w:r>
        <w:rPr>
          <w:i/>
          <w:iCs/>
        </w:rPr>
        <w:t xml:space="preserve"> 100,000 to &lt; 200,000</w:t>
      </w:r>
    </w:p>
    <w:p w14:paraId="29A1E46C" w14:textId="1E18DB14" w:rsidR="003C254A" w:rsidRDefault="003C254A" w:rsidP="00135EE0">
      <w:pPr>
        <w:pStyle w:val="FooterTableFigure"/>
        <w:rPr>
          <w:rStyle w:val="CommentReference"/>
          <w:b w:val="0"/>
          <w:i/>
          <w:iCs/>
          <w:sz w:val="18"/>
          <w:szCs w:val="22"/>
        </w:rPr>
      </w:pPr>
      <w:r>
        <w:rPr>
          <w:rStyle w:val="CommentReference"/>
          <w:b w:val="0"/>
          <w:i/>
          <w:iCs/>
          <w:sz w:val="18"/>
          <w:szCs w:val="22"/>
          <w:vertAlign w:val="superscript"/>
        </w:rPr>
        <w:t>3</w:t>
      </w:r>
      <w:r>
        <w:rPr>
          <w:rStyle w:val="CommentReference"/>
          <w:b w:val="0"/>
          <w:i/>
          <w:iCs/>
          <w:sz w:val="18"/>
          <w:szCs w:val="22"/>
        </w:rPr>
        <w:t xml:space="preserve"> 200,000 to &lt; 300,000</w:t>
      </w:r>
    </w:p>
    <w:p w14:paraId="447CBF8F" w14:textId="67A306E6" w:rsidR="003C254A" w:rsidRDefault="003C254A" w:rsidP="00135EE0">
      <w:pPr>
        <w:pStyle w:val="FooterTableFigure"/>
        <w:rPr>
          <w:rStyle w:val="CommentReference"/>
          <w:b w:val="0"/>
          <w:i/>
          <w:iCs/>
          <w:sz w:val="18"/>
          <w:szCs w:val="22"/>
        </w:rPr>
      </w:pPr>
      <w:r>
        <w:rPr>
          <w:rStyle w:val="CommentReference"/>
          <w:b w:val="0"/>
          <w:i/>
          <w:iCs/>
          <w:sz w:val="18"/>
          <w:szCs w:val="22"/>
          <w:vertAlign w:val="superscript"/>
        </w:rPr>
        <w:t>4</w:t>
      </w:r>
      <w:r>
        <w:rPr>
          <w:rStyle w:val="CommentReference"/>
          <w:b w:val="0"/>
          <w:i/>
          <w:iCs/>
          <w:sz w:val="18"/>
          <w:szCs w:val="22"/>
        </w:rPr>
        <w:t xml:space="preserve"> </w:t>
      </w:r>
      <w:r w:rsidR="00C61069">
        <w:rPr>
          <w:rStyle w:val="CommentReference"/>
          <w:b w:val="0"/>
          <w:i/>
          <w:iCs/>
          <w:sz w:val="18"/>
          <w:szCs w:val="22"/>
        </w:rPr>
        <w:t>$100 million to &lt; $200 million</w:t>
      </w:r>
    </w:p>
    <w:p w14:paraId="0A710F0F" w14:textId="1D5F39C1" w:rsidR="00C61069" w:rsidRDefault="00C61069" w:rsidP="00135EE0">
      <w:pPr>
        <w:pStyle w:val="FooterTableFigure"/>
        <w:rPr>
          <w:rStyle w:val="CommentReference"/>
          <w:b w:val="0"/>
          <w:i/>
          <w:iCs/>
          <w:sz w:val="18"/>
          <w:szCs w:val="22"/>
        </w:rPr>
      </w:pPr>
      <w:r>
        <w:rPr>
          <w:rStyle w:val="CommentReference"/>
          <w:b w:val="0"/>
          <w:i/>
          <w:iCs/>
          <w:sz w:val="18"/>
          <w:szCs w:val="22"/>
          <w:vertAlign w:val="superscript"/>
        </w:rPr>
        <w:t>5</w:t>
      </w:r>
      <w:r>
        <w:rPr>
          <w:rStyle w:val="CommentReference"/>
          <w:b w:val="0"/>
          <w:i/>
          <w:iCs/>
          <w:sz w:val="18"/>
          <w:szCs w:val="22"/>
        </w:rPr>
        <w:t xml:space="preserve"> $200 million to &lt; $300 million</w:t>
      </w:r>
    </w:p>
    <w:p w14:paraId="507AAD5B" w14:textId="210FBDC5" w:rsidR="00C61069" w:rsidRDefault="00C61069" w:rsidP="00135EE0">
      <w:pPr>
        <w:pStyle w:val="FooterTableFigure"/>
        <w:rPr>
          <w:rStyle w:val="CommentReference"/>
          <w:b w:val="0"/>
          <w:i/>
          <w:iCs/>
          <w:sz w:val="18"/>
          <w:szCs w:val="22"/>
        </w:rPr>
      </w:pPr>
      <w:r>
        <w:rPr>
          <w:rStyle w:val="CommentReference"/>
          <w:b w:val="0"/>
          <w:i/>
          <w:iCs/>
          <w:sz w:val="18"/>
          <w:szCs w:val="22"/>
          <w:vertAlign w:val="superscript"/>
        </w:rPr>
        <w:t>6</w:t>
      </w:r>
      <w:r>
        <w:rPr>
          <w:rStyle w:val="CommentReference"/>
          <w:b w:val="0"/>
          <w:i/>
          <w:iCs/>
          <w:sz w:val="18"/>
          <w:szCs w:val="22"/>
        </w:rPr>
        <w:t xml:space="preserve"> &gt; $1 billion </w:t>
      </w:r>
    </w:p>
    <w:p w14:paraId="129EE10F" w14:textId="3D2C4018" w:rsidR="00A22BCA" w:rsidRDefault="00A22BCA" w:rsidP="00135EE0">
      <w:pPr>
        <w:pStyle w:val="FooterTableFigure"/>
        <w:rPr>
          <w:rStyle w:val="CommentReference"/>
          <w:b w:val="0"/>
          <w:i/>
          <w:iCs/>
          <w:sz w:val="18"/>
          <w:szCs w:val="22"/>
        </w:rPr>
      </w:pPr>
      <w:r>
        <w:rPr>
          <w:rStyle w:val="CommentReference"/>
          <w:b w:val="0"/>
          <w:i/>
          <w:iCs/>
          <w:sz w:val="18"/>
          <w:szCs w:val="22"/>
          <w:vertAlign w:val="superscript"/>
        </w:rPr>
        <w:t>7</w:t>
      </w:r>
      <w:r>
        <w:rPr>
          <w:rStyle w:val="CommentReference"/>
          <w:b w:val="0"/>
          <w:i/>
          <w:iCs/>
          <w:sz w:val="18"/>
          <w:szCs w:val="22"/>
        </w:rPr>
        <w:t xml:space="preserve"> $0 to &lt; $10 million</w:t>
      </w:r>
    </w:p>
    <w:p w14:paraId="6C46C217" w14:textId="0C1FA175" w:rsidR="00A22BCA" w:rsidRDefault="00A22BCA" w:rsidP="00135EE0">
      <w:pPr>
        <w:pStyle w:val="FooterTableFigure"/>
        <w:rPr>
          <w:rStyle w:val="CommentReference"/>
          <w:b w:val="0"/>
          <w:i/>
          <w:iCs/>
          <w:sz w:val="18"/>
          <w:szCs w:val="22"/>
        </w:rPr>
      </w:pPr>
      <w:r>
        <w:rPr>
          <w:rStyle w:val="CommentReference"/>
          <w:b w:val="0"/>
          <w:i/>
          <w:iCs/>
          <w:sz w:val="18"/>
          <w:szCs w:val="22"/>
          <w:vertAlign w:val="superscript"/>
        </w:rPr>
        <w:t>8</w:t>
      </w:r>
      <w:r>
        <w:rPr>
          <w:rStyle w:val="CommentReference"/>
          <w:b w:val="0"/>
          <w:i/>
          <w:iCs/>
          <w:sz w:val="18"/>
          <w:szCs w:val="22"/>
        </w:rPr>
        <w:t xml:space="preserve"> </w:t>
      </w:r>
      <w:r w:rsidR="001C685B">
        <w:rPr>
          <w:rStyle w:val="CommentReference"/>
          <w:b w:val="0"/>
          <w:i/>
          <w:iCs/>
          <w:sz w:val="18"/>
          <w:szCs w:val="22"/>
        </w:rPr>
        <w:t>10,000 to &lt; 20,000</w:t>
      </w:r>
    </w:p>
    <w:p w14:paraId="7E32BC4F" w14:textId="3D6AD6D5" w:rsidR="001C685B" w:rsidRPr="00B5054F" w:rsidRDefault="001C685B" w:rsidP="00135EE0">
      <w:pPr>
        <w:pStyle w:val="FooterTableFigure"/>
        <w:rPr>
          <w:rStyle w:val="CommentReference"/>
          <w:b w:val="0"/>
          <w:i/>
          <w:iCs/>
          <w:sz w:val="18"/>
          <w:szCs w:val="22"/>
        </w:rPr>
      </w:pPr>
      <w:r>
        <w:rPr>
          <w:rStyle w:val="CommentReference"/>
          <w:b w:val="0"/>
          <w:i/>
          <w:iCs/>
          <w:sz w:val="18"/>
          <w:szCs w:val="22"/>
          <w:vertAlign w:val="superscript"/>
        </w:rPr>
        <w:t xml:space="preserve">9 </w:t>
      </w:r>
      <w:r w:rsidR="00B5054F">
        <w:rPr>
          <w:rStyle w:val="CommentReference"/>
          <w:b w:val="0"/>
          <w:i/>
          <w:iCs/>
          <w:sz w:val="18"/>
          <w:szCs w:val="22"/>
        </w:rPr>
        <w:t>$900 million to &lt; $1 billion</w:t>
      </w:r>
    </w:p>
    <w:p w14:paraId="5633DEE2" w14:textId="6A9B9A49" w:rsidR="00BF50CC" w:rsidRPr="00D27683" w:rsidRDefault="00BF50CC" w:rsidP="00135EE0">
      <w:pPr>
        <w:pStyle w:val="3-BodyText"/>
      </w:pPr>
      <w:r w:rsidRPr="00D27683">
        <w:t xml:space="preserve">The total cost to the PBS/RPBS of listing mepolizumab was estimated </w:t>
      </w:r>
      <w:r w:rsidR="00342B34">
        <w:t xml:space="preserve">in the submission base case </w:t>
      </w:r>
      <w:r w:rsidRPr="00D27683">
        <w:t>to be $</w:t>
      </w:r>
      <w:r w:rsidR="00B5054F">
        <w:t>200 million to &lt; $300 million</w:t>
      </w:r>
      <w:r w:rsidRPr="00D27683">
        <w:t xml:space="preserve"> in Year 6, and a total of </w:t>
      </w:r>
      <w:r w:rsidR="00B5054F">
        <w:rPr>
          <w:color w:val="000000"/>
          <w:szCs w:val="20"/>
        </w:rPr>
        <w:t xml:space="preserve">&gt; $1 billion </w:t>
      </w:r>
      <w:r w:rsidR="00240F75" w:rsidRPr="00D27683">
        <w:rPr>
          <w:color w:val="000000"/>
          <w:szCs w:val="20"/>
        </w:rPr>
        <w:t>million</w:t>
      </w:r>
      <w:r w:rsidRPr="00D27683">
        <w:rPr>
          <w:color w:val="000000"/>
          <w:szCs w:val="20"/>
        </w:rPr>
        <w:t xml:space="preserve"> </w:t>
      </w:r>
      <w:r w:rsidRPr="00D27683">
        <w:t>in the first 6 years of listing.</w:t>
      </w:r>
    </w:p>
    <w:p w14:paraId="1EFA7339" w14:textId="7D802B69" w:rsidR="00BF50CC" w:rsidRPr="00D27683" w:rsidRDefault="00BF50CC" w:rsidP="00135EE0">
      <w:pPr>
        <w:pStyle w:val="3-BodyText"/>
        <w:rPr>
          <w:color w:val="0066FF"/>
        </w:rPr>
      </w:pPr>
      <w:bookmarkStart w:id="168" w:name="_Hlk217405068"/>
      <w:bookmarkStart w:id="169" w:name="_Ref225068064"/>
      <w:r w:rsidRPr="00D27683">
        <w:t xml:space="preserve">The submission identified Benson et al. (2019) as the only suitable study with sufficient granularity of exacerbations and BEC data to estimate the eligible patient population distribution. </w:t>
      </w:r>
      <w:bookmarkEnd w:id="168"/>
      <w:r w:rsidRPr="00D27683">
        <w:t xml:space="preserve">Benson et al. (2019) reported findings from a survey conducted among primary care physicians or respiratory specialists in France, Germany, Italy, Spain and the UK in 2017. Although Benson et al. (2019) applied an adjustment for confounding, the possibility of bias cannot be ruled out, as 5 patients per physician were recruited </w:t>
      </w:r>
      <w:r w:rsidRPr="00D27683">
        <w:lastRenderedPageBreak/>
        <w:t xml:space="preserve">consecutively over a short period. </w:t>
      </w:r>
      <w:r w:rsidR="00DD4AFE">
        <w:t>Based on this study the submission assumed the following</w:t>
      </w:r>
      <w:r w:rsidRPr="00D27683">
        <w:t>:</w:t>
      </w:r>
      <w:bookmarkEnd w:id="169"/>
    </w:p>
    <w:p w14:paraId="0923137F" w14:textId="48259993" w:rsidR="00BF50CC" w:rsidRPr="00D27683" w:rsidRDefault="00BF50CC" w:rsidP="00135EE0">
      <w:pPr>
        <w:pStyle w:val="ListParagraph"/>
        <w:ind w:left="1134"/>
      </w:pPr>
      <w:r w:rsidRPr="00D27683">
        <w:t>Among patients receiving treatment with triple therapy, 60.54% (13.5% / 22.3%) experienced ≥ 2 moderate or ≥ 1 severe exacerbation(s) in the past 12 months.</w:t>
      </w:r>
    </w:p>
    <w:p w14:paraId="21AFB50C" w14:textId="6C0E1E60" w:rsidR="00BF50CC" w:rsidRPr="00D27683" w:rsidRDefault="00BF50CC" w:rsidP="00135EE0">
      <w:pPr>
        <w:pStyle w:val="ListParagraph"/>
        <w:ind w:left="1134"/>
      </w:pPr>
      <w:r w:rsidRPr="00D27683">
        <w:t xml:space="preserve">A treatment course of ≥ 3 months was taken as indicating treatment optimisation. </w:t>
      </w:r>
    </w:p>
    <w:p w14:paraId="6CC152E4" w14:textId="196326F2" w:rsidR="00BF50CC" w:rsidRPr="00D27683" w:rsidRDefault="00BF50CC" w:rsidP="00135EE0">
      <w:pPr>
        <w:pStyle w:val="ListParagraph"/>
        <w:ind w:left="1134"/>
      </w:pPr>
      <w:r w:rsidRPr="00D27683">
        <w:t xml:space="preserve">Among patients on triple therapy and experiencing ≥ 2 moderate or ≥ 1 severe exacerbation(s), 74.81% (10.1%/13.5%) had been treated with triple therapy for ≥ 3 months (in the figure of 10.1% was from sensitivity analysis 2 of Benson et al. (2019)). </w:t>
      </w:r>
      <w:r w:rsidR="00875D49">
        <w:t>The evaluation considered that this</w:t>
      </w:r>
      <w:r w:rsidR="00875D49" w:rsidRPr="00D27683">
        <w:t xml:space="preserve"> </w:t>
      </w:r>
      <w:r w:rsidRPr="00D27683">
        <w:t xml:space="preserve">estimate was misleading; the 13.5% included patients with BEC &lt;150 cells/µL, whereas the 10.1% was estimated for patients with BEC ≥ 150 cells/µL, such that the 74.81% reflects the proportion continuing treatment between BEC categories. </w:t>
      </w:r>
    </w:p>
    <w:p w14:paraId="3E5F5260" w14:textId="3B5E25CA" w:rsidR="009E0735" w:rsidRPr="006B4BB9" w:rsidRDefault="00BF50CC" w:rsidP="00135EE0">
      <w:pPr>
        <w:pStyle w:val="ListParagraph"/>
        <w:ind w:left="1134"/>
      </w:pPr>
      <w:r w:rsidRPr="00D27683">
        <w:t xml:space="preserve">Among patients in triple therapy with ≥ 2 moderate or ≥ 1 severe exacerbation(s) in the preceding 12 months, 45.9% (6.2%/13.5%) had a BEC of ≥ 300 cells/µL. </w:t>
      </w:r>
      <w:r w:rsidR="0075581C" w:rsidRPr="00946F50">
        <w:rPr>
          <w:iCs/>
        </w:rPr>
        <w:t>The Sub-Committees considered that the proportion with BEC ≥ 300 cells/μL was likely overestimated.</w:t>
      </w:r>
      <w:r w:rsidR="00861D69" w:rsidRPr="00946F50">
        <w:rPr>
          <w:iCs/>
        </w:rPr>
        <w:t xml:space="preserve"> The Sub-Committees noted that the results of an Australian study of COPD patients in outpatient clinics (Hiles et al. 2021) estimated 29.4% of patients have a BEC ≥ 300 cells/μL.</w:t>
      </w:r>
      <w:r w:rsidR="00894234" w:rsidRPr="00946F50">
        <w:rPr>
          <w:iCs/>
        </w:rPr>
        <w:t xml:space="preserve"> The Pre-PBAC Response noted that </w:t>
      </w:r>
      <w:r w:rsidR="00F70780" w:rsidRPr="00946F50">
        <w:rPr>
          <w:iCs/>
        </w:rPr>
        <w:t xml:space="preserve">this percentage was based on the overall COPD population, </w:t>
      </w:r>
      <w:r w:rsidR="00946F50">
        <w:rPr>
          <w:iCs/>
        </w:rPr>
        <w:t xml:space="preserve">whereas the </w:t>
      </w:r>
      <w:r w:rsidR="00E25AE3">
        <w:rPr>
          <w:iCs/>
        </w:rPr>
        <w:t>Benson et al estimate was based on</w:t>
      </w:r>
      <w:r w:rsidR="00F70780" w:rsidRPr="00946F50">
        <w:rPr>
          <w:iCs/>
        </w:rPr>
        <w:t xml:space="preserve"> </w:t>
      </w:r>
      <w:r w:rsidR="00E25AE3">
        <w:rPr>
          <w:iCs/>
        </w:rPr>
        <w:t>a</w:t>
      </w:r>
      <w:r w:rsidR="00F70780" w:rsidRPr="00946F50">
        <w:rPr>
          <w:iCs/>
        </w:rPr>
        <w:t xml:space="preserve"> </w:t>
      </w:r>
      <w:r w:rsidR="008A7294">
        <w:rPr>
          <w:iCs/>
        </w:rPr>
        <w:t xml:space="preserve">patient </w:t>
      </w:r>
      <w:r w:rsidR="00F70780" w:rsidRPr="00946F50">
        <w:rPr>
          <w:iCs/>
        </w:rPr>
        <w:t xml:space="preserve">population </w:t>
      </w:r>
      <w:r w:rsidR="00D071A8">
        <w:rPr>
          <w:iCs/>
        </w:rPr>
        <w:t>taking</w:t>
      </w:r>
      <w:r w:rsidR="00F70780" w:rsidRPr="00946F50">
        <w:rPr>
          <w:iCs/>
        </w:rPr>
        <w:t xml:space="preserve"> triple inhaled therapy</w:t>
      </w:r>
      <w:r w:rsidR="00D071A8">
        <w:rPr>
          <w:iCs/>
        </w:rPr>
        <w:t xml:space="preserve"> and</w:t>
      </w:r>
      <w:r w:rsidR="00F70780" w:rsidRPr="00946F50">
        <w:rPr>
          <w:iCs/>
        </w:rPr>
        <w:t xml:space="preserve"> experiencing frequent </w:t>
      </w:r>
      <w:r w:rsidR="001D600B" w:rsidRPr="00946F50">
        <w:rPr>
          <w:iCs/>
        </w:rPr>
        <w:t>exacerbations</w:t>
      </w:r>
      <w:r w:rsidR="008015B4">
        <w:rPr>
          <w:iCs/>
        </w:rPr>
        <w:t xml:space="preserve">, and </w:t>
      </w:r>
      <w:r w:rsidR="00606217">
        <w:rPr>
          <w:iCs/>
        </w:rPr>
        <w:t xml:space="preserve">argued it </w:t>
      </w:r>
      <w:r w:rsidR="008015B4">
        <w:rPr>
          <w:iCs/>
        </w:rPr>
        <w:t xml:space="preserve">was therefore more </w:t>
      </w:r>
      <w:r w:rsidR="005D79D2">
        <w:rPr>
          <w:iCs/>
        </w:rPr>
        <w:t>clinically relevant</w:t>
      </w:r>
      <w:r w:rsidR="00E25AE3">
        <w:rPr>
          <w:iCs/>
        </w:rPr>
        <w:t>.</w:t>
      </w:r>
      <w:bookmarkStart w:id="170" w:name="_Ref218680831"/>
      <w:r w:rsidR="004551D8">
        <w:rPr>
          <w:iCs/>
        </w:rPr>
        <w:t xml:space="preserve"> </w:t>
      </w:r>
      <w:r w:rsidR="00F33CFB">
        <w:rPr>
          <w:iCs/>
        </w:rPr>
        <w:t xml:space="preserve">The Pre-PBAC Response also noted that </w:t>
      </w:r>
      <w:r w:rsidR="002A6182">
        <w:rPr>
          <w:iCs/>
        </w:rPr>
        <w:t>a recent</w:t>
      </w:r>
      <w:r w:rsidR="00553747" w:rsidRPr="00553747">
        <w:rPr>
          <w:iCs/>
        </w:rPr>
        <w:t xml:space="preserve"> Australian-based study </w:t>
      </w:r>
      <w:r w:rsidR="00553747" w:rsidRPr="00B65299">
        <w:rPr>
          <w:iCs/>
        </w:rPr>
        <w:t>(Menon 2026, not yet published) observed 37</w:t>
      </w:r>
      <w:r w:rsidR="00553747" w:rsidRPr="00553747">
        <w:rPr>
          <w:iCs/>
        </w:rPr>
        <w:t xml:space="preserve">.7% of 53 patients admitted with a COPD exacerbation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3C172C" w:rsidRPr="003C172C">
        <w:rPr>
          <w:iCs/>
          <w:sz w:val="20"/>
        </w:rPr>
        <w:t xml:space="preserve"> </w:t>
      </w:r>
      <w:r w:rsidR="003C172C" w:rsidRPr="003C172C">
        <w:rPr>
          <w:iCs/>
          <w:sz w:val="2"/>
          <w:highlight w:val="black"/>
        </w:rPr>
        <w:t>redacted content</w:t>
      </w:r>
      <w:r w:rsidR="00B65299" w:rsidRPr="00B65299">
        <w:rPr>
          <w:rStyle w:val="FootnoteReference"/>
          <w:iCs/>
        </w:rPr>
        <w:footnoteReference w:id="11"/>
      </w:r>
      <w:r w:rsidR="00553747" w:rsidRPr="00553747">
        <w:rPr>
          <w:iCs/>
        </w:rPr>
        <w:t xml:space="preserve"> at a tertiary hospital in Western Australia over September 2022 to October 2023 had a BEC ≥300 in the last 12 months. </w:t>
      </w:r>
      <w:r w:rsidR="002A6182">
        <w:rPr>
          <w:iCs/>
        </w:rPr>
        <w:t>To</w:t>
      </w:r>
      <w:r w:rsidR="00553747" w:rsidRPr="00553747">
        <w:rPr>
          <w:iCs/>
        </w:rPr>
        <w:t xml:space="preserve"> address </w:t>
      </w:r>
      <w:r w:rsidR="00F9024A">
        <w:rPr>
          <w:iCs/>
        </w:rPr>
        <w:t>the Sub-Committee’s</w:t>
      </w:r>
      <w:r w:rsidR="00553747" w:rsidRPr="00553747">
        <w:rPr>
          <w:iCs/>
        </w:rPr>
        <w:t xml:space="preserve"> recommendation for respecifying the proportion with BEC ≥300 and considering the applicability limitations across studies (Benson 2019, Hiles 2021, Menon 2026), </w:t>
      </w:r>
      <w:r w:rsidR="00F9024A">
        <w:rPr>
          <w:iCs/>
        </w:rPr>
        <w:t>the Pre-PBAC response proposed a</w:t>
      </w:r>
      <w:r w:rsidR="00553747" w:rsidRPr="00553747">
        <w:rPr>
          <w:iCs/>
        </w:rPr>
        <w:t xml:space="preserve"> weighted average of 40.94%</w:t>
      </w:r>
      <w:r w:rsidR="00A52265">
        <w:rPr>
          <w:iCs/>
        </w:rPr>
        <w:t>.</w:t>
      </w:r>
    </w:p>
    <w:p w14:paraId="03D71085" w14:textId="76AAC6E8" w:rsidR="00BF50CC" w:rsidRPr="00D27683" w:rsidRDefault="00BF50CC" w:rsidP="00135EE0">
      <w:pPr>
        <w:pStyle w:val="3-BodyText"/>
      </w:pPr>
      <w:r w:rsidRPr="00D27683" w:rsidDel="004879B9">
        <w:t>The</w:t>
      </w:r>
      <w:bookmarkEnd w:id="170"/>
      <w:r w:rsidRPr="00D27683">
        <w:t xml:space="preserve"> submission included </w:t>
      </w:r>
      <w:r w:rsidR="003C172C" w:rsidRPr="003C172C">
        <w:rPr>
          <w:sz w:val="2"/>
          <w:highlight w:val="black"/>
        </w:rPr>
        <w:t>redacted content</w:t>
      </w:r>
      <w:r w:rsidRPr="00D27683">
        <w:t xml:space="preserve">% uptake in Year 1. </w:t>
      </w:r>
      <w:r w:rsidR="00777D2F">
        <w:t>The evaluation considered that this</w:t>
      </w:r>
      <w:r w:rsidR="00777D2F" w:rsidRPr="00D27683">
        <w:t xml:space="preserve"> </w:t>
      </w:r>
      <w:r w:rsidRPr="00D27683">
        <w:t xml:space="preserve">was uncertain and not supported by evidence or expert opinion. Uptake </w:t>
      </w:r>
      <w:r w:rsidR="00777D2F">
        <w:t>was assumed to</w:t>
      </w:r>
      <w:r w:rsidR="00777D2F" w:rsidRPr="00D27683">
        <w:t xml:space="preserve"> </w:t>
      </w:r>
      <w:r w:rsidRPr="00D27683">
        <w:t xml:space="preserve">reach a maximum of </w:t>
      </w:r>
      <w:r w:rsidR="003C172C" w:rsidRPr="003C172C">
        <w:rPr>
          <w:sz w:val="2"/>
          <w:highlight w:val="black"/>
        </w:rPr>
        <w:t>redacted content</w:t>
      </w:r>
      <w:r w:rsidRPr="00D27683">
        <w:t xml:space="preserve">% in Year 6, </w:t>
      </w:r>
      <w:bookmarkStart w:id="171" w:name="_Hlk219382452"/>
      <w:r w:rsidRPr="00D27683">
        <w:t xml:space="preserve">which the submission considered a conservative estimate </w:t>
      </w:r>
      <w:bookmarkEnd w:id="171"/>
      <w:r w:rsidRPr="00D27683">
        <w:t>based on expert opinion from an advisory board, and indicated that 20% of eligible patients w</w:t>
      </w:r>
      <w:r w:rsidR="00B07A31">
        <w:t xml:space="preserve">ould not </w:t>
      </w:r>
      <w:r w:rsidRPr="00D27683">
        <w:t xml:space="preserve">be prescribed a biologic treatment </w:t>
      </w:r>
      <w:r w:rsidR="00B07A31">
        <w:t>due</w:t>
      </w:r>
      <w:r w:rsidR="00B07A31" w:rsidRPr="00D27683">
        <w:t xml:space="preserve"> </w:t>
      </w:r>
      <w:r w:rsidRPr="00D27683">
        <w:t xml:space="preserve">to barriers including needle phobia, need for a lifelong support program and access to specialists. </w:t>
      </w:r>
    </w:p>
    <w:p w14:paraId="4FED3775" w14:textId="464A3859" w:rsidR="000D45E1" w:rsidRPr="00CB3D09" w:rsidRDefault="00B5493C" w:rsidP="00CB3D09">
      <w:pPr>
        <w:pStyle w:val="3-BodyText"/>
        <w:rPr>
          <w:iCs/>
          <w:snapToGrid w:val="0"/>
        </w:rPr>
      </w:pPr>
      <w:r w:rsidRPr="006D6FD8">
        <w:rPr>
          <w:iCs/>
          <w:snapToGrid w:val="0"/>
        </w:rPr>
        <w:t xml:space="preserve">The Sub-Committees noted the analysis of the 100% PBS sample undertaken by the Drug Utilisation Section, which reported the number of incident and prevalent patients and the scripts for PBS listed single inhaler triple therapies for COPD during </w:t>
      </w:r>
      <w:r w:rsidRPr="006D6FD8">
        <w:rPr>
          <w:iCs/>
          <w:snapToGrid w:val="0"/>
        </w:rPr>
        <w:lastRenderedPageBreak/>
        <w:t>2023–2025 (</w:t>
      </w:r>
      <w:r w:rsidRPr="006D6FD8">
        <w:rPr>
          <w:iCs/>
          <w:snapToGrid w:val="0"/>
        </w:rPr>
        <w:fldChar w:fldCharType="begin"/>
      </w:r>
      <w:r w:rsidRPr="006D6FD8">
        <w:rPr>
          <w:iCs/>
          <w:snapToGrid w:val="0"/>
        </w:rPr>
        <w:instrText xml:space="preserve"> REF _Ref221787710 \h  \* MERGEFORMAT </w:instrText>
      </w:r>
      <w:r w:rsidRPr="006D6FD8">
        <w:rPr>
          <w:iCs/>
          <w:snapToGrid w:val="0"/>
        </w:rPr>
      </w:r>
      <w:r w:rsidRPr="006D6FD8">
        <w:rPr>
          <w:iCs/>
          <w:snapToGrid w:val="0"/>
        </w:rPr>
        <w:fldChar w:fldCharType="separate"/>
      </w:r>
      <w:r w:rsidR="00EF635A" w:rsidRPr="00EF635A">
        <w:rPr>
          <w:iCs/>
          <w:snapToGrid w:val="0"/>
        </w:rPr>
        <w:t>Table 21</w:t>
      </w:r>
      <w:r w:rsidRPr="006D6FD8">
        <w:rPr>
          <w:iCs/>
          <w:snapToGrid w:val="0"/>
        </w:rPr>
        <w:fldChar w:fldCharType="end"/>
      </w:r>
      <w:r w:rsidRPr="006D6FD8">
        <w:rPr>
          <w:iCs/>
          <w:snapToGrid w:val="0"/>
        </w:rPr>
        <w:t xml:space="preserve">). </w:t>
      </w:r>
      <w:r w:rsidRPr="006D6FD8">
        <w:rPr>
          <w:iCs/>
        </w:rPr>
        <w:t>The Sub-Committees considered a market share approach based on the actual number of treated prevalent patients supplied triple therapy would likely provide more certain estimates for the utilisation of the single inhaler triple therapies. The Sub-Committees noted that there would also be an additional open triple inhaled therapy population.</w:t>
      </w:r>
    </w:p>
    <w:p w14:paraId="3AAB53E6" w14:textId="7F69A31A" w:rsidR="00B5493C" w:rsidRPr="00D27683" w:rsidRDefault="00B5493C" w:rsidP="00135EE0">
      <w:pPr>
        <w:spacing w:after="120"/>
        <w:contextualSpacing/>
        <w:rPr>
          <w:rFonts w:ascii="Arial Narrow" w:hAnsi="Arial Narrow"/>
          <w:b/>
          <w:bCs/>
          <w:snapToGrid w:val="0"/>
          <w:sz w:val="20"/>
          <w:szCs w:val="20"/>
        </w:rPr>
      </w:pPr>
      <w:bookmarkStart w:id="172" w:name="_Ref221787710"/>
      <w:r w:rsidRPr="00D27683">
        <w:rPr>
          <w:rFonts w:ascii="Arial Narrow" w:hAnsi="Arial Narrow"/>
          <w:b/>
          <w:bCs/>
          <w:snapToGrid w:val="0"/>
          <w:sz w:val="20"/>
          <w:szCs w:val="20"/>
        </w:rPr>
        <w:t xml:space="preserve">Table </w:t>
      </w:r>
      <w:r w:rsidRPr="00D27683">
        <w:rPr>
          <w:rFonts w:ascii="Arial Narrow" w:hAnsi="Arial Narrow"/>
          <w:b/>
          <w:bCs/>
          <w:snapToGrid w:val="0"/>
          <w:sz w:val="20"/>
          <w:szCs w:val="20"/>
        </w:rPr>
        <w:fldChar w:fldCharType="begin"/>
      </w:r>
      <w:r w:rsidRPr="00D27683">
        <w:rPr>
          <w:rFonts w:ascii="Arial Narrow" w:hAnsi="Arial Narrow"/>
          <w:b/>
          <w:bCs/>
          <w:snapToGrid w:val="0"/>
          <w:sz w:val="20"/>
          <w:szCs w:val="20"/>
        </w:rPr>
        <w:instrText xml:space="preserve"> SEQ Table \* ARABIC </w:instrText>
      </w:r>
      <w:r w:rsidRPr="00D27683">
        <w:rPr>
          <w:rFonts w:ascii="Arial Narrow" w:hAnsi="Arial Narrow"/>
          <w:b/>
          <w:bCs/>
          <w:snapToGrid w:val="0"/>
          <w:sz w:val="20"/>
          <w:szCs w:val="20"/>
        </w:rPr>
        <w:fldChar w:fldCharType="separate"/>
      </w:r>
      <w:r w:rsidR="00E620E3">
        <w:rPr>
          <w:rFonts w:ascii="Arial Narrow" w:hAnsi="Arial Narrow"/>
          <w:b/>
          <w:bCs/>
          <w:noProof/>
          <w:snapToGrid w:val="0"/>
          <w:sz w:val="20"/>
          <w:szCs w:val="20"/>
        </w:rPr>
        <w:t>21</w:t>
      </w:r>
      <w:r w:rsidRPr="00D27683">
        <w:rPr>
          <w:rFonts w:ascii="Arial Narrow" w:hAnsi="Arial Narrow"/>
          <w:b/>
          <w:bCs/>
          <w:snapToGrid w:val="0"/>
          <w:sz w:val="20"/>
          <w:szCs w:val="20"/>
        </w:rPr>
        <w:fldChar w:fldCharType="end"/>
      </w:r>
      <w:bookmarkEnd w:id="172"/>
      <w:r w:rsidRPr="00D27683">
        <w:rPr>
          <w:rFonts w:ascii="Arial Narrow" w:hAnsi="Arial Narrow"/>
          <w:b/>
          <w:bCs/>
          <w:snapToGrid w:val="0"/>
          <w:sz w:val="20"/>
          <w:szCs w:val="20"/>
        </w:rPr>
        <w:t>: Number of incident and prevalent patients, and scripts for PBS listed single inhaler triple therapies for COPD</w:t>
      </w:r>
    </w:p>
    <w:tbl>
      <w:tblPr>
        <w:tblStyle w:val="TableGrid"/>
        <w:tblW w:w="0" w:type="auto"/>
        <w:tblLook w:val="04A0" w:firstRow="1" w:lastRow="0" w:firstColumn="1" w:lastColumn="0" w:noHBand="0" w:noVBand="1"/>
        <w:tblCaption w:val="Table 21: Number of incident and prevalent patients, and scripts for PBS listed single inhaler triple therapies for COPD"/>
      </w:tblPr>
      <w:tblGrid>
        <w:gridCol w:w="3679"/>
        <w:gridCol w:w="2058"/>
        <w:gridCol w:w="1828"/>
        <w:gridCol w:w="1445"/>
      </w:tblGrid>
      <w:tr w:rsidR="004452EA" w:rsidRPr="00D27683" w14:paraId="7C69A8D8" w14:textId="77777777" w:rsidTr="00E0135F">
        <w:trPr>
          <w:trHeight w:val="255"/>
        </w:trPr>
        <w:tc>
          <w:tcPr>
            <w:tcW w:w="3679" w:type="dxa"/>
            <w:noWrap/>
            <w:hideMark/>
          </w:tcPr>
          <w:p w14:paraId="59BE64D6" w14:textId="77777777" w:rsidR="00B5493C" w:rsidRPr="00D27683" w:rsidRDefault="00B5493C" w:rsidP="00135EE0">
            <w:pPr>
              <w:spacing w:after="120"/>
              <w:contextualSpacing/>
              <w:rPr>
                <w:rFonts w:ascii="Arial Narrow" w:hAnsi="Arial Narrow"/>
                <w:b/>
                <w:snapToGrid w:val="0"/>
                <w:sz w:val="20"/>
                <w:szCs w:val="20"/>
              </w:rPr>
            </w:pPr>
            <w:r w:rsidRPr="00D27683">
              <w:rPr>
                <w:rFonts w:ascii="Arial Narrow" w:hAnsi="Arial Narrow"/>
                <w:b/>
                <w:bCs/>
                <w:snapToGrid w:val="0"/>
                <w:sz w:val="20"/>
                <w:szCs w:val="20"/>
              </w:rPr>
              <w:t>Year/Drug/Item Code</w:t>
            </w:r>
          </w:p>
        </w:tc>
        <w:tc>
          <w:tcPr>
            <w:tcW w:w="2058" w:type="dxa"/>
            <w:noWrap/>
            <w:hideMark/>
          </w:tcPr>
          <w:p w14:paraId="782F4E1D" w14:textId="77777777" w:rsidR="00B5493C" w:rsidRPr="00D27683" w:rsidRDefault="00B5493C" w:rsidP="00135EE0">
            <w:pPr>
              <w:spacing w:after="120"/>
              <w:contextualSpacing/>
              <w:jc w:val="center"/>
              <w:rPr>
                <w:rFonts w:ascii="Arial Narrow" w:hAnsi="Arial Narrow"/>
                <w:b/>
                <w:snapToGrid w:val="0"/>
                <w:sz w:val="20"/>
                <w:szCs w:val="20"/>
              </w:rPr>
            </w:pPr>
            <w:r w:rsidRPr="00D27683">
              <w:rPr>
                <w:rFonts w:ascii="Arial Narrow" w:hAnsi="Arial Narrow"/>
                <w:b/>
                <w:snapToGrid w:val="0"/>
                <w:sz w:val="20"/>
                <w:szCs w:val="20"/>
              </w:rPr>
              <w:t>Incident patients</w:t>
            </w:r>
          </w:p>
        </w:tc>
        <w:tc>
          <w:tcPr>
            <w:tcW w:w="1828" w:type="dxa"/>
            <w:noWrap/>
            <w:hideMark/>
          </w:tcPr>
          <w:p w14:paraId="49D4AFB6" w14:textId="77777777" w:rsidR="00B5493C" w:rsidRPr="00D27683" w:rsidRDefault="00B5493C" w:rsidP="00135EE0">
            <w:pPr>
              <w:spacing w:after="120"/>
              <w:contextualSpacing/>
              <w:jc w:val="center"/>
              <w:rPr>
                <w:rFonts w:ascii="Arial Narrow" w:hAnsi="Arial Narrow"/>
                <w:b/>
                <w:snapToGrid w:val="0"/>
                <w:sz w:val="20"/>
                <w:szCs w:val="20"/>
              </w:rPr>
            </w:pPr>
            <w:r w:rsidRPr="00D27683">
              <w:rPr>
                <w:rFonts w:ascii="Arial Narrow" w:hAnsi="Arial Narrow"/>
                <w:b/>
                <w:snapToGrid w:val="0"/>
                <w:sz w:val="20"/>
                <w:szCs w:val="20"/>
              </w:rPr>
              <w:t>Prevalent patients</w:t>
            </w:r>
          </w:p>
        </w:tc>
        <w:tc>
          <w:tcPr>
            <w:tcW w:w="1445" w:type="dxa"/>
            <w:noWrap/>
            <w:hideMark/>
          </w:tcPr>
          <w:p w14:paraId="7F65B8A6" w14:textId="77777777" w:rsidR="00B5493C" w:rsidRPr="00D27683" w:rsidRDefault="00B5493C" w:rsidP="00135EE0">
            <w:pPr>
              <w:spacing w:after="120"/>
              <w:contextualSpacing/>
              <w:jc w:val="center"/>
              <w:rPr>
                <w:rFonts w:ascii="Arial Narrow" w:hAnsi="Arial Narrow"/>
                <w:b/>
                <w:snapToGrid w:val="0"/>
                <w:sz w:val="20"/>
                <w:szCs w:val="20"/>
              </w:rPr>
            </w:pPr>
            <w:r w:rsidRPr="00D27683">
              <w:rPr>
                <w:rFonts w:ascii="Arial Narrow" w:hAnsi="Arial Narrow"/>
                <w:b/>
                <w:snapToGrid w:val="0"/>
                <w:sz w:val="20"/>
                <w:szCs w:val="20"/>
              </w:rPr>
              <w:t>Scripts</w:t>
            </w:r>
          </w:p>
        </w:tc>
      </w:tr>
      <w:tr w:rsidR="004452EA" w:rsidRPr="00D27683" w14:paraId="7C6F06BD" w14:textId="77777777" w:rsidTr="00E0135F">
        <w:trPr>
          <w:trHeight w:val="255"/>
        </w:trPr>
        <w:tc>
          <w:tcPr>
            <w:tcW w:w="3679" w:type="dxa"/>
            <w:noWrap/>
            <w:hideMark/>
          </w:tcPr>
          <w:p w14:paraId="7C7F6013" w14:textId="77777777" w:rsidR="00B5493C" w:rsidRPr="00D27683" w:rsidRDefault="00B5493C" w:rsidP="00135EE0">
            <w:pPr>
              <w:spacing w:after="120"/>
              <w:contextualSpacing/>
              <w:rPr>
                <w:rFonts w:ascii="Arial Narrow" w:hAnsi="Arial Narrow"/>
                <w:b/>
                <w:snapToGrid w:val="0"/>
                <w:sz w:val="20"/>
                <w:szCs w:val="20"/>
              </w:rPr>
            </w:pPr>
            <w:r w:rsidRPr="00D27683">
              <w:rPr>
                <w:rFonts w:ascii="Arial Narrow" w:hAnsi="Arial Narrow"/>
                <w:b/>
                <w:bCs/>
                <w:snapToGrid w:val="0"/>
                <w:sz w:val="20"/>
                <w:szCs w:val="20"/>
              </w:rPr>
              <w:t xml:space="preserve">Total </w:t>
            </w:r>
            <w:r w:rsidRPr="00D27683">
              <w:rPr>
                <w:rFonts w:ascii="Arial Narrow" w:hAnsi="Arial Narrow"/>
                <w:b/>
                <w:snapToGrid w:val="0"/>
                <w:sz w:val="20"/>
                <w:szCs w:val="20"/>
              </w:rPr>
              <w:t>2023</w:t>
            </w:r>
          </w:p>
        </w:tc>
        <w:tc>
          <w:tcPr>
            <w:tcW w:w="2058" w:type="dxa"/>
            <w:noWrap/>
            <w:hideMark/>
          </w:tcPr>
          <w:p w14:paraId="3D95B19D" w14:textId="6B34FECC"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46,654</w:t>
            </w:r>
          </w:p>
        </w:tc>
        <w:tc>
          <w:tcPr>
            <w:tcW w:w="1828" w:type="dxa"/>
            <w:noWrap/>
            <w:hideMark/>
          </w:tcPr>
          <w:p w14:paraId="32CB9F7D" w14:textId="0E809138"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138,169</w:t>
            </w:r>
          </w:p>
        </w:tc>
        <w:tc>
          <w:tcPr>
            <w:tcW w:w="1445" w:type="dxa"/>
            <w:noWrap/>
            <w:hideMark/>
          </w:tcPr>
          <w:p w14:paraId="48B254E1" w14:textId="4E52BCA5"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857,453</w:t>
            </w:r>
          </w:p>
        </w:tc>
      </w:tr>
      <w:tr w:rsidR="004452EA" w:rsidRPr="006D6FD8" w14:paraId="638BDF8B" w14:textId="77777777" w:rsidTr="00E0135F">
        <w:trPr>
          <w:trHeight w:val="255"/>
        </w:trPr>
        <w:tc>
          <w:tcPr>
            <w:tcW w:w="3679" w:type="dxa"/>
            <w:noWrap/>
            <w:hideMark/>
          </w:tcPr>
          <w:p w14:paraId="4A627A0B"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Beclometasone + formoterol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(item code 12468F)</w:t>
            </w:r>
          </w:p>
        </w:tc>
        <w:tc>
          <w:tcPr>
            <w:tcW w:w="2058" w:type="dxa"/>
            <w:noWrap/>
            <w:hideMark/>
          </w:tcPr>
          <w:p w14:paraId="3EF0DBBA" w14:textId="18639580"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11,133</w:t>
            </w:r>
          </w:p>
        </w:tc>
        <w:tc>
          <w:tcPr>
            <w:tcW w:w="1828" w:type="dxa"/>
            <w:noWrap/>
            <w:hideMark/>
          </w:tcPr>
          <w:p w14:paraId="392A3F58" w14:textId="528EDF8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27,473</w:t>
            </w:r>
          </w:p>
        </w:tc>
        <w:tc>
          <w:tcPr>
            <w:tcW w:w="1445" w:type="dxa"/>
            <w:noWrap/>
            <w:hideMark/>
          </w:tcPr>
          <w:p w14:paraId="24CCE577" w14:textId="2E642291"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148,005</w:t>
            </w:r>
          </w:p>
        </w:tc>
      </w:tr>
      <w:tr w:rsidR="004452EA" w:rsidRPr="006D6FD8" w14:paraId="21D7C953" w14:textId="77777777" w:rsidTr="00E0135F">
        <w:trPr>
          <w:trHeight w:val="255"/>
        </w:trPr>
        <w:tc>
          <w:tcPr>
            <w:tcW w:w="3679" w:type="dxa"/>
            <w:noWrap/>
            <w:hideMark/>
          </w:tcPr>
          <w:p w14:paraId="080BC51F"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Budesonide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 formoterol (item code 12672Y)</w:t>
            </w:r>
          </w:p>
        </w:tc>
        <w:tc>
          <w:tcPr>
            <w:tcW w:w="2058" w:type="dxa"/>
            <w:noWrap/>
            <w:hideMark/>
          </w:tcPr>
          <w:p w14:paraId="4695DFC6" w14:textId="305A6F10"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10,021</w:t>
            </w:r>
          </w:p>
        </w:tc>
        <w:tc>
          <w:tcPr>
            <w:tcW w:w="1828" w:type="dxa"/>
            <w:noWrap/>
            <w:hideMark/>
          </w:tcPr>
          <w:p w14:paraId="7EB67A87" w14:textId="38452C7C"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20,164</w:t>
            </w:r>
          </w:p>
        </w:tc>
        <w:tc>
          <w:tcPr>
            <w:tcW w:w="1445" w:type="dxa"/>
            <w:noWrap/>
            <w:hideMark/>
          </w:tcPr>
          <w:p w14:paraId="398797D0" w14:textId="1982DAA0"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100,709</w:t>
            </w:r>
          </w:p>
        </w:tc>
      </w:tr>
      <w:tr w:rsidR="004452EA" w:rsidRPr="006D6FD8" w14:paraId="3B424311" w14:textId="77777777" w:rsidTr="00E0135F">
        <w:trPr>
          <w:trHeight w:val="255"/>
        </w:trPr>
        <w:tc>
          <w:tcPr>
            <w:tcW w:w="3679" w:type="dxa"/>
            <w:noWrap/>
            <w:hideMark/>
          </w:tcPr>
          <w:p w14:paraId="6E5348EB"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Fluticasone furoate + umeclidinium + vilanterol (item code 11379X)</w:t>
            </w:r>
          </w:p>
        </w:tc>
        <w:tc>
          <w:tcPr>
            <w:tcW w:w="2058" w:type="dxa"/>
            <w:noWrap/>
            <w:hideMark/>
          </w:tcPr>
          <w:p w14:paraId="0C21626D" w14:textId="30405DC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25,500</w:t>
            </w:r>
          </w:p>
        </w:tc>
        <w:tc>
          <w:tcPr>
            <w:tcW w:w="1828" w:type="dxa"/>
            <w:noWrap/>
            <w:hideMark/>
          </w:tcPr>
          <w:p w14:paraId="77C9973B" w14:textId="5AEBA7CE"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90,532</w:t>
            </w:r>
          </w:p>
        </w:tc>
        <w:tc>
          <w:tcPr>
            <w:tcW w:w="1445" w:type="dxa"/>
            <w:noWrap/>
            <w:hideMark/>
          </w:tcPr>
          <w:p w14:paraId="0BBBB603" w14:textId="6B1F0FB0"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608,739</w:t>
            </w:r>
          </w:p>
        </w:tc>
      </w:tr>
      <w:tr w:rsidR="004452EA" w:rsidRPr="00D27683" w14:paraId="15E71B02" w14:textId="77777777" w:rsidTr="00E0135F">
        <w:trPr>
          <w:trHeight w:val="255"/>
        </w:trPr>
        <w:tc>
          <w:tcPr>
            <w:tcW w:w="3679" w:type="dxa"/>
            <w:noWrap/>
            <w:hideMark/>
          </w:tcPr>
          <w:p w14:paraId="7813C2EE" w14:textId="77777777" w:rsidR="00B5493C" w:rsidRPr="00D27683" w:rsidRDefault="00B5493C" w:rsidP="00135EE0">
            <w:pPr>
              <w:spacing w:after="120"/>
              <w:contextualSpacing/>
              <w:rPr>
                <w:rFonts w:ascii="Arial Narrow" w:hAnsi="Arial Narrow"/>
                <w:b/>
                <w:snapToGrid w:val="0"/>
                <w:sz w:val="20"/>
                <w:szCs w:val="20"/>
              </w:rPr>
            </w:pPr>
            <w:r w:rsidRPr="00D27683">
              <w:rPr>
                <w:rFonts w:ascii="Arial Narrow" w:hAnsi="Arial Narrow"/>
                <w:b/>
                <w:bCs/>
                <w:snapToGrid w:val="0"/>
                <w:sz w:val="20"/>
                <w:szCs w:val="20"/>
              </w:rPr>
              <w:t xml:space="preserve">Total </w:t>
            </w:r>
            <w:r w:rsidRPr="00D27683">
              <w:rPr>
                <w:rFonts w:ascii="Arial Narrow" w:hAnsi="Arial Narrow"/>
                <w:b/>
                <w:snapToGrid w:val="0"/>
                <w:sz w:val="20"/>
                <w:szCs w:val="20"/>
              </w:rPr>
              <w:t>2024</w:t>
            </w:r>
          </w:p>
        </w:tc>
        <w:tc>
          <w:tcPr>
            <w:tcW w:w="2058" w:type="dxa"/>
            <w:noWrap/>
            <w:hideMark/>
          </w:tcPr>
          <w:p w14:paraId="292A29E9" w14:textId="76C7955C"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48,179</w:t>
            </w:r>
          </w:p>
        </w:tc>
        <w:tc>
          <w:tcPr>
            <w:tcW w:w="1828" w:type="dxa"/>
            <w:noWrap/>
            <w:hideMark/>
          </w:tcPr>
          <w:p w14:paraId="51969673" w14:textId="4B397044"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160,545</w:t>
            </w:r>
          </w:p>
        </w:tc>
        <w:tc>
          <w:tcPr>
            <w:tcW w:w="1445" w:type="dxa"/>
            <w:noWrap/>
            <w:hideMark/>
          </w:tcPr>
          <w:p w14:paraId="1916AC92" w14:textId="2490707E"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965,113</w:t>
            </w:r>
          </w:p>
        </w:tc>
      </w:tr>
      <w:tr w:rsidR="004452EA" w:rsidRPr="006D6FD8" w14:paraId="2A0BC61C" w14:textId="77777777" w:rsidTr="00E0135F">
        <w:trPr>
          <w:trHeight w:val="255"/>
        </w:trPr>
        <w:tc>
          <w:tcPr>
            <w:tcW w:w="3679" w:type="dxa"/>
            <w:noWrap/>
            <w:hideMark/>
          </w:tcPr>
          <w:p w14:paraId="5E03D785"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Beclometasone + formoterol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(item codes 12468F and 14310E)</w:t>
            </w:r>
          </w:p>
        </w:tc>
        <w:tc>
          <w:tcPr>
            <w:tcW w:w="2058" w:type="dxa"/>
            <w:noWrap/>
            <w:hideMark/>
          </w:tcPr>
          <w:p w14:paraId="546FE135" w14:textId="61B9CED3"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13,252</w:t>
            </w:r>
          </w:p>
        </w:tc>
        <w:tc>
          <w:tcPr>
            <w:tcW w:w="1828" w:type="dxa"/>
            <w:noWrap/>
            <w:hideMark/>
          </w:tcPr>
          <w:p w14:paraId="631F8A90" w14:textId="7594BD03"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38,054</w:t>
            </w:r>
          </w:p>
        </w:tc>
        <w:tc>
          <w:tcPr>
            <w:tcW w:w="1445" w:type="dxa"/>
            <w:noWrap/>
            <w:hideMark/>
          </w:tcPr>
          <w:p w14:paraId="4C13AE1F" w14:textId="634641D2" w:rsidR="00B5493C" w:rsidRPr="006E14BC" w:rsidRDefault="00B5493C" w:rsidP="00135EE0">
            <w:pPr>
              <w:spacing w:after="120"/>
              <w:contextualSpacing/>
              <w:jc w:val="center"/>
              <w:rPr>
                <w:rFonts w:ascii="Arial Narrow" w:hAnsi="Arial Narrow"/>
                <w:snapToGrid w:val="0"/>
                <w:sz w:val="20"/>
                <w:szCs w:val="20"/>
              </w:rPr>
            </w:pPr>
            <w:r w:rsidRPr="006E14BC">
              <w:rPr>
                <w:rFonts w:ascii="Arial Narrow" w:hAnsi="Arial Narrow"/>
                <w:snapToGrid w:val="0"/>
                <w:sz w:val="20"/>
                <w:szCs w:val="20"/>
              </w:rPr>
              <w:t>202,852</w:t>
            </w:r>
          </w:p>
        </w:tc>
      </w:tr>
      <w:tr w:rsidR="004452EA" w:rsidRPr="006D6FD8" w14:paraId="478B09D6" w14:textId="77777777" w:rsidTr="00E0135F">
        <w:trPr>
          <w:trHeight w:val="255"/>
        </w:trPr>
        <w:tc>
          <w:tcPr>
            <w:tcW w:w="3679" w:type="dxa"/>
            <w:noWrap/>
            <w:hideMark/>
          </w:tcPr>
          <w:p w14:paraId="20BBFAC3"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Budesonide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 formoterol (item codes 12672Y and 14536C)</w:t>
            </w:r>
          </w:p>
        </w:tc>
        <w:tc>
          <w:tcPr>
            <w:tcW w:w="2058" w:type="dxa"/>
            <w:noWrap/>
            <w:hideMark/>
          </w:tcPr>
          <w:p w14:paraId="668FD577" w14:textId="3F6B1D6D"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11,601</w:t>
            </w:r>
          </w:p>
        </w:tc>
        <w:tc>
          <w:tcPr>
            <w:tcW w:w="1828" w:type="dxa"/>
            <w:noWrap/>
            <w:hideMark/>
          </w:tcPr>
          <w:p w14:paraId="36FD3323" w14:textId="0B54B4D8"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29,945</w:t>
            </w:r>
          </w:p>
        </w:tc>
        <w:tc>
          <w:tcPr>
            <w:tcW w:w="1445" w:type="dxa"/>
            <w:noWrap/>
            <w:hideMark/>
          </w:tcPr>
          <w:p w14:paraId="2A9F97B0" w14:textId="5FB95D0E"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155,633</w:t>
            </w:r>
          </w:p>
        </w:tc>
      </w:tr>
      <w:tr w:rsidR="004452EA" w:rsidRPr="006D6FD8" w14:paraId="18502CF9" w14:textId="77777777" w:rsidTr="00E0135F">
        <w:trPr>
          <w:trHeight w:val="255"/>
        </w:trPr>
        <w:tc>
          <w:tcPr>
            <w:tcW w:w="3679" w:type="dxa"/>
            <w:noWrap/>
            <w:hideMark/>
          </w:tcPr>
          <w:p w14:paraId="3C053AD9"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Fluticasone furoate + umeclidinium + vilanterol (item codes 11379X and 14346C)</w:t>
            </w:r>
          </w:p>
        </w:tc>
        <w:tc>
          <w:tcPr>
            <w:tcW w:w="2058" w:type="dxa"/>
            <w:noWrap/>
            <w:hideMark/>
          </w:tcPr>
          <w:p w14:paraId="2FAF6416" w14:textId="0B4076AC"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23,326</w:t>
            </w:r>
          </w:p>
        </w:tc>
        <w:tc>
          <w:tcPr>
            <w:tcW w:w="1828" w:type="dxa"/>
            <w:noWrap/>
            <w:hideMark/>
          </w:tcPr>
          <w:p w14:paraId="769F5DE1" w14:textId="79B40C15"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92,546</w:t>
            </w:r>
          </w:p>
        </w:tc>
        <w:tc>
          <w:tcPr>
            <w:tcW w:w="1445" w:type="dxa"/>
            <w:noWrap/>
            <w:hideMark/>
          </w:tcPr>
          <w:p w14:paraId="5AE1824A" w14:textId="095F9FD1"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606,628</w:t>
            </w:r>
          </w:p>
        </w:tc>
      </w:tr>
      <w:tr w:rsidR="004452EA" w:rsidRPr="00D27683" w14:paraId="3DAD3578" w14:textId="77777777" w:rsidTr="00E0135F">
        <w:trPr>
          <w:trHeight w:val="255"/>
        </w:trPr>
        <w:tc>
          <w:tcPr>
            <w:tcW w:w="3679" w:type="dxa"/>
            <w:noWrap/>
            <w:hideMark/>
          </w:tcPr>
          <w:p w14:paraId="56DA08FF" w14:textId="77777777" w:rsidR="00B5493C" w:rsidRPr="00D27683" w:rsidRDefault="00B5493C" w:rsidP="00135EE0">
            <w:pPr>
              <w:spacing w:after="120"/>
              <w:contextualSpacing/>
              <w:rPr>
                <w:rFonts w:ascii="Arial Narrow" w:hAnsi="Arial Narrow"/>
                <w:b/>
                <w:snapToGrid w:val="0"/>
                <w:sz w:val="20"/>
                <w:szCs w:val="20"/>
              </w:rPr>
            </w:pPr>
            <w:r w:rsidRPr="00D27683">
              <w:rPr>
                <w:rFonts w:ascii="Arial Narrow" w:hAnsi="Arial Narrow"/>
                <w:b/>
                <w:bCs/>
                <w:snapToGrid w:val="0"/>
                <w:sz w:val="20"/>
                <w:szCs w:val="20"/>
              </w:rPr>
              <w:t xml:space="preserve">Total </w:t>
            </w:r>
            <w:r w:rsidRPr="00D27683">
              <w:rPr>
                <w:rFonts w:ascii="Arial Narrow" w:hAnsi="Arial Narrow"/>
                <w:b/>
                <w:snapToGrid w:val="0"/>
                <w:sz w:val="20"/>
                <w:szCs w:val="20"/>
              </w:rPr>
              <w:t>2025</w:t>
            </w:r>
          </w:p>
        </w:tc>
        <w:tc>
          <w:tcPr>
            <w:tcW w:w="2058" w:type="dxa"/>
            <w:noWrap/>
            <w:hideMark/>
          </w:tcPr>
          <w:p w14:paraId="059815DA" w14:textId="43154D78"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47,736</w:t>
            </w:r>
          </w:p>
        </w:tc>
        <w:tc>
          <w:tcPr>
            <w:tcW w:w="1828" w:type="dxa"/>
            <w:noWrap/>
            <w:hideMark/>
          </w:tcPr>
          <w:p w14:paraId="368AFF4C" w14:textId="1B03A1CA"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186,168</w:t>
            </w:r>
          </w:p>
        </w:tc>
        <w:tc>
          <w:tcPr>
            <w:tcW w:w="1445" w:type="dxa"/>
            <w:noWrap/>
            <w:hideMark/>
          </w:tcPr>
          <w:p w14:paraId="0D70DBCE" w14:textId="75629387" w:rsidR="00B5493C" w:rsidRPr="006E14BC" w:rsidRDefault="00B5493C" w:rsidP="00135EE0">
            <w:pPr>
              <w:spacing w:after="120"/>
              <w:contextualSpacing/>
              <w:jc w:val="center"/>
              <w:rPr>
                <w:rFonts w:ascii="Arial Narrow" w:hAnsi="Arial Narrow"/>
                <w:b/>
                <w:snapToGrid w:val="0"/>
                <w:sz w:val="20"/>
                <w:szCs w:val="20"/>
                <w:vertAlign w:val="superscript"/>
              </w:rPr>
            </w:pPr>
            <w:r w:rsidRPr="006E14BC">
              <w:rPr>
                <w:rFonts w:ascii="Arial Narrow" w:hAnsi="Arial Narrow"/>
                <w:b/>
                <w:snapToGrid w:val="0"/>
                <w:sz w:val="20"/>
                <w:szCs w:val="20"/>
              </w:rPr>
              <w:t>993,497</w:t>
            </w:r>
          </w:p>
        </w:tc>
      </w:tr>
      <w:tr w:rsidR="004452EA" w:rsidRPr="006D6FD8" w14:paraId="22EED9E7" w14:textId="77777777" w:rsidTr="00E0135F">
        <w:trPr>
          <w:trHeight w:val="255"/>
        </w:trPr>
        <w:tc>
          <w:tcPr>
            <w:tcW w:w="3679" w:type="dxa"/>
            <w:noWrap/>
            <w:hideMark/>
          </w:tcPr>
          <w:p w14:paraId="38E908F2"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Beclometasone + formoterol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(item codes 12468F and 14310E) </w:t>
            </w:r>
          </w:p>
        </w:tc>
        <w:tc>
          <w:tcPr>
            <w:tcW w:w="2058" w:type="dxa"/>
            <w:noWrap/>
            <w:hideMark/>
          </w:tcPr>
          <w:p w14:paraId="5F090946" w14:textId="232193C1"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13,952</w:t>
            </w:r>
          </w:p>
        </w:tc>
        <w:tc>
          <w:tcPr>
            <w:tcW w:w="1828" w:type="dxa"/>
            <w:noWrap/>
            <w:hideMark/>
          </w:tcPr>
          <w:p w14:paraId="78B5A8B4" w14:textId="0F1E940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48,438</w:t>
            </w:r>
          </w:p>
        </w:tc>
        <w:tc>
          <w:tcPr>
            <w:tcW w:w="1445" w:type="dxa"/>
            <w:noWrap/>
            <w:hideMark/>
          </w:tcPr>
          <w:p w14:paraId="6C15FF45" w14:textId="0926C81B"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228,186</w:t>
            </w:r>
          </w:p>
        </w:tc>
      </w:tr>
      <w:tr w:rsidR="004452EA" w:rsidRPr="006D6FD8" w14:paraId="2E5A42AC" w14:textId="77777777" w:rsidTr="00E0135F">
        <w:trPr>
          <w:trHeight w:val="255"/>
        </w:trPr>
        <w:tc>
          <w:tcPr>
            <w:tcW w:w="3679" w:type="dxa"/>
            <w:noWrap/>
            <w:hideMark/>
          </w:tcPr>
          <w:p w14:paraId="402A32AF"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 xml:space="preserve">Budesonide + </w:t>
            </w:r>
            <w:proofErr w:type="spellStart"/>
            <w:r w:rsidRPr="006D6FD8">
              <w:rPr>
                <w:rFonts w:ascii="Arial Narrow" w:hAnsi="Arial Narrow"/>
                <w:snapToGrid w:val="0"/>
                <w:sz w:val="20"/>
                <w:szCs w:val="20"/>
              </w:rPr>
              <w:t>glycopyrronium</w:t>
            </w:r>
            <w:proofErr w:type="spellEnd"/>
            <w:r w:rsidRPr="006D6FD8">
              <w:rPr>
                <w:rFonts w:ascii="Arial Narrow" w:hAnsi="Arial Narrow"/>
                <w:snapToGrid w:val="0"/>
                <w:sz w:val="20"/>
                <w:szCs w:val="20"/>
              </w:rPr>
              <w:t xml:space="preserve"> + formoterol (item codes 12672Y and 14536C) </w:t>
            </w:r>
          </w:p>
        </w:tc>
        <w:tc>
          <w:tcPr>
            <w:tcW w:w="2058" w:type="dxa"/>
            <w:noWrap/>
            <w:hideMark/>
          </w:tcPr>
          <w:p w14:paraId="2DE72D28" w14:textId="5A2E2A54"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12,309</w:t>
            </w:r>
          </w:p>
        </w:tc>
        <w:tc>
          <w:tcPr>
            <w:tcW w:w="1828" w:type="dxa"/>
            <w:noWrap/>
            <w:hideMark/>
          </w:tcPr>
          <w:p w14:paraId="18BC193F" w14:textId="1787DFC5"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40,543</w:t>
            </w:r>
          </w:p>
        </w:tc>
        <w:tc>
          <w:tcPr>
            <w:tcW w:w="1445" w:type="dxa"/>
            <w:noWrap/>
            <w:hideMark/>
          </w:tcPr>
          <w:p w14:paraId="032144D5" w14:textId="52A03CB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190,492</w:t>
            </w:r>
          </w:p>
        </w:tc>
      </w:tr>
      <w:tr w:rsidR="004452EA" w:rsidRPr="006D6FD8" w14:paraId="65EC1814" w14:textId="77777777" w:rsidTr="00E0135F">
        <w:trPr>
          <w:trHeight w:val="255"/>
        </w:trPr>
        <w:tc>
          <w:tcPr>
            <w:tcW w:w="3679" w:type="dxa"/>
            <w:noWrap/>
            <w:hideMark/>
          </w:tcPr>
          <w:p w14:paraId="57BC892B" w14:textId="77777777" w:rsidR="00B5493C" w:rsidRPr="006D6FD8" w:rsidRDefault="00B5493C" w:rsidP="00135EE0">
            <w:pPr>
              <w:spacing w:after="120"/>
              <w:contextualSpacing/>
              <w:rPr>
                <w:rFonts w:ascii="Arial Narrow" w:hAnsi="Arial Narrow"/>
                <w:snapToGrid w:val="0"/>
                <w:sz w:val="20"/>
                <w:szCs w:val="20"/>
              </w:rPr>
            </w:pPr>
            <w:r w:rsidRPr="006D6FD8">
              <w:rPr>
                <w:rFonts w:ascii="Arial Narrow" w:hAnsi="Arial Narrow"/>
                <w:snapToGrid w:val="0"/>
                <w:sz w:val="20"/>
                <w:szCs w:val="20"/>
              </w:rPr>
              <w:t>Fluticasone furoate + umeclidinium + vilanterol (item codes 11379X and 14346C)</w:t>
            </w:r>
          </w:p>
        </w:tc>
        <w:tc>
          <w:tcPr>
            <w:tcW w:w="2058" w:type="dxa"/>
            <w:noWrap/>
            <w:hideMark/>
          </w:tcPr>
          <w:p w14:paraId="76E70871" w14:textId="29933D3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21,475</w:t>
            </w:r>
          </w:p>
        </w:tc>
        <w:tc>
          <w:tcPr>
            <w:tcW w:w="1828" w:type="dxa"/>
            <w:noWrap/>
            <w:hideMark/>
          </w:tcPr>
          <w:p w14:paraId="183BBE61" w14:textId="5727F4B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97,187</w:t>
            </w:r>
          </w:p>
        </w:tc>
        <w:tc>
          <w:tcPr>
            <w:tcW w:w="1445" w:type="dxa"/>
            <w:noWrap/>
            <w:hideMark/>
          </w:tcPr>
          <w:p w14:paraId="4703554C" w14:textId="7B1B08A7" w:rsidR="00B5493C" w:rsidRPr="006E14BC" w:rsidRDefault="00B5493C" w:rsidP="00135EE0">
            <w:pPr>
              <w:spacing w:after="120"/>
              <w:contextualSpacing/>
              <w:jc w:val="center"/>
              <w:rPr>
                <w:rFonts w:ascii="Arial Narrow" w:hAnsi="Arial Narrow"/>
                <w:snapToGrid w:val="0"/>
                <w:sz w:val="20"/>
                <w:szCs w:val="20"/>
                <w:vertAlign w:val="superscript"/>
              </w:rPr>
            </w:pPr>
            <w:r w:rsidRPr="006E14BC">
              <w:rPr>
                <w:rFonts w:ascii="Arial Narrow" w:hAnsi="Arial Narrow"/>
                <w:snapToGrid w:val="0"/>
                <w:sz w:val="20"/>
                <w:szCs w:val="20"/>
              </w:rPr>
              <w:t>574,819</w:t>
            </w:r>
          </w:p>
        </w:tc>
      </w:tr>
    </w:tbl>
    <w:p w14:paraId="2D649E71" w14:textId="77777777" w:rsidR="00B5493C" w:rsidRDefault="00B5493C" w:rsidP="00135EE0">
      <w:pPr>
        <w:spacing w:after="120"/>
        <w:contextualSpacing/>
        <w:rPr>
          <w:rFonts w:ascii="Arial Narrow" w:hAnsi="Arial Narrow"/>
          <w:snapToGrid w:val="0"/>
          <w:sz w:val="18"/>
          <w:szCs w:val="18"/>
        </w:rPr>
      </w:pPr>
      <w:r w:rsidRPr="00D27683">
        <w:rPr>
          <w:rFonts w:ascii="Arial Narrow" w:hAnsi="Arial Narrow"/>
          <w:snapToGrid w:val="0"/>
          <w:sz w:val="18"/>
          <w:szCs w:val="18"/>
        </w:rPr>
        <w:t xml:space="preserve">Source: Authorities data and prescriptions data was extracted on the 9 February 2026 from the prescription database and Authorities database maintained by the Department of Health, Disability and Ageing, processed by Services Australia from between 1 January 2023 and 31 December 2025, respectively. Data were extracted based on the date of supply. The number of incident patients, prevalent patients, and scripts dispensed was determined by counting the number of people supplied at least one PBS prescription using person specific numbers (non-identifying) in the data for the </w:t>
      </w:r>
      <w:proofErr w:type="gramStart"/>
      <w:r w:rsidRPr="00D27683">
        <w:rPr>
          <w:rFonts w:ascii="Arial Narrow" w:hAnsi="Arial Narrow"/>
          <w:snapToGrid w:val="0"/>
          <w:sz w:val="18"/>
          <w:szCs w:val="18"/>
        </w:rPr>
        <w:t>time period</w:t>
      </w:r>
      <w:proofErr w:type="gramEnd"/>
      <w:r w:rsidRPr="00D27683">
        <w:rPr>
          <w:rFonts w:ascii="Arial Narrow" w:hAnsi="Arial Narrow"/>
          <w:snapToGrid w:val="0"/>
          <w:sz w:val="18"/>
          <w:szCs w:val="18"/>
        </w:rPr>
        <w:t xml:space="preserve"> 1 January 2023 and 31 December 2025. Patient initiation was defined as the date of supply of the first PBS or RPBS prescription.</w:t>
      </w:r>
    </w:p>
    <w:p w14:paraId="1E28569E" w14:textId="77777777" w:rsidR="00F151DB" w:rsidRPr="00897A0E" w:rsidRDefault="00F151DB" w:rsidP="00135EE0">
      <w:pPr>
        <w:spacing w:after="120"/>
        <w:contextualSpacing/>
        <w:rPr>
          <w:rFonts w:ascii="Arial Narrow" w:hAnsi="Arial Narrow"/>
          <w:i/>
          <w:iCs/>
          <w:snapToGrid w:val="0"/>
          <w:sz w:val="18"/>
          <w:szCs w:val="18"/>
        </w:rPr>
      </w:pPr>
    </w:p>
    <w:p w14:paraId="6809A36E" w14:textId="53829EC8" w:rsidR="00875604" w:rsidRDefault="00F21CDA" w:rsidP="00135EE0">
      <w:pPr>
        <w:pStyle w:val="3-BodyText"/>
        <w:rPr>
          <w:iCs/>
        </w:rPr>
      </w:pPr>
      <w:bookmarkStart w:id="173" w:name="_Ref222483631"/>
      <w:r w:rsidRPr="006D6FD8">
        <w:rPr>
          <w:iCs/>
        </w:rPr>
        <w:t xml:space="preserve">The Sub-Committees considered that revised financial estimates were required and suggested these could be provided in the pre-PBAC response. The Sub-Committees considered a market share approach based on the actual number of treated prevalent patients supplied triple therapy outlined in </w:t>
      </w:r>
      <w:r w:rsidRPr="006D6FD8">
        <w:rPr>
          <w:iCs/>
        </w:rPr>
        <w:fldChar w:fldCharType="begin"/>
      </w:r>
      <w:r w:rsidRPr="006D6FD8">
        <w:rPr>
          <w:iCs/>
        </w:rPr>
        <w:instrText xml:space="preserve"> REF _Ref221787710 \h  \* MERGEFORMAT </w:instrText>
      </w:r>
      <w:r w:rsidRPr="006D6FD8">
        <w:rPr>
          <w:iCs/>
        </w:rPr>
      </w:r>
      <w:r w:rsidRPr="006D6FD8">
        <w:rPr>
          <w:iCs/>
        </w:rPr>
        <w:fldChar w:fldCharType="separate"/>
      </w:r>
      <w:r w:rsidR="00EF635A" w:rsidRPr="00EF635A">
        <w:rPr>
          <w:iCs/>
        </w:rPr>
        <w:t>Table 21</w:t>
      </w:r>
      <w:r w:rsidRPr="006D6FD8">
        <w:rPr>
          <w:iCs/>
        </w:rPr>
        <w:fldChar w:fldCharType="end"/>
      </w:r>
      <w:r w:rsidRPr="006D6FD8">
        <w:rPr>
          <w:iCs/>
        </w:rPr>
        <w:t xml:space="preserve"> with an additional estimate for the open triple inhaled therapy population would be appropriate. The Sub-Committees advised that a linear projection to forecast the eligible population would be appropriate. The Sub-Committees considered the percentage of patients with </w:t>
      </w:r>
      <w:r w:rsidR="00283F86" w:rsidRPr="006D6FD8">
        <w:rPr>
          <w:iCs/>
        </w:rPr>
        <w:t>BEC</w:t>
      </w:r>
      <w:r w:rsidRPr="006D6FD8">
        <w:rPr>
          <w:iCs/>
        </w:rPr>
        <w:t xml:space="preserve"> ≥ 300 cells/µL from Hiles et al (2021) was likely appropriate. </w:t>
      </w:r>
      <w:r w:rsidR="004E396B" w:rsidRPr="006D6FD8">
        <w:rPr>
          <w:iCs/>
        </w:rPr>
        <w:t>The Sub-Committees considered</w:t>
      </w:r>
      <w:r w:rsidR="00201E43" w:rsidRPr="006D6FD8">
        <w:rPr>
          <w:iCs/>
        </w:rPr>
        <w:t xml:space="preserve"> that </w:t>
      </w:r>
      <w:r w:rsidR="005C5FAC" w:rsidRPr="006D6FD8">
        <w:rPr>
          <w:iCs/>
        </w:rPr>
        <w:t xml:space="preserve">as it </w:t>
      </w:r>
      <w:r w:rsidR="00084721" w:rsidRPr="006D6FD8">
        <w:rPr>
          <w:iCs/>
        </w:rPr>
        <w:t xml:space="preserve">was unclear how relevant the Benson et al (2019) study was to the Australian population </w:t>
      </w:r>
      <w:r w:rsidR="00F85375">
        <w:rPr>
          <w:iCs/>
        </w:rPr>
        <w:t xml:space="preserve">and </w:t>
      </w:r>
      <w:r w:rsidR="00201E43" w:rsidRPr="006D6FD8">
        <w:rPr>
          <w:iCs/>
        </w:rPr>
        <w:t xml:space="preserve">an alternative source to </w:t>
      </w:r>
      <w:r w:rsidR="00084721" w:rsidRPr="006D6FD8">
        <w:rPr>
          <w:iCs/>
        </w:rPr>
        <w:t>determine the</w:t>
      </w:r>
      <w:r w:rsidR="004E396B" w:rsidRPr="006D6FD8">
        <w:rPr>
          <w:iCs/>
        </w:rPr>
        <w:t xml:space="preserve"> </w:t>
      </w:r>
      <w:r w:rsidR="00201E43" w:rsidRPr="006D6FD8">
        <w:rPr>
          <w:iCs/>
        </w:rPr>
        <w:t>proportion at high risk of exacerbations</w:t>
      </w:r>
      <w:r w:rsidR="00084721" w:rsidRPr="006D6FD8">
        <w:rPr>
          <w:iCs/>
        </w:rPr>
        <w:t xml:space="preserve"> would like</w:t>
      </w:r>
      <w:r w:rsidR="009221A7" w:rsidRPr="006D6FD8">
        <w:rPr>
          <w:iCs/>
        </w:rPr>
        <w:t>ly be more appropriate</w:t>
      </w:r>
      <w:r w:rsidR="00201E43" w:rsidRPr="006D6FD8">
        <w:rPr>
          <w:iCs/>
        </w:rPr>
        <w:t xml:space="preserve">. </w:t>
      </w:r>
      <w:r w:rsidRPr="006D6FD8">
        <w:rPr>
          <w:iCs/>
        </w:rPr>
        <w:t>The Sub-Committees considered that compliance assumptions should be as outlined by the Sub-Committees in</w:t>
      </w:r>
      <w:r w:rsidR="000A14FD" w:rsidRPr="006D6FD8">
        <w:rPr>
          <w:iCs/>
        </w:rPr>
        <w:t xml:space="preserve"> </w:t>
      </w:r>
      <w:r w:rsidR="000A14FD" w:rsidRPr="006D6FD8">
        <w:rPr>
          <w:iCs/>
        </w:rPr>
        <w:fldChar w:fldCharType="begin"/>
      </w:r>
      <w:r w:rsidR="000A14FD" w:rsidRPr="006D6FD8">
        <w:rPr>
          <w:iCs/>
        </w:rPr>
        <w:instrText xml:space="preserve"> REF _Ref104805262 \h  \* MERGEFORMAT </w:instrText>
      </w:r>
      <w:r w:rsidR="000A14FD" w:rsidRPr="006D6FD8">
        <w:rPr>
          <w:iCs/>
        </w:rPr>
      </w:r>
      <w:r w:rsidR="000A14FD" w:rsidRPr="006D6FD8">
        <w:rPr>
          <w:iCs/>
        </w:rPr>
        <w:fldChar w:fldCharType="separate"/>
      </w:r>
      <w:r w:rsidR="00FA28CE" w:rsidRPr="00FA28CE">
        <w:rPr>
          <w:iCs/>
        </w:rPr>
        <w:t xml:space="preserve">Table </w:t>
      </w:r>
      <w:r w:rsidR="00FA28CE" w:rsidRPr="00FA28CE">
        <w:rPr>
          <w:iCs/>
          <w:noProof/>
        </w:rPr>
        <w:t>19</w:t>
      </w:r>
      <w:r w:rsidR="000A14FD" w:rsidRPr="006D6FD8">
        <w:rPr>
          <w:iCs/>
        </w:rPr>
        <w:fldChar w:fldCharType="end"/>
      </w:r>
      <w:r w:rsidRPr="006D6FD8">
        <w:rPr>
          <w:iCs/>
        </w:rPr>
        <w:t xml:space="preserve">. The Sub-Committees considered that sensitivity analyses </w:t>
      </w:r>
      <w:r w:rsidRPr="006D6FD8">
        <w:rPr>
          <w:iCs/>
        </w:rPr>
        <w:lastRenderedPageBreak/>
        <w:t xml:space="preserve">varying assumptions around the percentage of patients with </w:t>
      </w:r>
      <w:r w:rsidR="00283F86" w:rsidRPr="006D6FD8">
        <w:rPr>
          <w:iCs/>
        </w:rPr>
        <w:t>BEC</w:t>
      </w:r>
      <w:r w:rsidRPr="006D6FD8">
        <w:rPr>
          <w:iCs/>
        </w:rPr>
        <w:t xml:space="preserve"> ≥ 300 cells/µL along with those for compliance and uptake rates would also be informative.</w:t>
      </w:r>
      <w:bookmarkEnd w:id="173"/>
    </w:p>
    <w:p w14:paraId="7853C83E" w14:textId="762564BE" w:rsidR="0060066D" w:rsidRDefault="0060066D" w:rsidP="00135EE0">
      <w:pPr>
        <w:pStyle w:val="3-BodyText"/>
        <w:rPr>
          <w:iCs/>
        </w:rPr>
      </w:pPr>
      <w:bookmarkStart w:id="174" w:name="_Ref225352455"/>
      <w:r>
        <w:rPr>
          <w:iCs/>
        </w:rPr>
        <w:t xml:space="preserve">The pre-PBAC response </w:t>
      </w:r>
      <w:r w:rsidR="00502883">
        <w:rPr>
          <w:iCs/>
        </w:rPr>
        <w:t xml:space="preserve">provided revised </w:t>
      </w:r>
      <w:r w:rsidR="00E34299">
        <w:rPr>
          <w:iCs/>
        </w:rPr>
        <w:t>financial estimates which:</w:t>
      </w:r>
      <w:bookmarkEnd w:id="174"/>
    </w:p>
    <w:p w14:paraId="6FBEAC81" w14:textId="38F0BEC6" w:rsidR="00730F88" w:rsidRDefault="00730F88" w:rsidP="00135EE0">
      <w:pPr>
        <w:pStyle w:val="ListParagraph"/>
        <w:ind w:left="1134"/>
      </w:pPr>
      <w:r w:rsidRPr="008D5ECD">
        <w:t xml:space="preserve">Incorporated a linear projection, based on the 100% PBS data, to forecast the single triple inhaler therapy population. It was </w:t>
      </w:r>
      <w:r w:rsidR="002A40EC">
        <w:t>noted</w:t>
      </w:r>
      <w:r w:rsidRPr="008D5ECD">
        <w:t xml:space="preserve"> that the open triple therapy population (based on the PBS 10% sample)</w:t>
      </w:r>
      <w:r w:rsidR="00442DFE">
        <w:t xml:space="preserve"> </w:t>
      </w:r>
      <w:r w:rsidR="00E5488D">
        <w:t xml:space="preserve">had </w:t>
      </w:r>
      <w:r w:rsidR="00284889">
        <w:t xml:space="preserve">reduced significantly </w:t>
      </w:r>
      <w:r w:rsidR="002A40EC">
        <w:t>across time</w:t>
      </w:r>
      <w:r w:rsidR="00E0200D">
        <w:t xml:space="preserve"> with the introduction of single inhaler triple therapy. </w:t>
      </w:r>
      <w:r w:rsidR="00B93537">
        <w:t xml:space="preserve">A trend of </w:t>
      </w:r>
      <w:r w:rsidR="004A6CBF">
        <w:t xml:space="preserve">decreasing open triple therapy was assumed </w:t>
      </w:r>
      <w:r w:rsidR="00B45555">
        <w:t xml:space="preserve">with an additional open triple inhaled therapy population </w:t>
      </w:r>
      <w:r w:rsidR="00AF3693">
        <w:t xml:space="preserve">included </w:t>
      </w:r>
      <w:r w:rsidR="00B45555">
        <w:t xml:space="preserve">in Year 1 only. </w:t>
      </w:r>
    </w:p>
    <w:p w14:paraId="25C17A19" w14:textId="0BC3FD02" w:rsidR="004B09AC" w:rsidRDefault="006877F3" w:rsidP="00135EE0">
      <w:pPr>
        <w:pStyle w:val="ListParagraph"/>
        <w:ind w:left="1134"/>
      </w:pPr>
      <w:r>
        <w:t xml:space="preserve">Continued to include </w:t>
      </w:r>
      <w:r w:rsidR="00656EED">
        <w:t xml:space="preserve">an adjustment </w:t>
      </w:r>
      <w:r w:rsidR="00845597">
        <w:t>(</w:t>
      </w:r>
      <w:r w:rsidR="003C172C" w:rsidRPr="003C172C">
        <w:rPr>
          <w:sz w:val="2"/>
          <w:highlight w:val="black"/>
        </w:rPr>
        <w:t>redacted content</w:t>
      </w:r>
      <w:r w:rsidR="00845597">
        <w:t>% increase</w:t>
      </w:r>
      <w:r w:rsidR="00740F63">
        <w:t xml:space="preserve"> in </w:t>
      </w:r>
      <w:r w:rsidR="00496115">
        <w:t>pro</w:t>
      </w:r>
      <w:r w:rsidR="00481B32">
        <w:t xml:space="preserve">jected number of </w:t>
      </w:r>
      <w:r w:rsidR="00F23B0F">
        <w:t xml:space="preserve">COPD patients on triple therapy) to </w:t>
      </w:r>
      <w:r w:rsidR="008F3D4D">
        <w:t xml:space="preserve">account for </w:t>
      </w:r>
      <w:r w:rsidR="00A705DF">
        <w:t xml:space="preserve">patients who are indicated for triple therapy but </w:t>
      </w:r>
      <w:r w:rsidR="00F32730">
        <w:t xml:space="preserve">are using </w:t>
      </w:r>
      <w:r w:rsidR="00C111CB">
        <w:t xml:space="preserve">dual therapy due to intolerance to LAMA, LABA or ICS component. </w:t>
      </w:r>
    </w:p>
    <w:p w14:paraId="6E58F542" w14:textId="5B738C68" w:rsidR="00943BC1" w:rsidRPr="008D5ECD" w:rsidRDefault="00943BC1" w:rsidP="00135EE0">
      <w:pPr>
        <w:pStyle w:val="ListParagraph"/>
        <w:ind w:left="1134"/>
      </w:pPr>
      <w:r>
        <w:t xml:space="preserve">Continued to use </w:t>
      </w:r>
      <w:r w:rsidR="00627755" w:rsidRPr="006D6FD8">
        <w:rPr>
          <w:iCs/>
        </w:rPr>
        <w:t>Benson et al (2019)</w:t>
      </w:r>
      <w:r w:rsidR="00C82581">
        <w:rPr>
          <w:iCs/>
        </w:rPr>
        <w:t xml:space="preserve"> to determine</w:t>
      </w:r>
      <w:r w:rsidR="00375859">
        <w:rPr>
          <w:iCs/>
        </w:rPr>
        <w:t xml:space="preserve"> the</w:t>
      </w:r>
      <w:r w:rsidR="00197175">
        <w:rPr>
          <w:iCs/>
        </w:rPr>
        <w:t xml:space="preserve"> percentage of patients</w:t>
      </w:r>
      <w:r w:rsidR="00197175" w:rsidRPr="006D6FD8">
        <w:t xml:space="preserve"> </w:t>
      </w:r>
      <w:r w:rsidR="00197175">
        <w:t>on triple inhaled therapy who have experienced</w:t>
      </w:r>
      <w:r w:rsidR="00197175" w:rsidRPr="006D6FD8">
        <w:t xml:space="preserve"> ≥ 2 moderate or ≥ 1 severe exacerbation</w:t>
      </w:r>
      <w:r w:rsidR="00197175">
        <w:t>s</w:t>
      </w:r>
      <w:r w:rsidR="00197175" w:rsidRPr="006D6FD8">
        <w:t xml:space="preserve"> </w:t>
      </w:r>
      <w:r w:rsidR="00197175">
        <w:t>in</w:t>
      </w:r>
      <w:r w:rsidR="00197175" w:rsidRPr="006D6FD8">
        <w:t xml:space="preserve"> the past 12 months</w:t>
      </w:r>
      <w:r w:rsidR="00FD614E">
        <w:t xml:space="preserve">. </w:t>
      </w:r>
      <w:r w:rsidR="00AC6D31">
        <w:t xml:space="preserve">In the absence of an alternative source </w:t>
      </w:r>
      <w:r w:rsidR="008E305C">
        <w:t xml:space="preserve">suggested by the Sub-Committees the </w:t>
      </w:r>
      <w:r w:rsidR="00072948">
        <w:t xml:space="preserve">pre-PBAC response argued that the </w:t>
      </w:r>
      <w:r w:rsidR="003A61BC">
        <w:t>60.54% from Benson et al (2019) remained appropriate</w:t>
      </w:r>
      <w:r w:rsidR="00B473CC">
        <w:t xml:space="preserve">. The pre-PBAC response </w:t>
      </w:r>
      <w:r w:rsidR="006F4E14">
        <w:t>stated</w:t>
      </w:r>
      <w:r w:rsidR="00B473CC">
        <w:t xml:space="preserve"> that it was</w:t>
      </w:r>
      <w:r w:rsidR="00081664">
        <w:t xml:space="preserve"> the only study identified that adequately </w:t>
      </w:r>
      <w:r w:rsidR="008C06CD">
        <w:t>informs the eligibility pro</w:t>
      </w:r>
      <w:r w:rsidR="00E62F57">
        <w:t xml:space="preserve">portions across the progressively enriched </w:t>
      </w:r>
      <w:r w:rsidR="0043055C">
        <w:t xml:space="preserve">cohorts in the financial model. </w:t>
      </w:r>
    </w:p>
    <w:p w14:paraId="63478747" w14:textId="103F4BF5" w:rsidR="00E34299" w:rsidRDefault="00730F88" w:rsidP="00135EE0">
      <w:pPr>
        <w:pStyle w:val="ListParagraph"/>
        <w:ind w:left="1134"/>
      </w:pPr>
      <w:r w:rsidRPr="008D5ECD">
        <w:t xml:space="preserve">Decreased the percentage of patients with EOS ≥ 300µL </w:t>
      </w:r>
      <w:r w:rsidR="004B09AC">
        <w:t xml:space="preserve">from 45.9% to 40.94% based on a </w:t>
      </w:r>
      <w:r w:rsidR="00D50F41">
        <w:t>weighted average across Benson et al</w:t>
      </w:r>
      <w:r w:rsidR="00627755">
        <w:t xml:space="preserve"> (</w:t>
      </w:r>
      <w:r w:rsidR="00D50F41">
        <w:t>2019</w:t>
      </w:r>
      <w:r w:rsidR="00627755">
        <w:t>)</w:t>
      </w:r>
      <w:r w:rsidR="00B56F26">
        <w:t>, Hiles et al</w:t>
      </w:r>
      <w:r w:rsidR="00627755">
        <w:t xml:space="preserve"> (</w:t>
      </w:r>
      <w:r w:rsidR="00B56F26">
        <w:t>2021</w:t>
      </w:r>
      <w:r w:rsidR="00627755">
        <w:t>)</w:t>
      </w:r>
      <w:r w:rsidR="00B56F26">
        <w:t xml:space="preserve"> and Menon et al</w:t>
      </w:r>
      <w:r w:rsidR="001E6D26">
        <w:t>. (submitted for publication) (see paragraph</w:t>
      </w:r>
      <w:r w:rsidR="00342B34">
        <w:t xml:space="preserve"> </w:t>
      </w:r>
      <w:r w:rsidR="00342B34">
        <w:fldChar w:fldCharType="begin"/>
      </w:r>
      <w:r w:rsidR="00342B34">
        <w:instrText xml:space="preserve"> REF _Ref225068064 \r \h </w:instrText>
      </w:r>
      <w:r w:rsidR="00342B34">
        <w:fldChar w:fldCharType="separate"/>
      </w:r>
      <w:r w:rsidR="005D45D2">
        <w:t>6.64</w:t>
      </w:r>
      <w:r w:rsidR="00342B34">
        <w:fldChar w:fldCharType="end"/>
      </w:r>
      <w:r w:rsidR="00342B34">
        <w:t>)</w:t>
      </w:r>
      <w:r w:rsidR="00093750">
        <w:t>.</w:t>
      </w:r>
    </w:p>
    <w:p w14:paraId="129CB749" w14:textId="1C495DF9" w:rsidR="00E44E4A" w:rsidRDefault="005C1245" w:rsidP="00135EE0">
      <w:pPr>
        <w:pStyle w:val="ListParagraph"/>
        <w:ind w:left="1134"/>
      </w:pPr>
      <w:r>
        <w:t xml:space="preserve">Maintained that </w:t>
      </w:r>
      <w:r w:rsidR="001A5314">
        <w:t>the 98.7% compliance r</w:t>
      </w:r>
      <w:r w:rsidR="00BF72DF">
        <w:t>ate remained appropriate given a source was not provided for the 9</w:t>
      </w:r>
      <w:r w:rsidR="0022216E">
        <w:t xml:space="preserve">3% compliance rate </w:t>
      </w:r>
      <w:r w:rsidR="001219C0">
        <w:t xml:space="preserve">recommended by the Sub-Committees. </w:t>
      </w:r>
    </w:p>
    <w:p w14:paraId="18812066" w14:textId="1D3CF0F0" w:rsidR="001219C0" w:rsidRDefault="0066121A" w:rsidP="00135EE0">
      <w:pPr>
        <w:pStyle w:val="ListParagraph"/>
        <w:ind w:left="1134"/>
      </w:pPr>
      <w:r>
        <w:t>Updated treatment persistence rates to be consistent with the revised economic model p</w:t>
      </w:r>
      <w:r w:rsidR="00E462F2">
        <w:t>rovided with the pre-PBAC response</w:t>
      </w:r>
      <w:r w:rsidR="003079C1">
        <w:t xml:space="preserve"> (see </w:t>
      </w:r>
      <w:r w:rsidR="003079C1">
        <w:fldChar w:fldCharType="begin"/>
      </w:r>
      <w:r w:rsidR="003079C1">
        <w:instrText xml:space="preserve"> REF _Ref104805262 \h </w:instrText>
      </w:r>
      <w:r w:rsidR="003079C1">
        <w:fldChar w:fldCharType="separate"/>
      </w:r>
      <w:r w:rsidR="003079C1" w:rsidRPr="00D27683">
        <w:t xml:space="preserve">Table </w:t>
      </w:r>
      <w:r w:rsidR="003079C1">
        <w:rPr>
          <w:noProof/>
        </w:rPr>
        <w:t>19</w:t>
      </w:r>
      <w:r w:rsidR="003079C1">
        <w:fldChar w:fldCharType="end"/>
      </w:r>
      <w:r w:rsidR="003079C1">
        <w:t xml:space="preserve">). </w:t>
      </w:r>
    </w:p>
    <w:p w14:paraId="76A452BB" w14:textId="0F94D4C3" w:rsidR="00F552CC" w:rsidRDefault="00F552CC" w:rsidP="00135EE0">
      <w:pPr>
        <w:pStyle w:val="ListParagraph"/>
        <w:ind w:left="1134"/>
      </w:pPr>
      <w:r>
        <w:t>Incorporated a revised effective EMP of $</w:t>
      </w:r>
      <w:r w:rsidR="003C172C" w:rsidRPr="003C172C">
        <w:rPr>
          <w:sz w:val="2"/>
          <w:highlight w:val="black"/>
        </w:rPr>
        <w:t>redacted content</w:t>
      </w:r>
      <w:r>
        <w:t xml:space="preserve"> per 100 mg pre-filled pen. </w:t>
      </w:r>
    </w:p>
    <w:p w14:paraId="49BAA968" w14:textId="32FBA883" w:rsidR="00CA2668" w:rsidRPr="008D5ECD" w:rsidRDefault="003A4E87" w:rsidP="00135EE0">
      <w:pPr>
        <w:ind w:left="774"/>
      </w:pPr>
      <w:r>
        <w:t>Uptake rates in the re</w:t>
      </w:r>
      <w:r w:rsidR="00AD3287">
        <w:t>vised estimates submitted with the pre-PBAC response remained consistent with the submission base case</w:t>
      </w:r>
      <w:r w:rsidR="00EA2AC7">
        <w:t xml:space="preserve"> with </w:t>
      </w:r>
      <w:r w:rsidR="00153194">
        <w:t>rates applied cumulatively</w:t>
      </w:r>
      <w:r w:rsidR="003C55FA">
        <w:t>. The net cost</w:t>
      </w:r>
      <w:r w:rsidR="004A78E7">
        <w:t xml:space="preserve"> to the PBS/RP</w:t>
      </w:r>
      <w:r w:rsidR="004124DE">
        <w:t xml:space="preserve">BS </w:t>
      </w:r>
      <w:r w:rsidR="00443E62">
        <w:t xml:space="preserve">was reported as </w:t>
      </w:r>
      <w:r w:rsidR="00F93005">
        <w:t>$</w:t>
      </w:r>
      <w:r w:rsidR="00593C08">
        <w:t>100 million to &lt; $200 million</w:t>
      </w:r>
      <w:r w:rsidR="00F552CC">
        <w:t xml:space="preserve"> in Year 6 and </w:t>
      </w:r>
      <w:r w:rsidR="00BF6568">
        <w:t>$900 million to &lt; $1 billion</w:t>
      </w:r>
      <w:r w:rsidR="00727E2C">
        <w:t xml:space="preserve"> in the </w:t>
      </w:r>
      <w:r w:rsidR="00CA2668">
        <w:t xml:space="preserve">first 6 years of listing. </w:t>
      </w:r>
    </w:p>
    <w:p w14:paraId="0F3D1293" w14:textId="77777777" w:rsidR="00BF50CC" w:rsidRPr="00D27683" w:rsidRDefault="00BF50CC" w:rsidP="00135EE0">
      <w:pPr>
        <w:pStyle w:val="4-SubsectionHeading"/>
      </w:pPr>
      <w:bookmarkStart w:id="175" w:name="_Toc22897648"/>
      <w:bookmarkStart w:id="176" w:name="_Toc219884824"/>
      <w:r w:rsidRPr="00D27683">
        <w:t>Quality Use of Medicines</w:t>
      </w:r>
      <w:bookmarkEnd w:id="175"/>
      <w:bookmarkEnd w:id="176"/>
    </w:p>
    <w:p w14:paraId="34FE482D" w14:textId="17734404" w:rsidR="00BF50CC" w:rsidRPr="00D27683" w:rsidRDefault="00BF50CC" w:rsidP="00135EE0">
      <w:pPr>
        <w:pStyle w:val="3-BodyText"/>
      </w:pPr>
      <w:bookmarkStart w:id="177" w:name="_Toc22897649"/>
      <w:r w:rsidRPr="00D27683">
        <w:t>The submission noted that it will conduct routine pharmacovigilance and risk minimisation activities. This was not described. Additional risk minimisation activities proposed by the submission include</w:t>
      </w:r>
      <w:r w:rsidR="0052482D">
        <w:t>d</w:t>
      </w:r>
      <w:r w:rsidRPr="00D27683">
        <w:t xml:space="preserve"> educational meetings for healthcare professionals, a patient support program, and administration videos. </w:t>
      </w:r>
      <w:r w:rsidR="009678E8" w:rsidRPr="006D6FD8">
        <w:rPr>
          <w:iCs/>
        </w:rPr>
        <w:t xml:space="preserve">The Sub-Committees noted that the submission assumed one nurse practitioner visit for 40 </w:t>
      </w:r>
      <w:r w:rsidR="009678E8" w:rsidRPr="006D6FD8">
        <w:rPr>
          <w:iCs/>
        </w:rPr>
        <w:lastRenderedPageBreak/>
        <w:t xml:space="preserve">minutes for patient education on administration and then all future treatments </w:t>
      </w:r>
      <w:r w:rsidR="000F38BF" w:rsidRPr="006D6FD8">
        <w:rPr>
          <w:iCs/>
        </w:rPr>
        <w:t xml:space="preserve">are </w:t>
      </w:r>
      <w:r w:rsidR="009678E8" w:rsidRPr="006D6FD8">
        <w:rPr>
          <w:iCs/>
        </w:rPr>
        <w:t>self-administered. The Sub-Committees considered that it is likely that repeat education on administration will be required for some patients</w:t>
      </w:r>
      <w:r w:rsidR="005B7595" w:rsidRPr="006D6FD8">
        <w:rPr>
          <w:iCs/>
        </w:rPr>
        <w:t xml:space="preserve"> and noted that there will be additional resources available</w:t>
      </w:r>
      <w:r w:rsidR="007B1371" w:rsidRPr="006D6FD8">
        <w:rPr>
          <w:iCs/>
        </w:rPr>
        <w:t xml:space="preserve"> through the patient support program.</w:t>
      </w:r>
    </w:p>
    <w:p w14:paraId="1A23B7B9" w14:textId="77777777" w:rsidR="00BF50CC" w:rsidRPr="00D27683" w:rsidRDefault="00BF50CC" w:rsidP="00135EE0">
      <w:pPr>
        <w:pStyle w:val="4-SubsectionHeading"/>
      </w:pPr>
      <w:bookmarkStart w:id="178" w:name="_Toc219884825"/>
      <w:r w:rsidRPr="00D27683">
        <w:t>Financial Management – Risk Sharing Arrangements</w:t>
      </w:r>
      <w:bookmarkEnd w:id="177"/>
      <w:bookmarkEnd w:id="178"/>
    </w:p>
    <w:p w14:paraId="674BF1B9" w14:textId="4B732E5D" w:rsidR="00BF50CC" w:rsidRDefault="00BF50CC" w:rsidP="00135EE0">
      <w:pPr>
        <w:pStyle w:val="3-BodyText"/>
      </w:pPr>
      <w:r w:rsidRPr="00D27683">
        <w:t xml:space="preserve">The submission did not present a risk-sharing </w:t>
      </w:r>
      <w:r w:rsidR="004761F7" w:rsidRPr="00D27683">
        <w:t>a</w:t>
      </w:r>
      <w:r w:rsidR="004761F7">
        <w:t>rrange</w:t>
      </w:r>
      <w:r w:rsidR="004761F7" w:rsidRPr="00D27683">
        <w:t>ment</w:t>
      </w:r>
      <w:r w:rsidRPr="00D27683">
        <w:t>.</w:t>
      </w:r>
      <w:r w:rsidR="000E6C29" w:rsidRPr="00D27683">
        <w:t xml:space="preserve"> </w:t>
      </w:r>
    </w:p>
    <w:p w14:paraId="10125308" w14:textId="77777777" w:rsidR="00940AEF" w:rsidRDefault="00940AEF" w:rsidP="00135EE0">
      <w:pPr>
        <w:pStyle w:val="3-BodyText"/>
        <w:numPr>
          <w:ilvl w:val="0"/>
          <w:numId w:val="0"/>
        </w:numPr>
        <w:ind w:left="720"/>
      </w:pPr>
    </w:p>
    <w:p w14:paraId="1429A5DB" w14:textId="3972ED3E" w:rsidR="00E21A10" w:rsidRDefault="00940AEF" w:rsidP="00135EE0">
      <w:pPr>
        <w:pStyle w:val="3-BodyText"/>
        <w:numPr>
          <w:ilvl w:val="0"/>
          <w:numId w:val="0"/>
        </w:numPr>
        <w:rPr>
          <w:i/>
        </w:rPr>
      </w:pPr>
      <w:r w:rsidRPr="00C33D30">
        <w:rPr>
          <w:i/>
        </w:rPr>
        <w:t>For more detail on PBAC’s view, see section 7 PBAC outcome.</w:t>
      </w:r>
    </w:p>
    <w:p w14:paraId="579FBA36" w14:textId="77777777" w:rsidR="008E48E9" w:rsidRPr="0090150D" w:rsidRDefault="008E48E9" w:rsidP="00135EE0">
      <w:pPr>
        <w:pStyle w:val="2-SectionHeading"/>
        <w:numPr>
          <w:ilvl w:val="0"/>
          <w:numId w:val="1"/>
        </w:numPr>
      </w:pPr>
      <w:bookmarkStart w:id="179" w:name="_Hlk76381249"/>
      <w:bookmarkStart w:id="180" w:name="_Hlk76377955"/>
      <w:r w:rsidRPr="0090150D">
        <w:t>PBAC Outcome</w:t>
      </w:r>
    </w:p>
    <w:p w14:paraId="06F9C6F9" w14:textId="183F4937" w:rsidR="005529D4" w:rsidRPr="0021743B" w:rsidRDefault="005529D4" w:rsidP="00135EE0">
      <w:pPr>
        <w:numPr>
          <w:ilvl w:val="1"/>
          <w:numId w:val="1"/>
        </w:numPr>
        <w:contextualSpacing/>
        <w:rPr>
          <w:rFonts w:asciiTheme="minorHAnsi" w:hAnsiTheme="minorHAnsi"/>
          <w:snapToGrid w:val="0"/>
          <w:lang w:val="en-GB"/>
        </w:rPr>
      </w:pPr>
      <w:r w:rsidRPr="005529D4">
        <w:rPr>
          <w:rFonts w:asciiTheme="minorHAnsi" w:hAnsiTheme="minorHAnsi"/>
          <w:snapToGrid w:val="0"/>
          <w:lang w:val="en-GB"/>
        </w:rPr>
        <w:t xml:space="preserve">The PBAC recommended the listing of mepolizumab as an add-on maintenance treatment for adults with uncontrolled chronic obstructive pulmonary disease (COPD) and type 2 inflammation (defined by the submission as blood eosinophil </w:t>
      </w:r>
      <w:r w:rsidR="008F5529">
        <w:rPr>
          <w:rFonts w:asciiTheme="minorHAnsi" w:hAnsiTheme="minorHAnsi"/>
          <w:snapToGrid w:val="0"/>
          <w:lang w:val="en-GB"/>
        </w:rPr>
        <w:t xml:space="preserve">count (BEC) </w:t>
      </w:r>
      <w:r w:rsidRPr="005529D4">
        <w:rPr>
          <w:rFonts w:asciiTheme="minorHAnsi" w:hAnsiTheme="minorHAnsi"/>
          <w:snapToGrid w:val="0"/>
          <w:lang w:val="en-GB"/>
        </w:rPr>
        <w:t xml:space="preserve">≥ 300 cells/µL). </w:t>
      </w:r>
      <w:r w:rsidR="004E4AD9">
        <w:rPr>
          <w:rFonts w:asciiTheme="minorHAnsi" w:hAnsiTheme="minorHAnsi"/>
          <w:snapToGrid w:val="0"/>
          <w:lang w:val="en-GB"/>
        </w:rPr>
        <w:t xml:space="preserve">The PBAC was satisfied </w:t>
      </w:r>
      <w:r w:rsidR="00C705C6">
        <w:rPr>
          <w:rFonts w:asciiTheme="minorHAnsi" w:hAnsiTheme="minorHAnsi"/>
          <w:snapToGrid w:val="0"/>
          <w:lang w:val="en-GB"/>
        </w:rPr>
        <w:t xml:space="preserve">that mepolizumab </w:t>
      </w:r>
      <w:r w:rsidR="00960200">
        <w:rPr>
          <w:rFonts w:asciiTheme="minorHAnsi" w:hAnsiTheme="minorHAnsi"/>
          <w:snapToGrid w:val="0"/>
          <w:lang w:val="en-GB"/>
        </w:rPr>
        <w:t xml:space="preserve">provides, for some patients, a significant improvement in efficacy over </w:t>
      </w:r>
      <w:r w:rsidR="007E6EA9" w:rsidRPr="00D27683">
        <w:t>triple inhaled therapy alone</w:t>
      </w:r>
      <w:r w:rsidR="00960200">
        <w:rPr>
          <w:rFonts w:asciiTheme="minorHAnsi" w:hAnsiTheme="minorHAnsi"/>
          <w:snapToGrid w:val="0"/>
          <w:lang w:val="en-GB"/>
        </w:rPr>
        <w:t xml:space="preserve">. </w:t>
      </w:r>
      <w:r w:rsidRPr="0021743B">
        <w:rPr>
          <w:rFonts w:asciiTheme="minorHAnsi" w:hAnsiTheme="minorHAnsi"/>
          <w:snapToGrid w:val="0"/>
          <w:lang w:val="en-GB"/>
        </w:rPr>
        <w:t xml:space="preserve">The PBAC </w:t>
      </w:r>
      <w:r w:rsidR="000F3060" w:rsidRPr="0021743B">
        <w:rPr>
          <w:rFonts w:asciiTheme="minorHAnsi" w:hAnsiTheme="minorHAnsi"/>
          <w:snapToGrid w:val="0"/>
          <w:lang w:val="en-GB"/>
        </w:rPr>
        <w:t>noted</w:t>
      </w:r>
      <w:r w:rsidRPr="0021743B">
        <w:rPr>
          <w:rFonts w:asciiTheme="minorHAnsi" w:hAnsiTheme="minorHAnsi"/>
          <w:snapToGrid w:val="0"/>
          <w:lang w:val="en-GB"/>
        </w:rPr>
        <w:t xml:space="preserve"> that mepolizumab </w:t>
      </w:r>
      <w:r w:rsidR="00C30275" w:rsidRPr="0021743B">
        <w:rPr>
          <w:rFonts w:asciiTheme="minorHAnsi" w:hAnsiTheme="minorHAnsi"/>
          <w:snapToGrid w:val="0"/>
          <w:lang w:val="en-GB"/>
        </w:rPr>
        <w:t>plus</w:t>
      </w:r>
      <w:r w:rsidR="000F3060" w:rsidRPr="0021743B">
        <w:rPr>
          <w:rFonts w:asciiTheme="minorHAnsi" w:hAnsiTheme="minorHAnsi"/>
          <w:snapToGrid w:val="0"/>
          <w:lang w:val="en-GB"/>
        </w:rPr>
        <w:t xml:space="preserve"> triple inhaled therapy </w:t>
      </w:r>
      <w:r w:rsidR="00256856" w:rsidRPr="0021743B">
        <w:rPr>
          <w:rFonts w:asciiTheme="minorHAnsi" w:hAnsiTheme="minorHAnsi"/>
          <w:snapToGrid w:val="0"/>
          <w:lang w:val="en-GB"/>
        </w:rPr>
        <w:t>significantly</w:t>
      </w:r>
      <w:r w:rsidR="000F3060" w:rsidRPr="0021743B">
        <w:rPr>
          <w:rFonts w:asciiTheme="minorHAnsi" w:hAnsiTheme="minorHAnsi"/>
          <w:snapToGrid w:val="0"/>
          <w:lang w:val="en-GB"/>
        </w:rPr>
        <w:t xml:space="preserve"> </w:t>
      </w:r>
      <w:r w:rsidR="00CF40A0" w:rsidRPr="0021743B">
        <w:rPr>
          <w:rFonts w:asciiTheme="minorHAnsi" w:hAnsiTheme="minorHAnsi"/>
          <w:snapToGrid w:val="0"/>
          <w:lang w:val="en-GB"/>
        </w:rPr>
        <w:t>reduced the</w:t>
      </w:r>
      <w:r w:rsidR="00053EAD" w:rsidRPr="0021743B">
        <w:rPr>
          <w:rFonts w:asciiTheme="minorHAnsi" w:hAnsiTheme="minorHAnsi"/>
          <w:snapToGrid w:val="0"/>
          <w:lang w:val="en-GB"/>
        </w:rPr>
        <w:t xml:space="preserve"> annualised</w:t>
      </w:r>
      <w:r w:rsidR="00CF40A0" w:rsidRPr="0021743B">
        <w:rPr>
          <w:rFonts w:asciiTheme="minorHAnsi" w:hAnsiTheme="minorHAnsi"/>
          <w:snapToGrid w:val="0"/>
          <w:lang w:val="en-GB"/>
        </w:rPr>
        <w:t xml:space="preserve"> rate </w:t>
      </w:r>
      <w:r w:rsidR="00E54E3B" w:rsidRPr="0021743B">
        <w:rPr>
          <w:rFonts w:asciiTheme="minorHAnsi" w:hAnsiTheme="minorHAnsi"/>
          <w:snapToGrid w:val="0"/>
          <w:lang w:val="en-GB"/>
        </w:rPr>
        <w:t>of</w:t>
      </w:r>
      <w:r w:rsidR="00CF40A0" w:rsidRPr="0021743B">
        <w:rPr>
          <w:rFonts w:asciiTheme="minorHAnsi" w:hAnsiTheme="minorHAnsi"/>
          <w:snapToGrid w:val="0"/>
          <w:lang w:val="en-GB"/>
        </w:rPr>
        <w:t xml:space="preserve"> </w:t>
      </w:r>
      <w:r w:rsidR="00CF40A0">
        <w:t>moderate</w:t>
      </w:r>
      <w:r w:rsidR="00E54E3B">
        <w:t>/</w:t>
      </w:r>
      <w:r w:rsidR="00CF40A0">
        <w:t>severe exacerbation</w:t>
      </w:r>
      <w:r w:rsidR="00E54E3B">
        <w:t>s</w:t>
      </w:r>
      <w:r w:rsidR="00CF40A0">
        <w:t xml:space="preserve"> </w:t>
      </w:r>
      <w:r w:rsidR="00DA2455">
        <w:t xml:space="preserve">and </w:t>
      </w:r>
      <w:r w:rsidR="00CD328A">
        <w:t xml:space="preserve">significantly </w:t>
      </w:r>
      <w:r w:rsidR="00DA2455">
        <w:t xml:space="preserve">extended the time to </w:t>
      </w:r>
      <w:r w:rsidR="00673939">
        <w:t>the</w:t>
      </w:r>
      <w:r w:rsidR="00DA2455">
        <w:t xml:space="preserve"> </w:t>
      </w:r>
      <w:r w:rsidR="002132CC">
        <w:t xml:space="preserve">first occurrence of </w:t>
      </w:r>
      <w:r w:rsidR="003B52A2">
        <w:t xml:space="preserve">a </w:t>
      </w:r>
      <w:r w:rsidR="002132CC">
        <w:t>moderate/severe ex</w:t>
      </w:r>
      <w:r w:rsidR="00C2077D">
        <w:t>acerbation</w:t>
      </w:r>
      <w:r w:rsidR="00CF40A0">
        <w:t xml:space="preserve"> compared to </w:t>
      </w:r>
      <w:r w:rsidR="000F3060">
        <w:t>triple inhaled therapy alone</w:t>
      </w:r>
      <w:r w:rsidR="000F3060" w:rsidRPr="0021743B">
        <w:rPr>
          <w:rFonts w:asciiTheme="minorHAnsi" w:hAnsiTheme="minorHAnsi"/>
          <w:snapToGrid w:val="0"/>
          <w:lang w:val="en-GB"/>
        </w:rPr>
        <w:t xml:space="preserve">, </w:t>
      </w:r>
      <w:r w:rsidR="00CF40A0" w:rsidRPr="0021743B">
        <w:rPr>
          <w:rFonts w:asciiTheme="minorHAnsi" w:hAnsiTheme="minorHAnsi"/>
          <w:snapToGrid w:val="0"/>
          <w:lang w:val="en-GB"/>
        </w:rPr>
        <w:t xml:space="preserve">however noted that the magnitude of benefit was subject to some uncertainty. </w:t>
      </w:r>
      <w:r w:rsidRPr="0021743B">
        <w:rPr>
          <w:rFonts w:asciiTheme="minorHAnsi" w:hAnsiTheme="minorHAnsi"/>
          <w:snapToGrid w:val="0"/>
          <w:lang w:val="en-GB"/>
        </w:rPr>
        <w:t xml:space="preserve">The PBAC considered that the incremental cost-effectiveness ratio (ICER) was high </w:t>
      </w:r>
      <w:r w:rsidR="005D30CA" w:rsidRPr="0021743B">
        <w:rPr>
          <w:rFonts w:asciiTheme="minorHAnsi" w:hAnsiTheme="minorHAnsi"/>
          <w:snapToGrid w:val="0"/>
          <w:lang w:val="en-GB"/>
        </w:rPr>
        <w:t>and uncertain</w:t>
      </w:r>
      <w:r w:rsidR="00481CFD" w:rsidRPr="0021743B">
        <w:rPr>
          <w:rFonts w:asciiTheme="minorHAnsi" w:hAnsiTheme="minorHAnsi"/>
          <w:snapToGrid w:val="0"/>
          <w:lang w:val="en-GB"/>
        </w:rPr>
        <w:t xml:space="preserve"> </w:t>
      </w:r>
      <w:r w:rsidR="003F1768">
        <w:rPr>
          <w:rFonts w:asciiTheme="minorHAnsi" w:hAnsiTheme="minorHAnsi"/>
          <w:snapToGrid w:val="0"/>
          <w:lang w:val="en-GB"/>
        </w:rPr>
        <w:t>however</w:t>
      </w:r>
      <w:r w:rsidR="003F1768" w:rsidRPr="0021743B">
        <w:rPr>
          <w:rFonts w:asciiTheme="minorHAnsi" w:hAnsiTheme="minorHAnsi"/>
          <w:snapToGrid w:val="0"/>
          <w:lang w:val="en-GB"/>
        </w:rPr>
        <w:t xml:space="preserve"> </w:t>
      </w:r>
      <w:r w:rsidR="006C1D63" w:rsidRPr="0021743B">
        <w:rPr>
          <w:rFonts w:asciiTheme="minorHAnsi" w:hAnsiTheme="minorHAnsi"/>
          <w:snapToGrid w:val="0"/>
          <w:lang w:val="en-GB"/>
        </w:rPr>
        <w:t>that</w:t>
      </w:r>
      <w:r w:rsidRPr="0021743B">
        <w:rPr>
          <w:rFonts w:asciiTheme="minorHAnsi" w:hAnsiTheme="minorHAnsi"/>
          <w:snapToGrid w:val="0"/>
          <w:lang w:val="en-GB"/>
        </w:rPr>
        <w:t xml:space="preserve"> </w:t>
      </w:r>
      <w:r w:rsidR="006A0465">
        <w:rPr>
          <w:rFonts w:asciiTheme="minorHAnsi" w:hAnsiTheme="minorHAnsi"/>
          <w:snapToGrid w:val="0"/>
          <w:lang w:val="en-GB"/>
        </w:rPr>
        <w:t>with revisions to the</w:t>
      </w:r>
      <w:r w:rsidR="008E5F98">
        <w:rPr>
          <w:rFonts w:asciiTheme="minorHAnsi" w:hAnsiTheme="minorHAnsi"/>
          <w:snapToGrid w:val="0"/>
          <w:lang w:val="en-GB"/>
        </w:rPr>
        <w:t xml:space="preserve"> economic</w:t>
      </w:r>
      <w:r w:rsidR="006A0465">
        <w:rPr>
          <w:rFonts w:asciiTheme="minorHAnsi" w:hAnsiTheme="minorHAnsi"/>
          <w:snapToGrid w:val="0"/>
          <w:lang w:val="en-GB"/>
        </w:rPr>
        <w:t xml:space="preserve"> </w:t>
      </w:r>
      <w:r w:rsidR="00705511">
        <w:rPr>
          <w:rFonts w:asciiTheme="minorHAnsi" w:hAnsiTheme="minorHAnsi"/>
          <w:snapToGrid w:val="0"/>
          <w:lang w:val="en-GB"/>
        </w:rPr>
        <w:t>model</w:t>
      </w:r>
      <w:r w:rsidR="00E211EE">
        <w:rPr>
          <w:rFonts w:asciiTheme="minorHAnsi" w:hAnsiTheme="minorHAnsi"/>
          <w:snapToGrid w:val="0"/>
          <w:lang w:val="en-GB"/>
        </w:rPr>
        <w:t xml:space="preserve"> and</w:t>
      </w:r>
      <w:r w:rsidRPr="0021743B">
        <w:rPr>
          <w:rFonts w:asciiTheme="minorHAnsi" w:hAnsiTheme="minorHAnsi"/>
          <w:snapToGrid w:val="0"/>
          <w:lang w:val="en-GB"/>
        </w:rPr>
        <w:t xml:space="preserve"> a price reduction</w:t>
      </w:r>
      <w:r w:rsidR="00910B9C" w:rsidRPr="0021743B">
        <w:rPr>
          <w:rFonts w:asciiTheme="minorHAnsi" w:hAnsiTheme="minorHAnsi"/>
          <w:snapToGrid w:val="0"/>
          <w:lang w:val="en-GB"/>
        </w:rPr>
        <w:t xml:space="preserve"> </w:t>
      </w:r>
      <w:r w:rsidRPr="0021743B">
        <w:rPr>
          <w:rFonts w:asciiTheme="minorHAnsi" w:hAnsiTheme="minorHAnsi"/>
          <w:snapToGrid w:val="0"/>
          <w:lang w:val="en-GB"/>
        </w:rPr>
        <w:t xml:space="preserve">mepolizumab </w:t>
      </w:r>
      <w:r w:rsidR="00E211EE">
        <w:rPr>
          <w:rFonts w:asciiTheme="minorHAnsi" w:hAnsiTheme="minorHAnsi"/>
          <w:snapToGrid w:val="0"/>
          <w:lang w:val="en-GB"/>
        </w:rPr>
        <w:t>could</w:t>
      </w:r>
      <w:r w:rsidRPr="0021743B">
        <w:rPr>
          <w:rFonts w:asciiTheme="minorHAnsi" w:hAnsiTheme="minorHAnsi"/>
          <w:snapToGrid w:val="0"/>
          <w:lang w:val="en-GB"/>
        </w:rPr>
        <w:t xml:space="preserve"> be considered cost-effective. The PBAC considered that further revisions to the financial estimates provided in the mepolizumab pre-PBAC </w:t>
      </w:r>
      <w:r w:rsidR="000F3060" w:rsidRPr="0021743B">
        <w:rPr>
          <w:rFonts w:asciiTheme="minorHAnsi" w:hAnsiTheme="minorHAnsi"/>
          <w:snapToGrid w:val="0"/>
          <w:lang w:val="en-GB"/>
        </w:rPr>
        <w:t>R</w:t>
      </w:r>
      <w:r w:rsidRPr="0021743B">
        <w:rPr>
          <w:rFonts w:asciiTheme="minorHAnsi" w:hAnsiTheme="minorHAnsi"/>
          <w:snapToGrid w:val="0"/>
          <w:lang w:val="en-GB"/>
        </w:rPr>
        <w:t>esponse were required. The PBAC considered that with these revisions</w:t>
      </w:r>
      <w:r w:rsidR="000F3060" w:rsidRPr="0021743B">
        <w:rPr>
          <w:rFonts w:asciiTheme="minorHAnsi" w:hAnsiTheme="minorHAnsi"/>
          <w:snapToGrid w:val="0"/>
          <w:lang w:val="en-GB"/>
        </w:rPr>
        <w:t xml:space="preserve">, </w:t>
      </w:r>
      <w:r w:rsidRPr="0021743B">
        <w:rPr>
          <w:rFonts w:asciiTheme="minorHAnsi" w:hAnsiTheme="minorHAnsi"/>
          <w:snapToGrid w:val="0"/>
          <w:lang w:val="en-GB"/>
        </w:rPr>
        <w:t xml:space="preserve">the remaining uncertainties could be managed </w:t>
      </w:r>
      <w:r w:rsidR="003A749F" w:rsidRPr="0021743B">
        <w:rPr>
          <w:rFonts w:asciiTheme="minorHAnsi" w:hAnsiTheme="minorHAnsi"/>
          <w:snapToGrid w:val="0"/>
          <w:lang w:val="en-GB"/>
        </w:rPr>
        <w:t xml:space="preserve">with </w:t>
      </w:r>
      <w:r w:rsidRPr="0021743B">
        <w:rPr>
          <w:rFonts w:asciiTheme="minorHAnsi" w:hAnsiTheme="minorHAnsi"/>
          <w:snapToGrid w:val="0"/>
          <w:lang w:val="en-GB"/>
        </w:rPr>
        <w:t>a risk sharing arrangement</w:t>
      </w:r>
      <w:r w:rsidR="000F3060" w:rsidRPr="0021743B">
        <w:rPr>
          <w:rFonts w:asciiTheme="minorHAnsi" w:hAnsiTheme="minorHAnsi"/>
          <w:snapToGrid w:val="0"/>
          <w:lang w:val="en-GB"/>
        </w:rPr>
        <w:t xml:space="preserve"> (RSA)</w:t>
      </w:r>
      <w:r w:rsidRPr="0021743B">
        <w:rPr>
          <w:rFonts w:asciiTheme="minorHAnsi" w:hAnsiTheme="minorHAnsi"/>
          <w:snapToGrid w:val="0"/>
          <w:lang w:val="en-GB"/>
        </w:rPr>
        <w:t xml:space="preserve">. </w:t>
      </w:r>
    </w:p>
    <w:p w14:paraId="59963661" w14:textId="19F9BC45" w:rsidR="00626AA3" w:rsidRPr="007603A3" w:rsidRDefault="005769A6" w:rsidP="00135EE0">
      <w:pPr>
        <w:pStyle w:val="3-BodyText"/>
        <w:numPr>
          <w:ilvl w:val="1"/>
          <w:numId w:val="1"/>
        </w:numPr>
        <w:contextualSpacing/>
        <w:rPr>
          <w:snapToGrid w:val="0"/>
          <w:lang w:val="en-GB"/>
        </w:rPr>
      </w:pPr>
      <w:r w:rsidRPr="00EB525C">
        <w:rPr>
          <w:snapToGrid w:val="0"/>
          <w:lang w:val="en-GB"/>
        </w:rPr>
        <w:t xml:space="preserve">The PBAC noted </w:t>
      </w:r>
      <w:r w:rsidR="0054575F" w:rsidRPr="00EB525C">
        <w:rPr>
          <w:iCs/>
        </w:rPr>
        <w:t>comments</w:t>
      </w:r>
      <w:r w:rsidR="00094AEC" w:rsidRPr="00EB525C">
        <w:rPr>
          <w:iCs/>
        </w:rPr>
        <w:t xml:space="preserve"> from individuals who would like access to mepolizumab, health care professionals and organisation</w:t>
      </w:r>
      <w:r w:rsidR="00653C45" w:rsidRPr="00EB525C">
        <w:rPr>
          <w:iCs/>
        </w:rPr>
        <w:t>s</w:t>
      </w:r>
      <w:r w:rsidR="001130FD" w:rsidRPr="00EB525C">
        <w:rPr>
          <w:iCs/>
        </w:rPr>
        <w:t xml:space="preserve"> </w:t>
      </w:r>
      <w:r w:rsidR="00A4012E" w:rsidRPr="00EB525C">
        <w:rPr>
          <w:iCs/>
        </w:rPr>
        <w:t xml:space="preserve">which </w:t>
      </w:r>
      <w:r w:rsidR="007F3638" w:rsidRPr="00EB525C">
        <w:rPr>
          <w:iCs/>
        </w:rPr>
        <w:t>express</w:t>
      </w:r>
      <w:r w:rsidR="004B0715" w:rsidRPr="00EB525C">
        <w:rPr>
          <w:iCs/>
        </w:rPr>
        <w:t>ed</w:t>
      </w:r>
      <w:r w:rsidR="009A4D0D" w:rsidRPr="00EB525C">
        <w:rPr>
          <w:iCs/>
        </w:rPr>
        <w:t xml:space="preserve"> </w:t>
      </w:r>
      <w:r w:rsidR="007F3638" w:rsidRPr="00EB525C">
        <w:rPr>
          <w:iCs/>
        </w:rPr>
        <w:t>support for the proposed PBS listing of</w:t>
      </w:r>
      <w:r w:rsidR="004F30BF" w:rsidRPr="00EB525C">
        <w:rPr>
          <w:iCs/>
        </w:rPr>
        <w:t xml:space="preserve"> mepolizumab. The comments </w:t>
      </w:r>
      <w:r w:rsidR="00E42817" w:rsidRPr="00EB525C">
        <w:rPr>
          <w:iCs/>
        </w:rPr>
        <w:t>highlighted</w:t>
      </w:r>
      <w:r w:rsidR="004F30BF" w:rsidRPr="00EB525C">
        <w:rPr>
          <w:iCs/>
        </w:rPr>
        <w:t xml:space="preserve"> that patients with COPD who continue to exacerbate despite optimised triple </w:t>
      </w:r>
      <w:r w:rsidR="009A4D0D" w:rsidRPr="00EB525C">
        <w:rPr>
          <w:iCs/>
        </w:rPr>
        <w:t xml:space="preserve">inhaled </w:t>
      </w:r>
      <w:r w:rsidR="004F30BF" w:rsidRPr="00EB525C">
        <w:rPr>
          <w:iCs/>
        </w:rPr>
        <w:t xml:space="preserve">therapy represent a group with </w:t>
      </w:r>
      <w:r w:rsidR="005718B0" w:rsidRPr="00EB525C">
        <w:rPr>
          <w:iCs/>
        </w:rPr>
        <w:t>a</w:t>
      </w:r>
      <w:r w:rsidR="00D950BE" w:rsidRPr="00EB525C">
        <w:rPr>
          <w:iCs/>
        </w:rPr>
        <w:t xml:space="preserve"> </w:t>
      </w:r>
      <w:r w:rsidR="00E41B7C" w:rsidRPr="00EB525C">
        <w:rPr>
          <w:iCs/>
        </w:rPr>
        <w:t>persisting</w:t>
      </w:r>
      <w:r w:rsidR="005718B0" w:rsidRPr="00EB525C">
        <w:rPr>
          <w:iCs/>
        </w:rPr>
        <w:t xml:space="preserve"> </w:t>
      </w:r>
      <w:r w:rsidR="00C023A7" w:rsidRPr="00EB525C">
        <w:rPr>
          <w:iCs/>
        </w:rPr>
        <w:t xml:space="preserve">unmet </w:t>
      </w:r>
      <w:r w:rsidR="004F30BF" w:rsidRPr="00EB525C">
        <w:rPr>
          <w:iCs/>
        </w:rPr>
        <w:t xml:space="preserve">clinical need, as ongoing exacerbations are strongly </w:t>
      </w:r>
      <w:r w:rsidR="009A4D0D" w:rsidRPr="00EB525C">
        <w:rPr>
          <w:iCs/>
        </w:rPr>
        <w:t>associated</w:t>
      </w:r>
      <w:r w:rsidR="004F30BF" w:rsidRPr="00EB525C">
        <w:rPr>
          <w:iCs/>
        </w:rPr>
        <w:t xml:space="preserve"> </w:t>
      </w:r>
      <w:r w:rsidR="009A4D0D" w:rsidRPr="00EB525C">
        <w:rPr>
          <w:iCs/>
        </w:rPr>
        <w:t>with</w:t>
      </w:r>
      <w:r w:rsidR="004F30BF" w:rsidRPr="00EB525C">
        <w:rPr>
          <w:iCs/>
        </w:rPr>
        <w:t xml:space="preserve"> accelerated disease progression.</w:t>
      </w:r>
      <w:r w:rsidR="004F30BF" w:rsidRPr="00EB525C">
        <w:rPr>
          <w:snapToGrid w:val="0"/>
          <w:lang w:val="en-GB"/>
        </w:rPr>
        <w:t xml:space="preserve"> </w:t>
      </w:r>
      <w:r w:rsidR="004E5639" w:rsidRPr="004F30BF">
        <w:rPr>
          <w:iCs/>
        </w:rPr>
        <w:t xml:space="preserve">Comments noted that </w:t>
      </w:r>
      <w:r w:rsidR="004E5639">
        <w:rPr>
          <w:iCs/>
        </w:rPr>
        <w:t>treatment options for this patient group remain limited and long-term use of oral corticosteroids carries substantial risks associated with toxicity.</w:t>
      </w:r>
      <w:r w:rsidR="004E5639">
        <w:rPr>
          <w:snapToGrid w:val="0"/>
          <w:lang w:val="en-GB"/>
        </w:rPr>
        <w:t xml:space="preserve"> </w:t>
      </w:r>
      <w:r w:rsidR="00F77752">
        <w:rPr>
          <w:snapToGrid w:val="0"/>
          <w:lang w:val="en-GB"/>
        </w:rPr>
        <w:t xml:space="preserve">Comments stated that </w:t>
      </w:r>
      <w:r w:rsidR="00F77752" w:rsidRPr="00791FCC">
        <w:rPr>
          <w:iCs/>
        </w:rPr>
        <w:t>exacerbations significantly limited daily function</w:t>
      </w:r>
      <w:r w:rsidR="00F77752">
        <w:rPr>
          <w:iCs/>
        </w:rPr>
        <w:t>ing</w:t>
      </w:r>
      <w:r w:rsidR="00F77752" w:rsidRPr="00791FCC">
        <w:rPr>
          <w:iCs/>
        </w:rPr>
        <w:t>, contributed to a reduced quality of life, and increase the likelihood of future events</w:t>
      </w:r>
      <w:r w:rsidR="00772BC6">
        <w:rPr>
          <w:iCs/>
        </w:rPr>
        <w:t>. The PBAC noted the input</w:t>
      </w:r>
      <w:r w:rsidR="00F77752" w:rsidRPr="00791FCC">
        <w:rPr>
          <w:iCs/>
        </w:rPr>
        <w:t xml:space="preserve"> highlight</w:t>
      </w:r>
      <w:r w:rsidR="00772BC6">
        <w:rPr>
          <w:iCs/>
        </w:rPr>
        <w:t>ed</w:t>
      </w:r>
      <w:r w:rsidR="00F77752" w:rsidRPr="00791FCC">
        <w:rPr>
          <w:iCs/>
        </w:rPr>
        <w:t xml:space="preserve"> the importance of additional treatment options, such as mepolizumab</w:t>
      </w:r>
      <w:r w:rsidR="00F77752">
        <w:rPr>
          <w:iCs/>
        </w:rPr>
        <w:t>,</w:t>
      </w:r>
      <w:r w:rsidR="00F77752" w:rsidRPr="00791FCC">
        <w:rPr>
          <w:iCs/>
        </w:rPr>
        <w:t xml:space="preserve"> to help manage disease burden, reduce reliance on oral corticosteroids</w:t>
      </w:r>
      <w:r w:rsidR="00F77752">
        <w:rPr>
          <w:iCs/>
        </w:rPr>
        <w:t>,</w:t>
      </w:r>
      <w:r w:rsidR="00F77752" w:rsidRPr="00791FCC">
        <w:rPr>
          <w:iCs/>
        </w:rPr>
        <w:t xml:space="preserve"> and ultimately improve long-term outcomes</w:t>
      </w:r>
      <w:r w:rsidR="00791FCC" w:rsidRPr="00EB525C">
        <w:rPr>
          <w:iCs/>
        </w:rPr>
        <w:t>.</w:t>
      </w:r>
      <w:r w:rsidR="00791FCC" w:rsidRPr="00EB525C">
        <w:rPr>
          <w:snapToGrid w:val="0"/>
          <w:lang w:val="en-GB"/>
        </w:rPr>
        <w:t xml:space="preserve"> </w:t>
      </w:r>
    </w:p>
    <w:p w14:paraId="69B504E1" w14:textId="00BAD198" w:rsidR="003D3FC8" w:rsidRPr="00EB525C" w:rsidRDefault="003D3FC8" w:rsidP="00135EE0">
      <w:pPr>
        <w:pStyle w:val="3-BodyText"/>
        <w:rPr>
          <w:snapToGrid w:val="0"/>
          <w:lang w:val="en-GB"/>
        </w:rPr>
      </w:pPr>
      <w:bookmarkStart w:id="181" w:name="_Ref225353016"/>
      <w:r w:rsidRPr="00EB525C">
        <w:rPr>
          <w:snapToGrid w:val="0"/>
          <w:lang w:val="en-GB"/>
        </w:rPr>
        <w:t xml:space="preserve">With respect to the proposed </w:t>
      </w:r>
      <w:r w:rsidRPr="001945E8">
        <w:t>restriction</w:t>
      </w:r>
      <w:r w:rsidRPr="00EB525C">
        <w:rPr>
          <w:snapToGrid w:val="0"/>
          <w:lang w:val="en-GB"/>
        </w:rPr>
        <w:t>, the PBAC proposed that:</w:t>
      </w:r>
      <w:bookmarkEnd w:id="181"/>
    </w:p>
    <w:p w14:paraId="4C8F94AE" w14:textId="7C94931C" w:rsidR="00B336AE" w:rsidRPr="00B55078" w:rsidRDefault="00A606D2" w:rsidP="00135EE0">
      <w:pPr>
        <w:pStyle w:val="ListParagraph"/>
        <w:rPr>
          <w:lang w:val="en-GB"/>
        </w:rPr>
      </w:pPr>
      <w:r>
        <w:rPr>
          <w:lang w:val="en-GB"/>
        </w:rPr>
        <w:t xml:space="preserve">A Section </w:t>
      </w:r>
      <w:r w:rsidR="00B91CE2">
        <w:rPr>
          <w:lang w:val="en-GB"/>
        </w:rPr>
        <w:t xml:space="preserve">100, Highly Specialised Drug Program </w:t>
      </w:r>
      <w:r w:rsidR="009159DD">
        <w:rPr>
          <w:lang w:val="en-GB"/>
        </w:rPr>
        <w:t>Authority Required (</w:t>
      </w:r>
      <w:r w:rsidR="00BC7A67">
        <w:rPr>
          <w:lang w:val="en-GB"/>
        </w:rPr>
        <w:t>W</w:t>
      </w:r>
      <w:r w:rsidR="009159DD">
        <w:rPr>
          <w:lang w:val="en-GB"/>
        </w:rPr>
        <w:t>ritten</w:t>
      </w:r>
      <w:r w:rsidR="008F7F62">
        <w:rPr>
          <w:lang w:val="en-GB"/>
        </w:rPr>
        <w:t>) listing w</w:t>
      </w:r>
      <w:r w:rsidR="00B81E4A">
        <w:rPr>
          <w:lang w:val="en-GB"/>
        </w:rPr>
        <w:t>as</w:t>
      </w:r>
      <w:r w:rsidR="00B91CE2">
        <w:rPr>
          <w:lang w:val="en-GB"/>
        </w:rPr>
        <w:t xml:space="preserve"> appropriate</w:t>
      </w:r>
      <w:r w:rsidR="00B81E4A">
        <w:rPr>
          <w:lang w:val="en-GB"/>
        </w:rPr>
        <w:t xml:space="preserve"> for both the </w:t>
      </w:r>
      <w:r w:rsidR="00A06345">
        <w:rPr>
          <w:lang w:val="en-GB"/>
        </w:rPr>
        <w:t xml:space="preserve">Initial </w:t>
      </w:r>
      <w:r w:rsidR="00475C9D">
        <w:rPr>
          <w:lang w:val="en-GB"/>
        </w:rPr>
        <w:t>and Grandfather</w:t>
      </w:r>
      <w:r w:rsidR="007F768E">
        <w:rPr>
          <w:lang w:val="en-GB"/>
        </w:rPr>
        <w:t xml:space="preserve">ing treatment </w:t>
      </w:r>
      <w:r w:rsidR="007F768E">
        <w:rPr>
          <w:lang w:val="en-GB"/>
        </w:rPr>
        <w:lastRenderedPageBreak/>
        <w:t>phases. A Section 100, Highly Specialised Drugs Program Authority Required (</w:t>
      </w:r>
      <w:r w:rsidR="00BC7A67">
        <w:rPr>
          <w:lang w:val="en-GB"/>
        </w:rPr>
        <w:t>Telephone/Online) listing was</w:t>
      </w:r>
      <w:r w:rsidR="00177D61">
        <w:rPr>
          <w:lang w:val="en-GB"/>
        </w:rPr>
        <w:t xml:space="preserve"> appropriate for the continuing treatment phase. </w:t>
      </w:r>
      <w:r w:rsidR="000553AB">
        <w:rPr>
          <w:lang w:val="en-GB"/>
        </w:rPr>
        <w:t xml:space="preserve">The </w:t>
      </w:r>
      <w:r w:rsidR="00B617FB">
        <w:rPr>
          <w:lang w:val="en-GB"/>
        </w:rPr>
        <w:t xml:space="preserve">initial treatment </w:t>
      </w:r>
      <w:r w:rsidR="00247A6F">
        <w:rPr>
          <w:lang w:val="en-GB"/>
        </w:rPr>
        <w:t xml:space="preserve">restriction should have 6 repeats </w:t>
      </w:r>
      <w:r w:rsidR="00F27F31">
        <w:rPr>
          <w:lang w:val="en-GB"/>
        </w:rPr>
        <w:t>with 5 rep</w:t>
      </w:r>
      <w:r w:rsidR="00FB5166">
        <w:rPr>
          <w:lang w:val="en-GB"/>
        </w:rPr>
        <w:t xml:space="preserve">eats for the continuing and grandfathering treatment </w:t>
      </w:r>
      <w:r w:rsidR="001063AA">
        <w:rPr>
          <w:lang w:val="en-GB"/>
        </w:rPr>
        <w:t>phases</w:t>
      </w:r>
      <w:r w:rsidR="00FB5166">
        <w:rPr>
          <w:lang w:val="en-GB"/>
        </w:rPr>
        <w:t xml:space="preserve">. </w:t>
      </w:r>
    </w:p>
    <w:p w14:paraId="62826D0D" w14:textId="7296C416" w:rsidR="00960B69" w:rsidRPr="00B55078" w:rsidRDefault="00960B69" w:rsidP="00135EE0">
      <w:pPr>
        <w:pStyle w:val="ListParagraph"/>
        <w:rPr>
          <w:lang w:val="en-GB"/>
        </w:rPr>
      </w:pPr>
      <w:r>
        <w:rPr>
          <w:lang w:val="en-GB"/>
        </w:rPr>
        <w:t xml:space="preserve">The indication </w:t>
      </w:r>
      <w:r w:rsidR="003C58C6">
        <w:rPr>
          <w:lang w:val="en-GB"/>
        </w:rPr>
        <w:t xml:space="preserve">for treatment should be uncontrolled COPD. </w:t>
      </w:r>
    </w:p>
    <w:p w14:paraId="181649C5" w14:textId="33C16E3B" w:rsidR="00177D61" w:rsidRDefault="009C5EB0" w:rsidP="00135EE0">
      <w:pPr>
        <w:pStyle w:val="ListParagraph"/>
        <w:rPr>
          <w:lang w:val="en-GB"/>
        </w:rPr>
      </w:pPr>
      <w:r>
        <w:rPr>
          <w:lang w:val="en-GB"/>
        </w:rPr>
        <w:t>I</w:t>
      </w:r>
      <w:r w:rsidR="00182B2D">
        <w:rPr>
          <w:lang w:val="en-GB"/>
        </w:rPr>
        <w:t xml:space="preserve">nitial treatment criteria </w:t>
      </w:r>
      <w:r w:rsidR="00E63D3E">
        <w:rPr>
          <w:lang w:val="en-GB"/>
        </w:rPr>
        <w:t xml:space="preserve">requiring a patient to be </w:t>
      </w:r>
      <w:r w:rsidR="00E63D3E" w:rsidRPr="00E63D3E">
        <w:rPr>
          <w:lang w:val="en-GB"/>
        </w:rPr>
        <w:t>under the care of the same physician for at least 6 months</w:t>
      </w:r>
      <w:r w:rsidR="00E63D3E">
        <w:rPr>
          <w:lang w:val="en-GB"/>
        </w:rPr>
        <w:t xml:space="preserve"> or to have </w:t>
      </w:r>
      <w:r w:rsidR="00E63D3E" w:rsidRPr="00E63D3E">
        <w:rPr>
          <w:lang w:val="en-GB"/>
        </w:rPr>
        <w:t>been diagnosed with COPD by a multidisciplinary team</w:t>
      </w:r>
      <w:r w:rsidR="00E5698A">
        <w:rPr>
          <w:lang w:val="en-GB"/>
        </w:rPr>
        <w:t xml:space="preserve"> was not required.</w:t>
      </w:r>
    </w:p>
    <w:p w14:paraId="5D714F34" w14:textId="745AED9E" w:rsidR="006B6451" w:rsidRDefault="00AE3A24" w:rsidP="00135EE0">
      <w:pPr>
        <w:pStyle w:val="ListParagraph"/>
        <w:rPr>
          <w:lang w:val="en-GB"/>
        </w:rPr>
      </w:pPr>
      <w:r>
        <w:rPr>
          <w:lang w:val="en-GB"/>
        </w:rPr>
        <w:t>For p</w:t>
      </w:r>
      <w:r w:rsidR="003312B0">
        <w:rPr>
          <w:lang w:val="en-GB"/>
        </w:rPr>
        <w:t xml:space="preserve">atients who had not </w:t>
      </w:r>
      <w:r w:rsidR="001B7E01">
        <w:rPr>
          <w:lang w:val="en-GB"/>
        </w:rPr>
        <w:t>achieved</w:t>
      </w:r>
      <w:r w:rsidR="003312B0">
        <w:rPr>
          <w:lang w:val="en-GB"/>
        </w:rPr>
        <w:t xml:space="preserve"> or </w:t>
      </w:r>
      <w:r>
        <w:rPr>
          <w:lang w:val="en-GB"/>
        </w:rPr>
        <w:t xml:space="preserve">who had </w:t>
      </w:r>
      <w:r w:rsidR="003312B0">
        <w:rPr>
          <w:lang w:val="en-GB"/>
        </w:rPr>
        <w:t>not sustained a response to treatment</w:t>
      </w:r>
      <w:r w:rsidR="007C7A47">
        <w:rPr>
          <w:lang w:val="en-GB"/>
        </w:rPr>
        <w:t>,</w:t>
      </w:r>
      <w:r w:rsidR="003312B0">
        <w:rPr>
          <w:lang w:val="en-GB"/>
        </w:rPr>
        <w:t xml:space="preserve"> a re-trial </w:t>
      </w:r>
      <w:r w:rsidR="00A5220C">
        <w:rPr>
          <w:lang w:val="en-GB"/>
        </w:rPr>
        <w:t xml:space="preserve">after a </w:t>
      </w:r>
      <w:r w:rsidR="003312B0">
        <w:rPr>
          <w:lang w:val="en-GB"/>
        </w:rPr>
        <w:t>12-month</w:t>
      </w:r>
      <w:r w:rsidR="00A5220C">
        <w:rPr>
          <w:lang w:val="en-GB"/>
        </w:rPr>
        <w:t xml:space="preserve"> break</w:t>
      </w:r>
      <w:r w:rsidR="00E30D9C">
        <w:rPr>
          <w:lang w:val="en-GB"/>
        </w:rPr>
        <w:t xml:space="preserve"> was</w:t>
      </w:r>
      <w:r w:rsidR="003312B0">
        <w:rPr>
          <w:lang w:val="en-GB"/>
        </w:rPr>
        <w:t xml:space="preserve"> considered appropriate.</w:t>
      </w:r>
    </w:p>
    <w:p w14:paraId="56126F69" w14:textId="449A5170" w:rsidR="00E5698A" w:rsidRDefault="00B55078" w:rsidP="00135EE0">
      <w:pPr>
        <w:pStyle w:val="ListParagraph"/>
        <w:rPr>
          <w:lang w:val="en-GB"/>
        </w:rPr>
      </w:pPr>
      <w:r>
        <w:rPr>
          <w:lang w:val="en-GB"/>
        </w:rPr>
        <w:t>A</w:t>
      </w:r>
      <w:r w:rsidR="00585F85">
        <w:rPr>
          <w:lang w:val="en-GB"/>
        </w:rPr>
        <w:t xml:space="preserve">s per paragraph </w:t>
      </w:r>
      <w:r w:rsidR="00585F85">
        <w:rPr>
          <w:lang w:val="en-GB"/>
        </w:rPr>
        <w:fldChar w:fldCharType="begin"/>
      </w:r>
      <w:r w:rsidR="00585F85">
        <w:rPr>
          <w:lang w:val="en-GB"/>
        </w:rPr>
        <w:instrText xml:space="preserve"> REF _Ref224649050 \r \h </w:instrText>
      </w:r>
      <w:r w:rsidR="00585F85">
        <w:rPr>
          <w:lang w:val="en-GB"/>
        </w:rPr>
      </w:r>
      <w:r w:rsidR="00585F85">
        <w:rPr>
          <w:lang w:val="en-GB"/>
        </w:rPr>
        <w:fldChar w:fldCharType="separate"/>
      </w:r>
      <w:r w:rsidR="005D45D2">
        <w:rPr>
          <w:lang w:val="en-GB"/>
        </w:rPr>
        <w:t>3.2</w:t>
      </w:r>
      <w:r w:rsidR="00585F85">
        <w:rPr>
          <w:lang w:val="en-GB"/>
        </w:rPr>
        <w:fldChar w:fldCharType="end"/>
      </w:r>
      <w:r w:rsidR="00585F85">
        <w:rPr>
          <w:lang w:val="en-GB"/>
        </w:rPr>
        <w:t xml:space="preserve">, a </w:t>
      </w:r>
      <w:r w:rsidR="00E436D9">
        <w:rPr>
          <w:lang w:val="en-GB"/>
        </w:rPr>
        <w:t>BEC</w:t>
      </w:r>
      <w:r w:rsidR="00C33C18">
        <w:rPr>
          <w:lang w:val="en-GB"/>
        </w:rPr>
        <w:t xml:space="preserve"> of at least 300 cells</w:t>
      </w:r>
      <w:r w:rsidR="00467741" w:rsidRPr="005529D4">
        <w:rPr>
          <w:lang w:val="en-GB"/>
        </w:rPr>
        <w:t>/µL</w:t>
      </w:r>
      <w:r w:rsidR="00C33C18">
        <w:rPr>
          <w:lang w:val="en-GB"/>
        </w:rPr>
        <w:t xml:space="preserve"> in the 12 months prior to commencing treatment was appropriate. </w:t>
      </w:r>
    </w:p>
    <w:p w14:paraId="7EB131EC" w14:textId="1776E23B" w:rsidR="00AA7118" w:rsidRDefault="003869A4" w:rsidP="00135EE0">
      <w:pPr>
        <w:pStyle w:val="ListParagraph"/>
        <w:rPr>
          <w:lang w:val="en-GB"/>
        </w:rPr>
      </w:pPr>
      <w:r>
        <w:rPr>
          <w:lang w:val="en-GB"/>
        </w:rPr>
        <w:t xml:space="preserve">As per paragraph </w:t>
      </w:r>
      <w:r>
        <w:rPr>
          <w:lang w:val="en-GB"/>
        </w:rPr>
        <w:fldChar w:fldCharType="begin"/>
      </w:r>
      <w:r>
        <w:rPr>
          <w:lang w:val="en-GB"/>
        </w:rPr>
        <w:instrText xml:space="preserve"> REF _Ref225158596 \r \h </w:instrText>
      </w:r>
      <w:r>
        <w:rPr>
          <w:lang w:val="en-GB"/>
        </w:rPr>
      </w:r>
      <w:r>
        <w:rPr>
          <w:lang w:val="en-GB"/>
        </w:rPr>
        <w:fldChar w:fldCharType="separate"/>
      </w:r>
      <w:r w:rsidR="005D45D2">
        <w:rPr>
          <w:lang w:val="en-GB"/>
        </w:rPr>
        <w:t>3.3</w:t>
      </w:r>
      <w:r>
        <w:rPr>
          <w:lang w:val="en-GB"/>
        </w:rPr>
        <w:fldChar w:fldCharType="end"/>
      </w:r>
      <w:r>
        <w:rPr>
          <w:lang w:val="en-GB"/>
        </w:rPr>
        <w:t>, c</w:t>
      </w:r>
      <w:r w:rsidR="00C14C9F">
        <w:rPr>
          <w:lang w:val="en-GB"/>
        </w:rPr>
        <w:t xml:space="preserve">linical criteria specifying </w:t>
      </w:r>
      <w:r w:rsidR="00B324B9">
        <w:rPr>
          <w:lang w:val="en-GB"/>
        </w:rPr>
        <w:t xml:space="preserve">that </w:t>
      </w:r>
      <w:r w:rsidR="000B29A6">
        <w:rPr>
          <w:lang w:val="en-GB"/>
        </w:rPr>
        <w:t xml:space="preserve">patients must not have achieved adequate </w:t>
      </w:r>
      <w:r w:rsidR="00F966FF">
        <w:rPr>
          <w:lang w:val="en-GB"/>
        </w:rPr>
        <w:t>control with</w:t>
      </w:r>
      <w:r w:rsidR="000B29A6">
        <w:rPr>
          <w:lang w:val="en-GB"/>
        </w:rPr>
        <w:t xml:space="preserve"> </w:t>
      </w:r>
      <w:r w:rsidR="00242F76">
        <w:rPr>
          <w:lang w:val="en-GB"/>
        </w:rPr>
        <w:t xml:space="preserve">at least 3 months of </w:t>
      </w:r>
      <w:r w:rsidR="00DE726C">
        <w:rPr>
          <w:lang w:val="en-GB"/>
        </w:rPr>
        <w:t xml:space="preserve">an optimised triple </w:t>
      </w:r>
      <w:r w:rsidR="00A5782F">
        <w:rPr>
          <w:lang w:val="en-GB"/>
        </w:rPr>
        <w:t>inhaled</w:t>
      </w:r>
      <w:r w:rsidR="00DE726C">
        <w:rPr>
          <w:lang w:val="en-GB"/>
        </w:rPr>
        <w:t xml:space="preserve"> therapy </w:t>
      </w:r>
      <w:r w:rsidR="00B04040">
        <w:rPr>
          <w:lang w:val="en-GB"/>
        </w:rPr>
        <w:t xml:space="preserve">was required in both the initial and grandfathering treatment </w:t>
      </w:r>
      <w:r w:rsidR="001063AA">
        <w:rPr>
          <w:lang w:val="en-GB"/>
        </w:rPr>
        <w:t xml:space="preserve">phases. </w:t>
      </w:r>
      <w:r w:rsidR="00D93966">
        <w:rPr>
          <w:lang w:val="en-GB"/>
        </w:rPr>
        <w:t>T</w:t>
      </w:r>
      <w:r w:rsidR="002E3138">
        <w:rPr>
          <w:lang w:val="en-GB"/>
        </w:rPr>
        <w:t xml:space="preserve">riple </w:t>
      </w:r>
      <w:r w:rsidR="00A5782F">
        <w:rPr>
          <w:lang w:val="en-GB"/>
        </w:rPr>
        <w:t xml:space="preserve">inhaled </w:t>
      </w:r>
      <w:r w:rsidR="002E3138">
        <w:rPr>
          <w:lang w:val="en-GB"/>
        </w:rPr>
        <w:t xml:space="preserve">therapy </w:t>
      </w:r>
      <w:r w:rsidR="007830BC">
        <w:rPr>
          <w:lang w:val="en-GB"/>
        </w:rPr>
        <w:t xml:space="preserve">was considered to </w:t>
      </w:r>
      <w:r w:rsidR="00024B30">
        <w:rPr>
          <w:lang w:val="en-GB"/>
        </w:rPr>
        <w:t>consist of</w:t>
      </w:r>
      <w:r w:rsidR="007830BC">
        <w:rPr>
          <w:lang w:val="en-GB"/>
        </w:rPr>
        <w:t xml:space="preserve"> </w:t>
      </w:r>
      <w:r w:rsidR="001D481B">
        <w:rPr>
          <w:lang w:val="en-GB"/>
        </w:rPr>
        <w:t xml:space="preserve">treatment with a </w:t>
      </w:r>
      <w:r w:rsidR="00B6675E" w:rsidRPr="00D27683">
        <w:t xml:space="preserve">long-acting muscarinic agonist </w:t>
      </w:r>
      <w:r w:rsidR="00B6675E">
        <w:t>(</w:t>
      </w:r>
      <w:r w:rsidR="00DD101B">
        <w:rPr>
          <w:lang w:val="en-GB"/>
        </w:rPr>
        <w:t>LAMA</w:t>
      </w:r>
      <w:r w:rsidR="00B6675E">
        <w:rPr>
          <w:lang w:val="en-GB"/>
        </w:rPr>
        <w:t>)</w:t>
      </w:r>
      <w:r w:rsidR="00DD101B">
        <w:rPr>
          <w:lang w:val="en-GB"/>
        </w:rPr>
        <w:t xml:space="preserve">, </w:t>
      </w:r>
      <w:r w:rsidR="007E5992" w:rsidRPr="00D27683">
        <w:t xml:space="preserve">long-acting beta-2 agonist </w:t>
      </w:r>
      <w:r w:rsidR="00B6675E">
        <w:t>(</w:t>
      </w:r>
      <w:r w:rsidR="00DD101B">
        <w:rPr>
          <w:lang w:val="en-GB"/>
        </w:rPr>
        <w:t>LABA</w:t>
      </w:r>
      <w:r w:rsidR="00B6675E">
        <w:rPr>
          <w:lang w:val="en-GB"/>
        </w:rPr>
        <w:t>)</w:t>
      </w:r>
      <w:r w:rsidR="00DD101B">
        <w:rPr>
          <w:lang w:val="en-GB"/>
        </w:rPr>
        <w:t xml:space="preserve"> and </w:t>
      </w:r>
      <w:r w:rsidR="00B6675E" w:rsidRPr="00D27683">
        <w:t xml:space="preserve">inhaled corticosteroid </w:t>
      </w:r>
      <w:r w:rsidR="00B6675E">
        <w:t>(</w:t>
      </w:r>
      <w:r w:rsidR="00DD101B">
        <w:rPr>
          <w:lang w:val="en-GB"/>
        </w:rPr>
        <w:t>ICS</w:t>
      </w:r>
      <w:r w:rsidR="00B6675E">
        <w:rPr>
          <w:lang w:val="en-GB"/>
        </w:rPr>
        <w:t>)</w:t>
      </w:r>
      <w:r w:rsidR="00F63196">
        <w:rPr>
          <w:lang w:val="en-GB"/>
        </w:rPr>
        <w:t>.</w:t>
      </w:r>
      <w:r w:rsidR="00DE726C">
        <w:rPr>
          <w:lang w:val="en-GB"/>
        </w:rPr>
        <w:t xml:space="preserve"> </w:t>
      </w:r>
    </w:p>
    <w:p w14:paraId="71784CBB" w14:textId="4C1DE090" w:rsidR="002838D7" w:rsidRDefault="00946A31" w:rsidP="00135EE0">
      <w:pPr>
        <w:pStyle w:val="ListParagraph"/>
        <w:rPr>
          <w:lang w:val="en-GB"/>
        </w:rPr>
      </w:pPr>
      <w:r>
        <w:rPr>
          <w:lang w:val="en-GB"/>
        </w:rPr>
        <w:t xml:space="preserve">Patients must have experienced at least one severe COPD exacerbation, or at least two moderate COPD exacerbations in the </w:t>
      </w:r>
      <w:r w:rsidR="0062414C">
        <w:rPr>
          <w:lang w:val="en-GB"/>
        </w:rPr>
        <w:t xml:space="preserve">12 months prior to </w:t>
      </w:r>
      <w:r w:rsidR="0049400E">
        <w:rPr>
          <w:lang w:val="en-GB"/>
        </w:rPr>
        <w:t>treatment</w:t>
      </w:r>
      <w:r w:rsidR="006B60D7">
        <w:rPr>
          <w:lang w:val="en-GB"/>
        </w:rPr>
        <w:t xml:space="preserve">. At least one </w:t>
      </w:r>
      <w:r w:rsidR="00186F18">
        <w:rPr>
          <w:lang w:val="en-GB"/>
        </w:rPr>
        <w:t xml:space="preserve">of those exacerbations must have occurred </w:t>
      </w:r>
      <w:r w:rsidR="003A0A17">
        <w:rPr>
          <w:lang w:val="en-GB"/>
        </w:rPr>
        <w:t xml:space="preserve">while the patient was taking triple inhaled therapy. </w:t>
      </w:r>
    </w:p>
    <w:p w14:paraId="50A24952" w14:textId="76902F35" w:rsidR="009C7227" w:rsidRDefault="009C7227" w:rsidP="00135EE0">
      <w:pPr>
        <w:pStyle w:val="ListParagraph"/>
        <w:rPr>
          <w:lang w:val="en-GB"/>
        </w:rPr>
      </w:pPr>
      <w:r>
        <w:rPr>
          <w:lang w:val="en-GB"/>
        </w:rPr>
        <w:t xml:space="preserve">As per paragraph </w:t>
      </w:r>
      <w:r w:rsidR="002C79D8">
        <w:rPr>
          <w:lang w:val="en-GB"/>
        </w:rPr>
        <w:fldChar w:fldCharType="begin"/>
      </w:r>
      <w:r w:rsidR="002C79D8">
        <w:rPr>
          <w:lang w:val="en-GB"/>
        </w:rPr>
        <w:instrText xml:space="preserve"> REF _Ref224650170 \r \h </w:instrText>
      </w:r>
      <w:r w:rsidR="002C79D8">
        <w:rPr>
          <w:lang w:val="en-GB"/>
        </w:rPr>
      </w:r>
      <w:r w:rsidR="002C79D8">
        <w:rPr>
          <w:lang w:val="en-GB"/>
        </w:rPr>
        <w:fldChar w:fldCharType="separate"/>
      </w:r>
      <w:r w:rsidR="005D45D2">
        <w:rPr>
          <w:lang w:val="en-GB"/>
        </w:rPr>
        <w:t>3.4</w:t>
      </w:r>
      <w:r w:rsidR="002C79D8">
        <w:rPr>
          <w:lang w:val="en-GB"/>
        </w:rPr>
        <w:fldChar w:fldCharType="end"/>
      </w:r>
      <w:r w:rsidR="002C79D8">
        <w:rPr>
          <w:lang w:val="en-GB"/>
        </w:rPr>
        <w:t xml:space="preserve">, the PBAC </w:t>
      </w:r>
      <w:r w:rsidR="002C79D8" w:rsidRPr="006D6FD8">
        <w:rPr>
          <w:iCs/>
        </w:rPr>
        <w:t xml:space="preserve">considered that </w:t>
      </w:r>
      <w:r w:rsidR="005C0618">
        <w:rPr>
          <w:iCs/>
        </w:rPr>
        <w:t xml:space="preserve">each treatment phase </w:t>
      </w:r>
      <w:r w:rsidR="002C79D8" w:rsidRPr="006D6FD8">
        <w:rPr>
          <w:iCs/>
        </w:rPr>
        <w:t xml:space="preserve">should require </w:t>
      </w:r>
      <w:r w:rsidR="00A74DF5">
        <w:rPr>
          <w:iCs/>
        </w:rPr>
        <w:t>mepolizumab</w:t>
      </w:r>
      <w:r w:rsidR="002C79D8" w:rsidRPr="006D6FD8">
        <w:rPr>
          <w:iCs/>
        </w:rPr>
        <w:t xml:space="preserve"> to be </w:t>
      </w:r>
      <w:r w:rsidR="00A74DF5">
        <w:rPr>
          <w:iCs/>
        </w:rPr>
        <w:t>taken in combination with</w:t>
      </w:r>
      <w:r w:rsidR="002C79D8" w:rsidRPr="006D6FD8">
        <w:rPr>
          <w:iCs/>
        </w:rPr>
        <w:t xml:space="preserve"> </w:t>
      </w:r>
      <w:r w:rsidR="00D22996">
        <w:rPr>
          <w:iCs/>
        </w:rPr>
        <w:t>triple inhaled therapy</w:t>
      </w:r>
      <w:r w:rsidR="002C79D8" w:rsidRPr="006D6FD8">
        <w:rPr>
          <w:iCs/>
        </w:rPr>
        <w:t>.</w:t>
      </w:r>
    </w:p>
    <w:p w14:paraId="5CE8E75F" w14:textId="37FC8866" w:rsidR="00EB339E" w:rsidRDefault="000C4800" w:rsidP="00135EE0">
      <w:pPr>
        <w:pStyle w:val="ListParagraph"/>
        <w:rPr>
          <w:lang w:val="en-GB"/>
        </w:rPr>
      </w:pPr>
      <w:r w:rsidRPr="00336C1E">
        <w:rPr>
          <w:rFonts w:eastAsia="Calibri" w:cs="Times New Roman"/>
          <w:lang w:eastAsia="en-US"/>
        </w:rPr>
        <w:t>Given the age profile of patients with COPD</w:t>
      </w:r>
      <w:r>
        <w:rPr>
          <w:rFonts w:eastAsia="Calibri" w:cs="Times New Roman"/>
          <w:bCs/>
          <w:lang w:eastAsia="en-US"/>
        </w:rPr>
        <w:t xml:space="preserve"> a</w:t>
      </w:r>
      <w:r w:rsidR="00B55496">
        <w:rPr>
          <w:rFonts w:eastAsia="Calibri" w:cs="Times New Roman"/>
          <w:bCs/>
          <w:lang w:eastAsia="en-US"/>
        </w:rPr>
        <w:t xml:space="preserve"> criteria restricting use to patients aged 18 years and o</w:t>
      </w:r>
      <w:r w:rsidR="00336C1E">
        <w:rPr>
          <w:rFonts w:eastAsia="Calibri" w:cs="Times New Roman"/>
          <w:bCs/>
          <w:lang w:eastAsia="en-US"/>
        </w:rPr>
        <w:t>lder was not required.</w:t>
      </w:r>
      <w:r>
        <w:rPr>
          <w:rFonts w:eastAsia="Calibri" w:cs="Times New Roman"/>
          <w:bCs/>
          <w:lang w:eastAsia="en-US"/>
        </w:rPr>
        <w:t xml:space="preserve"> </w:t>
      </w:r>
    </w:p>
    <w:p w14:paraId="23EC58BA" w14:textId="73C71282" w:rsidR="00FE1017" w:rsidRDefault="00867F04" w:rsidP="00135EE0">
      <w:pPr>
        <w:pStyle w:val="ListParagraph"/>
        <w:rPr>
          <w:lang w:val="en-GB"/>
        </w:rPr>
      </w:pPr>
      <w:r>
        <w:rPr>
          <w:lang w:val="en-GB"/>
        </w:rPr>
        <w:t>Both the</w:t>
      </w:r>
      <w:r w:rsidR="00CF6891">
        <w:rPr>
          <w:lang w:val="en-GB"/>
        </w:rPr>
        <w:t xml:space="preserve"> continuing and grandfathering phases should include </w:t>
      </w:r>
      <w:r w:rsidR="007161EE">
        <w:rPr>
          <w:lang w:val="en-GB"/>
        </w:rPr>
        <w:t xml:space="preserve">clinical criteria </w:t>
      </w:r>
      <w:r w:rsidR="00F922AD">
        <w:rPr>
          <w:lang w:val="en-GB"/>
        </w:rPr>
        <w:t>requiring</w:t>
      </w:r>
      <w:r w:rsidR="00F53C61">
        <w:rPr>
          <w:lang w:val="en-GB"/>
        </w:rPr>
        <w:t xml:space="preserve"> </w:t>
      </w:r>
      <w:r w:rsidR="00946541">
        <w:rPr>
          <w:lang w:val="en-GB"/>
        </w:rPr>
        <w:t>patient</w:t>
      </w:r>
      <w:r w:rsidR="00F53C61">
        <w:rPr>
          <w:lang w:val="en-GB"/>
        </w:rPr>
        <w:t>s</w:t>
      </w:r>
      <w:r w:rsidR="00946541">
        <w:rPr>
          <w:lang w:val="en-GB"/>
        </w:rPr>
        <w:t xml:space="preserve"> </w:t>
      </w:r>
      <w:r w:rsidR="00A768D2">
        <w:rPr>
          <w:lang w:val="en-GB"/>
        </w:rPr>
        <w:t>who ha</w:t>
      </w:r>
      <w:r w:rsidR="00F53C61">
        <w:rPr>
          <w:lang w:val="en-GB"/>
        </w:rPr>
        <w:t>ve</w:t>
      </w:r>
      <w:r w:rsidR="00A768D2">
        <w:rPr>
          <w:lang w:val="en-GB"/>
        </w:rPr>
        <w:t xml:space="preserve"> received at least 24 weeks of treatment </w:t>
      </w:r>
      <w:r w:rsidR="00242414">
        <w:rPr>
          <w:lang w:val="en-GB"/>
        </w:rPr>
        <w:t xml:space="preserve">to have </w:t>
      </w:r>
      <w:r w:rsidR="00432FDB">
        <w:rPr>
          <w:lang w:val="en-GB"/>
        </w:rPr>
        <w:t xml:space="preserve">both </w:t>
      </w:r>
      <w:r w:rsidR="00946541">
        <w:rPr>
          <w:lang w:val="en-GB"/>
        </w:rPr>
        <w:t xml:space="preserve">achieved </w:t>
      </w:r>
      <w:r w:rsidR="002304B6">
        <w:rPr>
          <w:lang w:val="en-GB"/>
        </w:rPr>
        <w:t xml:space="preserve">and </w:t>
      </w:r>
      <w:r w:rsidR="00432FDB">
        <w:rPr>
          <w:lang w:val="en-GB"/>
        </w:rPr>
        <w:t>sustained an adequate response</w:t>
      </w:r>
      <w:r w:rsidR="00AF153C">
        <w:rPr>
          <w:lang w:val="en-GB"/>
        </w:rPr>
        <w:t xml:space="preserve">. An </w:t>
      </w:r>
      <w:r w:rsidR="00D544BA" w:rsidRPr="007F3DF7">
        <w:rPr>
          <w:lang w:val="en-GB"/>
        </w:rPr>
        <w:t xml:space="preserve">adequate response </w:t>
      </w:r>
      <w:r w:rsidR="00AF153C">
        <w:rPr>
          <w:lang w:val="en-GB"/>
        </w:rPr>
        <w:t>is</w:t>
      </w:r>
      <w:r w:rsidR="00D544BA" w:rsidRPr="007F3DF7">
        <w:rPr>
          <w:lang w:val="en-GB"/>
        </w:rPr>
        <w:t xml:space="preserve"> defined as maintenance (i.e. no change) or a reduction in the number of moderate and/or severe exacerbation/s compared to the baseline levels provided with the initial authority application</w:t>
      </w:r>
      <w:r w:rsidR="00695957">
        <w:rPr>
          <w:lang w:val="en-GB"/>
        </w:rPr>
        <w:t xml:space="preserve">. </w:t>
      </w:r>
    </w:p>
    <w:p w14:paraId="258240AF" w14:textId="76740EA6" w:rsidR="007D5102" w:rsidRDefault="00746EBB" w:rsidP="00135EE0">
      <w:pPr>
        <w:pStyle w:val="ListParagraph"/>
        <w:rPr>
          <w:lang w:val="en-GB"/>
        </w:rPr>
      </w:pPr>
      <w:r>
        <w:rPr>
          <w:lang w:val="en-GB"/>
        </w:rPr>
        <w:t xml:space="preserve">Should a second biologic be listed for this indication, flow on changes to the restriction </w:t>
      </w:r>
      <w:r w:rsidR="0089205E">
        <w:rPr>
          <w:lang w:val="en-GB"/>
        </w:rPr>
        <w:t xml:space="preserve">in </w:t>
      </w:r>
      <w:r w:rsidR="007B55A7">
        <w:rPr>
          <w:lang w:val="en-GB"/>
        </w:rPr>
        <w:t xml:space="preserve">paragraph </w:t>
      </w:r>
      <w:r w:rsidR="007B55A7">
        <w:rPr>
          <w:lang w:val="en-GB"/>
        </w:rPr>
        <w:fldChar w:fldCharType="begin"/>
      </w:r>
      <w:r w:rsidR="007B55A7">
        <w:rPr>
          <w:lang w:val="en-GB"/>
        </w:rPr>
        <w:instrText xml:space="preserve"> REF _Ref224656282 \r \h </w:instrText>
      </w:r>
      <w:r w:rsidR="007B55A7">
        <w:rPr>
          <w:lang w:val="en-GB"/>
        </w:rPr>
      </w:r>
      <w:r w:rsidR="007B55A7">
        <w:rPr>
          <w:lang w:val="en-GB"/>
        </w:rPr>
        <w:fldChar w:fldCharType="separate"/>
      </w:r>
      <w:r w:rsidR="005D45D2">
        <w:rPr>
          <w:lang w:val="en-GB"/>
        </w:rPr>
        <w:t>8.1</w:t>
      </w:r>
      <w:r w:rsidR="007B55A7">
        <w:rPr>
          <w:lang w:val="en-GB"/>
        </w:rPr>
        <w:fldChar w:fldCharType="end"/>
      </w:r>
      <w:r w:rsidR="007B55A7">
        <w:rPr>
          <w:lang w:val="en-GB"/>
        </w:rPr>
        <w:t xml:space="preserve"> </w:t>
      </w:r>
      <w:r>
        <w:rPr>
          <w:lang w:val="en-GB"/>
        </w:rPr>
        <w:t>as outline</w:t>
      </w:r>
      <w:r w:rsidR="00AA6A7B">
        <w:rPr>
          <w:lang w:val="en-GB"/>
        </w:rPr>
        <w:t>d</w:t>
      </w:r>
      <w:r>
        <w:rPr>
          <w:lang w:val="en-GB"/>
        </w:rPr>
        <w:t xml:space="preserve"> in paragraph </w:t>
      </w:r>
      <w:r w:rsidR="007B55A7">
        <w:rPr>
          <w:lang w:val="en-GB"/>
        </w:rPr>
        <w:fldChar w:fldCharType="begin"/>
      </w:r>
      <w:r w:rsidR="007B55A7">
        <w:rPr>
          <w:lang w:val="en-GB"/>
        </w:rPr>
        <w:instrText xml:space="preserve"> REF _Ref224656298 \r \h </w:instrText>
      </w:r>
      <w:r w:rsidR="007B55A7">
        <w:rPr>
          <w:lang w:val="en-GB"/>
        </w:rPr>
      </w:r>
      <w:r w:rsidR="007B55A7">
        <w:rPr>
          <w:lang w:val="en-GB"/>
        </w:rPr>
        <w:fldChar w:fldCharType="separate"/>
      </w:r>
      <w:r w:rsidR="005D45D2">
        <w:rPr>
          <w:lang w:val="en-GB"/>
        </w:rPr>
        <w:t>8.2</w:t>
      </w:r>
      <w:r w:rsidR="007B55A7">
        <w:rPr>
          <w:lang w:val="en-GB"/>
        </w:rPr>
        <w:fldChar w:fldCharType="end"/>
      </w:r>
      <w:r w:rsidR="00AA6A7B">
        <w:rPr>
          <w:lang w:val="en-GB"/>
        </w:rPr>
        <w:t xml:space="preserve"> w</w:t>
      </w:r>
      <w:r w:rsidR="00122B30">
        <w:rPr>
          <w:lang w:val="en-GB"/>
        </w:rPr>
        <w:t>ere considered</w:t>
      </w:r>
      <w:r w:rsidR="00AA6A7B">
        <w:rPr>
          <w:lang w:val="en-GB"/>
        </w:rPr>
        <w:t xml:space="preserve"> appropriate.</w:t>
      </w:r>
    </w:p>
    <w:p w14:paraId="71009237" w14:textId="36D45F5A" w:rsidR="004E572B" w:rsidRDefault="00E2441E" w:rsidP="00135EE0">
      <w:pPr>
        <w:pStyle w:val="ListParagraph"/>
        <w:rPr>
          <w:lang w:val="en-GB"/>
        </w:rPr>
      </w:pPr>
      <w:r w:rsidRPr="16667453">
        <w:rPr>
          <w:lang w:val="en-GB"/>
        </w:rPr>
        <w:t>Flow on changes to all P</w:t>
      </w:r>
      <w:r w:rsidRPr="16667453">
        <w:t>BS-subsidised biological medicine</w:t>
      </w:r>
      <w:r w:rsidRPr="16667453">
        <w:rPr>
          <w:lang w:val="en-GB"/>
        </w:rPr>
        <w:t xml:space="preserve"> listed for </w:t>
      </w:r>
      <w:r w:rsidRPr="16667453">
        <w:t xml:space="preserve">nasal polyps, uncontrolled severe allergic asthma, and uncontrolled severe asthma </w:t>
      </w:r>
      <w:r w:rsidRPr="16667453">
        <w:lastRenderedPageBreak/>
        <w:t>to prevent concomitant therapy with another biologic listed for these indications including uncontrolled COPD</w:t>
      </w:r>
      <w:r w:rsidR="004A5CEE">
        <w:t xml:space="preserve"> </w:t>
      </w:r>
      <w:r w:rsidR="004B7D30">
        <w:t xml:space="preserve">as outlined in paragraph </w:t>
      </w:r>
      <w:r w:rsidR="00A05965">
        <w:fldChar w:fldCharType="begin"/>
      </w:r>
      <w:r w:rsidR="00A05965">
        <w:instrText xml:space="preserve"> REF _Ref224719368 \r \h </w:instrText>
      </w:r>
      <w:r w:rsidR="00A05965">
        <w:fldChar w:fldCharType="separate"/>
      </w:r>
      <w:r w:rsidR="005D45D2">
        <w:t>8.3</w:t>
      </w:r>
      <w:r w:rsidR="00A05965">
        <w:fldChar w:fldCharType="end"/>
      </w:r>
      <w:r w:rsidRPr="16667453">
        <w:t>.</w:t>
      </w:r>
    </w:p>
    <w:p w14:paraId="75B6D04F" w14:textId="1307F391" w:rsidR="004E05B5" w:rsidRPr="00D27683" w:rsidRDefault="00007F4D" w:rsidP="00135EE0">
      <w:pPr>
        <w:pStyle w:val="3-BodyText"/>
        <w:numPr>
          <w:ilvl w:val="1"/>
          <w:numId w:val="1"/>
        </w:numPr>
      </w:pPr>
      <w:r>
        <w:rPr>
          <w:lang w:val="en-GB"/>
        </w:rPr>
        <w:t>The PBAC considered that the proposed comparator of</w:t>
      </w:r>
      <w:r w:rsidR="004E05B5" w:rsidRPr="00D27683">
        <w:t xml:space="preserve"> triple inhaled therapy was appropriate. </w:t>
      </w:r>
      <w:r w:rsidR="00E753E3">
        <w:t xml:space="preserve">The PBAC </w:t>
      </w:r>
      <w:r w:rsidR="001A113B">
        <w:t xml:space="preserve">also </w:t>
      </w:r>
      <w:r w:rsidR="00E753E3">
        <w:t xml:space="preserve">considered that </w:t>
      </w:r>
      <w:r w:rsidR="0027025B">
        <w:t xml:space="preserve">dupilumab was </w:t>
      </w:r>
      <w:r w:rsidR="00B348A7">
        <w:t xml:space="preserve">a relevant </w:t>
      </w:r>
      <w:r w:rsidR="0027025B">
        <w:t xml:space="preserve">near market comparator, and noted dupilumab was also considered by the Committee for the same indication at its </w:t>
      </w:r>
      <w:r w:rsidR="00BA120B">
        <w:t xml:space="preserve">March 2026 meeting. </w:t>
      </w:r>
    </w:p>
    <w:p w14:paraId="10E894C6" w14:textId="6BA81716" w:rsidR="780C0D40" w:rsidRPr="00DD2CC6" w:rsidRDefault="00115CDA" w:rsidP="00135EE0">
      <w:pPr>
        <w:pStyle w:val="3-BodyText"/>
      </w:pPr>
      <w:r>
        <w:rPr>
          <w:lang w:val="en-GB"/>
        </w:rPr>
        <w:t xml:space="preserve">The PBAC noted that the submission was based on </w:t>
      </w:r>
      <w:r w:rsidR="00564F35" w:rsidRPr="00D27683">
        <w:t xml:space="preserve">one </w:t>
      </w:r>
      <w:r w:rsidR="00D81C75">
        <w:t xml:space="preserve">head-to-head </w:t>
      </w:r>
      <w:r w:rsidR="00564F35" w:rsidRPr="00D27683">
        <w:t>clinical trial, MATINEE (n=804), which compared mepolizumab as add-on to triple inhaled therapy (i.e., LABA + LAMA + ICS) to triple inhaled therapy alone in patients with uncontrolled COPD and an eosinophilic phenotype</w:t>
      </w:r>
      <w:r w:rsidR="00EF64ED">
        <w:t>.</w:t>
      </w:r>
      <w:r w:rsidR="001E0FB1">
        <w:t xml:space="preserve"> The PBAC noted that</w:t>
      </w:r>
      <w:r w:rsidR="001E0FB1" w:rsidRPr="00D27683">
        <w:t xml:space="preserve"> mepolizumab </w:t>
      </w:r>
      <w:r w:rsidR="00C27388">
        <w:t>resulted in a statistically significant reduction in the</w:t>
      </w:r>
      <w:r w:rsidR="00DD2CC6">
        <w:t xml:space="preserve"> </w:t>
      </w:r>
      <w:r w:rsidR="00C27388">
        <w:t>annualised rate of moderate</w:t>
      </w:r>
      <w:r w:rsidR="00614069">
        <w:t xml:space="preserve"> or </w:t>
      </w:r>
      <w:r w:rsidR="00C27388">
        <w:t>severe COPD exacerbations compared to placebo</w:t>
      </w:r>
      <w:r w:rsidR="00C859A7">
        <w:t xml:space="preserve"> (relative risk [</w:t>
      </w:r>
      <w:r w:rsidR="00C27388">
        <w:t>RR</w:t>
      </w:r>
      <w:r w:rsidR="00C859A7">
        <w:t>]</w:t>
      </w:r>
      <w:r w:rsidR="00C27388">
        <w:t xml:space="preserve"> </w:t>
      </w:r>
      <w:r w:rsidR="00C859A7">
        <w:t xml:space="preserve">= </w:t>
      </w:r>
      <w:r w:rsidR="00C27388">
        <w:t>0.79</w:t>
      </w:r>
      <w:r w:rsidR="00C859A7">
        <w:t xml:space="preserve">, </w:t>
      </w:r>
      <w:r w:rsidR="00C27388">
        <w:t xml:space="preserve">95% </w:t>
      </w:r>
      <w:r w:rsidR="00C859A7">
        <w:t>confidence interval [</w:t>
      </w:r>
      <w:r w:rsidR="00C27388">
        <w:t>CI</w:t>
      </w:r>
      <w:r w:rsidR="00C859A7">
        <w:t>] =</w:t>
      </w:r>
      <w:r w:rsidR="00DD2CC6">
        <w:t xml:space="preserve"> </w:t>
      </w:r>
      <w:r w:rsidR="00C27388">
        <w:t>0.66</w:t>
      </w:r>
      <w:r w:rsidR="00424F99">
        <w:rPr>
          <w:rFonts w:cstheme="minorHAnsi"/>
        </w:rPr>
        <w:t>–</w:t>
      </w:r>
      <w:r w:rsidR="00C27388">
        <w:t>0.94</w:t>
      </w:r>
      <w:r w:rsidR="00C859A7">
        <w:t>,</w:t>
      </w:r>
      <w:r w:rsidR="00C27388">
        <w:t xml:space="preserve"> p=0.011</w:t>
      </w:r>
      <w:r w:rsidR="00C859A7">
        <w:t>)</w:t>
      </w:r>
      <w:r w:rsidR="00C27388">
        <w:t>.</w:t>
      </w:r>
      <w:r w:rsidR="00424F99">
        <w:t xml:space="preserve"> The PBAC also noted t</w:t>
      </w:r>
      <w:r w:rsidR="00424F99" w:rsidRPr="00424F99">
        <w:t xml:space="preserve">here was a statistically significant reduction in the time to first </w:t>
      </w:r>
      <w:r w:rsidR="00D1667A">
        <w:t xml:space="preserve">moderate or severe </w:t>
      </w:r>
      <w:r w:rsidR="00424F99" w:rsidRPr="00424F99">
        <w:t xml:space="preserve">exacerbation of COPD in patients treated with </w:t>
      </w:r>
      <w:r w:rsidR="00424F99">
        <w:t>m</w:t>
      </w:r>
      <w:r w:rsidR="00424F99" w:rsidRPr="00424F99">
        <w:t>epolizumab compared with placebo (</w:t>
      </w:r>
      <w:r w:rsidR="00C859A7">
        <w:t>hazard ratio [</w:t>
      </w:r>
      <w:r w:rsidR="00424F99" w:rsidRPr="00424F99">
        <w:t>HR</w:t>
      </w:r>
      <w:r w:rsidR="00C859A7">
        <w:t>] =</w:t>
      </w:r>
      <w:r w:rsidR="00424F99" w:rsidRPr="00424F99">
        <w:t xml:space="preserve"> 0.77</w:t>
      </w:r>
      <w:r w:rsidR="00C859A7">
        <w:t>,</w:t>
      </w:r>
      <w:r w:rsidR="00424F99" w:rsidRPr="00424F99">
        <w:t xml:space="preserve"> 95%</w:t>
      </w:r>
      <w:r w:rsidR="00C859A7">
        <w:t xml:space="preserve"> </w:t>
      </w:r>
      <w:r w:rsidR="00424F99" w:rsidRPr="00424F99">
        <w:t>CI 0.64</w:t>
      </w:r>
      <w:r w:rsidR="00424F99">
        <w:rPr>
          <w:rFonts w:cstheme="minorHAnsi"/>
        </w:rPr>
        <w:t>–</w:t>
      </w:r>
      <w:r w:rsidR="00424F99" w:rsidRPr="00424F99">
        <w:t>0.93</w:t>
      </w:r>
      <w:r w:rsidR="00C859A7">
        <w:t>,</w:t>
      </w:r>
      <w:r w:rsidR="00424F99" w:rsidRPr="00424F99">
        <w:t xml:space="preserve"> p=0.009</w:t>
      </w:r>
      <w:r w:rsidR="00C859A7">
        <w:t>)</w:t>
      </w:r>
      <w:r w:rsidR="00424F99" w:rsidRPr="00424F99">
        <w:t>.</w:t>
      </w:r>
      <w:r w:rsidR="008043DA">
        <w:t xml:space="preserve"> The PBAC</w:t>
      </w:r>
      <w:r w:rsidR="007565D6">
        <w:t xml:space="preserve"> </w:t>
      </w:r>
      <w:r w:rsidR="008043DA">
        <w:t>noted that there were</w:t>
      </w:r>
      <w:r w:rsidR="008043DA" w:rsidRPr="00D27683">
        <w:t xml:space="preserve"> </w:t>
      </w:r>
      <w:r w:rsidR="008043DA">
        <w:t xml:space="preserve">no </w:t>
      </w:r>
      <w:r w:rsidR="008043DA" w:rsidRPr="00D27683">
        <w:t>meaningful difference</w:t>
      </w:r>
      <w:r w:rsidR="008043DA">
        <w:t>s</w:t>
      </w:r>
      <w:r w:rsidR="008043DA" w:rsidRPr="00D27683">
        <w:t xml:space="preserve"> in quality of life </w:t>
      </w:r>
      <w:r w:rsidR="002F36C3">
        <w:t>between the mepolizumab and placebo treatment arms</w:t>
      </w:r>
      <w:r w:rsidR="009A63C0">
        <w:t>,</w:t>
      </w:r>
      <w:r w:rsidR="002F36C3">
        <w:t xml:space="preserve"> </w:t>
      </w:r>
      <w:r w:rsidR="008043DA" w:rsidRPr="00D27683">
        <w:t>as measured by three validated scales</w:t>
      </w:r>
      <w:r w:rsidR="00A53253">
        <w:t xml:space="preserve"> in the MATINEE trial</w:t>
      </w:r>
      <w:r w:rsidR="008043DA">
        <w:t>.</w:t>
      </w:r>
      <w:r w:rsidR="000B27CA">
        <w:t xml:space="preserve"> The PBAC noted that the </w:t>
      </w:r>
      <w:r w:rsidR="000B27CA" w:rsidRPr="006D6FD8">
        <w:rPr>
          <w:rFonts w:eastAsia="Calibri"/>
          <w:iCs/>
        </w:rPr>
        <w:t>Sub-Committees considered</w:t>
      </w:r>
      <w:r w:rsidR="000B27CA">
        <w:rPr>
          <w:rFonts w:eastAsia="Calibri"/>
          <w:iCs/>
        </w:rPr>
        <w:t xml:space="preserve"> that </w:t>
      </w:r>
      <w:r w:rsidR="000B27CA" w:rsidRPr="00D27683">
        <w:rPr>
          <w:rFonts w:eastAsia="Calibri"/>
        </w:rPr>
        <w:t xml:space="preserve">the </w:t>
      </w:r>
      <w:r w:rsidR="00623E7F">
        <w:rPr>
          <w:rFonts w:eastAsia="Calibri"/>
        </w:rPr>
        <w:t xml:space="preserve">magnitude of treatment benefit </w:t>
      </w:r>
      <w:r w:rsidR="00E41CA5">
        <w:rPr>
          <w:rFonts w:eastAsia="Calibri"/>
        </w:rPr>
        <w:t xml:space="preserve">of mepolizumab versus placebo </w:t>
      </w:r>
      <w:r w:rsidR="00623E7F">
        <w:rPr>
          <w:rFonts w:eastAsia="Calibri"/>
        </w:rPr>
        <w:t xml:space="preserve">was </w:t>
      </w:r>
      <w:r w:rsidR="00BF0110">
        <w:rPr>
          <w:rFonts w:eastAsia="Calibri"/>
        </w:rPr>
        <w:t xml:space="preserve">subject to </w:t>
      </w:r>
      <w:r w:rsidR="00BF0110" w:rsidRPr="00D27683">
        <w:rPr>
          <w:rFonts w:eastAsia="Calibri"/>
        </w:rPr>
        <w:t>uncertain</w:t>
      </w:r>
      <w:r w:rsidR="00BF0110">
        <w:rPr>
          <w:rFonts w:eastAsia="Calibri"/>
        </w:rPr>
        <w:t>ty</w:t>
      </w:r>
      <w:r w:rsidR="000B27CA" w:rsidRPr="00D27683">
        <w:rPr>
          <w:rFonts w:eastAsia="Calibri"/>
        </w:rPr>
        <w:t xml:space="preserve"> given that </w:t>
      </w:r>
      <w:r w:rsidR="00BA6802" w:rsidRPr="00D27683">
        <w:rPr>
          <w:rFonts w:eastAsia="Calibri"/>
        </w:rPr>
        <w:t>much of</w:t>
      </w:r>
      <w:r w:rsidR="000B27CA" w:rsidRPr="00D27683">
        <w:rPr>
          <w:rFonts w:eastAsia="Calibri"/>
        </w:rPr>
        <w:t xml:space="preserve"> the difference in the rate ratio was driven by the avoidance of events </w:t>
      </w:r>
      <w:r w:rsidR="000B27CA" w:rsidRPr="006D6FD8">
        <w:rPr>
          <w:iCs/>
        </w:rPr>
        <w:t xml:space="preserve">among a subset of patients with </w:t>
      </w:r>
      <w:r w:rsidR="000B27CA" w:rsidRPr="006D6FD8">
        <w:rPr>
          <w:rFonts w:ascii="Helvetica" w:hAnsi="Helvetica" w:cs="Helvetica"/>
          <w:iCs/>
          <w:lang w:eastAsia="en-US"/>
          <w14:ligatures w14:val="standardContextual"/>
        </w:rPr>
        <w:t xml:space="preserve">≥ </w:t>
      </w:r>
      <w:r w:rsidR="000B27CA" w:rsidRPr="006D6FD8">
        <w:rPr>
          <w:iCs/>
        </w:rPr>
        <w:t>9 exacerbations</w:t>
      </w:r>
      <w:r w:rsidR="000B27CA" w:rsidRPr="006D6FD8">
        <w:rPr>
          <w:rFonts w:eastAsia="Calibri"/>
          <w:iCs/>
        </w:rPr>
        <w:t>.</w:t>
      </w:r>
      <w:r w:rsidR="00875F0D">
        <w:rPr>
          <w:rFonts w:eastAsia="Calibri"/>
          <w:iCs/>
        </w:rPr>
        <w:t xml:space="preserve"> Overall, the PBAC considered that </w:t>
      </w:r>
      <w:r w:rsidR="00875F0D" w:rsidRPr="00CE42B4">
        <w:rPr>
          <w:snapToGrid w:val="0"/>
          <w:szCs w:val="20"/>
        </w:rPr>
        <w:t>the claim of superior comparative effectiveness</w:t>
      </w:r>
      <w:r w:rsidR="00875F0D">
        <w:rPr>
          <w:snapToGrid w:val="0"/>
          <w:szCs w:val="20"/>
        </w:rPr>
        <w:t xml:space="preserve"> </w:t>
      </w:r>
      <w:r w:rsidR="002C7985" w:rsidRPr="00D27683">
        <w:rPr>
          <w:rFonts w:eastAsia="Calibri"/>
        </w:rPr>
        <w:t>compared to triple inhaled therapy alone</w:t>
      </w:r>
      <w:r w:rsidR="002C7985">
        <w:rPr>
          <w:snapToGrid w:val="0"/>
          <w:szCs w:val="20"/>
        </w:rPr>
        <w:t xml:space="preserve"> </w:t>
      </w:r>
      <w:r w:rsidR="00875F0D" w:rsidRPr="00CE42B4">
        <w:rPr>
          <w:snapToGrid w:val="0"/>
          <w:szCs w:val="20"/>
        </w:rPr>
        <w:t>was reasonable</w:t>
      </w:r>
      <w:r w:rsidR="00FD3017">
        <w:rPr>
          <w:snapToGrid w:val="0"/>
          <w:szCs w:val="20"/>
        </w:rPr>
        <w:t>,</w:t>
      </w:r>
      <w:r w:rsidR="009A63C0">
        <w:rPr>
          <w:snapToGrid w:val="0"/>
          <w:szCs w:val="20"/>
        </w:rPr>
        <w:t xml:space="preserve"> but </w:t>
      </w:r>
      <w:r w:rsidR="00567153">
        <w:rPr>
          <w:snapToGrid w:val="0"/>
          <w:szCs w:val="20"/>
        </w:rPr>
        <w:t xml:space="preserve">the magnitude of </w:t>
      </w:r>
      <w:r w:rsidR="006F7298">
        <w:rPr>
          <w:snapToGrid w:val="0"/>
          <w:szCs w:val="20"/>
        </w:rPr>
        <w:t xml:space="preserve">treatment </w:t>
      </w:r>
      <w:r w:rsidR="00567153">
        <w:rPr>
          <w:snapToGrid w:val="0"/>
          <w:szCs w:val="20"/>
        </w:rPr>
        <w:t xml:space="preserve">benefit was </w:t>
      </w:r>
      <w:r w:rsidR="009A63C0">
        <w:rPr>
          <w:snapToGrid w:val="0"/>
          <w:szCs w:val="20"/>
        </w:rPr>
        <w:t>subject to some uncertainty.</w:t>
      </w:r>
    </w:p>
    <w:p w14:paraId="5665C656" w14:textId="0291D0BF" w:rsidR="001F1AA8" w:rsidRPr="00995845" w:rsidRDefault="001E60EF" w:rsidP="00135EE0">
      <w:pPr>
        <w:pStyle w:val="3-BodyText"/>
        <w:numPr>
          <w:ilvl w:val="1"/>
          <w:numId w:val="1"/>
        </w:numPr>
      </w:pPr>
      <w:r>
        <w:rPr>
          <w:lang w:val="en-GB"/>
        </w:rPr>
        <w:t xml:space="preserve">The PBAC </w:t>
      </w:r>
      <w:r w:rsidR="007C3D45">
        <w:rPr>
          <w:lang w:val="en-GB"/>
        </w:rPr>
        <w:t>noted that</w:t>
      </w:r>
      <w:r w:rsidR="00EA01B3">
        <w:rPr>
          <w:lang w:val="en-GB"/>
        </w:rPr>
        <w:t xml:space="preserve"> </w:t>
      </w:r>
      <w:r w:rsidR="007C3D45">
        <w:rPr>
          <w:lang w:val="en-GB"/>
        </w:rPr>
        <w:t>mepolizumab</w:t>
      </w:r>
      <w:r w:rsidR="00261A59">
        <w:rPr>
          <w:lang w:val="en-GB"/>
        </w:rPr>
        <w:t xml:space="preserve"> </w:t>
      </w:r>
      <w:r w:rsidR="007C3D45">
        <w:rPr>
          <w:lang w:val="en-GB"/>
        </w:rPr>
        <w:t>was</w:t>
      </w:r>
      <w:r w:rsidR="00EA01B3">
        <w:rPr>
          <w:lang w:val="en-GB"/>
        </w:rPr>
        <w:t xml:space="preserve"> generally</w:t>
      </w:r>
      <w:r w:rsidR="007C3D45">
        <w:rPr>
          <w:lang w:val="en-GB"/>
        </w:rPr>
        <w:t xml:space="preserve"> well tolerated</w:t>
      </w:r>
      <w:r w:rsidR="00261A59">
        <w:rPr>
          <w:lang w:val="en-GB"/>
        </w:rPr>
        <w:t xml:space="preserve"> in the MATINEE trial</w:t>
      </w:r>
      <w:r w:rsidR="007C3D45">
        <w:rPr>
          <w:lang w:val="en-GB"/>
        </w:rPr>
        <w:t xml:space="preserve"> </w:t>
      </w:r>
      <w:r w:rsidR="0012237D">
        <w:rPr>
          <w:lang w:val="en-GB"/>
        </w:rPr>
        <w:t>and had</w:t>
      </w:r>
      <w:r w:rsidR="007C3D45">
        <w:rPr>
          <w:lang w:val="en-GB"/>
        </w:rPr>
        <w:t xml:space="preserve"> a similar safety profile to </w:t>
      </w:r>
      <w:r w:rsidR="00261A59">
        <w:rPr>
          <w:lang w:val="en-GB"/>
        </w:rPr>
        <w:t xml:space="preserve">the </w:t>
      </w:r>
      <w:r w:rsidR="007C3D45">
        <w:rPr>
          <w:lang w:val="en-GB"/>
        </w:rPr>
        <w:t>placebo</w:t>
      </w:r>
      <w:r w:rsidR="00261A59">
        <w:rPr>
          <w:lang w:val="en-GB"/>
        </w:rPr>
        <w:t xml:space="preserve"> arm</w:t>
      </w:r>
      <w:r w:rsidR="0012237D">
        <w:rPr>
          <w:lang w:val="en-GB"/>
        </w:rPr>
        <w:t xml:space="preserve">. The PBAC noted </w:t>
      </w:r>
      <w:r w:rsidR="007C3D45">
        <w:t>that n</w:t>
      </w:r>
      <w:r w:rsidR="007C3D45" w:rsidRPr="00D27683">
        <w:t xml:space="preserve">o new safety concerns </w:t>
      </w:r>
      <w:r w:rsidR="00607288">
        <w:t>had been</w:t>
      </w:r>
      <w:r w:rsidR="007C3D45" w:rsidRPr="00D27683">
        <w:t xml:space="preserve"> identified</w:t>
      </w:r>
      <w:r w:rsidR="007C3D45">
        <w:rPr>
          <w:rFonts w:eastAsia="Calibri"/>
        </w:rPr>
        <w:t xml:space="preserve">. </w:t>
      </w:r>
      <w:r w:rsidR="00BC7991">
        <w:t>The PBAC noted that while</w:t>
      </w:r>
      <w:r w:rsidR="00BC7991" w:rsidRPr="00D27683">
        <w:t xml:space="preserve"> the overall incidence of adjudicated major adverse cardiovascular events (MACE) was balanced between groups (11 events in each arm), there was a numeric imbalance</w:t>
      </w:r>
      <w:r w:rsidR="00BC7991">
        <w:t xml:space="preserve"> </w:t>
      </w:r>
      <w:r w:rsidR="00BC7991" w:rsidRPr="00D27683">
        <w:t>in deaths from a cardiovascular cause (6 (1.5%) in the mepolizumab group vs. 3 (0.7%) in the placebo group).</w:t>
      </w:r>
      <w:r w:rsidR="00BC7991" w:rsidRPr="006D6FD8">
        <w:rPr>
          <w:iCs/>
        </w:rPr>
        <w:t xml:space="preserve"> The </w:t>
      </w:r>
      <w:r w:rsidR="00BC7991">
        <w:rPr>
          <w:iCs/>
        </w:rPr>
        <w:t>PBAC agreed with the evaluation</w:t>
      </w:r>
      <w:r w:rsidR="009A63C0">
        <w:rPr>
          <w:iCs/>
        </w:rPr>
        <w:t xml:space="preserve"> </w:t>
      </w:r>
      <w:r w:rsidR="00BC7991" w:rsidRPr="006D6FD8">
        <w:rPr>
          <w:iCs/>
        </w:rPr>
        <w:t xml:space="preserve">that </w:t>
      </w:r>
      <w:r w:rsidR="00BC7991">
        <w:rPr>
          <w:iCs/>
        </w:rPr>
        <w:t xml:space="preserve">given </w:t>
      </w:r>
      <w:r w:rsidR="00BC7991" w:rsidRPr="00D27683">
        <w:t>the lack of statistical power for rare safety endpoints, it is difficult to determine if this imbalance represent</w:t>
      </w:r>
      <w:r w:rsidR="009A63C0">
        <w:t>ed</w:t>
      </w:r>
      <w:r w:rsidR="00BC7991" w:rsidRPr="00D27683">
        <w:t xml:space="preserve"> a genuine safety signal or random variation.</w:t>
      </w:r>
      <w:r w:rsidR="00995845">
        <w:t xml:space="preserve"> </w:t>
      </w:r>
      <w:r w:rsidR="00995845" w:rsidRPr="00995845">
        <w:rPr>
          <w:lang w:val="en-GB"/>
        </w:rPr>
        <w:t>Overall, the</w:t>
      </w:r>
      <w:r w:rsidR="007C3D45" w:rsidRPr="00995845">
        <w:rPr>
          <w:lang w:val="en-GB"/>
        </w:rPr>
        <w:t xml:space="preserve"> PBAC </w:t>
      </w:r>
      <w:r w:rsidRPr="00995845">
        <w:rPr>
          <w:lang w:val="en-GB"/>
        </w:rPr>
        <w:t>considered the claim of non-inferior comparative safety</w:t>
      </w:r>
      <w:r w:rsidR="007C3D45" w:rsidRPr="00995845">
        <w:rPr>
          <w:lang w:val="en-GB"/>
        </w:rPr>
        <w:t xml:space="preserve"> versus placebo</w:t>
      </w:r>
      <w:r w:rsidRPr="00995845">
        <w:rPr>
          <w:lang w:val="en-GB"/>
        </w:rPr>
        <w:t xml:space="preserve"> was reasonable.</w:t>
      </w:r>
      <w:r w:rsidR="001F1AA8" w:rsidRPr="00995845">
        <w:rPr>
          <w:rFonts w:eastAsia="Calibri"/>
        </w:rPr>
        <w:t xml:space="preserve"> </w:t>
      </w:r>
      <w:r w:rsidR="001F1AA8" w:rsidRPr="00995845">
        <w:rPr>
          <w:rFonts w:eastAsia="Calibri"/>
          <w:iCs/>
        </w:rPr>
        <w:t>The PBAC noted that the Sub-Committees considered that a</w:t>
      </w:r>
      <w:r w:rsidR="001F1AA8" w:rsidRPr="00995845">
        <w:rPr>
          <w:rFonts w:eastAsia="Calibri"/>
        </w:rPr>
        <w:t xml:space="preserve"> longer duration of follow-up was needed to adequately capture the long-term safety of mepolizumab in COPD patients.</w:t>
      </w:r>
    </w:p>
    <w:p w14:paraId="0CA7EBF8" w14:textId="39F232D9" w:rsidR="009B7C49" w:rsidRPr="003A2F91" w:rsidRDefault="00C03CA8" w:rsidP="00135EE0">
      <w:pPr>
        <w:pStyle w:val="3-BodyText"/>
        <w:rPr>
          <w:lang w:val="en-GB"/>
        </w:rPr>
      </w:pPr>
      <w:bookmarkStart w:id="182" w:name="_Ref225349646"/>
      <w:r>
        <w:rPr>
          <w:iCs/>
        </w:rPr>
        <w:t xml:space="preserve">The PBAC noted that 2 literature-based indirect treatment comparisons (ITCs) had been identified comparing </w:t>
      </w:r>
      <w:r w:rsidRPr="006D6FD8">
        <w:rPr>
          <w:iCs/>
        </w:rPr>
        <w:t>mepolizumab and dupilumab</w:t>
      </w:r>
      <w:r w:rsidR="00E345B1">
        <w:rPr>
          <w:iCs/>
        </w:rPr>
        <w:t xml:space="preserve"> (see paragraph </w:t>
      </w:r>
      <w:r w:rsidR="00E345B1">
        <w:rPr>
          <w:iCs/>
        </w:rPr>
        <w:fldChar w:fldCharType="begin"/>
      </w:r>
      <w:r w:rsidR="00E345B1">
        <w:rPr>
          <w:iCs/>
        </w:rPr>
        <w:instrText xml:space="preserve"> REF _Ref219112665 \r \h </w:instrText>
      </w:r>
      <w:r w:rsidR="00E345B1">
        <w:rPr>
          <w:iCs/>
        </w:rPr>
      </w:r>
      <w:r w:rsidR="00E345B1">
        <w:rPr>
          <w:iCs/>
        </w:rPr>
        <w:fldChar w:fldCharType="separate"/>
      </w:r>
      <w:r w:rsidR="005D45D2">
        <w:rPr>
          <w:iCs/>
        </w:rPr>
        <w:t>6.26</w:t>
      </w:r>
      <w:r w:rsidR="00E345B1">
        <w:rPr>
          <w:iCs/>
        </w:rPr>
        <w:fldChar w:fldCharType="end"/>
      </w:r>
      <w:r w:rsidR="00E345B1">
        <w:rPr>
          <w:iCs/>
        </w:rPr>
        <w:t>)</w:t>
      </w:r>
      <w:r w:rsidR="00AE3E7C">
        <w:rPr>
          <w:iCs/>
        </w:rPr>
        <w:t>.</w:t>
      </w:r>
      <w:r w:rsidR="00FC584F">
        <w:rPr>
          <w:iCs/>
        </w:rPr>
        <w:t xml:space="preserve"> </w:t>
      </w:r>
      <w:r w:rsidR="008A4DA4">
        <w:rPr>
          <w:iCs/>
        </w:rPr>
        <w:t>The PB</w:t>
      </w:r>
      <w:r w:rsidR="003C073C">
        <w:rPr>
          <w:iCs/>
        </w:rPr>
        <w:t xml:space="preserve">AC </w:t>
      </w:r>
      <w:r w:rsidR="006B0191">
        <w:rPr>
          <w:iCs/>
        </w:rPr>
        <w:t xml:space="preserve">noted the </w:t>
      </w:r>
      <w:r w:rsidR="00FB1325">
        <w:rPr>
          <w:iCs/>
        </w:rPr>
        <w:t xml:space="preserve">primary ITC analysis undertaken by </w:t>
      </w:r>
      <w:r w:rsidR="00621611">
        <w:rPr>
          <w:iCs/>
        </w:rPr>
        <w:t xml:space="preserve">Bhatt et al. (2025) </w:t>
      </w:r>
      <w:r w:rsidR="006C08E4">
        <w:rPr>
          <w:iCs/>
        </w:rPr>
        <w:t xml:space="preserve">found that dupilumab </w:t>
      </w:r>
      <w:r w:rsidR="00816ECA">
        <w:rPr>
          <w:iCs/>
        </w:rPr>
        <w:t xml:space="preserve">provided a numerically favourable but </w:t>
      </w:r>
      <w:r w:rsidR="00BA2804">
        <w:rPr>
          <w:iCs/>
        </w:rPr>
        <w:t xml:space="preserve">not statistically significant </w:t>
      </w:r>
      <w:r w:rsidR="001C6F85">
        <w:rPr>
          <w:iCs/>
        </w:rPr>
        <w:t xml:space="preserve">reduction (rate ratio </w:t>
      </w:r>
      <w:r w:rsidR="00177A23">
        <w:rPr>
          <w:iCs/>
        </w:rPr>
        <w:t>= 0.82</w:t>
      </w:r>
      <w:r w:rsidR="00D63B0C">
        <w:rPr>
          <w:iCs/>
        </w:rPr>
        <w:t>, 95% CI 0.66</w:t>
      </w:r>
      <w:r w:rsidR="00AA0E62">
        <w:rPr>
          <w:rFonts w:cstheme="minorHAnsi"/>
        </w:rPr>
        <w:t>–</w:t>
      </w:r>
      <w:r w:rsidR="00D63B0C">
        <w:rPr>
          <w:iCs/>
        </w:rPr>
        <w:t>1.01</w:t>
      </w:r>
      <w:r w:rsidR="001E68C4">
        <w:rPr>
          <w:iCs/>
        </w:rPr>
        <w:t xml:space="preserve">) </w:t>
      </w:r>
      <w:r w:rsidR="001C7DCD">
        <w:rPr>
          <w:iCs/>
        </w:rPr>
        <w:t>in the r</w:t>
      </w:r>
      <w:r w:rsidR="00FD3748">
        <w:rPr>
          <w:iCs/>
        </w:rPr>
        <w:t xml:space="preserve">ate of </w:t>
      </w:r>
      <w:r w:rsidR="00964197">
        <w:rPr>
          <w:iCs/>
        </w:rPr>
        <w:t>moderate</w:t>
      </w:r>
      <w:r w:rsidR="00614069">
        <w:rPr>
          <w:iCs/>
        </w:rPr>
        <w:t xml:space="preserve"> or </w:t>
      </w:r>
      <w:r w:rsidR="005E1C01">
        <w:rPr>
          <w:iCs/>
        </w:rPr>
        <w:t xml:space="preserve">severe COPD </w:t>
      </w:r>
      <w:r w:rsidR="00584698">
        <w:rPr>
          <w:iCs/>
        </w:rPr>
        <w:t xml:space="preserve">exacerbations </w:t>
      </w:r>
      <w:r w:rsidR="008F4C0C">
        <w:rPr>
          <w:iCs/>
        </w:rPr>
        <w:t xml:space="preserve">compared with mepolizumab. </w:t>
      </w:r>
      <w:r w:rsidR="00724BBC">
        <w:rPr>
          <w:iCs/>
        </w:rPr>
        <w:t xml:space="preserve">The </w:t>
      </w:r>
      <w:r w:rsidR="000107E6">
        <w:rPr>
          <w:iCs/>
        </w:rPr>
        <w:t>PBAC noted that</w:t>
      </w:r>
      <w:r w:rsidR="000C0620">
        <w:rPr>
          <w:iCs/>
        </w:rPr>
        <w:t xml:space="preserve"> </w:t>
      </w:r>
      <w:r w:rsidR="008349D3">
        <w:rPr>
          <w:iCs/>
        </w:rPr>
        <w:t xml:space="preserve">the ITC analysis </w:t>
      </w:r>
      <w:r w:rsidR="006D44F2">
        <w:rPr>
          <w:iCs/>
        </w:rPr>
        <w:lastRenderedPageBreak/>
        <w:t xml:space="preserve">undertaken by Suter et al. (2025) </w:t>
      </w:r>
      <w:r w:rsidR="00DB0B74">
        <w:rPr>
          <w:iCs/>
        </w:rPr>
        <w:t>restricted</w:t>
      </w:r>
      <w:r w:rsidR="00B009BE">
        <w:rPr>
          <w:iCs/>
        </w:rPr>
        <w:t xml:space="preserve"> </w:t>
      </w:r>
      <w:r w:rsidR="00636407">
        <w:rPr>
          <w:iCs/>
        </w:rPr>
        <w:t>trials</w:t>
      </w:r>
      <w:r w:rsidR="000C0620">
        <w:rPr>
          <w:iCs/>
        </w:rPr>
        <w:t xml:space="preserve"> to those that</w:t>
      </w:r>
      <w:r w:rsidR="00DB0B74">
        <w:rPr>
          <w:iCs/>
        </w:rPr>
        <w:t xml:space="preserve"> </w:t>
      </w:r>
      <w:r w:rsidR="00BB1CBC">
        <w:rPr>
          <w:iCs/>
        </w:rPr>
        <w:t xml:space="preserve">required patients to have a </w:t>
      </w:r>
      <w:r w:rsidR="00981340">
        <w:rPr>
          <w:iCs/>
        </w:rPr>
        <w:t xml:space="preserve">BEC </w:t>
      </w:r>
      <w:r w:rsidR="0015360E" w:rsidRPr="005529D4">
        <w:rPr>
          <w:snapToGrid w:val="0"/>
          <w:lang w:val="en-GB"/>
        </w:rPr>
        <w:t>300 cells/µL</w:t>
      </w:r>
      <w:r w:rsidR="0015360E">
        <w:rPr>
          <w:snapToGrid w:val="0"/>
          <w:lang w:val="en-GB"/>
        </w:rPr>
        <w:t xml:space="preserve"> at inclusion</w:t>
      </w:r>
      <w:r w:rsidR="000C0620">
        <w:rPr>
          <w:snapToGrid w:val="0"/>
          <w:lang w:val="en-GB"/>
        </w:rPr>
        <w:t xml:space="preserve">. </w:t>
      </w:r>
      <w:r w:rsidR="00D56463">
        <w:rPr>
          <w:snapToGrid w:val="0"/>
          <w:lang w:val="en-GB"/>
        </w:rPr>
        <w:t xml:space="preserve">Suter et al. (2025) </w:t>
      </w:r>
      <w:r w:rsidR="00991604">
        <w:rPr>
          <w:snapToGrid w:val="0"/>
          <w:lang w:val="en-GB"/>
        </w:rPr>
        <w:t xml:space="preserve">reported both dupilumab and mepolizumab were associated with significant reductions in </w:t>
      </w:r>
      <w:r w:rsidR="00B615C7">
        <w:rPr>
          <w:snapToGrid w:val="0"/>
          <w:lang w:val="en-GB"/>
        </w:rPr>
        <w:t xml:space="preserve">annual exacerbation rates </w:t>
      </w:r>
      <w:r w:rsidR="00D62818">
        <w:rPr>
          <w:snapToGrid w:val="0"/>
          <w:lang w:val="en-GB"/>
        </w:rPr>
        <w:t>versus placebo, with overlapping 95% confidence intervals.</w:t>
      </w:r>
      <w:r w:rsidR="005D45D2">
        <w:rPr>
          <w:snapToGrid w:val="0"/>
          <w:lang w:val="en-GB"/>
        </w:rPr>
        <w:t xml:space="preserve"> </w:t>
      </w:r>
      <w:r w:rsidR="00871B99">
        <w:t xml:space="preserve">The PBAC </w:t>
      </w:r>
      <w:r w:rsidR="00A539EA">
        <w:t xml:space="preserve">also </w:t>
      </w:r>
      <w:r w:rsidR="00871B99">
        <w:t xml:space="preserve">noted that </w:t>
      </w:r>
      <w:r w:rsidR="00871B99" w:rsidRPr="009854EF">
        <w:rPr>
          <w:iCs/>
        </w:rPr>
        <w:t xml:space="preserve">the submission presented a matched-adjusted indirect treatment comparison (MAIC) comparing mepolizumab and dupilumab. </w:t>
      </w:r>
      <w:r w:rsidR="0069472E">
        <w:rPr>
          <w:iCs/>
        </w:rPr>
        <w:t>The PBAC agreed with the Sub-Committees that the MA</w:t>
      </w:r>
      <w:r w:rsidR="00C640E0">
        <w:rPr>
          <w:iCs/>
        </w:rPr>
        <w:t xml:space="preserve">IC </w:t>
      </w:r>
      <w:r w:rsidR="00106198">
        <w:rPr>
          <w:iCs/>
        </w:rPr>
        <w:t xml:space="preserve">demonstrated that there was no statistically significant </w:t>
      </w:r>
      <w:r w:rsidR="008E4886">
        <w:rPr>
          <w:iCs/>
        </w:rPr>
        <w:t xml:space="preserve">difference between mepolizumab </w:t>
      </w:r>
      <w:r w:rsidR="000A7BF6">
        <w:rPr>
          <w:iCs/>
        </w:rPr>
        <w:t xml:space="preserve">and dupilumab in reducing </w:t>
      </w:r>
      <w:r w:rsidR="00614069">
        <w:rPr>
          <w:iCs/>
        </w:rPr>
        <w:t>the annualised rate of moderate</w:t>
      </w:r>
      <w:r w:rsidR="00706789">
        <w:rPr>
          <w:iCs/>
        </w:rPr>
        <w:t xml:space="preserve"> or severe exacerbations</w:t>
      </w:r>
      <w:r w:rsidR="00C73257">
        <w:rPr>
          <w:iCs/>
        </w:rPr>
        <w:t xml:space="preserve">, the annualised </w:t>
      </w:r>
      <w:r w:rsidR="003161D8">
        <w:rPr>
          <w:iCs/>
        </w:rPr>
        <w:t xml:space="preserve">rate of severe exacerbations </w:t>
      </w:r>
      <w:r w:rsidR="0011527F">
        <w:rPr>
          <w:iCs/>
        </w:rPr>
        <w:t xml:space="preserve">or the time to first moderate or severe exacerbation, with all confidence intervals </w:t>
      </w:r>
      <w:r w:rsidR="00AB1E5F">
        <w:rPr>
          <w:iCs/>
        </w:rPr>
        <w:t>crossing zero</w:t>
      </w:r>
      <w:r w:rsidR="008C127D">
        <w:rPr>
          <w:iCs/>
        </w:rPr>
        <w:t xml:space="preserve"> (see </w:t>
      </w:r>
      <w:r w:rsidR="008C127D">
        <w:rPr>
          <w:iCs/>
        </w:rPr>
        <w:fldChar w:fldCharType="begin"/>
      </w:r>
      <w:r w:rsidR="008C127D">
        <w:rPr>
          <w:iCs/>
        </w:rPr>
        <w:instrText xml:space="preserve"> REF _Ref222045280 \h </w:instrText>
      </w:r>
      <w:r w:rsidR="008C127D">
        <w:rPr>
          <w:iCs/>
        </w:rPr>
      </w:r>
      <w:r w:rsidR="008C127D">
        <w:rPr>
          <w:iCs/>
        </w:rPr>
        <w:fldChar w:fldCharType="separate"/>
      </w:r>
      <w:r w:rsidR="008C127D" w:rsidRPr="006D6FD8">
        <w:rPr>
          <w:iCs/>
        </w:rPr>
        <w:t xml:space="preserve">Table </w:t>
      </w:r>
      <w:r w:rsidR="008C127D">
        <w:rPr>
          <w:iCs/>
          <w:noProof/>
        </w:rPr>
        <w:t>6</w:t>
      </w:r>
      <w:r w:rsidR="008C127D">
        <w:rPr>
          <w:iCs/>
        </w:rPr>
        <w:fldChar w:fldCharType="end"/>
      </w:r>
      <w:r w:rsidR="008C127D">
        <w:rPr>
          <w:iCs/>
        </w:rPr>
        <w:t>)</w:t>
      </w:r>
      <w:r w:rsidR="00AB1E5F">
        <w:rPr>
          <w:iCs/>
        </w:rPr>
        <w:t>.</w:t>
      </w:r>
      <w:r w:rsidR="003C1AA5" w:rsidRPr="003C1AA5">
        <w:rPr>
          <w:iCs/>
        </w:rPr>
        <w:t xml:space="preserve"> </w:t>
      </w:r>
      <w:r w:rsidR="003C1AA5">
        <w:rPr>
          <w:iCs/>
        </w:rPr>
        <w:t xml:space="preserve">The PBAC recalled that it had previously accepted a claim of non-inferior comparative safety for dupilumab and mepolizumab in its consideration of dupilumab for uncontrolled severe eosinophilic or allergic asthma (see paragraph </w:t>
      </w:r>
      <w:r w:rsidR="003C1AA5">
        <w:rPr>
          <w:iCs/>
        </w:rPr>
        <w:fldChar w:fldCharType="begin"/>
      </w:r>
      <w:r w:rsidR="003C1AA5">
        <w:rPr>
          <w:iCs/>
        </w:rPr>
        <w:instrText xml:space="preserve"> REF _Ref219112665 \r \h </w:instrText>
      </w:r>
      <w:r w:rsidR="003C1AA5">
        <w:rPr>
          <w:iCs/>
        </w:rPr>
      </w:r>
      <w:r w:rsidR="003C1AA5">
        <w:rPr>
          <w:iCs/>
        </w:rPr>
        <w:fldChar w:fldCharType="separate"/>
      </w:r>
      <w:r w:rsidR="005D45D2">
        <w:rPr>
          <w:iCs/>
        </w:rPr>
        <w:t>6.26</w:t>
      </w:r>
      <w:r w:rsidR="003C1AA5">
        <w:rPr>
          <w:iCs/>
        </w:rPr>
        <w:fldChar w:fldCharType="end"/>
      </w:r>
      <w:r w:rsidR="003C1AA5">
        <w:rPr>
          <w:iCs/>
        </w:rPr>
        <w:t>).</w:t>
      </w:r>
      <w:r w:rsidR="008C127D">
        <w:rPr>
          <w:iCs/>
        </w:rPr>
        <w:t xml:space="preserve"> </w:t>
      </w:r>
      <w:r w:rsidR="00BA5877">
        <w:rPr>
          <w:iCs/>
        </w:rPr>
        <w:t>Overall, the PBAC advised that the totality of the data suggest</w:t>
      </w:r>
      <w:r w:rsidR="008F7940">
        <w:rPr>
          <w:iCs/>
        </w:rPr>
        <w:t>ed</w:t>
      </w:r>
      <w:r w:rsidR="00BA5877">
        <w:rPr>
          <w:iCs/>
        </w:rPr>
        <w:t xml:space="preserve"> that mepolizumab and dupilumab have similar clinical effectiveness</w:t>
      </w:r>
      <w:r w:rsidR="001D0EA8">
        <w:rPr>
          <w:iCs/>
        </w:rPr>
        <w:t xml:space="preserve"> and safety</w:t>
      </w:r>
      <w:r w:rsidR="008F7940">
        <w:rPr>
          <w:iCs/>
        </w:rPr>
        <w:t>,</w:t>
      </w:r>
      <w:r w:rsidR="00BA5877">
        <w:rPr>
          <w:iCs/>
        </w:rPr>
        <w:t xml:space="preserve"> and</w:t>
      </w:r>
      <w:r w:rsidR="00D77D17">
        <w:rPr>
          <w:iCs/>
        </w:rPr>
        <w:t xml:space="preserve"> that a claim of non-inferior comparative effectiveness </w:t>
      </w:r>
      <w:r w:rsidR="001D0EA8">
        <w:rPr>
          <w:iCs/>
        </w:rPr>
        <w:t xml:space="preserve">and safety </w:t>
      </w:r>
      <w:r w:rsidR="00D77D17">
        <w:rPr>
          <w:iCs/>
        </w:rPr>
        <w:t>would be reasonable.</w:t>
      </w:r>
      <w:bookmarkEnd w:id="182"/>
    </w:p>
    <w:p w14:paraId="1059954A" w14:textId="473E7287" w:rsidR="00B741A9" w:rsidRPr="009A63C0" w:rsidRDefault="00B96A2F" w:rsidP="00135EE0">
      <w:pPr>
        <w:pStyle w:val="3-BodyText"/>
        <w:numPr>
          <w:ilvl w:val="1"/>
          <w:numId w:val="1"/>
        </w:numPr>
      </w:pPr>
      <w:r w:rsidRPr="0073506F">
        <w:rPr>
          <w:snapToGrid w:val="0"/>
          <w:lang w:val="en-GB"/>
        </w:rPr>
        <w:t xml:space="preserve">The PBAC </w:t>
      </w:r>
      <w:r w:rsidR="009B2409" w:rsidRPr="0073506F">
        <w:rPr>
          <w:snapToGrid w:val="0"/>
          <w:lang w:val="en-GB"/>
        </w:rPr>
        <w:t xml:space="preserve">noted that the submission presented a cost-utility analysis to support the cost-effectiveness of </w:t>
      </w:r>
      <w:r w:rsidR="00FB490D" w:rsidRPr="0073506F">
        <w:rPr>
          <w:snapToGrid w:val="0"/>
          <w:lang w:val="en-GB"/>
        </w:rPr>
        <w:t>mepolizumab</w:t>
      </w:r>
      <w:r w:rsidR="009B2409" w:rsidRPr="0073506F">
        <w:rPr>
          <w:snapToGrid w:val="0"/>
          <w:lang w:val="en-GB"/>
        </w:rPr>
        <w:t xml:space="preserve"> </w:t>
      </w:r>
      <w:r w:rsidR="00C30275">
        <w:rPr>
          <w:snapToGrid w:val="0"/>
          <w:lang w:val="en-GB"/>
        </w:rPr>
        <w:t>plus</w:t>
      </w:r>
      <w:r w:rsidR="00FB490D" w:rsidRPr="0073506F">
        <w:rPr>
          <w:snapToGrid w:val="0"/>
          <w:lang w:val="en-GB"/>
        </w:rPr>
        <w:t xml:space="preserve"> triple inhaled therapy </w:t>
      </w:r>
      <w:r w:rsidR="009B2409" w:rsidRPr="0073506F">
        <w:rPr>
          <w:snapToGrid w:val="0"/>
          <w:lang w:val="en-GB"/>
        </w:rPr>
        <w:t xml:space="preserve">versus </w:t>
      </w:r>
      <w:r w:rsidR="00FB490D" w:rsidRPr="0073506F">
        <w:rPr>
          <w:snapToGrid w:val="0"/>
          <w:lang w:val="en-GB"/>
        </w:rPr>
        <w:t xml:space="preserve">triple inhaled therapy alone. </w:t>
      </w:r>
      <w:r w:rsidR="000F5B85" w:rsidRPr="0073506F">
        <w:rPr>
          <w:snapToGrid w:val="0"/>
          <w:lang w:val="en-GB"/>
        </w:rPr>
        <w:t xml:space="preserve">The PBAC </w:t>
      </w:r>
      <w:r w:rsidR="00C51892" w:rsidRPr="0073506F">
        <w:rPr>
          <w:snapToGrid w:val="0"/>
          <w:lang w:val="en-GB"/>
        </w:rPr>
        <w:t>acknowledged</w:t>
      </w:r>
      <w:r w:rsidR="007F7B5B" w:rsidRPr="0073506F">
        <w:rPr>
          <w:snapToGrid w:val="0"/>
          <w:lang w:val="en-GB"/>
        </w:rPr>
        <w:t xml:space="preserve"> the key concerns raised by the Sub-Committees</w:t>
      </w:r>
      <w:r w:rsidR="00715585">
        <w:rPr>
          <w:snapToGrid w:val="0"/>
          <w:lang w:val="en-GB"/>
        </w:rPr>
        <w:t xml:space="preserve"> (see paragraph </w:t>
      </w:r>
      <w:r w:rsidR="004E5347">
        <w:rPr>
          <w:snapToGrid w:val="0"/>
          <w:lang w:val="en-GB"/>
        </w:rPr>
        <w:fldChar w:fldCharType="begin"/>
      </w:r>
      <w:r w:rsidR="004E5347">
        <w:rPr>
          <w:snapToGrid w:val="0"/>
          <w:lang w:val="en-GB"/>
        </w:rPr>
        <w:instrText xml:space="preserve"> REF _Ref225348390 \r \h </w:instrText>
      </w:r>
      <w:r w:rsidR="004E5347">
        <w:rPr>
          <w:snapToGrid w:val="0"/>
          <w:lang w:val="en-GB"/>
        </w:rPr>
      </w:r>
      <w:r w:rsidR="004E5347">
        <w:rPr>
          <w:snapToGrid w:val="0"/>
          <w:lang w:val="en-GB"/>
        </w:rPr>
        <w:fldChar w:fldCharType="separate"/>
      </w:r>
      <w:r w:rsidR="005D45D2">
        <w:rPr>
          <w:snapToGrid w:val="0"/>
          <w:lang w:val="en-GB"/>
        </w:rPr>
        <w:t>6.55</w:t>
      </w:r>
      <w:r w:rsidR="004E5347">
        <w:rPr>
          <w:snapToGrid w:val="0"/>
          <w:lang w:val="en-GB"/>
        </w:rPr>
        <w:fldChar w:fldCharType="end"/>
      </w:r>
      <w:r w:rsidR="004E5347">
        <w:rPr>
          <w:snapToGrid w:val="0"/>
          <w:lang w:val="en-GB"/>
        </w:rPr>
        <w:t>)</w:t>
      </w:r>
      <w:r w:rsidR="00C51892" w:rsidRPr="0073506F">
        <w:rPr>
          <w:snapToGrid w:val="0"/>
          <w:lang w:val="en-GB"/>
        </w:rPr>
        <w:t xml:space="preserve">. The PBAC noted that the Sub-Committees had advised </w:t>
      </w:r>
      <w:r w:rsidR="00E85CAB" w:rsidRPr="0073506F">
        <w:rPr>
          <w:snapToGrid w:val="0"/>
          <w:lang w:val="en-GB"/>
        </w:rPr>
        <w:t>that</w:t>
      </w:r>
      <w:r w:rsidR="00736B1D" w:rsidRPr="0073506F">
        <w:rPr>
          <w:snapToGrid w:val="0"/>
          <w:lang w:val="en-GB"/>
        </w:rPr>
        <w:t xml:space="preserve"> to align with the proposed restriction,</w:t>
      </w:r>
      <w:r w:rsidR="002F307A" w:rsidRPr="0073506F">
        <w:rPr>
          <w:snapToGrid w:val="0"/>
          <w:lang w:val="en-GB"/>
        </w:rPr>
        <w:t xml:space="preserve"> treatment</w:t>
      </w:r>
      <w:r w:rsidR="00E85CAB" w:rsidRPr="0073506F">
        <w:rPr>
          <w:snapToGrid w:val="0"/>
          <w:lang w:val="en-GB"/>
        </w:rPr>
        <w:t xml:space="preserve"> </w:t>
      </w:r>
      <w:r w:rsidR="002F307A" w:rsidRPr="0073506F">
        <w:rPr>
          <w:snapToGrid w:val="0"/>
          <w:lang w:val="en-GB"/>
        </w:rPr>
        <w:t xml:space="preserve">discontinuation due to </w:t>
      </w:r>
      <w:r w:rsidR="005F6487" w:rsidRPr="0073506F">
        <w:rPr>
          <w:snapToGrid w:val="0"/>
          <w:lang w:val="en-GB"/>
        </w:rPr>
        <w:t xml:space="preserve">a </w:t>
      </w:r>
      <w:r w:rsidR="002F307A" w:rsidRPr="0073506F">
        <w:rPr>
          <w:snapToGrid w:val="0"/>
          <w:lang w:val="en-GB"/>
        </w:rPr>
        <w:t>loss of response (stopping rule)</w:t>
      </w:r>
      <w:r w:rsidR="00C51892" w:rsidRPr="0073506F">
        <w:rPr>
          <w:iCs/>
        </w:rPr>
        <w:t xml:space="preserve"> should </w:t>
      </w:r>
      <w:r w:rsidR="007D1FAA" w:rsidRPr="0073506F">
        <w:rPr>
          <w:iCs/>
        </w:rPr>
        <w:t>occur</w:t>
      </w:r>
      <w:r w:rsidR="00736B1D" w:rsidRPr="0073506F">
        <w:rPr>
          <w:iCs/>
        </w:rPr>
        <w:t xml:space="preserve"> </w:t>
      </w:r>
      <w:r w:rsidR="00C51892" w:rsidRPr="0073506F">
        <w:rPr>
          <w:iCs/>
        </w:rPr>
        <w:t xml:space="preserve">every </w:t>
      </w:r>
      <w:r w:rsidR="002F307A" w:rsidRPr="0073506F">
        <w:rPr>
          <w:iCs/>
        </w:rPr>
        <w:t>6</w:t>
      </w:r>
      <w:r w:rsidR="00C51892" w:rsidRPr="0073506F">
        <w:rPr>
          <w:iCs/>
        </w:rPr>
        <w:t xml:space="preserve"> months</w:t>
      </w:r>
      <w:r w:rsidR="00736B1D" w:rsidRPr="0073506F">
        <w:rPr>
          <w:iCs/>
        </w:rPr>
        <w:t>, not</w:t>
      </w:r>
      <w:r w:rsidR="00C51892" w:rsidRPr="0073506F">
        <w:rPr>
          <w:iCs/>
        </w:rPr>
        <w:t xml:space="preserve"> every </w:t>
      </w:r>
      <w:r w:rsidR="002F307A" w:rsidRPr="0073506F">
        <w:rPr>
          <w:iCs/>
        </w:rPr>
        <w:t>3</w:t>
      </w:r>
      <w:r w:rsidR="00C51892" w:rsidRPr="0073506F">
        <w:rPr>
          <w:iCs/>
        </w:rPr>
        <w:t xml:space="preserve"> months in Year</w:t>
      </w:r>
      <w:r w:rsidR="00A80194" w:rsidRPr="0073506F">
        <w:rPr>
          <w:iCs/>
        </w:rPr>
        <w:t>s</w:t>
      </w:r>
      <w:r w:rsidR="00C51892" w:rsidRPr="0073506F">
        <w:rPr>
          <w:iCs/>
        </w:rPr>
        <w:t xml:space="preserve"> 2+</w:t>
      </w:r>
      <w:r w:rsidR="00165EB4" w:rsidRPr="0073506F">
        <w:rPr>
          <w:iCs/>
        </w:rPr>
        <w:t xml:space="preserve"> of the model</w:t>
      </w:r>
      <w:r w:rsidR="00736B1D" w:rsidRPr="0073506F">
        <w:rPr>
          <w:iCs/>
        </w:rPr>
        <w:t>.</w:t>
      </w:r>
      <w:r w:rsidR="00A80194" w:rsidRPr="0073506F">
        <w:rPr>
          <w:iCs/>
        </w:rPr>
        <w:t xml:space="preserve"> The </w:t>
      </w:r>
      <w:r w:rsidR="00A32307" w:rsidRPr="0073506F">
        <w:rPr>
          <w:iCs/>
        </w:rPr>
        <w:t xml:space="preserve">Sub-Committees advised that </w:t>
      </w:r>
      <w:r w:rsidR="00296923" w:rsidRPr="0073506F">
        <w:rPr>
          <w:iCs/>
        </w:rPr>
        <w:t xml:space="preserve">treatment </w:t>
      </w:r>
      <w:r w:rsidR="005F6487" w:rsidRPr="0073506F">
        <w:rPr>
          <w:iCs/>
        </w:rPr>
        <w:t>discontinuation</w:t>
      </w:r>
      <w:r w:rsidR="00616626" w:rsidRPr="0073506F">
        <w:rPr>
          <w:iCs/>
        </w:rPr>
        <w:t>,</w:t>
      </w:r>
      <w:r w:rsidR="00750E99" w:rsidRPr="0073506F">
        <w:rPr>
          <w:iCs/>
        </w:rPr>
        <w:t xml:space="preserve"> for reasons not related to</w:t>
      </w:r>
      <w:r w:rsidR="009A63C0">
        <w:rPr>
          <w:iCs/>
        </w:rPr>
        <w:t xml:space="preserve"> a</w:t>
      </w:r>
      <w:r w:rsidR="00750E99" w:rsidRPr="0073506F">
        <w:rPr>
          <w:iCs/>
        </w:rPr>
        <w:t xml:space="preserve"> response </w:t>
      </w:r>
      <w:r w:rsidR="005F6487" w:rsidRPr="0073506F">
        <w:rPr>
          <w:iCs/>
        </w:rPr>
        <w:t>(e.g. adverse events)</w:t>
      </w:r>
      <w:r w:rsidR="00616626" w:rsidRPr="0073506F">
        <w:rPr>
          <w:iCs/>
        </w:rPr>
        <w:t>,</w:t>
      </w:r>
      <w:r w:rsidR="005F6487" w:rsidRPr="0073506F">
        <w:rPr>
          <w:iCs/>
        </w:rPr>
        <w:t xml:space="preserve"> </w:t>
      </w:r>
      <w:r w:rsidR="00BD3859" w:rsidRPr="0073506F">
        <w:rPr>
          <w:iCs/>
        </w:rPr>
        <w:t>should</w:t>
      </w:r>
      <w:r w:rsidR="00616626" w:rsidRPr="0073506F">
        <w:rPr>
          <w:iCs/>
        </w:rPr>
        <w:t xml:space="preserve"> </w:t>
      </w:r>
      <w:r w:rsidR="00BD3859" w:rsidRPr="0073506F">
        <w:rPr>
          <w:iCs/>
        </w:rPr>
        <w:t>be</w:t>
      </w:r>
      <w:r w:rsidR="00750E99" w:rsidRPr="0073506F">
        <w:rPr>
          <w:iCs/>
        </w:rPr>
        <w:t xml:space="preserve"> </w:t>
      </w:r>
      <w:r w:rsidR="00014CED" w:rsidRPr="0073506F">
        <w:rPr>
          <w:iCs/>
        </w:rPr>
        <w:t>applied</w:t>
      </w:r>
      <w:r w:rsidR="00750E99" w:rsidRPr="0073506F">
        <w:rPr>
          <w:iCs/>
        </w:rPr>
        <w:t xml:space="preserve"> </w:t>
      </w:r>
      <w:r w:rsidR="003E42E6" w:rsidRPr="0073506F">
        <w:rPr>
          <w:iCs/>
        </w:rPr>
        <w:t xml:space="preserve">to </w:t>
      </w:r>
      <w:r w:rsidR="00BD3859" w:rsidRPr="0073506F">
        <w:rPr>
          <w:iCs/>
        </w:rPr>
        <w:t xml:space="preserve">all </w:t>
      </w:r>
      <w:r w:rsidR="00750E99" w:rsidRPr="0073506F">
        <w:rPr>
          <w:iCs/>
        </w:rPr>
        <w:t>health states</w:t>
      </w:r>
      <w:r w:rsidR="00014CED" w:rsidRPr="0073506F">
        <w:rPr>
          <w:iCs/>
        </w:rPr>
        <w:t xml:space="preserve"> in the model</w:t>
      </w:r>
      <w:r w:rsidR="00BD3859" w:rsidRPr="0073506F">
        <w:rPr>
          <w:iCs/>
        </w:rPr>
        <w:t xml:space="preserve">, </w:t>
      </w:r>
      <w:r w:rsidR="00616626" w:rsidRPr="0073506F">
        <w:rPr>
          <w:iCs/>
        </w:rPr>
        <w:t>not only those related to responders (‘no exacerbation’ health state).</w:t>
      </w:r>
      <w:r w:rsidR="00750E99" w:rsidRPr="0073506F">
        <w:rPr>
          <w:iCs/>
        </w:rPr>
        <w:t xml:space="preserve"> </w:t>
      </w:r>
      <w:r w:rsidR="000874E6" w:rsidRPr="0073506F">
        <w:rPr>
          <w:iCs/>
        </w:rPr>
        <w:t xml:space="preserve">The Sub-Committees considered that 10 years </w:t>
      </w:r>
      <w:r w:rsidR="00D91A8C" w:rsidRPr="0073506F">
        <w:rPr>
          <w:iCs/>
        </w:rPr>
        <w:t>was</w:t>
      </w:r>
      <w:r w:rsidR="000874E6" w:rsidRPr="0073506F">
        <w:rPr>
          <w:iCs/>
        </w:rPr>
        <w:t xml:space="preserve"> the most appropriate time horizon for this patient group</w:t>
      </w:r>
      <w:r w:rsidR="00D91A8C" w:rsidRPr="0073506F">
        <w:rPr>
          <w:iCs/>
        </w:rPr>
        <w:t>.</w:t>
      </w:r>
      <w:r w:rsidR="00B741A9">
        <w:t xml:space="preserve"> The PBAC </w:t>
      </w:r>
      <w:r w:rsidR="009A63C0">
        <w:t>also noted</w:t>
      </w:r>
      <w:r w:rsidR="00B741A9">
        <w:t xml:space="preserve"> that the economic model relied on </w:t>
      </w:r>
      <w:r w:rsidR="00D14B38">
        <w:t>a modest</w:t>
      </w:r>
      <w:r w:rsidR="0080405C">
        <w:t xml:space="preserve"> </w:t>
      </w:r>
      <w:r w:rsidR="00CD5D69" w:rsidRPr="009A63C0">
        <w:rPr>
          <w:rFonts w:eastAsia="Calibri"/>
        </w:rPr>
        <w:t xml:space="preserve">magnitude of treatment benefit </w:t>
      </w:r>
      <w:r w:rsidR="00D14B38" w:rsidRPr="009A63C0">
        <w:rPr>
          <w:rFonts w:eastAsia="Calibri"/>
        </w:rPr>
        <w:t>which was</w:t>
      </w:r>
      <w:r w:rsidR="00CD5D69" w:rsidRPr="009A63C0">
        <w:rPr>
          <w:rFonts w:eastAsia="Calibri"/>
        </w:rPr>
        <w:t xml:space="preserve"> subject to </w:t>
      </w:r>
      <w:r w:rsidR="00EE4134" w:rsidRPr="009A63C0">
        <w:rPr>
          <w:rFonts w:eastAsia="Calibri"/>
        </w:rPr>
        <w:t xml:space="preserve">some </w:t>
      </w:r>
      <w:r w:rsidR="00CD5D69" w:rsidRPr="009A63C0">
        <w:rPr>
          <w:rFonts w:eastAsia="Calibri"/>
        </w:rPr>
        <w:t>uncertainty</w:t>
      </w:r>
      <w:r w:rsidR="00D14B38" w:rsidRPr="009A63C0">
        <w:rPr>
          <w:rFonts w:eastAsia="Calibri"/>
        </w:rPr>
        <w:t xml:space="preserve">. </w:t>
      </w:r>
      <w:r w:rsidR="00216A10" w:rsidRPr="009A63C0">
        <w:rPr>
          <w:rFonts w:eastAsia="Calibri"/>
        </w:rPr>
        <w:t>The PBAC considered that while</w:t>
      </w:r>
      <w:r w:rsidR="009A63C0">
        <w:rPr>
          <w:rFonts w:eastAsia="Calibri"/>
        </w:rPr>
        <w:t xml:space="preserve"> the rate of </w:t>
      </w:r>
      <w:r w:rsidR="00216A10" w:rsidRPr="009A63C0">
        <w:rPr>
          <w:rFonts w:eastAsia="Calibri"/>
        </w:rPr>
        <w:t xml:space="preserve">exacerbation </w:t>
      </w:r>
      <w:r w:rsidR="009A63C0">
        <w:rPr>
          <w:rFonts w:eastAsia="Calibri"/>
        </w:rPr>
        <w:t>is</w:t>
      </w:r>
      <w:r w:rsidR="00EE4134" w:rsidRPr="009A63C0">
        <w:rPr>
          <w:rFonts w:eastAsia="Calibri"/>
        </w:rPr>
        <w:t xml:space="preserve"> </w:t>
      </w:r>
      <w:r w:rsidR="00216A10" w:rsidRPr="009A63C0">
        <w:rPr>
          <w:rFonts w:eastAsia="Calibri"/>
        </w:rPr>
        <w:t xml:space="preserve">regarded as </w:t>
      </w:r>
      <w:r w:rsidR="00C931FF" w:rsidRPr="009A63C0">
        <w:rPr>
          <w:rFonts w:eastAsia="Calibri"/>
        </w:rPr>
        <w:t xml:space="preserve">an important </w:t>
      </w:r>
      <w:r w:rsidR="00216A10" w:rsidRPr="009A63C0">
        <w:rPr>
          <w:rFonts w:eastAsia="Calibri"/>
        </w:rPr>
        <w:t>clinical endpoint</w:t>
      </w:r>
      <w:r w:rsidR="00C931FF" w:rsidRPr="009A63C0">
        <w:rPr>
          <w:rFonts w:eastAsia="Calibri"/>
        </w:rPr>
        <w:t xml:space="preserve"> </w:t>
      </w:r>
      <w:r w:rsidR="00D94355" w:rsidRPr="009A63C0">
        <w:rPr>
          <w:rFonts w:eastAsia="Calibri"/>
        </w:rPr>
        <w:t>which</w:t>
      </w:r>
      <w:r w:rsidR="00C931FF" w:rsidRPr="009A63C0">
        <w:rPr>
          <w:rFonts w:eastAsia="Calibri"/>
        </w:rPr>
        <w:t xml:space="preserve"> </w:t>
      </w:r>
      <w:r w:rsidR="002F0B23">
        <w:rPr>
          <w:rFonts w:eastAsia="Calibri"/>
        </w:rPr>
        <w:t>is</w:t>
      </w:r>
      <w:r w:rsidR="001A165C" w:rsidRPr="009A63C0">
        <w:rPr>
          <w:rFonts w:eastAsia="Calibri"/>
        </w:rPr>
        <w:t xml:space="preserve"> directly experienced by patients and represent </w:t>
      </w:r>
      <w:r w:rsidR="00D94355" w:rsidRPr="009A63C0">
        <w:rPr>
          <w:rFonts w:eastAsia="Calibri"/>
        </w:rPr>
        <w:t xml:space="preserve">important </w:t>
      </w:r>
      <w:r w:rsidR="001A165C" w:rsidRPr="009A63C0">
        <w:rPr>
          <w:rFonts w:eastAsia="Calibri"/>
        </w:rPr>
        <w:t>change</w:t>
      </w:r>
      <w:r w:rsidR="00D94355" w:rsidRPr="009A63C0">
        <w:rPr>
          <w:rFonts w:eastAsia="Calibri"/>
        </w:rPr>
        <w:t>s</w:t>
      </w:r>
      <w:r w:rsidR="001A165C" w:rsidRPr="009A63C0">
        <w:rPr>
          <w:rFonts w:eastAsia="Calibri"/>
        </w:rPr>
        <w:t xml:space="preserve"> in symptoms and health status</w:t>
      </w:r>
      <w:r w:rsidR="00216A10" w:rsidRPr="009A63C0">
        <w:rPr>
          <w:rFonts w:eastAsia="Calibri"/>
        </w:rPr>
        <w:t>, when used to project long</w:t>
      </w:r>
      <w:r w:rsidR="00EE4134" w:rsidRPr="009A63C0">
        <w:rPr>
          <w:rFonts w:eastAsia="Calibri"/>
        </w:rPr>
        <w:t>er</w:t>
      </w:r>
      <w:r w:rsidR="00216A10" w:rsidRPr="009A63C0">
        <w:rPr>
          <w:rFonts w:eastAsia="Calibri"/>
        </w:rPr>
        <w:t>-term outcomes, such as mortality</w:t>
      </w:r>
      <w:r w:rsidR="00F04E10" w:rsidRPr="009A63C0">
        <w:rPr>
          <w:rFonts w:eastAsia="Calibri"/>
        </w:rPr>
        <w:t xml:space="preserve"> and long-term decline</w:t>
      </w:r>
      <w:r w:rsidR="00216A10" w:rsidRPr="009A63C0">
        <w:rPr>
          <w:rFonts w:eastAsia="Calibri"/>
        </w:rPr>
        <w:t xml:space="preserve">, </w:t>
      </w:r>
      <w:r w:rsidR="007F5C57" w:rsidRPr="009A63C0">
        <w:rPr>
          <w:rFonts w:eastAsia="Calibri"/>
        </w:rPr>
        <w:t xml:space="preserve">such measures </w:t>
      </w:r>
      <w:r w:rsidR="00216A10" w:rsidRPr="009A63C0">
        <w:rPr>
          <w:rFonts w:eastAsia="Calibri"/>
        </w:rPr>
        <w:t xml:space="preserve">function </w:t>
      </w:r>
      <w:proofErr w:type="gramStart"/>
      <w:r w:rsidR="00216A10" w:rsidRPr="009A63C0">
        <w:rPr>
          <w:rFonts w:eastAsia="Calibri"/>
        </w:rPr>
        <w:t>similar to</w:t>
      </w:r>
      <w:proofErr w:type="gramEnd"/>
      <w:r w:rsidR="00D94355" w:rsidRPr="009A63C0">
        <w:rPr>
          <w:rFonts w:eastAsia="Calibri"/>
        </w:rPr>
        <w:t xml:space="preserve"> an</w:t>
      </w:r>
      <w:r w:rsidR="00216A10" w:rsidRPr="009A63C0">
        <w:rPr>
          <w:rFonts w:eastAsia="Calibri"/>
        </w:rPr>
        <w:t xml:space="preserve"> intermediate or surrogate measure. </w:t>
      </w:r>
    </w:p>
    <w:p w14:paraId="06EE595A" w14:textId="077E6D06" w:rsidR="00BC416F" w:rsidRDefault="00E010AC" w:rsidP="44ECBA58">
      <w:pPr>
        <w:pStyle w:val="3-BodyText"/>
      </w:pPr>
      <w:bookmarkStart w:id="183" w:name="_Ref225415350"/>
      <w:r w:rsidRPr="0073506F">
        <w:rPr>
          <w:snapToGrid w:val="0"/>
          <w:lang w:val="en-GB"/>
        </w:rPr>
        <w:t xml:space="preserve">The PBAC </w:t>
      </w:r>
      <w:r w:rsidR="00E97A45" w:rsidRPr="0073506F">
        <w:rPr>
          <w:snapToGrid w:val="0"/>
          <w:lang w:val="en-GB"/>
        </w:rPr>
        <w:t xml:space="preserve">noted that </w:t>
      </w:r>
      <w:r w:rsidR="00E97A45" w:rsidRPr="0073506F">
        <w:rPr>
          <w:iCs/>
        </w:rPr>
        <w:t xml:space="preserve">the Pre-PBAC Response </w:t>
      </w:r>
      <w:r w:rsidR="00AC1988" w:rsidRPr="0073506F">
        <w:rPr>
          <w:iCs/>
        </w:rPr>
        <w:t>had addressed the main concerns related to the economic model raised by the Sub-Committees (</w:t>
      </w:r>
      <w:r w:rsidR="00157F84" w:rsidRPr="0073506F">
        <w:rPr>
          <w:iCs/>
        </w:rPr>
        <w:t xml:space="preserve">paragraph </w:t>
      </w:r>
      <w:r w:rsidR="00157F84" w:rsidRPr="0073506F">
        <w:rPr>
          <w:iCs/>
        </w:rPr>
        <w:fldChar w:fldCharType="begin"/>
      </w:r>
      <w:r w:rsidR="00157F84" w:rsidRPr="0073506F">
        <w:rPr>
          <w:iCs/>
        </w:rPr>
        <w:instrText xml:space="preserve"> REF _Ref225224255 \r \h </w:instrText>
      </w:r>
      <w:r w:rsidR="00157F84" w:rsidRPr="0073506F">
        <w:rPr>
          <w:iCs/>
        </w:rPr>
      </w:r>
      <w:r w:rsidR="00157F84" w:rsidRPr="0073506F">
        <w:rPr>
          <w:iCs/>
        </w:rPr>
        <w:fldChar w:fldCharType="separate"/>
      </w:r>
      <w:r w:rsidR="005D45D2">
        <w:rPr>
          <w:iCs/>
        </w:rPr>
        <w:t>6.56</w:t>
      </w:r>
      <w:r w:rsidR="00157F84" w:rsidRPr="0073506F">
        <w:rPr>
          <w:iCs/>
        </w:rPr>
        <w:fldChar w:fldCharType="end"/>
      </w:r>
      <w:r w:rsidR="00157F84" w:rsidRPr="0073506F">
        <w:rPr>
          <w:iCs/>
        </w:rPr>
        <w:t>)</w:t>
      </w:r>
      <w:r w:rsidR="00AC1988" w:rsidRPr="0073506F">
        <w:rPr>
          <w:iCs/>
        </w:rPr>
        <w:t>.</w:t>
      </w:r>
      <w:r w:rsidR="00D5118F" w:rsidRPr="0073506F">
        <w:rPr>
          <w:iCs/>
        </w:rPr>
        <w:t xml:space="preserve"> The PBAC also noted that the Pre-PBAC Response proposed a revised </w:t>
      </w:r>
      <w:r w:rsidR="00445890" w:rsidRPr="0073506F">
        <w:rPr>
          <w:iCs/>
        </w:rPr>
        <w:t xml:space="preserve">effective </w:t>
      </w:r>
      <w:r w:rsidR="0038546A">
        <w:t xml:space="preserve">price </w:t>
      </w:r>
      <w:r w:rsidR="00D5118F">
        <w:t>for mepolizumab of $</w:t>
      </w:r>
      <w:r w:rsidR="003C172C" w:rsidRPr="003C172C">
        <w:rPr>
          <w:sz w:val="2"/>
          <w:highlight w:val="black"/>
        </w:rPr>
        <w:t>redacted content</w:t>
      </w:r>
      <w:r w:rsidR="00D5118F">
        <w:t xml:space="preserve"> per 100 mg pre-filled pen</w:t>
      </w:r>
      <w:r w:rsidR="0038546A">
        <w:t xml:space="preserve"> (ex-manufacturer price)</w:t>
      </w:r>
      <w:r w:rsidR="00D5118F">
        <w:t xml:space="preserve">. </w:t>
      </w:r>
      <w:r w:rsidR="00407BAA">
        <w:t>The PBAC noted that with</w:t>
      </w:r>
      <w:r w:rsidR="00D5118F">
        <w:t xml:space="preserve"> the reduced price and revisions to the economic model, as proposed in the Pre-PBAC Response, the ICER was </w:t>
      </w:r>
      <w:r w:rsidR="00934E00">
        <w:t>$55,000 to &lt; $75,000</w:t>
      </w:r>
      <w:r w:rsidR="00D5118F">
        <w:t>/QALY gained.</w:t>
      </w:r>
      <w:r w:rsidR="00662AEA" w:rsidRPr="44ECBA58">
        <w:rPr>
          <w:rFonts w:eastAsia="Times New Roman" w:cs="Arial"/>
        </w:rPr>
        <w:t xml:space="preserve"> </w:t>
      </w:r>
      <w:r w:rsidR="005D30CA">
        <w:t>The PBAC considered that the ICER remained high</w:t>
      </w:r>
      <w:r w:rsidR="009E61D7">
        <w:t xml:space="preserve">. The PBAC considered that </w:t>
      </w:r>
      <w:proofErr w:type="gramStart"/>
      <w:r w:rsidR="00C44FD1">
        <w:t>in light of</w:t>
      </w:r>
      <w:proofErr w:type="gramEnd"/>
      <w:r w:rsidR="005D30CA">
        <w:t xml:space="preserve"> uncertainties</w:t>
      </w:r>
      <w:r w:rsidR="00C44FD1">
        <w:t xml:space="preserve"> related</w:t>
      </w:r>
      <w:r w:rsidR="005D30CA">
        <w:t xml:space="preserve"> to the model’s </w:t>
      </w:r>
      <w:r w:rsidR="0073506F">
        <w:t>reliance</w:t>
      </w:r>
      <w:r w:rsidR="005D30CA">
        <w:t xml:space="preserve"> o</w:t>
      </w:r>
      <w:r w:rsidR="00C44FD1">
        <w:t>n</w:t>
      </w:r>
      <w:r w:rsidR="005D30CA">
        <w:t xml:space="preserve"> surrogate endpoints and </w:t>
      </w:r>
      <w:r w:rsidR="00962A99">
        <w:t xml:space="preserve">its unknown </w:t>
      </w:r>
      <w:r w:rsidR="001E0BAD">
        <w:t>long-term clinical impact</w:t>
      </w:r>
      <w:r w:rsidR="00065BAB">
        <w:t xml:space="preserve"> along with the ICERs accepted in similar contexts (see paragraph </w:t>
      </w:r>
      <w:r w:rsidR="00065BAB">
        <w:fldChar w:fldCharType="begin"/>
      </w:r>
      <w:r w:rsidR="00065BAB">
        <w:instrText xml:space="preserve"> REF _Ref225935294 \r \h </w:instrText>
      </w:r>
      <w:r w:rsidR="00065BAB">
        <w:fldChar w:fldCharType="separate"/>
      </w:r>
      <w:r w:rsidR="005D45D2">
        <w:t>6.57</w:t>
      </w:r>
      <w:r w:rsidR="00065BAB">
        <w:fldChar w:fldCharType="end"/>
      </w:r>
      <w:r w:rsidR="00065BAB">
        <w:t>)</w:t>
      </w:r>
      <w:r w:rsidR="005D0019">
        <w:t xml:space="preserve">, </w:t>
      </w:r>
      <w:r w:rsidR="00407239">
        <w:t xml:space="preserve">mepolizumab would be cost-effective based on </w:t>
      </w:r>
      <w:r w:rsidR="009058EA">
        <w:t>the</w:t>
      </w:r>
      <w:r w:rsidR="00407239">
        <w:t xml:space="preserve"> </w:t>
      </w:r>
      <w:r w:rsidR="007D5304">
        <w:t>Pre-PBAC</w:t>
      </w:r>
      <w:r w:rsidR="002F6738">
        <w:t xml:space="preserve"> </w:t>
      </w:r>
      <w:r w:rsidR="00407239">
        <w:t xml:space="preserve">model </w:t>
      </w:r>
      <w:r w:rsidR="009058EA">
        <w:lastRenderedPageBreak/>
        <w:t>and</w:t>
      </w:r>
      <w:r w:rsidR="00407239">
        <w:t xml:space="preserve"> a price reduction </w:t>
      </w:r>
      <w:r w:rsidR="009058EA">
        <w:t>which</w:t>
      </w:r>
      <w:r w:rsidR="00407239">
        <w:t xml:space="preserve"> achieve</w:t>
      </w:r>
      <w:r w:rsidR="009058EA">
        <w:t>d</w:t>
      </w:r>
      <w:r w:rsidR="00407239">
        <w:t xml:space="preserve"> </w:t>
      </w:r>
      <w:r w:rsidR="005D30CA">
        <w:t xml:space="preserve">an ICER </w:t>
      </w:r>
      <w:r w:rsidR="00662AEA" w:rsidRPr="00662AEA">
        <w:t>of less than $</w:t>
      </w:r>
      <w:r w:rsidR="00662AEA">
        <w:t>2</w:t>
      </w:r>
      <w:r w:rsidR="00662AEA" w:rsidRPr="00662AEA">
        <w:t>5,000</w:t>
      </w:r>
      <w:r w:rsidR="00934E00">
        <w:t xml:space="preserve"> to &lt; $35,000</w:t>
      </w:r>
      <w:r w:rsidR="00662AEA" w:rsidRPr="00662AEA">
        <w:t xml:space="preserve"> per QALY gai</w:t>
      </w:r>
      <w:r w:rsidR="00407239">
        <w:t>ned</w:t>
      </w:r>
      <w:r w:rsidR="009058EA">
        <w:t>.</w:t>
      </w:r>
      <w:bookmarkEnd w:id="183"/>
      <w:r w:rsidR="00135132">
        <w:t xml:space="preserve"> </w:t>
      </w:r>
    </w:p>
    <w:p w14:paraId="1B71FE77" w14:textId="545B0CA1" w:rsidR="00596010" w:rsidRPr="00CF2F08" w:rsidRDefault="009058EA" w:rsidP="00135EE0">
      <w:pPr>
        <w:pStyle w:val="3-BodyText"/>
        <w:numPr>
          <w:ilvl w:val="1"/>
          <w:numId w:val="1"/>
        </w:numPr>
      </w:pPr>
      <w:bookmarkStart w:id="184" w:name="_Ref225415359"/>
      <w:r w:rsidRPr="00135132">
        <w:rPr>
          <w:bCs/>
          <w:lang w:val="en-GB"/>
        </w:rPr>
        <w:t xml:space="preserve">The </w:t>
      </w:r>
      <w:r w:rsidR="002425FC">
        <w:rPr>
          <w:bCs/>
          <w:lang w:val="en-GB"/>
        </w:rPr>
        <w:t>PBAC noted</w:t>
      </w:r>
      <w:r w:rsidR="002425FC">
        <w:t xml:space="preserve"> </w:t>
      </w:r>
      <w:r w:rsidR="0064723C">
        <w:t xml:space="preserve">the current near market </w:t>
      </w:r>
      <w:r w:rsidR="00505F57">
        <w:t>comparator</w:t>
      </w:r>
      <w:r w:rsidR="0064723C">
        <w:t xml:space="preserve"> </w:t>
      </w:r>
      <w:r w:rsidR="002425FC">
        <w:t>dupilumab was also considered for the same indication at its March 2026 meeting</w:t>
      </w:r>
      <w:r w:rsidR="00AD11C4">
        <w:t>,</w:t>
      </w:r>
      <w:r w:rsidR="002425FC" w:rsidRPr="00135132">
        <w:rPr>
          <w:bCs/>
          <w:lang w:val="en-GB"/>
        </w:rPr>
        <w:t xml:space="preserve"> </w:t>
      </w:r>
      <w:r w:rsidR="00705DB5">
        <w:rPr>
          <w:bCs/>
          <w:lang w:val="en-GB"/>
        </w:rPr>
        <w:t xml:space="preserve">and that as per paragraph </w:t>
      </w:r>
      <w:r w:rsidR="00BC2CB3">
        <w:rPr>
          <w:bCs/>
          <w:lang w:val="en-GB"/>
        </w:rPr>
        <w:fldChar w:fldCharType="begin"/>
      </w:r>
      <w:r w:rsidR="00BC2CB3">
        <w:rPr>
          <w:bCs/>
          <w:lang w:val="en-GB"/>
        </w:rPr>
        <w:instrText xml:space="preserve"> REF _Ref225349646 \r \h </w:instrText>
      </w:r>
      <w:r w:rsidR="00BC2CB3">
        <w:rPr>
          <w:bCs/>
          <w:lang w:val="en-GB"/>
        </w:rPr>
      </w:r>
      <w:r w:rsidR="00BC2CB3">
        <w:rPr>
          <w:bCs/>
          <w:lang w:val="en-GB"/>
        </w:rPr>
        <w:fldChar w:fldCharType="separate"/>
      </w:r>
      <w:r w:rsidR="005D45D2">
        <w:rPr>
          <w:bCs/>
          <w:lang w:val="en-GB"/>
        </w:rPr>
        <w:t>7.7</w:t>
      </w:r>
      <w:r w:rsidR="00BC2CB3">
        <w:rPr>
          <w:bCs/>
          <w:lang w:val="en-GB"/>
        </w:rPr>
        <w:fldChar w:fldCharType="end"/>
      </w:r>
      <w:r w:rsidR="00AD11C4">
        <w:rPr>
          <w:bCs/>
          <w:lang w:val="en-GB"/>
        </w:rPr>
        <w:t xml:space="preserve"> </w:t>
      </w:r>
      <w:r w:rsidR="00AD11C4">
        <w:t xml:space="preserve">the Committee considered a claim of non-inferior comparative effectiveness and safety was reasonable. </w:t>
      </w:r>
      <w:r w:rsidR="0064723C">
        <w:t xml:space="preserve">The </w:t>
      </w:r>
      <w:r w:rsidRPr="0064723C">
        <w:rPr>
          <w:bCs/>
          <w:lang w:val="en-GB"/>
        </w:rPr>
        <w:t xml:space="preserve">PBAC recommended that </w:t>
      </w:r>
      <w:r w:rsidR="00505F57">
        <w:rPr>
          <w:bCs/>
          <w:lang w:val="en-GB"/>
        </w:rPr>
        <w:t>if</w:t>
      </w:r>
      <w:r w:rsidRPr="0064723C">
        <w:rPr>
          <w:bCs/>
          <w:lang w:val="en-GB"/>
        </w:rPr>
        <w:t xml:space="preserve"> both </w:t>
      </w:r>
      <w:r w:rsidR="00946ED7">
        <w:rPr>
          <w:bCs/>
          <w:lang w:val="en-GB"/>
        </w:rPr>
        <w:t xml:space="preserve">dupilumab and mepolizumab </w:t>
      </w:r>
      <w:r w:rsidR="00505F57">
        <w:rPr>
          <w:bCs/>
          <w:lang w:val="en-GB"/>
        </w:rPr>
        <w:t xml:space="preserve">are </w:t>
      </w:r>
      <w:r w:rsidRPr="0064723C">
        <w:rPr>
          <w:bCs/>
          <w:lang w:val="en-GB"/>
        </w:rPr>
        <w:t>listed on the PBS</w:t>
      </w:r>
      <w:r w:rsidR="00F34588">
        <w:rPr>
          <w:bCs/>
          <w:lang w:val="en-GB"/>
        </w:rPr>
        <w:t>,</w:t>
      </w:r>
      <w:r w:rsidR="00B17EE5">
        <w:rPr>
          <w:bCs/>
          <w:lang w:val="en-GB"/>
        </w:rPr>
        <w:t xml:space="preserve"> the following equi-effective doses </w:t>
      </w:r>
      <w:r w:rsidR="008A6D0F">
        <w:rPr>
          <w:bCs/>
          <w:lang w:val="en-GB"/>
        </w:rPr>
        <w:t xml:space="preserve">would be appropriate for </w:t>
      </w:r>
      <w:r w:rsidR="008C1529">
        <w:rPr>
          <w:bCs/>
          <w:lang w:val="en-GB"/>
        </w:rPr>
        <w:t>a</w:t>
      </w:r>
      <w:r w:rsidR="0079208D">
        <w:rPr>
          <w:bCs/>
          <w:lang w:val="en-GB"/>
        </w:rPr>
        <w:t xml:space="preserve"> </w:t>
      </w:r>
      <w:r w:rsidR="00627F83" w:rsidRPr="0064723C">
        <w:rPr>
          <w:iCs/>
        </w:rPr>
        <w:t>cost-minimisation approach</w:t>
      </w:r>
      <w:r w:rsidR="00195E91">
        <w:rPr>
          <w:iCs/>
        </w:rPr>
        <w:t xml:space="preserve"> for the </w:t>
      </w:r>
      <w:r w:rsidR="00357959">
        <w:rPr>
          <w:iCs/>
        </w:rPr>
        <w:t xml:space="preserve">subsequent </w:t>
      </w:r>
      <w:r w:rsidR="0072336D">
        <w:rPr>
          <w:iCs/>
        </w:rPr>
        <w:t>therapy listed</w:t>
      </w:r>
      <w:r w:rsidR="00596010">
        <w:rPr>
          <w:iCs/>
        </w:rPr>
        <w:t>:</w:t>
      </w:r>
      <w:bookmarkEnd w:id="184"/>
    </w:p>
    <w:p w14:paraId="3549BF1E" w14:textId="634EEBE3" w:rsidR="00CF2F08" w:rsidRDefault="00CF2F08" w:rsidP="00135EE0">
      <w:pPr>
        <w:pStyle w:val="ListParagraph"/>
      </w:pPr>
      <w:r>
        <w:t xml:space="preserve">Mepolizumab </w:t>
      </w:r>
      <w:r w:rsidR="00B160A2">
        <w:t>100 mg by subcutaneous injection every 4 weeks (13 doses over 1 year)</w:t>
      </w:r>
    </w:p>
    <w:p w14:paraId="4A1E4C68" w14:textId="63D5CC3D" w:rsidR="00E919B2" w:rsidRPr="00596010" w:rsidRDefault="00E919B2" w:rsidP="00135EE0">
      <w:pPr>
        <w:pStyle w:val="ListParagraph"/>
      </w:pPr>
      <w:r>
        <w:t>Dupilumab 300 mg by subcutaneous injection every 2 weeks (26 doses over 1</w:t>
      </w:r>
      <w:r w:rsidR="00950CBF">
        <w:t> </w:t>
      </w:r>
      <w:r>
        <w:t xml:space="preserve">year). </w:t>
      </w:r>
    </w:p>
    <w:p w14:paraId="51563292" w14:textId="5EF0DC8D" w:rsidR="00390DE0" w:rsidRDefault="00390DE0" w:rsidP="00135EE0">
      <w:pPr>
        <w:pStyle w:val="3-BodyText"/>
        <w:rPr>
          <w:snapToGrid w:val="0"/>
          <w:lang w:val="en-GB"/>
        </w:rPr>
      </w:pPr>
      <w:r>
        <w:rPr>
          <w:snapToGrid w:val="0"/>
          <w:lang w:val="en-GB"/>
        </w:rPr>
        <w:t>The PBAC noted</w:t>
      </w:r>
      <w:r w:rsidR="00537ED6">
        <w:rPr>
          <w:snapToGrid w:val="0"/>
          <w:lang w:val="en-GB"/>
        </w:rPr>
        <w:t xml:space="preserve"> </w:t>
      </w:r>
      <w:r w:rsidR="00AC5B1E">
        <w:rPr>
          <w:snapToGrid w:val="0"/>
          <w:lang w:val="en-GB"/>
        </w:rPr>
        <w:t xml:space="preserve">the </w:t>
      </w:r>
      <w:r w:rsidR="00620F2F">
        <w:rPr>
          <w:snapToGrid w:val="0"/>
          <w:lang w:val="en-GB"/>
        </w:rPr>
        <w:t xml:space="preserve">submission </w:t>
      </w:r>
      <w:r w:rsidR="0019108C">
        <w:rPr>
          <w:snapToGrid w:val="0"/>
          <w:lang w:val="en-GB"/>
        </w:rPr>
        <w:t xml:space="preserve">used </w:t>
      </w:r>
      <w:r w:rsidR="00537ED6">
        <w:rPr>
          <w:snapToGrid w:val="0"/>
          <w:lang w:val="en-GB"/>
        </w:rPr>
        <w:t xml:space="preserve">10% PBS </w:t>
      </w:r>
      <w:r w:rsidR="00C7156A">
        <w:rPr>
          <w:snapToGrid w:val="0"/>
          <w:lang w:val="en-GB"/>
        </w:rPr>
        <w:t xml:space="preserve">sample data </w:t>
      </w:r>
      <w:r w:rsidR="00FF130C">
        <w:rPr>
          <w:snapToGrid w:val="0"/>
          <w:lang w:val="en-GB"/>
        </w:rPr>
        <w:t>to determine</w:t>
      </w:r>
      <w:r w:rsidR="00061C4A">
        <w:rPr>
          <w:snapToGrid w:val="0"/>
          <w:lang w:val="en-GB"/>
        </w:rPr>
        <w:t xml:space="preserve"> </w:t>
      </w:r>
      <w:r w:rsidR="00AD6AA8">
        <w:rPr>
          <w:snapToGrid w:val="0"/>
          <w:lang w:val="en-GB"/>
        </w:rPr>
        <w:t xml:space="preserve">the </w:t>
      </w:r>
      <w:r w:rsidR="00D55665">
        <w:rPr>
          <w:snapToGrid w:val="0"/>
          <w:lang w:val="en-GB"/>
        </w:rPr>
        <w:t>number of prevalent patients on triple inhaled therapy</w:t>
      </w:r>
      <w:r w:rsidR="002B1C82">
        <w:rPr>
          <w:snapToGrid w:val="0"/>
          <w:lang w:val="en-GB"/>
        </w:rPr>
        <w:t xml:space="preserve"> and</w:t>
      </w:r>
      <w:r w:rsidR="009346B5">
        <w:rPr>
          <w:snapToGrid w:val="0"/>
          <w:lang w:val="en-GB"/>
        </w:rPr>
        <w:t xml:space="preserve"> agreed with its Su</w:t>
      </w:r>
      <w:r w:rsidR="005E6DCD">
        <w:rPr>
          <w:snapToGrid w:val="0"/>
          <w:lang w:val="en-GB"/>
        </w:rPr>
        <w:t xml:space="preserve">b-Committees that </w:t>
      </w:r>
      <w:r w:rsidR="00360452">
        <w:rPr>
          <w:snapToGrid w:val="0"/>
          <w:lang w:val="en-GB"/>
        </w:rPr>
        <w:t xml:space="preserve">the estimate was uncertain. </w:t>
      </w:r>
      <w:r w:rsidR="00FD0566">
        <w:rPr>
          <w:snapToGrid w:val="0"/>
          <w:lang w:val="en-GB"/>
        </w:rPr>
        <w:t>The PBAC noted</w:t>
      </w:r>
      <w:r>
        <w:rPr>
          <w:snapToGrid w:val="0"/>
          <w:lang w:val="en-GB"/>
        </w:rPr>
        <w:t xml:space="preserve"> </w:t>
      </w:r>
      <w:r w:rsidR="004E785D">
        <w:rPr>
          <w:snapToGrid w:val="0"/>
          <w:lang w:val="en-GB"/>
        </w:rPr>
        <w:t xml:space="preserve">the </w:t>
      </w:r>
      <w:r>
        <w:rPr>
          <w:snapToGrid w:val="0"/>
          <w:lang w:val="en-GB"/>
        </w:rPr>
        <w:t>analysis of the 100% PBS sample which reported the number of prevalent patients for PBS listed single inhaler triple therapies for COPD (</w:t>
      </w:r>
      <w:r w:rsidR="00E620E3">
        <w:rPr>
          <w:snapToGrid w:val="0"/>
          <w:lang w:val="en-GB"/>
        </w:rPr>
        <w:fldChar w:fldCharType="begin"/>
      </w:r>
      <w:r w:rsidR="00E620E3">
        <w:rPr>
          <w:snapToGrid w:val="0"/>
          <w:lang w:val="en-GB"/>
        </w:rPr>
        <w:instrText xml:space="preserve"> REF _Ref221787710 \h  \* MERGEFORMAT </w:instrText>
      </w:r>
      <w:r w:rsidR="00E620E3">
        <w:rPr>
          <w:snapToGrid w:val="0"/>
          <w:lang w:val="en-GB"/>
        </w:rPr>
      </w:r>
      <w:r w:rsidR="00E620E3">
        <w:rPr>
          <w:snapToGrid w:val="0"/>
          <w:lang w:val="en-GB"/>
        </w:rPr>
        <w:fldChar w:fldCharType="separate"/>
      </w:r>
      <w:r w:rsidR="00E620E3" w:rsidRPr="00E620E3">
        <w:rPr>
          <w:snapToGrid w:val="0"/>
          <w:lang w:val="en-GB"/>
        </w:rPr>
        <w:t>Table 21</w:t>
      </w:r>
      <w:r w:rsidR="00E620E3">
        <w:rPr>
          <w:snapToGrid w:val="0"/>
          <w:lang w:val="en-GB"/>
        </w:rPr>
        <w:fldChar w:fldCharType="end"/>
      </w:r>
      <w:r>
        <w:rPr>
          <w:snapToGrid w:val="0"/>
          <w:lang w:val="en-GB"/>
        </w:rPr>
        <w:t>). The PBAC agreed with its Sub-Committees that an approach based on the actual number of treated prevalent patients supplied triple therapy was appropriate and noted the additional suggested revisions to inputs outlined in paragraph</w:t>
      </w:r>
      <w:r w:rsidR="00E06FBF">
        <w:rPr>
          <w:snapToGrid w:val="0"/>
          <w:lang w:val="en-GB"/>
        </w:rPr>
        <w:t xml:space="preserve"> </w:t>
      </w:r>
      <w:r w:rsidR="002F5FEB">
        <w:rPr>
          <w:snapToGrid w:val="0"/>
          <w:lang w:val="en-GB"/>
        </w:rPr>
        <w:fldChar w:fldCharType="begin"/>
      </w:r>
      <w:r w:rsidR="002F5FEB">
        <w:rPr>
          <w:snapToGrid w:val="0"/>
          <w:lang w:val="en-GB"/>
        </w:rPr>
        <w:instrText xml:space="preserve"> REF _Ref222483631 \r \h </w:instrText>
      </w:r>
      <w:r w:rsidR="002F5FEB">
        <w:rPr>
          <w:snapToGrid w:val="0"/>
          <w:lang w:val="en-GB"/>
        </w:rPr>
      </w:r>
      <w:r w:rsidR="002F5FEB">
        <w:rPr>
          <w:snapToGrid w:val="0"/>
          <w:lang w:val="en-GB"/>
        </w:rPr>
        <w:fldChar w:fldCharType="separate"/>
      </w:r>
      <w:r w:rsidR="005D45D2">
        <w:rPr>
          <w:snapToGrid w:val="0"/>
          <w:lang w:val="en-GB"/>
        </w:rPr>
        <w:t>6.67</w:t>
      </w:r>
      <w:r w:rsidR="002F5FEB">
        <w:rPr>
          <w:snapToGrid w:val="0"/>
          <w:lang w:val="en-GB"/>
        </w:rPr>
        <w:fldChar w:fldCharType="end"/>
      </w:r>
      <w:r>
        <w:rPr>
          <w:snapToGrid w:val="0"/>
          <w:lang w:val="en-GB"/>
        </w:rPr>
        <w:t xml:space="preserve">. </w:t>
      </w:r>
    </w:p>
    <w:p w14:paraId="3CC0EDA0" w14:textId="3C0294E8" w:rsidR="00B27E14" w:rsidRPr="00B27E14" w:rsidRDefault="00390DE0" w:rsidP="00135EE0">
      <w:pPr>
        <w:pStyle w:val="3-BodyText"/>
        <w:rPr>
          <w:i/>
          <w:snapToGrid w:val="0"/>
          <w:lang w:val="en-GB"/>
        </w:rPr>
      </w:pPr>
      <w:r w:rsidRPr="00587044">
        <w:rPr>
          <w:snapToGrid w:val="0"/>
          <w:lang w:val="en-GB"/>
        </w:rPr>
        <w:t xml:space="preserve">The PBAC </w:t>
      </w:r>
      <w:r>
        <w:rPr>
          <w:snapToGrid w:val="0"/>
          <w:lang w:val="en-GB"/>
        </w:rPr>
        <w:t>noted the pre-PBAC response provided revised financial estimates based on the number of treated prevalent patients supplied triple therapy with inputs as outlined in paragraph</w:t>
      </w:r>
      <w:r w:rsidR="002F5FEB">
        <w:rPr>
          <w:snapToGrid w:val="0"/>
          <w:lang w:val="en-GB"/>
        </w:rPr>
        <w:t xml:space="preserve"> </w:t>
      </w:r>
      <w:r w:rsidR="005553DC">
        <w:rPr>
          <w:snapToGrid w:val="0"/>
          <w:lang w:val="en-GB"/>
        </w:rPr>
        <w:fldChar w:fldCharType="begin"/>
      </w:r>
      <w:r w:rsidR="005553DC">
        <w:rPr>
          <w:snapToGrid w:val="0"/>
          <w:lang w:val="en-GB"/>
        </w:rPr>
        <w:instrText xml:space="preserve"> REF _Ref225352455 \r \h </w:instrText>
      </w:r>
      <w:r w:rsidR="005553DC">
        <w:rPr>
          <w:snapToGrid w:val="0"/>
          <w:lang w:val="en-GB"/>
        </w:rPr>
      </w:r>
      <w:r w:rsidR="005553DC">
        <w:rPr>
          <w:snapToGrid w:val="0"/>
          <w:lang w:val="en-GB"/>
        </w:rPr>
        <w:fldChar w:fldCharType="separate"/>
      </w:r>
      <w:r w:rsidR="005D45D2">
        <w:rPr>
          <w:snapToGrid w:val="0"/>
          <w:lang w:val="en-GB"/>
        </w:rPr>
        <w:t>6.68</w:t>
      </w:r>
      <w:r w:rsidR="005553DC">
        <w:rPr>
          <w:snapToGrid w:val="0"/>
          <w:lang w:val="en-GB"/>
        </w:rPr>
        <w:fldChar w:fldCharType="end"/>
      </w:r>
      <w:r>
        <w:rPr>
          <w:snapToGrid w:val="0"/>
          <w:lang w:val="en-GB"/>
        </w:rPr>
        <w:t>.</w:t>
      </w:r>
      <w:r w:rsidR="00CF3A74">
        <w:rPr>
          <w:snapToGrid w:val="0"/>
          <w:lang w:val="en-GB"/>
        </w:rPr>
        <w:t xml:space="preserve"> </w:t>
      </w:r>
      <w:r w:rsidR="00E274F1">
        <w:rPr>
          <w:snapToGrid w:val="0"/>
          <w:lang w:val="en-GB"/>
        </w:rPr>
        <w:t xml:space="preserve">The PBAC considered the </w:t>
      </w:r>
      <w:r w:rsidR="00770498">
        <w:rPr>
          <w:snapToGrid w:val="0"/>
          <w:lang w:val="en-GB"/>
        </w:rPr>
        <w:t xml:space="preserve">approach taken to </w:t>
      </w:r>
      <w:r w:rsidR="00362462">
        <w:rPr>
          <w:snapToGrid w:val="0"/>
          <w:lang w:val="en-GB"/>
        </w:rPr>
        <w:t>forecasting</w:t>
      </w:r>
      <w:r w:rsidR="00FC16CA">
        <w:rPr>
          <w:snapToGrid w:val="0"/>
          <w:lang w:val="en-GB"/>
        </w:rPr>
        <w:t xml:space="preserve"> both the single triple inhaler therapy</w:t>
      </w:r>
      <w:r w:rsidR="006D4A63">
        <w:rPr>
          <w:snapToGrid w:val="0"/>
          <w:lang w:val="en-GB"/>
        </w:rPr>
        <w:t xml:space="preserve"> (based on 100% PBS </w:t>
      </w:r>
      <w:r w:rsidR="006226E0">
        <w:rPr>
          <w:snapToGrid w:val="0"/>
          <w:lang w:val="en-GB"/>
        </w:rPr>
        <w:t>data</w:t>
      </w:r>
      <w:r w:rsidR="006D4A63">
        <w:rPr>
          <w:snapToGrid w:val="0"/>
          <w:lang w:val="en-GB"/>
        </w:rPr>
        <w:t>)</w:t>
      </w:r>
      <w:r w:rsidR="00FC16CA">
        <w:rPr>
          <w:snapToGrid w:val="0"/>
          <w:lang w:val="en-GB"/>
        </w:rPr>
        <w:t xml:space="preserve"> and open triple inhaler therapy </w:t>
      </w:r>
      <w:r w:rsidR="006D4A63">
        <w:rPr>
          <w:snapToGrid w:val="0"/>
          <w:lang w:val="en-GB"/>
        </w:rPr>
        <w:t xml:space="preserve">(based on </w:t>
      </w:r>
      <w:r w:rsidR="00C066A2">
        <w:rPr>
          <w:snapToGrid w:val="0"/>
          <w:lang w:val="en-GB"/>
        </w:rPr>
        <w:t>PBS</w:t>
      </w:r>
      <w:r w:rsidR="006226E0">
        <w:rPr>
          <w:snapToGrid w:val="0"/>
          <w:lang w:val="en-GB"/>
        </w:rPr>
        <w:t xml:space="preserve"> 10% sample)</w:t>
      </w:r>
      <w:r w:rsidR="00C066A2">
        <w:rPr>
          <w:snapToGrid w:val="0"/>
          <w:lang w:val="en-GB"/>
        </w:rPr>
        <w:t xml:space="preserve"> </w:t>
      </w:r>
      <w:r w:rsidR="00FC16CA">
        <w:rPr>
          <w:snapToGrid w:val="0"/>
          <w:lang w:val="en-GB"/>
        </w:rPr>
        <w:t>populations was appropriat</w:t>
      </w:r>
      <w:r w:rsidR="006226E0">
        <w:rPr>
          <w:snapToGrid w:val="0"/>
          <w:lang w:val="en-GB"/>
        </w:rPr>
        <w:t xml:space="preserve">e. However, </w:t>
      </w:r>
      <w:r w:rsidR="00FD548B">
        <w:rPr>
          <w:snapToGrid w:val="0"/>
          <w:lang w:val="en-GB"/>
        </w:rPr>
        <w:t xml:space="preserve">as per paragraph </w:t>
      </w:r>
      <w:r w:rsidR="00F916E5">
        <w:rPr>
          <w:snapToGrid w:val="0"/>
          <w:lang w:val="en-GB"/>
        </w:rPr>
        <w:fldChar w:fldCharType="begin"/>
      </w:r>
      <w:r w:rsidR="00F916E5">
        <w:rPr>
          <w:snapToGrid w:val="0"/>
          <w:lang w:val="en-GB"/>
        </w:rPr>
        <w:instrText xml:space="preserve"> REF _Ref225353016 \r \h </w:instrText>
      </w:r>
      <w:r w:rsidR="00F916E5">
        <w:rPr>
          <w:snapToGrid w:val="0"/>
          <w:lang w:val="en-GB"/>
        </w:rPr>
      </w:r>
      <w:r w:rsidR="00F916E5">
        <w:rPr>
          <w:snapToGrid w:val="0"/>
          <w:lang w:val="en-GB"/>
        </w:rPr>
        <w:fldChar w:fldCharType="separate"/>
      </w:r>
      <w:r w:rsidR="005D45D2">
        <w:rPr>
          <w:snapToGrid w:val="0"/>
          <w:lang w:val="en-GB"/>
        </w:rPr>
        <w:t>7.3</w:t>
      </w:r>
      <w:r w:rsidR="00F916E5">
        <w:rPr>
          <w:snapToGrid w:val="0"/>
          <w:lang w:val="en-GB"/>
        </w:rPr>
        <w:fldChar w:fldCharType="end"/>
      </w:r>
      <w:r w:rsidR="00F916E5">
        <w:rPr>
          <w:snapToGrid w:val="0"/>
          <w:lang w:val="en-GB"/>
        </w:rPr>
        <w:t xml:space="preserve">, </w:t>
      </w:r>
      <w:r w:rsidR="00F916E5">
        <w:rPr>
          <w:lang w:val="en-GB"/>
        </w:rPr>
        <w:t xml:space="preserve">the PBAC </w:t>
      </w:r>
      <w:r w:rsidR="00F916E5" w:rsidRPr="006D6FD8">
        <w:rPr>
          <w:iCs/>
        </w:rPr>
        <w:t xml:space="preserve">considered that </w:t>
      </w:r>
      <w:r w:rsidR="00F916E5">
        <w:rPr>
          <w:iCs/>
        </w:rPr>
        <w:t>mepolizumab</w:t>
      </w:r>
      <w:r w:rsidR="00F916E5" w:rsidRPr="006D6FD8">
        <w:rPr>
          <w:iCs/>
        </w:rPr>
        <w:t xml:space="preserve"> </w:t>
      </w:r>
      <w:r w:rsidR="00242D32">
        <w:rPr>
          <w:iCs/>
        </w:rPr>
        <w:t>should</w:t>
      </w:r>
      <w:r w:rsidR="00F916E5" w:rsidRPr="006D6FD8">
        <w:rPr>
          <w:iCs/>
        </w:rPr>
        <w:t xml:space="preserve"> be </w:t>
      </w:r>
      <w:r w:rsidR="00F916E5">
        <w:rPr>
          <w:iCs/>
        </w:rPr>
        <w:t>taken in combination with</w:t>
      </w:r>
      <w:r w:rsidR="00F916E5" w:rsidRPr="006D6FD8">
        <w:rPr>
          <w:iCs/>
        </w:rPr>
        <w:t xml:space="preserve"> </w:t>
      </w:r>
      <w:r w:rsidR="00F916E5">
        <w:rPr>
          <w:iCs/>
        </w:rPr>
        <w:t>triple inhaled therapy</w:t>
      </w:r>
      <w:r w:rsidR="00F916E5" w:rsidRPr="006D6FD8">
        <w:rPr>
          <w:iCs/>
        </w:rPr>
        <w:t>.</w:t>
      </w:r>
      <w:r w:rsidR="00F916E5">
        <w:rPr>
          <w:iCs/>
        </w:rPr>
        <w:t xml:space="preserve"> As such, the PBAC </w:t>
      </w:r>
      <w:r w:rsidR="00C700F8">
        <w:rPr>
          <w:iCs/>
        </w:rPr>
        <w:t xml:space="preserve">recommended </w:t>
      </w:r>
      <w:r w:rsidR="002D2664">
        <w:rPr>
          <w:iCs/>
        </w:rPr>
        <w:t xml:space="preserve">the </w:t>
      </w:r>
      <w:r w:rsidR="00C700F8">
        <w:rPr>
          <w:iCs/>
        </w:rPr>
        <w:t>removal of</w:t>
      </w:r>
      <w:r w:rsidR="00C11065">
        <w:rPr>
          <w:iCs/>
        </w:rPr>
        <w:t xml:space="preserve"> </w:t>
      </w:r>
      <w:r w:rsidR="002D2664">
        <w:rPr>
          <w:iCs/>
        </w:rPr>
        <w:t xml:space="preserve">the </w:t>
      </w:r>
      <w:r w:rsidR="003C172C" w:rsidRPr="003C172C">
        <w:rPr>
          <w:iCs/>
          <w:sz w:val="2"/>
          <w:highlight w:val="black"/>
        </w:rPr>
        <w:t>redacted content</w:t>
      </w:r>
      <w:r w:rsidR="002D2664">
        <w:rPr>
          <w:iCs/>
        </w:rPr>
        <w:t xml:space="preserve">% increase </w:t>
      </w:r>
      <w:r w:rsidR="0057111C">
        <w:rPr>
          <w:iCs/>
        </w:rPr>
        <w:t xml:space="preserve">in the projected number of COPD patients on triple therapy to account for </w:t>
      </w:r>
      <w:r w:rsidR="005C7E04">
        <w:rPr>
          <w:iCs/>
        </w:rPr>
        <w:t xml:space="preserve">intolerance to LAMA, LABA or ICS. </w:t>
      </w:r>
    </w:p>
    <w:p w14:paraId="1DDFB742" w14:textId="6BC06C06" w:rsidR="00D75EE9" w:rsidRPr="00D75EE9" w:rsidRDefault="004B2436" w:rsidP="00135EE0">
      <w:pPr>
        <w:pStyle w:val="3-BodyText"/>
        <w:rPr>
          <w:i/>
          <w:snapToGrid w:val="0"/>
          <w:lang w:val="en-GB"/>
        </w:rPr>
      </w:pPr>
      <w:r w:rsidRPr="00A5191F">
        <w:rPr>
          <w:iCs/>
        </w:rPr>
        <w:t xml:space="preserve">The PBAC </w:t>
      </w:r>
      <w:r w:rsidR="002A109D">
        <w:rPr>
          <w:iCs/>
        </w:rPr>
        <w:t>noted</w:t>
      </w:r>
      <w:r w:rsidR="00E43E54" w:rsidRPr="00A5191F">
        <w:rPr>
          <w:iCs/>
        </w:rPr>
        <w:t xml:space="preserve"> the Sub-Committees </w:t>
      </w:r>
      <w:r w:rsidR="002A109D">
        <w:rPr>
          <w:iCs/>
        </w:rPr>
        <w:t xml:space="preserve">concern </w:t>
      </w:r>
      <w:r w:rsidR="00E43E54" w:rsidRPr="00A5191F">
        <w:rPr>
          <w:iCs/>
        </w:rPr>
        <w:t xml:space="preserve">that </w:t>
      </w:r>
      <w:r w:rsidR="00010768" w:rsidRPr="00A5191F">
        <w:rPr>
          <w:iCs/>
        </w:rPr>
        <w:t>the use of</w:t>
      </w:r>
      <w:r w:rsidR="00566B62" w:rsidRPr="00A5191F">
        <w:rPr>
          <w:iCs/>
        </w:rPr>
        <w:t xml:space="preserve"> the Benson et al (2019) study inputs were </w:t>
      </w:r>
      <w:r w:rsidR="00010768" w:rsidRPr="00A5191F">
        <w:rPr>
          <w:iCs/>
        </w:rPr>
        <w:t xml:space="preserve">a source of uncertainty due </w:t>
      </w:r>
      <w:r w:rsidR="00E75945">
        <w:rPr>
          <w:iCs/>
        </w:rPr>
        <w:t xml:space="preserve">to </w:t>
      </w:r>
      <w:r w:rsidR="00680E5B" w:rsidRPr="00A5191F">
        <w:rPr>
          <w:iCs/>
        </w:rPr>
        <w:t xml:space="preserve">concerns regarding applicability to the Australian population. </w:t>
      </w:r>
      <w:r w:rsidR="009F700F">
        <w:rPr>
          <w:iCs/>
        </w:rPr>
        <w:t xml:space="preserve">The PBAC </w:t>
      </w:r>
      <w:r w:rsidR="002D50CE">
        <w:rPr>
          <w:iCs/>
        </w:rPr>
        <w:t xml:space="preserve">noted </w:t>
      </w:r>
      <w:r w:rsidR="00F255AB">
        <w:rPr>
          <w:iCs/>
        </w:rPr>
        <w:t>that an alternative source was not proposed by its Sub-Committees</w:t>
      </w:r>
      <w:r w:rsidR="00D8720E">
        <w:rPr>
          <w:iCs/>
        </w:rPr>
        <w:t xml:space="preserve"> </w:t>
      </w:r>
      <w:r w:rsidR="00A042D4">
        <w:rPr>
          <w:iCs/>
        </w:rPr>
        <w:t xml:space="preserve">and </w:t>
      </w:r>
      <w:r w:rsidR="002427C0">
        <w:rPr>
          <w:iCs/>
        </w:rPr>
        <w:t xml:space="preserve">the </w:t>
      </w:r>
      <w:r w:rsidR="00D438ED">
        <w:rPr>
          <w:iCs/>
        </w:rPr>
        <w:t>pre-PBAC response argument that</w:t>
      </w:r>
      <w:r w:rsidR="008560B4">
        <w:rPr>
          <w:iCs/>
        </w:rPr>
        <w:t xml:space="preserve"> despite applicability concerns</w:t>
      </w:r>
      <w:r w:rsidR="00D438ED">
        <w:rPr>
          <w:iCs/>
        </w:rPr>
        <w:t xml:space="preserve"> </w:t>
      </w:r>
      <w:r w:rsidR="00A3048A">
        <w:rPr>
          <w:iCs/>
        </w:rPr>
        <w:t xml:space="preserve">the use of </w:t>
      </w:r>
      <w:r w:rsidR="00326ED0">
        <w:rPr>
          <w:iCs/>
        </w:rPr>
        <w:t>Benson et al (2019)</w:t>
      </w:r>
      <w:r w:rsidR="00B64096">
        <w:rPr>
          <w:iCs/>
        </w:rPr>
        <w:t xml:space="preserve"> </w:t>
      </w:r>
      <w:r w:rsidR="00A3048A">
        <w:rPr>
          <w:iCs/>
        </w:rPr>
        <w:t>remain</w:t>
      </w:r>
      <w:r w:rsidR="00CB519A">
        <w:rPr>
          <w:iCs/>
        </w:rPr>
        <w:t>ed appropriate</w:t>
      </w:r>
      <w:r w:rsidR="00CA042A">
        <w:rPr>
          <w:iCs/>
        </w:rPr>
        <w:t xml:space="preserve">. </w:t>
      </w:r>
      <w:r w:rsidR="0055183F">
        <w:rPr>
          <w:iCs/>
        </w:rPr>
        <w:t xml:space="preserve">The PBAC accepted the </w:t>
      </w:r>
      <w:r w:rsidR="00012966">
        <w:rPr>
          <w:iCs/>
        </w:rPr>
        <w:t xml:space="preserve">use of Benson et al </w:t>
      </w:r>
      <w:r w:rsidR="00A24AEB">
        <w:rPr>
          <w:iCs/>
        </w:rPr>
        <w:t xml:space="preserve">(2019) to inform </w:t>
      </w:r>
      <w:r w:rsidR="008B6C4E">
        <w:rPr>
          <w:iCs/>
        </w:rPr>
        <w:t xml:space="preserve">the proportion on triple therapy who have experienced </w:t>
      </w:r>
      <w:r w:rsidR="00853304">
        <w:rPr>
          <w:rFonts w:cstheme="minorHAnsi"/>
          <w:iCs/>
        </w:rPr>
        <w:t>≥</w:t>
      </w:r>
      <w:r w:rsidR="00853304">
        <w:rPr>
          <w:iCs/>
        </w:rPr>
        <w:t xml:space="preserve"> 2 moderate or </w:t>
      </w:r>
      <w:r w:rsidR="00853304">
        <w:rPr>
          <w:rFonts w:cstheme="minorHAnsi"/>
          <w:iCs/>
        </w:rPr>
        <w:t>≥</w:t>
      </w:r>
      <w:r w:rsidR="00853304">
        <w:rPr>
          <w:iCs/>
        </w:rPr>
        <w:t xml:space="preserve"> 1 severe </w:t>
      </w:r>
      <w:r w:rsidR="00E54626">
        <w:rPr>
          <w:iCs/>
        </w:rPr>
        <w:t>exacerbation</w:t>
      </w:r>
      <w:r w:rsidR="00853304">
        <w:rPr>
          <w:iCs/>
        </w:rPr>
        <w:t xml:space="preserve"> </w:t>
      </w:r>
      <w:r w:rsidR="00CA6BD0">
        <w:rPr>
          <w:iCs/>
        </w:rPr>
        <w:t xml:space="preserve">and the proportion who are optimised on triple therapy. </w:t>
      </w:r>
      <w:r w:rsidR="00733E19">
        <w:rPr>
          <w:iCs/>
        </w:rPr>
        <w:t xml:space="preserve">The PBAC </w:t>
      </w:r>
      <w:r w:rsidR="009E1BD5">
        <w:rPr>
          <w:iCs/>
        </w:rPr>
        <w:t xml:space="preserve">agreed with </w:t>
      </w:r>
      <w:r w:rsidR="0071547E">
        <w:rPr>
          <w:iCs/>
        </w:rPr>
        <w:t>the Sub-Committees t</w:t>
      </w:r>
      <w:r w:rsidR="009A2AFA">
        <w:rPr>
          <w:iCs/>
        </w:rPr>
        <w:t xml:space="preserve">hat </w:t>
      </w:r>
      <w:r w:rsidR="005666C0">
        <w:rPr>
          <w:iCs/>
        </w:rPr>
        <w:t xml:space="preserve">Benson et al (2019) </w:t>
      </w:r>
      <w:r w:rsidR="00756A0A">
        <w:rPr>
          <w:iCs/>
        </w:rPr>
        <w:t xml:space="preserve">likely overestimates </w:t>
      </w:r>
      <w:r w:rsidR="00312AFC">
        <w:rPr>
          <w:iCs/>
        </w:rPr>
        <w:t>the pro</w:t>
      </w:r>
      <w:r w:rsidR="007132D6">
        <w:rPr>
          <w:iCs/>
        </w:rPr>
        <w:t xml:space="preserve">portion </w:t>
      </w:r>
      <w:r w:rsidR="004D050D">
        <w:rPr>
          <w:iCs/>
        </w:rPr>
        <w:t xml:space="preserve">with </w:t>
      </w:r>
      <w:r w:rsidR="003811F1">
        <w:rPr>
          <w:iCs/>
        </w:rPr>
        <w:t xml:space="preserve">BEC </w:t>
      </w:r>
      <w:r w:rsidR="00467741">
        <w:rPr>
          <w:rFonts w:cstheme="minorHAnsi"/>
          <w:iCs/>
        </w:rPr>
        <w:t>≥</w:t>
      </w:r>
      <w:r w:rsidR="00467741">
        <w:rPr>
          <w:iCs/>
        </w:rPr>
        <w:t xml:space="preserve"> 300 </w:t>
      </w:r>
      <w:r w:rsidR="00853088" w:rsidRPr="005529D4">
        <w:rPr>
          <w:snapToGrid w:val="0"/>
          <w:lang w:val="en-GB"/>
        </w:rPr>
        <w:t>cells/µL</w:t>
      </w:r>
      <w:r w:rsidR="003A63A3">
        <w:rPr>
          <w:iCs/>
        </w:rPr>
        <w:t xml:space="preserve">. The PBAC noted the </w:t>
      </w:r>
      <w:r w:rsidR="0073229D">
        <w:rPr>
          <w:iCs/>
        </w:rPr>
        <w:t xml:space="preserve">approach taken by the pre-PBAC response </w:t>
      </w:r>
      <w:r w:rsidR="00A82191">
        <w:rPr>
          <w:iCs/>
        </w:rPr>
        <w:t xml:space="preserve">which reduced the </w:t>
      </w:r>
      <w:r w:rsidR="004235C9">
        <w:rPr>
          <w:iCs/>
        </w:rPr>
        <w:t xml:space="preserve">proportion with BEC </w:t>
      </w:r>
      <w:r w:rsidR="004235C9">
        <w:rPr>
          <w:rFonts w:cstheme="minorHAnsi"/>
          <w:iCs/>
        </w:rPr>
        <w:t>≥</w:t>
      </w:r>
      <w:r w:rsidR="004235C9">
        <w:rPr>
          <w:iCs/>
        </w:rPr>
        <w:t xml:space="preserve"> 300 </w:t>
      </w:r>
      <w:r w:rsidR="004235C9" w:rsidRPr="005529D4">
        <w:rPr>
          <w:snapToGrid w:val="0"/>
          <w:lang w:val="en-GB"/>
        </w:rPr>
        <w:t>cells/µL</w:t>
      </w:r>
      <w:r w:rsidR="004235C9">
        <w:rPr>
          <w:snapToGrid w:val="0"/>
          <w:lang w:val="en-GB"/>
        </w:rPr>
        <w:t xml:space="preserve"> </w:t>
      </w:r>
      <w:r w:rsidR="006356AE">
        <w:rPr>
          <w:snapToGrid w:val="0"/>
          <w:lang w:val="en-GB"/>
        </w:rPr>
        <w:t xml:space="preserve">from </w:t>
      </w:r>
      <w:r w:rsidR="001E7C1B">
        <w:rPr>
          <w:snapToGrid w:val="0"/>
          <w:lang w:val="en-GB"/>
        </w:rPr>
        <w:t>45.9% to 40.9</w:t>
      </w:r>
      <w:r w:rsidR="0064323B">
        <w:rPr>
          <w:snapToGrid w:val="0"/>
          <w:lang w:val="en-GB"/>
        </w:rPr>
        <w:t>4%</w:t>
      </w:r>
      <w:r w:rsidR="001A427B">
        <w:rPr>
          <w:snapToGrid w:val="0"/>
          <w:lang w:val="en-GB"/>
        </w:rPr>
        <w:t xml:space="preserve"> and considered that</w:t>
      </w:r>
      <w:r w:rsidR="00FF6AFF">
        <w:rPr>
          <w:snapToGrid w:val="0"/>
          <w:lang w:val="en-GB"/>
        </w:rPr>
        <w:t xml:space="preserve"> </w:t>
      </w:r>
      <w:r w:rsidR="00236B16">
        <w:rPr>
          <w:snapToGrid w:val="0"/>
          <w:lang w:val="en-GB"/>
        </w:rPr>
        <w:t xml:space="preserve">this </w:t>
      </w:r>
      <w:r w:rsidR="00FF6AFF">
        <w:rPr>
          <w:snapToGrid w:val="0"/>
          <w:lang w:val="en-GB"/>
        </w:rPr>
        <w:t xml:space="preserve">remained </w:t>
      </w:r>
      <w:r w:rsidR="00C628FE">
        <w:rPr>
          <w:snapToGrid w:val="0"/>
          <w:lang w:val="en-GB"/>
        </w:rPr>
        <w:t>optimistic</w:t>
      </w:r>
      <w:r w:rsidR="002425BC">
        <w:rPr>
          <w:snapToGrid w:val="0"/>
          <w:lang w:val="en-GB"/>
        </w:rPr>
        <w:t xml:space="preserve"> but acceptable</w:t>
      </w:r>
      <w:r w:rsidR="00915EBE">
        <w:rPr>
          <w:snapToGrid w:val="0"/>
          <w:lang w:val="en-GB"/>
        </w:rPr>
        <w:t xml:space="preserve"> in the context of</w:t>
      </w:r>
      <w:r w:rsidR="004F50AE">
        <w:rPr>
          <w:snapToGrid w:val="0"/>
          <w:lang w:val="en-GB"/>
        </w:rPr>
        <w:t xml:space="preserve"> </w:t>
      </w:r>
      <w:r w:rsidR="001876AD">
        <w:rPr>
          <w:snapToGrid w:val="0"/>
          <w:lang w:val="en-GB"/>
        </w:rPr>
        <w:t xml:space="preserve">the </w:t>
      </w:r>
      <w:r w:rsidR="00BE5039">
        <w:rPr>
          <w:snapToGrid w:val="0"/>
          <w:lang w:val="en-GB"/>
        </w:rPr>
        <w:t>overall eligibility inputs</w:t>
      </w:r>
      <w:r w:rsidR="002425BC">
        <w:rPr>
          <w:snapToGrid w:val="0"/>
          <w:lang w:val="en-GB"/>
        </w:rPr>
        <w:t xml:space="preserve">. </w:t>
      </w:r>
    </w:p>
    <w:p w14:paraId="27CEDE79" w14:textId="77777777" w:rsidR="00D75EE9" w:rsidRPr="00D75EE9" w:rsidRDefault="00254E46" w:rsidP="00135EE0">
      <w:pPr>
        <w:pStyle w:val="3-BodyText"/>
        <w:rPr>
          <w:i/>
          <w:snapToGrid w:val="0"/>
          <w:lang w:val="en-GB"/>
        </w:rPr>
      </w:pPr>
      <w:r>
        <w:rPr>
          <w:iCs/>
          <w:szCs w:val="20"/>
        </w:rPr>
        <w:lastRenderedPageBreak/>
        <w:t xml:space="preserve">The PBAC agreed with its Sub-Committees that </w:t>
      </w:r>
      <w:r w:rsidR="002A5682">
        <w:rPr>
          <w:iCs/>
          <w:szCs w:val="20"/>
        </w:rPr>
        <w:t xml:space="preserve">a </w:t>
      </w:r>
      <w:r>
        <w:rPr>
          <w:iCs/>
          <w:szCs w:val="20"/>
        </w:rPr>
        <w:t xml:space="preserve">compliance rate of 93% </w:t>
      </w:r>
      <w:r w:rsidR="00560AEB">
        <w:rPr>
          <w:iCs/>
          <w:szCs w:val="20"/>
        </w:rPr>
        <w:t xml:space="preserve">should be applied and noted that this </w:t>
      </w:r>
      <w:r>
        <w:rPr>
          <w:iCs/>
          <w:szCs w:val="20"/>
        </w:rPr>
        <w:t xml:space="preserve">was consistent with that considered appropriate by DUSC in the consideration of </w:t>
      </w:r>
      <w:proofErr w:type="spellStart"/>
      <w:r>
        <w:rPr>
          <w:iCs/>
          <w:szCs w:val="20"/>
        </w:rPr>
        <w:t>tezepelumab</w:t>
      </w:r>
      <w:proofErr w:type="spellEnd"/>
      <w:r>
        <w:rPr>
          <w:iCs/>
          <w:szCs w:val="20"/>
        </w:rPr>
        <w:t xml:space="preserve"> for non-eosinophilic and non-allergic severe uncontrolled asthma population (Table 20, </w:t>
      </w:r>
      <w:proofErr w:type="spellStart"/>
      <w:r>
        <w:rPr>
          <w:iCs/>
          <w:szCs w:val="20"/>
        </w:rPr>
        <w:t>tezepelumab</w:t>
      </w:r>
      <w:proofErr w:type="spellEnd"/>
      <w:r>
        <w:rPr>
          <w:iCs/>
          <w:szCs w:val="20"/>
        </w:rPr>
        <w:t xml:space="preserve"> PSD, November 2025 PBAC meeting).</w:t>
      </w:r>
      <w:r w:rsidR="00B4738E">
        <w:rPr>
          <w:iCs/>
          <w:szCs w:val="20"/>
        </w:rPr>
        <w:t xml:space="preserve"> </w:t>
      </w:r>
    </w:p>
    <w:p w14:paraId="4C5782AF" w14:textId="57EA1EB2" w:rsidR="00432793" w:rsidRPr="00432793" w:rsidRDefault="007F0400" w:rsidP="00135EE0">
      <w:pPr>
        <w:pStyle w:val="3-BodyText"/>
        <w:rPr>
          <w:i/>
          <w:snapToGrid w:val="0"/>
          <w:lang w:val="en-GB"/>
        </w:rPr>
      </w:pPr>
      <w:r>
        <w:rPr>
          <w:iCs/>
          <w:szCs w:val="20"/>
        </w:rPr>
        <w:t xml:space="preserve">The PBAC </w:t>
      </w:r>
      <w:r w:rsidR="00DB37DA">
        <w:rPr>
          <w:iCs/>
          <w:szCs w:val="20"/>
        </w:rPr>
        <w:t xml:space="preserve">considered the </w:t>
      </w:r>
      <w:r w:rsidR="00AB3DDD">
        <w:rPr>
          <w:iCs/>
          <w:szCs w:val="20"/>
        </w:rPr>
        <w:t>methodological</w:t>
      </w:r>
      <w:r w:rsidR="00DB37DA">
        <w:rPr>
          <w:iCs/>
          <w:szCs w:val="20"/>
        </w:rPr>
        <w:t xml:space="preserve"> approach taken to </w:t>
      </w:r>
      <w:r w:rsidR="007B6206">
        <w:rPr>
          <w:iCs/>
          <w:szCs w:val="20"/>
        </w:rPr>
        <w:t>applying uptake rates in the submission and pre-PBAC response estimates was appropriate</w:t>
      </w:r>
      <w:r w:rsidR="00A92F42">
        <w:rPr>
          <w:iCs/>
          <w:szCs w:val="20"/>
        </w:rPr>
        <w:t>. The PBAC considered</w:t>
      </w:r>
      <w:r w:rsidR="000B1F6F">
        <w:rPr>
          <w:iCs/>
          <w:szCs w:val="20"/>
        </w:rPr>
        <w:t xml:space="preserve"> the uptake rate of </w:t>
      </w:r>
      <w:r w:rsidR="003C172C" w:rsidRPr="003C172C">
        <w:rPr>
          <w:iCs/>
          <w:sz w:val="2"/>
          <w:szCs w:val="20"/>
          <w:highlight w:val="black"/>
        </w:rPr>
        <w:t>redacted content</w:t>
      </w:r>
      <w:r w:rsidR="000B1F6F">
        <w:rPr>
          <w:iCs/>
          <w:szCs w:val="20"/>
        </w:rPr>
        <w:t>% in Year 1</w:t>
      </w:r>
      <w:r w:rsidR="00A92F42">
        <w:rPr>
          <w:iCs/>
          <w:szCs w:val="20"/>
        </w:rPr>
        <w:t xml:space="preserve"> was appropriate </w:t>
      </w:r>
      <w:r w:rsidR="00D5701A">
        <w:rPr>
          <w:iCs/>
          <w:szCs w:val="20"/>
        </w:rPr>
        <w:t xml:space="preserve">but considered it likely that </w:t>
      </w:r>
      <w:r w:rsidR="00AF55DA">
        <w:rPr>
          <w:iCs/>
          <w:szCs w:val="20"/>
        </w:rPr>
        <w:t xml:space="preserve">the </w:t>
      </w:r>
      <w:r w:rsidR="00432793">
        <w:rPr>
          <w:iCs/>
          <w:szCs w:val="20"/>
        </w:rPr>
        <w:t>cumulative</w:t>
      </w:r>
      <w:r w:rsidR="00AF55DA">
        <w:rPr>
          <w:iCs/>
          <w:szCs w:val="20"/>
        </w:rPr>
        <w:t xml:space="preserve"> uptake rate </w:t>
      </w:r>
      <w:r w:rsidR="00E31CCA">
        <w:rPr>
          <w:iCs/>
          <w:szCs w:val="20"/>
        </w:rPr>
        <w:t>in</w:t>
      </w:r>
      <w:r w:rsidR="00F479F9">
        <w:rPr>
          <w:iCs/>
          <w:szCs w:val="20"/>
        </w:rPr>
        <w:t xml:space="preserve"> Year 6 </w:t>
      </w:r>
      <w:r w:rsidR="00E31CCA">
        <w:rPr>
          <w:iCs/>
          <w:szCs w:val="20"/>
        </w:rPr>
        <w:t xml:space="preserve">may be marginally higher than </w:t>
      </w:r>
      <w:r w:rsidR="003C172C" w:rsidRPr="003C172C">
        <w:rPr>
          <w:iCs/>
          <w:sz w:val="2"/>
          <w:szCs w:val="20"/>
          <w:highlight w:val="black"/>
        </w:rPr>
        <w:t>redacted content</w:t>
      </w:r>
      <w:r w:rsidR="00E31CCA">
        <w:rPr>
          <w:iCs/>
          <w:szCs w:val="20"/>
        </w:rPr>
        <w:t>%</w:t>
      </w:r>
      <w:r w:rsidR="00F479F9">
        <w:rPr>
          <w:iCs/>
          <w:szCs w:val="20"/>
        </w:rPr>
        <w:t xml:space="preserve">. </w:t>
      </w:r>
    </w:p>
    <w:p w14:paraId="6DCFC768" w14:textId="0F915999" w:rsidR="006006C1" w:rsidRPr="006006C1" w:rsidRDefault="003A4647" w:rsidP="00135EE0">
      <w:pPr>
        <w:pStyle w:val="3-BodyText"/>
        <w:rPr>
          <w:i/>
          <w:snapToGrid w:val="0"/>
          <w:lang w:val="en-GB"/>
        </w:rPr>
      </w:pPr>
      <w:r>
        <w:rPr>
          <w:snapToGrid w:val="0"/>
          <w:lang w:val="en-GB"/>
        </w:rPr>
        <w:t xml:space="preserve">The PBAC considered that, with the </w:t>
      </w:r>
      <w:r w:rsidR="00432793">
        <w:rPr>
          <w:snapToGrid w:val="0"/>
          <w:lang w:val="en-GB"/>
        </w:rPr>
        <w:t>above</w:t>
      </w:r>
      <w:r>
        <w:rPr>
          <w:snapToGrid w:val="0"/>
          <w:lang w:val="en-GB"/>
        </w:rPr>
        <w:t xml:space="preserve"> amendments and with the price reduction required to achieve cost effectiveness outlined in paragraph</w:t>
      </w:r>
      <w:r w:rsidR="00F41352">
        <w:rPr>
          <w:snapToGrid w:val="0"/>
          <w:lang w:val="en-GB"/>
        </w:rPr>
        <w:t xml:space="preserve"> </w:t>
      </w:r>
      <w:r w:rsidR="00D26A50">
        <w:rPr>
          <w:snapToGrid w:val="0"/>
          <w:lang w:val="en-GB"/>
        </w:rPr>
        <w:fldChar w:fldCharType="begin"/>
      </w:r>
      <w:r w:rsidR="00D26A50">
        <w:rPr>
          <w:snapToGrid w:val="0"/>
          <w:lang w:val="en-GB"/>
        </w:rPr>
        <w:instrText xml:space="preserve"> REF _Ref225415350 \r \h </w:instrText>
      </w:r>
      <w:r w:rsidR="00D26A50">
        <w:rPr>
          <w:snapToGrid w:val="0"/>
          <w:lang w:val="en-GB"/>
        </w:rPr>
      </w:r>
      <w:r w:rsidR="00D26A50">
        <w:rPr>
          <w:snapToGrid w:val="0"/>
          <w:lang w:val="en-GB"/>
        </w:rPr>
        <w:fldChar w:fldCharType="separate"/>
      </w:r>
      <w:r w:rsidR="00E16D36">
        <w:rPr>
          <w:snapToGrid w:val="0"/>
          <w:lang w:val="en-GB"/>
        </w:rPr>
        <w:t>7.9</w:t>
      </w:r>
      <w:r w:rsidR="00D26A50">
        <w:rPr>
          <w:snapToGrid w:val="0"/>
          <w:lang w:val="en-GB"/>
        </w:rPr>
        <w:fldChar w:fldCharType="end"/>
      </w:r>
      <w:r w:rsidR="00D26A50">
        <w:rPr>
          <w:snapToGrid w:val="0"/>
          <w:lang w:val="en-GB"/>
        </w:rPr>
        <w:t xml:space="preserve"> </w:t>
      </w:r>
      <w:r>
        <w:rPr>
          <w:snapToGrid w:val="0"/>
          <w:lang w:val="en-GB"/>
        </w:rPr>
        <w:t>it would be reasonable to accept the pre-PBAC response revised financial estimates.</w:t>
      </w:r>
    </w:p>
    <w:p w14:paraId="2EBC5FE4" w14:textId="16B669C8" w:rsidR="00D81943" w:rsidRPr="005529D4" w:rsidRDefault="009058EA" w:rsidP="00135EE0">
      <w:pPr>
        <w:pStyle w:val="3-BodyText"/>
        <w:rPr>
          <w:snapToGrid w:val="0"/>
          <w:lang w:val="en-GB"/>
        </w:rPr>
      </w:pPr>
      <w:r w:rsidRPr="005529D4">
        <w:rPr>
          <w:snapToGrid w:val="0"/>
          <w:lang w:val="en-GB"/>
        </w:rPr>
        <w:t xml:space="preserve">The PBAC considered that the </w:t>
      </w:r>
      <w:r w:rsidR="00EB4F3A">
        <w:rPr>
          <w:snapToGrid w:val="0"/>
          <w:lang w:val="en-GB"/>
        </w:rPr>
        <w:t xml:space="preserve">risk of use </w:t>
      </w:r>
      <w:r w:rsidR="0083068E">
        <w:rPr>
          <w:snapToGrid w:val="0"/>
          <w:lang w:val="en-GB"/>
        </w:rPr>
        <w:t>outside of the proposed patient population (particularly</w:t>
      </w:r>
      <w:r w:rsidRPr="005529D4">
        <w:rPr>
          <w:snapToGrid w:val="0"/>
          <w:lang w:val="en-GB"/>
        </w:rPr>
        <w:t xml:space="preserve"> in </w:t>
      </w:r>
      <w:r w:rsidR="008203A9">
        <w:rPr>
          <w:snapToGrid w:val="0"/>
          <w:lang w:val="en-GB"/>
        </w:rPr>
        <w:t xml:space="preserve">patients </w:t>
      </w:r>
      <w:r w:rsidR="00524520">
        <w:rPr>
          <w:snapToGrid w:val="0"/>
          <w:lang w:val="en-GB"/>
        </w:rPr>
        <w:t>not optimised on triple inhaled therapy)</w:t>
      </w:r>
      <w:r w:rsidR="00D5253D">
        <w:rPr>
          <w:snapToGrid w:val="0"/>
          <w:lang w:val="en-GB"/>
        </w:rPr>
        <w:t xml:space="preserve"> </w:t>
      </w:r>
      <w:r w:rsidR="00CC5400">
        <w:rPr>
          <w:snapToGrid w:val="0"/>
          <w:lang w:val="en-GB"/>
        </w:rPr>
        <w:t>was high</w:t>
      </w:r>
      <w:r>
        <w:rPr>
          <w:snapToGrid w:val="0"/>
          <w:lang w:val="en-GB"/>
        </w:rPr>
        <w:t xml:space="preserve"> and</w:t>
      </w:r>
      <w:r w:rsidRPr="005529D4">
        <w:rPr>
          <w:snapToGrid w:val="0"/>
          <w:lang w:val="en-GB"/>
        </w:rPr>
        <w:t xml:space="preserve"> </w:t>
      </w:r>
      <w:r w:rsidR="001A0DD1">
        <w:rPr>
          <w:snapToGrid w:val="0"/>
          <w:lang w:val="en-GB"/>
        </w:rPr>
        <w:t xml:space="preserve">that this along with </w:t>
      </w:r>
      <w:r w:rsidRPr="005529D4">
        <w:rPr>
          <w:snapToGrid w:val="0"/>
          <w:lang w:val="en-GB"/>
        </w:rPr>
        <w:t xml:space="preserve">the remaining uncertainties </w:t>
      </w:r>
      <w:r w:rsidR="001A0DD1">
        <w:rPr>
          <w:snapToGrid w:val="0"/>
          <w:lang w:val="en-GB"/>
        </w:rPr>
        <w:t xml:space="preserve">in the financial estimates </w:t>
      </w:r>
      <w:r w:rsidRPr="005529D4">
        <w:rPr>
          <w:snapToGrid w:val="0"/>
          <w:lang w:val="en-GB"/>
        </w:rPr>
        <w:t xml:space="preserve">could be managed </w:t>
      </w:r>
      <w:r w:rsidR="002311E2">
        <w:rPr>
          <w:snapToGrid w:val="0"/>
          <w:lang w:val="en-GB"/>
        </w:rPr>
        <w:t xml:space="preserve">through </w:t>
      </w:r>
      <w:r w:rsidRPr="005529D4">
        <w:rPr>
          <w:snapToGrid w:val="0"/>
          <w:lang w:val="en-GB"/>
        </w:rPr>
        <w:t>a</w:t>
      </w:r>
      <w:r w:rsidR="001A20ED">
        <w:rPr>
          <w:snapToGrid w:val="0"/>
          <w:lang w:val="en-GB"/>
        </w:rPr>
        <w:t>n RSA</w:t>
      </w:r>
      <w:r w:rsidR="00E0577D">
        <w:rPr>
          <w:snapToGrid w:val="0"/>
          <w:lang w:val="en-GB"/>
        </w:rPr>
        <w:t xml:space="preserve"> </w:t>
      </w:r>
      <w:r w:rsidR="00F34032">
        <w:rPr>
          <w:snapToGrid w:val="0"/>
          <w:lang w:val="en-GB"/>
        </w:rPr>
        <w:t>with</w:t>
      </w:r>
      <w:r w:rsidR="00666169">
        <w:rPr>
          <w:snapToGrid w:val="0"/>
        </w:rPr>
        <w:t xml:space="preserve"> a </w:t>
      </w:r>
      <w:r w:rsidR="003C172C" w:rsidRPr="003C172C">
        <w:rPr>
          <w:snapToGrid w:val="0"/>
          <w:sz w:val="2"/>
          <w:highlight w:val="black"/>
        </w:rPr>
        <w:t>redacted content</w:t>
      </w:r>
      <w:r w:rsidR="00666169">
        <w:rPr>
          <w:snapToGrid w:val="0"/>
        </w:rPr>
        <w:t xml:space="preserve">% rebate for </w:t>
      </w:r>
      <w:r w:rsidR="00604DF7">
        <w:rPr>
          <w:snapToGrid w:val="0"/>
        </w:rPr>
        <w:t>expenditure</w:t>
      </w:r>
      <w:r w:rsidR="00666169">
        <w:rPr>
          <w:snapToGrid w:val="0"/>
        </w:rPr>
        <w:t xml:space="preserve"> above the annual caps. </w:t>
      </w:r>
      <w:r w:rsidR="00D539A9">
        <w:rPr>
          <w:snapToGrid w:val="0"/>
        </w:rPr>
        <w:t xml:space="preserve">Should </w:t>
      </w:r>
      <w:r w:rsidR="00DE5A61">
        <w:rPr>
          <w:snapToGrid w:val="0"/>
        </w:rPr>
        <w:t xml:space="preserve">the </w:t>
      </w:r>
      <w:r w:rsidR="00FB2A07">
        <w:t>near market comparator</w:t>
      </w:r>
      <w:r w:rsidR="00AF454C">
        <w:t xml:space="preserve"> dupi</w:t>
      </w:r>
      <w:r w:rsidR="00474EAB">
        <w:t xml:space="preserve">lumab </w:t>
      </w:r>
      <w:r w:rsidR="006909B4">
        <w:t>be</w:t>
      </w:r>
      <w:r w:rsidR="00AF454C">
        <w:t xml:space="preserve"> </w:t>
      </w:r>
      <w:r w:rsidR="001064F9">
        <w:t>listed</w:t>
      </w:r>
      <w:r w:rsidR="00C653A0">
        <w:t xml:space="preserve"> on the PBS </w:t>
      </w:r>
      <w:r w:rsidR="007C2056">
        <w:t>before mepolizumab is able to proceed to listing</w:t>
      </w:r>
      <w:r w:rsidR="001064F9" w:rsidRPr="00633EF0">
        <w:rPr>
          <w:snapToGrid w:val="0"/>
          <w:lang w:val="en-GB"/>
        </w:rPr>
        <w:t xml:space="preserve">, </w:t>
      </w:r>
      <w:r w:rsidR="00897842">
        <w:rPr>
          <w:snapToGrid w:val="0"/>
          <w:lang w:val="en-GB"/>
        </w:rPr>
        <w:t xml:space="preserve">it would be appropriate for </w:t>
      </w:r>
      <w:r w:rsidR="00B3096D">
        <w:rPr>
          <w:snapToGrid w:val="0"/>
          <w:lang w:val="en-GB"/>
        </w:rPr>
        <w:t xml:space="preserve">mepolizumab </w:t>
      </w:r>
      <w:r w:rsidR="00897842">
        <w:rPr>
          <w:snapToGrid w:val="0"/>
          <w:lang w:val="en-GB"/>
        </w:rPr>
        <w:t>to</w:t>
      </w:r>
      <w:r w:rsidR="00B3096D">
        <w:rPr>
          <w:snapToGrid w:val="0"/>
          <w:lang w:val="en-GB"/>
        </w:rPr>
        <w:t xml:space="preserve"> join </w:t>
      </w:r>
      <w:r w:rsidR="004C5BEE">
        <w:rPr>
          <w:snapToGrid w:val="0"/>
          <w:lang w:val="en-GB"/>
        </w:rPr>
        <w:t xml:space="preserve">any </w:t>
      </w:r>
      <w:r w:rsidR="005F0372">
        <w:rPr>
          <w:snapToGrid w:val="0"/>
          <w:lang w:val="en-GB"/>
        </w:rPr>
        <w:t xml:space="preserve">established RSA </w:t>
      </w:r>
      <w:r w:rsidR="00474EAB">
        <w:rPr>
          <w:snapToGrid w:val="0"/>
          <w:lang w:val="en-GB"/>
        </w:rPr>
        <w:t>with no increase in the caps</w:t>
      </w:r>
      <w:r w:rsidR="001064F9" w:rsidRPr="00633EF0">
        <w:rPr>
          <w:snapToGrid w:val="0"/>
          <w:lang w:val="en-GB"/>
        </w:rPr>
        <w:t>.</w:t>
      </w:r>
    </w:p>
    <w:p w14:paraId="4D650F59" w14:textId="30C8A2F7" w:rsidR="003F21CB" w:rsidRPr="004007D7" w:rsidRDefault="003F21CB" w:rsidP="00135EE0">
      <w:pPr>
        <w:pStyle w:val="3-BodyText"/>
        <w:rPr>
          <w:snapToGrid w:val="0"/>
          <w:lang w:val="en-GB" w:eastAsia="en-US"/>
        </w:rPr>
      </w:pPr>
      <w:r>
        <w:rPr>
          <w:snapToGrid w:val="0"/>
          <w:lang w:val="en-GB" w:eastAsia="en-US"/>
        </w:rPr>
        <w:t xml:space="preserve">The PBAC advised that </w:t>
      </w:r>
      <w:r w:rsidRPr="004007D7">
        <w:rPr>
          <w:snapToGrid w:val="0"/>
          <w:lang w:val="en-GB" w:eastAsia="en-US"/>
        </w:rPr>
        <w:t xml:space="preserve">mepolizumab </w:t>
      </w:r>
      <w:r>
        <w:rPr>
          <w:snapToGrid w:val="0"/>
          <w:lang w:val="en-GB" w:eastAsia="en-US"/>
        </w:rPr>
        <w:t>is not suitable for prescribing by nurse practitioners.</w:t>
      </w:r>
    </w:p>
    <w:p w14:paraId="4502B1C3" w14:textId="2DE8851B" w:rsidR="002B0C3A" w:rsidRPr="003F21CB" w:rsidRDefault="003F21CB" w:rsidP="00135EE0">
      <w:pPr>
        <w:pStyle w:val="3-BodyText"/>
        <w:spacing w:after="120"/>
        <w:rPr>
          <w:snapToGrid w:val="0"/>
          <w:lang w:val="en-GB" w:eastAsia="en-US"/>
        </w:rPr>
      </w:pPr>
      <w:r w:rsidRPr="004007D7">
        <w:rPr>
          <w:snapToGrid w:val="0"/>
          <w:lang w:val="en-GB" w:eastAsia="en-US"/>
        </w:rPr>
        <w:t xml:space="preserve">The PBAC recommended that the Early Supply Rule should </w:t>
      </w:r>
      <w:r w:rsidR="002279B8" w:rsidRPr="00FA6C66">
        <w:rPr>
          <w:snapToGrid w:val="0"/>
          <w:lang w:val="en-GB" w:eastAsia="en-US"/>
        </w:rPr>
        <w:t>not</w:t>
      </w:r>
      <w:r w:rsidRPr="00FA6C66">
        <w:rPr>
          <w:snapToGrid w:val="0"/>
          <w:lang w:val="en-GB" w:eastAsia="en-US"/>
        </w:rPr>
        <w:t xml:space="preserve"> </w:t>
      </w:r>
      <w:r w:rsidRPr="004007D7">
        <w:rPr>
          <w:snapToGrid w:val="0"/>
          <w:lang w:val="en-GB" w:eastAsia="en-US"/>
        </w:rPr>
        <w:t xml:space="preserve">apply. </w:t>
      </w:r>
    </w:p>
    <w:p w14:paraId="2DB1B14D" w14:textId="77777777" w:rsidR="002B0C3A" w:rsidRPr="003512E4" w:rsidRDefault="002B0C3A" w:rsidP="00135EE0">
      <w:pPr>
        <w:numPr>
          <w:ilvl w:val="1"/>
          <w:numId w:val="1"/>
        </w:numPr>
        <w:spacing w:after="120"/>
        <w:rPr>
          <w:rFonts w:asciiTheme="minorHAnsi" w:hAnsiTheme="minorHAnsi"/>
          <w:bCs/>
          <w:snapToGrid w:val="0"/>
          <w:lang w:val="en-GB"/>
        </w:rPr>
      </w:pPr>
      <w:r w:rsidRPr="009E4242">
        <w:rPr>
          <w:lang w:val="en-GB" w:eastAsia="en-US"/>
        </w:rPr>
        <w:t xml:space="preserve">The PBAC found that the criteria prescribed by the </w:t>
      </w:r>
      <w:r w:rsidRPr="009E4242">
        <w:rPr>
          <w:i/>
          <w:lang w:val="en-GB" w:eastAsia="en-US"/>
        </w:rPr>
        <w:t>National Health (Pharmaceuticals and Vaccines – Cost Recovery) Regulations 2022</w:t>
      </w:r>
      <w:r w:rsidRPr="009E4242">
        <w:rPr>
          <w:lang w:val="en-GB" w:eastAsia="en-US"/>
        </w:rPr>
        <w:t xml:space="preserve"> for Pricing Pathway A were not met. </w:t>
      </w:r>
      <w:r w:rsidRPr="003512E4">
        <w:rPr>
          <w:rFonts w:asciiTheme="minorHAnsi" w:hAnsiTheme="minorHAnsi"/>
          <w:bCs/>
          <w:snapToGrid w:val="0"/>
          <w:lang w:val="en-GB"/>
        </w:rPr>
        <w:t xml:space="preserve">Specifically, the PBAC found that in the circumstances of its recommendation for </w:t>
      </w:r>
      <w:r>
        <w:rPr>
          <w:rFonts w:asciiTheme="minorHAnsi" w:hAnsiTheme="minorHAnsi"/>
          <w:bCs/>
          <w:snapToGrid w:val="0"/>
          <w:lang w:val="en-GB"/>
        </w:rPr>
        <w:t>mepolizumab</w:t>
      </w:r>
      <w:r w:rsidRPr="003512E4">
        <w:rPr>
          <w:rFonts w:asciiTheme="minorHAnsi" w:hAnsiTheme="minorHAnsi"/>
          <w:bCs/>
          <w:snapToGrid w:val="0"/>
          <w:lang w:val="en-GB"/>
        </w:rPr>
        <w:t>:</w:t>
      </w:r>
    </w:p>
    <w:p w14:paraId="14EB94DE" w14:textId="6C2C4989" w:rsidR="002B0C3A" w:rsidRPr="009E61D7" w:rsidRDefault="002B0C3A" w:rsidP="00135EE0">
      <w:pPr>
        <w:numPr>
          <w:ilvl w:val="2"/>
          <w:numId w:val="71"/>
        </w:numPr>
        <w:spacing w:after="120"/>
        <w:rPr>
          <w:rFonts w:asciiTheme="minorHAnsi" w:hAnsiTheme="minorHAnsi" w:cstheme="minorHAnsi"/>
          <w:lang w:val="en-GB"/>
        </w:rPr>
      </w:pPr>
      <w:r w:rsidRPr="009E61D7">
        <w:rPr>
          <w:rFonts w:asciiTheme="minorHAnsi" w:hAnsiTheme="minorHAnsi" w:cstheme="minorHAnsi"/>
          <w:lang w:val="en-GB"/>
        </w:rPr>
        <w:t xml:space="preserve">The treatment is </w:t>
      </w:r>
      <w:r w:rsidR="000C3B2D">
        <w:rPr>
          <w:rFonts w:asciiTheme="minorHAnsi" w:hAnsiTheme="minorHAnsi" w:cstheme="minorHAnsi"/>
          <w:lang w:val="en-GB"/>
        </w:rPr>
        <w:t xml:space="preserve">expected to provide </w:t>
      </w:r>
      <w:r>
        <w:rPr>
          <w:rFonts w:asciiTheme="minorHAnsi" w:hAnsiTheme="minorHAnsi" w:cstheme="minorHAnsi"/>
          <w:lang w:val="en-GB"/>
        </w:rPr>
        <w:t xml:space="preserve">a </w:t>
      </w:r>
      <w:r w:rsidRPr="009E61D7">
        <w:rPr>
          <w:rFonts w:asciiTheme="minorHAnsi" w:hAnsiTheme="minorHAnsi" w:cstheme="minorHAnsi"/>
          <w:lang w:val="en-GB"/>
        </w:rPr>
        <w:t>clinically relevant improvement</w:t>
      </w:r>
      <w:r>
        <w:rPr>
          <w:rFonts w:asciiTheme="minorHAnsi" w:hAnsiTheme="minorHAnsi" w:cstheme="minorHAnsi"/>
          <w:lang w:val="en-GB"/>
        </w:rPr>
        <w:t xml:space="preserve"> </w:t>
      </w:r>
      <w:r w:rsidRPr="009E61D7">
        <w:rPr>
          <w:rFonts w:asciiTheme="minorHAnsi" w:hAnsiTheme="minorHAnsi" w:cstheme="minorHAnsi"/>
          <w:lang w:val="en-GB"/>
        </w:rPr>
        <w:t xml:space="preserve">in the rate </w:t>
      </w:r>
      <w:r>
        <w:rPr>
          <w:rFonts w:asciiTheme="minorHAnsi" w:hAnsiTheme="minorHAnsi" w:cstheme="minorHAnsi"/>
          <w:lang w:val="en-GB"/>
        </w:rPr>
        <w:t>and time to next moderate</w:t>
      </w:r>
      <w:r w:rsidR="00A14DB0">
        <w:rPr>
          <w:rFonts w:asciiTheme="minorHAnsi" w:hAnsiTheme="minorHAnsi" w:cstheme="minorHAnsi"/>
          <w:lang w:val="en-GB"/>
        </w:rPr>
        <w:t xml:space="preserve"> or </w:t>
      </w:r>
      <w:r>
        <w:rPr>
          <w:rFonts w:asciiTheme="minorHAnsi" w:hAnsiTheme="minorHAnsi" w:cstheme="minorHAnsi"/>
          <w:lang w:val="en-GB"/>
        </w:rPr>
        <w:t>severe</w:t>
      </w:r>
      <w:r w:rsidRPr="009E61D7">
        <w:rPr>
          <w:rFonts w:asciiTheme="minorHAnsi" w:hAnsiTheme="minorHAnsi" w:cstheme="minorHAnsi"/>
          <w:lang w:val="en-GB"/>
        </w:rPr>
        <w:t xml:space="preserve"> exacerbation </w:t>
      </w:r>
      <w:r w:rsidR="00062178">
        <w:rPr>
          <w:rFonts w:asciiTheme="minorHAnsi" w:hAnsiTheme="minorHAnsi" w:cstheme="minorHAnsi"/>
          <w:lang w:val="en-GB"/>
        </w:rPr>
        <w:t>over inhaled triple therapy alone</w:t>
      </w:r>
      <w:r w:rsidRPr="009E61D7">
        <w:rPr>
          <w:rFonts w:asciiTheme="minorHAnsi" w:hAnsiTheme="minorHAnsi" w:cstheme="minorHAnsi"/>
          <w:lang w:val="en-GB"/>
        </w:rPr>
        <w:t>,</w:t>
      </w:r>
      <w:r w:rsidR="00062178">
        <w:rPr>
          <w:rFonts w:asciiTheme="minorHAnsi" w:hAnsiTheme="minorHAnsi" w:cstheme="minorHAnsi"/>
          <w:lang w:val="en-GB"/>
        </w:rPr>
        <w:t xml:space="preserve"> however</w:t>
      </w:r>
      <w:r w:rsidRPr="009E61D7">
        <w:rPr>
          <w:rFonts w:asciiTheme="minorHAnsi" w:hAnsiTheme="minorHAnsi" w:cstheme="minorHAnsi"/>
          <w:lang w:val="en-GB"/>
        </w:rPr>
        <w:t xml:space="preserve"> </w:t>
      </w:r>
      <w:r w:rsidR="00765C02">
        <w:rPr>
          <w:rFonts w:asciiTheme="minorHAnsi" w:hAnsiTheme="minorHAnsi" w:cstheme="minorHAnsi"/>
          <w:lang w:val="en-GB"/>
        </w:rPr>
        <w:t xml:space="preserve">the </w:t>
      </w:r>
      <w:r w:rsidR="00765C02">
        <w:rPr>
          <w:rFonts w:asciiTheme="minorHAnsi" w:hAnsiTheme="minorHAnsi"/>
          <w:snapToGrid w:val="0"/>
          <w:lang w:val="en-GB"/>
        </w:rPr>
        <w:t>magnitude of benefit was subject to some uncertainty</w:t>
      </w:r>
      <w:r w:rsidR="00CE383F">
        <w:rPr>
          <w:rFonts w:asciiTheme="minorHAnsi" w:hAnsiTheme="minorHAnsi"/>
          <w:snapToGrid w:val="0"/>
          <w:lang w:val="en-GB"/>
        </w:rPr>
        <w:t>, and no changes in long-term outcomes such as survival have been established</w:t>
      </w:r>
      <w:r w:rsidRPr="009E61D7">
        <w:rPr>
          <w:rFonts w:asciiTheme="minorHAnsi" w:hAnsiTheme="minorHAnsi" w:cstheme="minorHAnsi"/>
          <w:lang w:val="en-GB"/>
        </w:rPr>
        <w:t>;</w:t>
      </w:r>
    </w:p>
    <w:p w14:paraId="2CBAD47A" w14:textId="720BD3E0" w:rsidR="002B0C3A" w:rsidRPr="00C470EF" w:rsidRDefault="002B0C3A" w:rsidP="00135EE0">
      <w:pPr>
        <w:numPr>
          <w:ilvl w:val="2"/>
          <w:numId w:val="71"/>
        </w:numPr>
        <w:spacing w:after="120"/>
        <w:rPr>
          <w:rStyle w:val="cf01"/>
          <w:rFonts w:asciiTheme="minorHAnsi" w:eastAsiaTheme="majorEastAsia" w:hAnsiTheme="minorHAnsi" w:cstheme="minorHAnsi"/>
          <w:sz w:val="24"/>
          <w:szCs w:val="24"/>
          <w:lang w:val="en-GB"/>
        </w:rPr>
      </w:pPr>
      <w:r w:rsidRPr="0098643C">
        <w:rPr>
          <w:rFonts w:asciiTheme="minorHAnsi" w:hAnsiTheme="minorHAnsi" w:cstheme="minorHAnsi"/>
          <w:lang w:val="en-GB"/>
        </w:rPr>
        <w:t xml:space="preserve">The treatment is not expected to address a high and urgent unmet clinical need as </w:t>
      </w:r>
      <w:r w:rsidR="000C214C">
        <w:rPr>
          <w:rFonts w:asciiTheme="minorHAnsi" w:hAnsiTheme="minorHAnsi" w:cstheme="minorHAnsi"/>
          <w:lang w:val="en-GB"/>
        </w:rPr>
        <w:t>there</w:t>
      </w:r>
      <w:r>
        <w:rPr>
          <w:rFonts w:asciiTheme="minorHAnsi" w:hAnsiTheme="minorHAnsi" w:cstheme="minorHAnsi"/>
          <w:lang w:val="en-GB"/>
        </w:rPr>
        <w:t xml:space="preserve"> </w:t>
      </w:r>
      <w:r w:rsidR="00541D65">
        <w:rPr>
          <w:rFonts w:asciiTheme="minorHAnsi" w:hAnsiTheme="minorHAnsi" w:cstheme="minorHAnsi"/>
          <w:lang w:val="en-GB"/>
        </w:rPr>
        <w:t xml:space="preserve">are </w:t>
      </w:r>
      <w:r>
        <w:rPr>
          <w:rFonts w:asciiTheme="minorHAnsi" w:hAnsiTheme="minorHAnsi" w:cstheme="minorHAnsi"/>
          <w:lang w:val="en-GB"/>
        </w:rPr>
        <w:t>therapies listed on the PBS</w:t>
      </w:r>
      <w:r w:rsidR="00DD65C7">
        <w:rPr>
          <w:rFonts w:asciiTheme="minorHAnsi" w:hAnsiTheme="minorHAnsi" w:cstheme="minorHAnsi"/>
          <w:lang w:val="en-GB"/>
        </w:rPr>
        <w:t xml:space="preserve"> that </w:t>
      </w:r>
      <w:r w:rsidR="00541D65">
        <w:rPr>
          <w:rFonts w:asciiTheme="minorHAnsi" w:hAnsiTheme="minorHAnsi" w:cstheme="minorHAnsi"/>
          <w:lang w:val="en-GB"/>
        </w:rPr>
        <w:t>can be used in the</w:t>
      </w:r>
      <w:r w:rsidR="00DD65C7">
        <w:rPr>
          <w:rFonts w:asciiTheme="minorHAnsi" w:hAnsiTheme="minorHAnsi" w:cstheme="minorHAnsi"/>
          <w:lang w:val="en-GB"/>
        </w:rPr>
        <w:t xml:space="preserve"> management of exacerbations</w:t>
      </w:r>
      <w:r w:rsidR="006E0B26">
        <w:rPr>
          <w:rFonts w:asciiTheme="minorHAnsi" w:hAnsiTheme="minorHAnsi" w:cstheme="minorHAnsi"/>
          <w:lang w:val="en-GB"/>
        </w:rPr>
        <w:t>. H</w:t>
      </w:r>
      <w:r w:rsidR="00541D65">
        <w:rPr>
          <w:rFonts w:asciiTheme="minorHAnsi" w:hAnsiTheme="minorHAnsi" w:cstheme="minorHAnsi"/>
          <w:lang w:val="en-GB"/>
        </w:rPr>
        <w:t xml:space="preserve">owever, the </w:t>
      </w:r>
      <w:r w:rsidR="00DC62FE">
        <w:rPr>
          <w:rFonts w:asciiTheme="minorHAnsi" w:hAnsiTheme="minorHAnsi" w:cstheme="minorHAnsi"/>
          <w:lang w:val="en-GB"/>
        </w:rPr>
        <w:t xml:space="preserve">persistent </w:t>
      </w:r>
      <w:r w:rsidR="00926B5D">
        <w:rPr>
          <w:rFonts w:asciiTheme="minorHAnsi" w:hAnsiTheme="minorHAnsi" w:cstheme="minorHAnsi"/>
          <w:lang w:val="en-GB"/>
        </w:rPr>
        <w:t xml:space="preserve">clinical need </w:t>
      </w:r>
      <w:r w:rsidR="006E0B26">
        <w:rPr>
          <w:rFonts w:asciiTheme="minorHAnsi" w:hAnsiTheme="minorHAnsi" w:cstheme="minorHAnsi"/>
          <w:lang w:val="en-GB"/>
        </w:rPr>
        <w:t>for ther</w:t>
      </w:r>
      <w:r w:rsidR="00052DA6">
        <w:rPr>
          <w:rFonts w:asciiTheme="minorHAnsi" w:hAnsiTheme="minorHAnsi" w:cstheme="minorHAnsi"/>
          <w:lang w:val="en-GB"/>
        </w:rPr>
        <w:t xml:space="preserve">apies that </w:t>
      </w:r>
      <w:r w:rsidR="00181D60">
        <w:rPr>
          <w:rFonts w:asciiTheme="minorHAnsi" w:hAnsiTheme="minorHAnsi" w:cstheme="minorHAnsi"/>
          <w:lang w:val="en-GB"/>
        </w:rPr>
        <w:t>can reduce</w:t>
      </w:r>
      <w:r w:rsidR="000210EE">
        <w:rPr>
          <w:rFonts w:asciiTheme="minorHAnsi" w:hAnsiTheme="minorHAnsi" w:cstheme="minorHAnsi"/>
          <w:lang w:val="en-GB"/>
        </w:rPr>
        <w:t xml:space="preserve"> both</w:t>
      </w:r>
      <w:r w:rsidR="00181D60">
        <w:rPr>
          <w:rFonts w:asciiTheme="minorHAnsi" w:hAnsiTheme="minorHAnsi" w:cstheme="minorHAnsi"/>
          <w:lang w:val="en-GB"/>
        </w:rPr>
        <w:t xml:space="preserve"> </w:t>
      </w:r>
      <w:r w:rsidR="00457EE1">
        <w:rPr>
          <w:rFonts w:asciiTheme="minorHAnsi" w:hAnsiTheme="minorHAnsi" w:cstheme="minorHAnsi"/>
          <w:lang w:val="en-GB"/>
        </w:rPr>
        <w:t xml:space="preserve">exacerbations and </w:t>
      </w:r>
      <w:r w:rsidR="00457EE1" w:rsidRPr="00791FCC">
        <w:rPr>
          <w:iCs/>
        </w:rPr>
        <w:t>reliance on oral corticosteroids</w:t>
      </w:r>
      <w:r w:rsidR="00181D60">
        <w:rPr>
          <w:rFonts w:asciiTheme="minorHAnsi" w:hAnsiTheme="minorHAnsi" w:cstheme="minorHAnsi"/>
          <w:lang w:val="en-GB"/>
        </w:rPr>
        <w:t xml:space="preserve"> </w:t>
      </w:r>
      <w:r w:rsidR="00E71CE5">
        <w:rPr>
          <w:rFonts w:asciiTheme="minorHAnsi" w:hAnsiTheme="minorHAnsi" w:cstheme="minorHAnsi"/>
          <w:lang w:val="en-GB"/>
        </w:rPr>
        <w:t xml:space="preserve">in the management of exacerbations </w:t>
      </w:r>
      <w:r w:rsidR="005E4723">
        <w:rPr>
          <w:rFonts w:asciiTheme="minorHAnsi" w:hAnsiTheme="minorHAnsi" w:cstheme="minorHAnsi"/>
          <w:lang w:val="en-GB"/>
        </w:rPr>
        <w:t>wa</w:t>
      </w:r>
      <w:r w:rsidR="005B165D">
        <w:rPr>
          <w:rFonts w:asciiTheme="minorHAnsi" w:hAnsiTheme="minorHAnsi" w:cstheme="minorHAnsi"/>
          <w:lang w:val="en-GB"/>
        </w:rPr>
        <w:t>s acknowledged</w:t>
      </w:r>
      <w:r w:rsidRPr="0098643C">
        <w:rPr>
          <w:rFonts w:asciiTheme="minorHAnsi" w:hAnsiTheme="minorHAnsi" w:cstheme="minorHAnsi"/>
          <w:lang w:val="en-GB"/>
        </w:rPr>
        <w:t>;</w:t>
      </w:r>
    </w:p>
    <w:p w14:paraId="03389B7D" w14:textId="7CBC99B0" w:rsidR="002B0C3A" w:rsidRPr="002B0C3A" w:rsidRDefault="002B0C3A" w:rsidP="00135EE0">
      <w:pPr>
        <w:numPr>
          <w:ilvl w:val="2"/>
          <w:numId w:val="71"/>
        </w:numPr>
        <w:spacing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w:t>
      </w:r>
    </w:p>
    <w:p w14:paraId="7C3B8861" w14:textId="4032DA7D" w:rsidR="009E61D7" w:rsidRPr="009E61D7" w:rsidRDefault="009E61D7" w:rsidP="00135EE0">
      <w:pPr>
        <w:pStyle w:val="3-BodyText"/>
        <w:numPr>
          <w:ilvl w:val="1"/>
          <w:numId w:val="1"/>
        </w:numPr>
        <w:rPr>
          <w:snapToGrid w:val="0"/>
          <w:lang w:val="en-GB" w:eastAsia="en-US"/>
        </w:rPr>
      </w:pPr>
      <w:r w:rsidRPr="009E4242">
        <w:rPr>
          <w:snapToGrid w:val="0"/>
          <w:lang w:val="en-GB" w:eastAsia="en-US"/>
        </w:rPr>
        <w:t xml:space="preserve">The PBAC </w:t>
      </w:r>
      <w:r w:rsidR="003F21CB">
        <w:rPr>
          <w:snapToGrid w:val="0"/>
          <w:lang w:val="en-GB" w:eastAsia="en-US"/>
        </w:rPr>
        <w:t>advised</w:t>
      </w:r>
      <w:r w:rsidRPr="009E4242">
        <w:rPr>
          <w:snapToGrid w:val="0"/>
          <w:lang w:val="en-GB" w:eastAsia="en-US"/>
        </w:rPr>
        <w:t xml:space="preserve"> that this submission </w:t>
      </w:r>
      <w:r w:rsidR="003F21CB">
        <w:rPr>
          <w:snapToGrid w:val="0"/>
          <w:lang w:val="en-GB" w:eastAsia="en-US"/>
        </w:rPr>
        <w:t>would</w:t>
      </w:r>
      <w:r w:rsidRPr="009E4242">
        <w:rPr>
          <w:snapToGrid w:val="0"/>
          <w:lang w:val="en-GB" w:eastAsia="en-US"/>
        </w:rPr>
        <w:t xml:space="preserve"> not </w:t>
      </w:r>
      <w:r w:rsidR="003F21CB">
        <w:rPr>
          <w:snapToGrid w:val="0"/>
          <w:lang w:val="en-GB" w:eastAsia="en-US"/>
        </w:rPr>
        <w:t xml:space="preserve">be </w:t>
      </w:r>
      <w:r w:rsidRPr="009E4242">
        <w:rPr>
          <w:snapToGrid w:val="0"/>
          <w:lang w:val="en-GB" w:eastAsia="en-US"/>
        </w:rPr>
        <w:t>eligible for an Independent Review as it received a positive recommendation.</w:t>
      </w:r>
    </w:p>
    <w:p w14:paraId="61E1CF9F" w14:textId="475753ED" w:rsidR="008E48E9" w:rsidRPr="00525B39" w:rsidRDefault="008E48E9" w:rsidP="003C2373">
      <w:pPr>
        <w:keepNext/>
        <w:spacing w:before="240"/>
        <w:rPr>
          <w:rFonts w:asciiTheme="minorHAnsi" w:hAnsiTheme="minorHAnsi"/>
          <w:b/>
          <w:bCs/>
          <w:snapToGrid w:val="0"/>
          <w:lang w:val="en-GB"/>
        </w:rPr>
      </w:pPr>
      <w:r w:rsidRPr="00525B39">
        <w:rPr>
          <w:rFonts w:asciiTheme="minorHAnsi" w:hAnsiTheme="minorHAnsi"/>
          <w:b/>
          <w:bCs/>
          <w:snapToGrid w:val="0"/>
          <w:lang w:val="en-GB"/>
        </w:rPr>
        <w:lastRenderedPageBreak/>
        <w:t>Outcome:</w:t>
      </w:r>
    </w:p>
    <w:p w14:paraId="2EE6FE6C" w14:textId="0A9177DD" w:rsidR="008E48E9" w:rsidRPr="00525B39" w:rsidRDefault="008E48E9" w:rsidP="003C2373">
      <w:pPr>
        <w:keepNext/>
        <w:rPr>
          <w:rFonts w:asciiTheme="minorHAnsi" w:hAnsiTheme="minorHAnsi"/>
          <w:bCs/>
          <w:snapToGrid w:val="0"/>
          <w:lang w:val="en-GB"/>
        </w:rPr>
      </w:pPr>
      <w:r w:rsidRPr="00525B39">
        <w:rPr>
          <w:rFonts w:asciiTheme="minorHAnsi" w:hAnsiTheme="minorHAnsi"/>
          <w:bCs/>
          <w:snapToGrid w:val="0"/>
          <w:lang w:val="en-GB"/>
        </w:rPr>
        <w:t xml:space="preserve">Recommended </w:t>
      </w:r>
    </w:p>
    <w:p w14:paraId="6EBB5225" w14:textId="77777777" w:rsidR="008E48E9" w:rsidRPr="00525B39" w:rsidRDefault="008E48E9" w:rsidP="00135EE0">
      <w:pPr>
        <w:rPr>
          <w:rFonts w:asciiTheme="minorHAnsi" w:hAnsiTheme="minorHAnsi"/>
          <w:b/>
          <w:bCs/>
          <w:snapToGrid w:val="0"/>
        </w:rPr>
      </w:pPr>
    </w:p>
    <w:bookmarkEnd w:id="179"/>
    <w:p w14:paraId="1AB9F0F9" w14:textId="77777777" w:rsidR="008E48E9" w:rsidRPr="00907671" w:rsidRDefault="008E48E9" w:rsidP="00135EE0">
      <w:pPr>
        <w:pStyle w:val="2-SectionHeading"/>
        <w:numPr>
          <w:ilvl w:val="0"/>
          <w:numId w:val="1"/>
        </w:numPr>
      </w:pPr>
      <w:r w:rsidRPr="00907671">
        <w:t>Recommended listing</w:t>
      </w:r>
    </w:p>
    <w:p w14:paraId="7E09EF63" w14:textId="4292CDFF" w:rsidR="003C08BB" w:rsidRPr="00CB3D09" w:rsidRDefault="44FE472A" w:rsidP="00135EE0">
      <w:pPr>
        <w:pStyle w:val="3-BodyText"/>
        <w:rPr>
          <w:b/>
          <w:snapToGrid w:val="0"/>
        </w:rPr>
      </w:pPr>
      <w:bookmarkStart w:id="185" w:name="_Ref224656282"/>
      <w:r w:rsidRPr="40938D4F">
        <w:rPr>
          <w:snapToGrid w:val="0"/>
        </w:rPr>
        <w:t xml:space="preserve">Add new </w:t>
      </w:r>
      <w:r w:rsidR="008E48E9" w:rsidRPr="00525B39">
        <w:rPr>
          <w:bCs/>
          <w:snapToGrid w:val="0"/>
        </w:rPr>
        <w:t xml:space="preserve">listing </w:t>
      </w:r>
      <w:r w:rsidR="5E4ECEAB" w:rsidRPr="771EF652">
        <w:rPr>
          <w:snapToGrid w:val="0"/>
        </w:rPr>
        <w:t xml:space="preserve">(new </w:t>
      </w:r>
      <w:r w:rsidR="007A1E69" w:rsidRPr="771EF652">
        <w:rPr>
          <w:snapToGrid w:val="0"/>
        </w:rPr>
        <w:t>indication</w:t>
      </w:r>
      <w:r w:rsidR="5E4ECEAB" w:rsidRPr="771EF652">
        <w:rPr>
          <w:snapToGrid w:val="0"/>
        </w:rPr>
        <w:t>)</w:t>
      </w:r>
      <w:r w:rsidR="776191D6" w:rsidRPr="771EF652">
        <w:rPr>
          <w:snapToGrid w:val="0"/>
        </w:rPr>
        <w:t xml:space="preserve"> </w:t>
      </w:r>
      <w:r w:rsidR="008E48E9" w:rsidRPr="00525B39">
        <w:rPr>
          <w:bCs/>
          <w:snapToGrid w:val="0"/>
        </w:rPr>
        <w:t>as follows:</w:t>
      </w:r>
      <w:bookmarkEnd w:id="185"/>
    </w:p>
    <w:p w14:paraId="6B8DBA55" w14:textId="76E9466E" w:rsidR="007F3DF7" w:rsidRPr="007F3DF7" w:rsidRDefault="007F3DF7" w:rsidP="00135EE0">
      <w:pPr>
        <w:rPr>
          <w:rFonts w:asciiTheme="minorHAnsi" w:eastAsiaTheme="minorHAnsi" w:hAnsiTheme="minorHAnsi" w:cstheme="minorBidi"/>
          <w:szCs w:val="22"/>
          <w:u w:val="single"/>
          <w:lang w:eastAsia="en-US"/>
        </w:rPr>
      </w:pPr>
      <w:r w:rsidRPr="007F3DF7">
        <w:rPr>
          <w:rFonts w:asciiTheme="minorHAnsi" w:eastAsiaTheme="minorHAnsi" w:hAnsiTheme="minorHAnsi" w:cstheme="minorBidi"/>
          <w:szCs w:val="22"/>
          <w:u w:val="single"/>
          <w:lang w:eastAsia="en-US"/>
        </w:rPr>
        <w:t>Initial treatment</w:t>
      </w:r>
    </w:p>
    <w:tbl>
      <w:tblPr>
        <w:tblW w:w="9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 Initial treatment"/>
      </w:tblPr>
      <w:tblGrid>
        <w:gridCol w:w="480"/>
        <w:gridCol w:w="770"/>
        <w:gridCol w:w="2140"/>
        <w:gridCol w:w="1907"/>
        <w:gridCol w:w="691"/>
        <w:gridCol w:w="686"/>
        <w:gridCol w:w="685"/>
        <w:gridCol w:w="1667"/>
      </w:tblGrid>
      <w:tr w:rsidR="00DD65C7" w:rsidRPr="007F3DF7" w14:paraId="6C0EAC75" w14:textId="77777777" w:rsidTr="000B51C0">
        <w:trPr>
          <w:trHeight w:val="15"/>
        </w:trPr>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373234B5"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MEDICINAL PRODUCT</w:t>
            </w:r>
            <w:r w:rsidRPr="007F3DF7">
              <w:rPr>
                <w:rFonts w:ascii="Arial Narrow" w:hAnsi="Arial Narrow"/>
                <w:bCs/>
                <w:snapToGrid w:val="0"/>
                <w:sz w:val="20"/>
                <w:szCs w:val="20"/>
              </w:rPr>
              <w:t> </w:t>
            </w:r>
          </w:p>
          <w:p w14:paraId="1C1CD7E7"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medicinal product pack</w:t>
            </w:r>
            <w:r w:rsidRPr="007F3DF7">
              <w:rPr>
                <w:rFonts w:ascii="Arial Narrow" w:hAnsi="Arial Narrow"/>
                <w:bCs/>
                <w:snapToGrid w:val="0"/>
                <w:sz w:val="20"/>
                <w:szCs w:val="20"/>
              </w:rPr>
              <w:t> </w:t>
            </w:r>
          </w:p>
        </w:tc>
        <w:tc>
          <w:tcPr>
            <w:tcW w:w="1907" w:type="dxa"/>
            <w:tcBorders>
              <w:top w:val="single" w:sz="6" w:space="0" w:color="auto"/>
              <w:left w:val="single" w:sz="6" w:space="0" w:color="auto"/>
              <w:bottom w:val="single" w:sz="6" w:space="0" w:color="auto"/>
              <w:right w:val="single" w:sz="6" w:space="0" w:color="auto"/>
            </w:tcBorders>
            <w:vAlign w:val="center"/>
            <w:hideMark/>
          </w:tcPr>
          <w:p w14:paraId="19936BB9" w14:textId="57A494A2" w:rsidR="007F3DF7" w:rsidRPr="007F3DF7" w:rsidRDefault="007F3DF7" w:rsidP="00135EE0">
            <w:pPr>
              <w:jc w:val="center"/>
              <w:rPr>
                <w:rFonts w:ascii="Arial Narrow" w:hAnsi="Arial Narrow"/>
                <w:bCs/>
                <w:snapToGrid w:val="0"/>
                <w:sz w:val="20"/>
                <w:szCs w:val="20"/>
              </w:rPr>
            </w:pPr>
            <w:r w:rsidRPr="007F3DF7">
              <w:rPr>
                <w:rFonts w:ascii="Arial Narrow" w:hAnsi="Arial Narrow"/>
                <w:b/>
                <w:bCs/>
                <w:snapToGrid w:val="0"/>
                <w:sz w:val="20"/>
                <w:szCs w:val="20"/>
              </w:rPr>
              <w:t>PBS item code</w:t>
            </w:r>
          </w:p>
        </w:tc>
        <w:tc>
          <w:tcPr>
            <w:tcW w:w="691" w:type="dxa"/>
            <w:tcBorders>
              <w:top w:val="single" w:sz="6" w:space="0" w:color="auto"/>
              <w:left w:val="single" w:sz="6" w:space="0" w:color="auto"/>
              <w:bottom w:val="single" w:sz="6" w:space="0" w:color="auto"/>
              <w:right w:val="single" w:sz="6" w:space="0" w:color="auto"/>
            </w:tcBorders>
            <w:vAlign w:val="center"/>
            <w:hideMark/>
          </w:tcPr>
          <w:p w14:paraId="47985187" w14:textId="5FE6E151" w:rsidR="007F3DF7" w:rsidRPr="007F3DF7" w:rsidRDefault="007F3DF7" w:rsidP="00135EE0">
            <w:pPr>
              <w:jc w:val="center"/>
              <w:rPr>
                <w:rFonts w:ascii="Arial Narrow" w:hAnsi="Arial Narrow"/>
                <w:bCs/>
                <w:snapToGrid w:val="0"/>
                <w:sz w:val="20"/>
                <w:szCs w:val="20"/>
              </w:rPr>
            </w:pPr>
            <w:r w:rsidRPr="007F3DF7">
              <w:rPr>
                <w:rFonts w:ascii="Arial Narrow" w:hAnsi="Arial Narrow"/>
                <w:b/>
                <w:bCs/>
                <w:snapToGrid w:val="0"/>
                <w:sz w:val="20"/>
                <w:szCs w:val="20"/>
              </w:rPr>
              <w:t>Max. qty packs</w:t>
            </w:r>
          </w:p>
        </w:tc>
        <w:tc>
          <w:tcPr>
            <w:tcW w:w="686" w:type="dxa"/>
            <w:tcBorders>
              <w:top w:val="single" w:sz="6" w:space="0" w:color="auto"/>
              <w:left w:val="single" w:sz="6" w:space="0" w:color="auto"/>
              <w:bottom w:val="single" w:sz="6" w:space="0" w:color="auto"/>
              <w:right w:val="single" w:sz="6" w:space="0" w:color="auto"/>
            </w:tcBorders>
            <w:vAlign w:val="center"/>
            <w:hideMark/>
          </w:tcPr>
          <w:p w14:paraId="397C8029" w14:textId="375ED1CB" w:rsidR="007F3DF7" w:rsidRPr="007F3DF7" w:rsidRDefault="007F3DF7" w:rsidP="00135EE0">
            <w:pPr>
              <w:jc w:val="center"/>
              <w:rPr>
                <w:rFonts w:ascii="Arial Narrow" w:hAnsi="Arial Narrow"/>
                <w:bCs/>
                <w:snapToGrid w:val="0"/>
                <w:sz w:val="20"/>
                <w:szCs w:val="20"/>
              </w:rPr>
            </w:pPr>
            <w:r w:rsidRPr="007F3DF7">
              <w:rPr>
                <w:rFonts w:ascii="Arial Narrow" w:hAnsi="Arial Narrow"/>
                <w:b/>
                <w:bCs/>
                <w:snapToGrid w:val="0"/>
                <w:sz w:val="20"/>
                <w:szCs w:val="20"/>
              </w:rPr>
              <w:t>Max. qty units</w:t>
            </w:r>
          </w:p>
        </w:tc>
        <w:tc>
          <w:tcPr>
            <w:tcW w:w="685" w:type="dxa"/>
            <w:tcBorders>
              <w:top w:val="single" w:sz="6" w:space="0" w:color="auto"/>
              <w:left w:val="single" w:sz="6" w:space="0" w:color="auto"/>
              <w:bottom w:val="single" w:sz="6" w:space="0" w:color="auto"/>
              <w:right w:val="single" w:sz="6" w:space="0" w:color="auto"/>
            </w:tcBorders>
            <w:vAlign w:val="center"/>
            <w:hideMark/>
          </w:tcPr>
          <w:p w14:paraId="784D6FBF" w14:textId="4BA32BC4" w:rsidR="007F3DF7" w:rsidRPr="007F3DF7" w:rsidRDefault="007F3DF7" w:rsidP="00135EE0">
            <w:pPr>
              <w:jc w:val="center"/>
              <w:rPr>
                <w:rFonts w:ascii="Arial Narrow" w:hAnsi="Arial Narrow"/>
                <w:bCs/>
                <w:snapToGrid w:val="0"/>
                <w:sz w:val="20"/>
                <w:szCs w:val="20"/>
              </w:rPr>
            </w:pPr>
            <w:r w:rsidRPr="007F3DF7">
              <w:rPr>
                <w:rFonts w:ascii="Arial Narrow" w:hAnsi="Arial Narrow"/>
                <w:b/>
                <w:bCs/>
                <w:snapToGrid w:val="0"/>
                <w:sz w:val="20"/>
                <w:szCs w:val="20"/>
              </w:rPr>
              <w:t>№.of</w:t>
            </w:r>
          </w:p>
          <w:p w14:paraId="4DC4DDD5" w14:textId="4DD2E1EF" w:rsidR="007F3DF7" w:rsidRPr="007F3DF7" w:rsidRDefault="007F3DF7" w:rsidP="00135EE0">
            <w:pPr>
              <w:jc w:val="center"/>
              <w:rPr>
                <w:rFonts w:ascii="Arial Narrow" w:hAnsi="Arial Narrow"/>
                <w:bCs/>
                <w:snapToGrid w:val="0"/>
                <w:sz w:val="20"/>
                <w:szCs w:val="20"/>
              </w:rPr>
            </w:pPr>
            <w:r w:rsidRPr="007F3DF7">
              <w:rPr>
                <w:rFonts w:ascii="Arial Narrow" w:hAnsi="Arial Narrow"/>
                <w:b/>
                <w:bCs/>
                <w:snapToGrid w:val="0"/>
                <w:sz w:val="20"/>
                <w:szCs w:val="20"/>
              </w:rPr>
              <w:t>Rpts</w:t>
            </w:r>
          </w:p>
        </w:tc>
        <w:tc>
          <w:tcPr>
            <w:tcW w:w="1667" w:type="dxa"/>
            <w:tcBorders>
              <w:top w:val="single" w:sz="6" w:space="0" w:color="auto"/>
              <w:left w:val="single" w:sz="6" w:space="0" w:color="auto"/>
              <w:bottom w:val="single" w:sz="6" w:space="0" w:color="auto"/>
              <w:right w:val="single" w:sz="6" w:space="0" w:color="auto"/>
            </w:tcBorders>
            <w:vAlign w:val="center"/>
            <w:hideMark/>
          </w:tcPr>
          <w:p w14:paraId="147F2081"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Available brands</w:t>
            </w:r>
            <w:r w:rsidRPr="007F3DF7">
              <w:rPr>
                <w:rFonts w:ascii="Arial Narrow" w:hAnsi="Arial Narrow"/>
                <w:bCs/>
                <w:snapToGrid w:val="0"/>
                <w:sz w:val="20"/>
                <w:szCs w:val="20"/>
              </w:rPr>
              <w:t> </w:t>
            </w:r>
          </w:p>
        </w:tc>
      </w:tr>
      <w:tr w:rsidR="00765C02" w:rsidRPr="007F3DF7" w14:paraId="7CA8B43E" w14:textId="77777777" w:rsidTr="000B51C0">
        <w:trPr>
          <w:trHeight w:val="15"/>
        </w:trPr>
        <w:tc>
          <w:tcPr>
            <w:tcW w:w="9026" w:type="dxa"/>
            <w:gridSpan w:val="8"/>
            <w:tcBorders>
              <w:top w:val="single" w:sz="6" w:space="0" w:color="auto"/>
              <w:left w:val="single" w:sz="6" w:space="0" w:color="auto"/>
              <w:bottom w:val="single" w:sz="6" w:space="0" w:color="auto"/>
              <w:right w:val="single" w:sz="6" w:space="0" w:color="auto"/>
            </w:tcBorders>
            <w:vAlign w:val="center"/>
            <w:hideMark/>
          </w:tcPr>
          <w:p w14:paraId="09FAFC2B" w14:textId="2E325E99" w:rsidR="007F3DF7" w:rsidRPr="007F3DF7" w:rsidRDefault="007F3DF7" w:rsidP="00135EE0">
            <w:pPr>
              <w:jc w:val="left"/>
              <w:rPr>
                <w:rFonts w:ascii="Arial Narrow" w:hAnsi="Arial Narrow"/>
                <w:bCs/>
                <w:snapToGrid w:val="0"/>
                <w:sz w:val="20"/>
                <w:szCs w:val="20"/>
              </w:rPr>
            </w:pPr>
            <w:r w:rsidRPr="007F3DF7">
              <w:rPr>
                <w:rFonts w:ascii="Arial Narrow" w:hAnsi="Arial Narrow"/>
                <w:bCs/>
                <w:snapToGrid w:val="0"/>
                <w:sz w:val="20"/>
                <w:szCs w:val="20"/>
              </w:rPr>
              <w:t>MEPOLIZUMAB</w:t>
            </w:r>
          </w:p>
        </w:tc>
      </w:tr>
      <w:tr w:rsidR="00DD65C7" w:rsidRPr="007F3DF7" w14:paraId="5B0134E9" w14:textId="77777777" w:rsidTr="000B51C0">
        <w:trPr>
          <w:trHeight w:val="15"/>
        </w:trPr>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6F179852"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mepolizumab 100 mg/mL injection, 1 mL pen device </w:t>
            </w:r>
          </w:p>
        </w:tc>
        <w:tc>
          <w:tcPr>
            <w:tcW w:w="1907" w:type="dxa"/>
            <w:tcBorders>
              <w:top w:val="single" w:sz="6" w:space="0" w:color="auto"/>
              <w:left w:val="single" w:sz="6" w:space="0" w:color="auto"/>
              <w:bottom w:val="single" w:sz="6" w:space="0" w:color="auto"/>
              <w:right w:val="single" w:sz="6" w:space="0" w:color="auto"/>
            </w:tcBorders>
            <w:vAlign w:val="center"/>
            <w:hideMark/>
          </w:tcPr>
          <w:p w14:paraId="773B6DE8" w14:textId="5D63E614"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NEW (HSD PUBLIC)</w:t>
            </w:r>
          </w:p>
          <w:p w14:paraId="3DF461AE" w14:textId="5C7E6694"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NEW (HSD PRIVATE)</w:t>
            </w:r>
          </w:p>
          <w:p w14:paraId="6354288D" w14:textId="78322962"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vertAlign w:val="subscript"/>
              </w:rPr>
              <w:t>MP</w:t>
            </w:r>
          </w:p>
        </w:tc>
        <w:tc>
          <w:tcPr>
            <w:tcW w:w="691" w:type="dxa"/>
            <w:tcBorders>
              <w:top w:val="single" w:sz="6" w:space="0" w:color="auto"/>
              <w:left w:val="single" w:sz="6" w:space="0" w:color="auto"/>
              <w:bottom w:val="single" w:sz="6" w:space="0" w:color="auto"/>
              <w:right w:val="single" w:sz="6" w:space="0" w:color="auto"/>
            </w:tcBorders>
            <w:vAlign w:val="center"/>
            <w:hideMark/>
          </w:tcPr>
          <w:p w14:paraId="2EA488FB" w14:textId="376A8AD7"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1</w:t>
            </w:r>
          </w:p>
        </w:tc>
        <w:tc>
          <w:tcPr>
            <w:tcW w:w="686" w:type="dxa"/>
            <w:tcBorders>
              <w:top w:val="single" w:sz="6" w:space="0" w:color="auto"/>
              <w:left w:val="single" w:sz="6" w:space="0" w:color="auto"/>
              <w:bottom w:val="single" w:sz="6" w:space="0" w:color="auto"/>
              <w:right w:val="single" w:sz="6" w:space="0" w:color="auto"/>
            </w:tcBorders>
            <w:vAlign w:val="center"/>
            <w:hideMark/>
          </w:tcPr>
          <w:p w14:paraId="7927E444" w14:textId="0D5D25DD"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1</w:t>
            </w:r>
          </w:p>
        </w:tc>
        <w:tc>
          <w:tcPr>
            <w:tcW w:w="685" w:type="dxa"/>
            <w:tcBorders>
              <w:top w:val="single" w:sz="6" w:space="0" w:color="auto"/>
              <w:left w:val="single" w:sz="6" w:space="0" w:color="auto"/>
              <w:bottom w:val="single" w:sz="6" w:space="0" w:color="auto"/>
              <w:right w:val="single" w:sz="6" w:space="0" w:color="auto"/>
            </w:tcBorders>
            <w:vAlign w:val="center"/>
            <w:hideMark/>
          </w:tcPr>
          <w:p w14:paraId="0A6CF1CD" w14:textId="498234E6"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6</w:t>
            </w:r>
          </w:p>
        </w:tc>
        <w:tc>
          <w:tcPr>
            <w:tcW w:w="1667" w:type="dxa"/>
            <w:tcBorders>
              <w:top w:val="single" w:sz="6" w:space="0" w:color="auto"/>
              <w:left w:val="single" w:sz="6" w:space="0" w:color="auto"/>
              <w:bottom w:val="single" w:sz="6" w:space="0" w:color="auto"/>
              <w:right w:val="single" w:sz="6" w:space="0" w:color="auto"/>
            </w:tcBorders>
            <w:vAlign w:val="center"/>
            <w:hideMark/>
          </w:tcPr>
          <w:p w14:paraId="10850AEF" w14:textId="49F6ACF8" w:rsidR="007F3DF7" w:rsidRPr="007F3DF7" w:rsidRDefault="007F3DF7" w:rsidP="00135EE0">
            <w:pPr>
              <w:jc w:val="center"/>
              <w:rPr>
                <w:rFonts w:ascii="Arial Narrow" w:hAnsi="Arial Narrow"/>
                <w:bCs/>
                <w:snapToGrid w:val="0"/>
                <w:sz w:val="20"/>
                <w:szCs w:val="20"/>
              </w:rPr>
            </w:pPr>
            <w:r w:rsidRPr="007F3DF7">
              <w:rPr>
                <w:rFonts w:ascii="Arial Narrow" w:hAnsi="Arial Narrow"/>
                <w:bCs/>
                <w:snapToGrid w:val="0"/>
                <w:sz w:val="20"/>
                <w:szCs w:val="20"/>
              </w:rPr>
              <w:t>Nucala</w:t>
            </w:r>
          </w:p>
        </w:tc>
      </w:tr>
      <w:tr w:rsidR="00765C02" w:rsidRPr="007F3DF7" w14:paraId="37182103" w14:textId="77777777" w:rsidTr="000B51C0">
        <w:trPr>
          <w:trHeight w:val="15"/>
        </w:trPr>
        <w:tc>
          <w:tcPr>
            <w:tcW w:w="9026" w:type="dxa"/>
            <w:gridSpan w:val="8"/>
            <w:tcBorders>
              <w:top w:val="single" w:sz="6" w:space="0" w:color="auto"/>
              <w:left w:val="single" w:sz="6" w:space="0" w:color="auto"/>
              <w:bottom w:val="single" w:sz="6" w:space="0" w:color="auto"/>
              <w:right w:val="single" w:sz="6" w:space="0" w:color="auto"/>
            </w:tcBorders>
            <w:vAlign w:val="center"/>
            <w:hideMark/>
          </w:tcPr>
          <w:p w14:paraId="5857B06D"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 </w:t>
            </w:r>
          </w:p>
        </w:tc>
      </w:tr>
      <w:tr w:rsidR="00FD2FC3" w:rsidRPr="007F3DF7" w14:paraId="544ACCBA" w14:textId="77777777" w:rsidTr="000B51C0">
        <w:trPr>
          <w:trHeight w:val="15"/>
        </w:trPr>
        <w:tc>
          <w:tcPr>
            <w:tcW w:w="1250" w:type="dxa"/>
            <w:gridSpan w:val="2"/>
            <w:vMerge w:val="restart"/>
            <w:tcBorders>
              <w:top w:val="single" w:sz="6" w:space="0" w:color="auto"/>
              <w:left w:val="single" w:sz="6" w:space="0" w:color="auto"/>
              <w:bottom w:val="single" w:sz="6" w:space="0" w:color="auto"/>
              <w:right w:val="single" w:sz="6" w:space="0" w:color="auto"/>
            </w:tcBorders>
            <w:hideMark/>
          </w:tcPr>
          <w:p w14:paraId="30C7ED0C" w14:textId="14124015" w:rsidR="007F3DF7" w:rsidRPr="007F3DF7" w:rsidRDefault="007F3DF7" w:rsidP="00135EE0">
            <w:pPr>
              <w:jc w:val="center"/>
              <w:rPr>
                <w:rFonts w:ascii="Arial Narrow" w:hAnsi="Arial Narrow"/>
                <w:b/>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00DDB3E3"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Category / Program:</w:t>
            </w:r>
            <w:r w:rsidRPr="007F3DF7">
              <w:rPr>
                <w:rFonts w:ascii="Arial Narrow" w:hAnsi="Arial Narrow"/>
                <w:bCs/>
                <w:snapToGrid w:val="0"/>
                <w:sz w:val="20"/>
                <w:szCs w:val="20"/>
              </w:rPr>
              <w:t> Section 100 – Highly Specialised Drugs Program – Public (Code HB) / Private (Code HS) </w:t>
            </w:r>
          </w:p>
        </w:tc>
      </w:tr>
      <w:tr w:rsidR="00FD2FC3" w:rsidRPr="007F3DF7" w14:paraId="6E03AFD4" w14:textId="77777777" w:rsidTr="00BB51FE">
        <w:trPr>
          <w:trHeight w:val="15"/>
        </w:trPr>
        <w:tc>
          <w:tcPr>
            <w:tcW w:w="1250" w:type="dxa"/>
            <w:gridSpan w:val="2"/>
            <w:vMerge/>
            <w:vAlign w:val="center"/>
            <w:hideMark/>
          </w:tcPr>
          <w:p w14:paraId="549CDD6D" w14:textId="77777777"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0E78C72"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Prescriber type:</w:t>
            </w:r>
            <w:r w:rsidRPr="007F3DF7">
              <w:rPr>
                <w:rFonts w:ascii="Arial Narrow" w:hAnsi="Arial Narrow"/>
                <w:bCs/>
                <w:snapToGrid w:val="0"/>
                <w:sz w:val="20"/>
                <w:szCs w:val="20"/>
              </w:rPr>
              <w:t> Medical Practitioners </w:t>
            </w:r>
          </w:p>
        </w:tc>
      </w:tr>
      <w:tr w:rsidR="00FD2FC3" w:rsidRPr="007F3DF7" w14:paraId="4E8351A8" w14:textId="77777777" w:rsidTr="00BB51FE">
        <w:trPr>
          <w:trHeight w:val="15"/>
        </w:trPr>
        <w:tc>
          <w:tcPr>
            <w:tcW w:w="1250" w:type="dxa"/>
            <w:gridSpan w:val="2"/>
            <w:vMerge/>
            <w:vAlign w:val="center"/>
            <w:hideMark/>
          </w:tcPr>
          <w:p w14:paraId="1E7D3D9F" w14:textId="77777777"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45B1BBED" w14:textId="5033A8B0"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Restriction type: </w:t>
            </w:r>
            <w:r w:rsidRPr="007F3DF7">
              <w:rPr>
                <w:rFonts w:ascii="Arial Narrow" w:hAnsi="Arial Narrow"/>
                <w:bCs/>
                <w:snapToGrid w:val="0"/>
                <w:sz w:val="20"/>
                <w:szCs w:val="20"/>
              </w:rPr>
              <w:t>Authority Required (FULL assessment) in writing only via OPA/post/HPOS upload </w:t>
            </w:r>
          </w:p>
        </w:tc>
      </w:tr>
      <w:tr w:rsidR="00FD2FC3" w:rsidRPr="007F3DF7" w14:paraId="6C70F90F" w14:textId="77777777" w:rsidTr="00BB51FE">
        <w:trPr>
          <w:trHeight w:val="15"/>
        </w:trPr>
        <w:tc>
          <w:tcPr>
            <w:tcW w:w="1250" w:type="dxa"/>
            <w:gridSpan w:val="2"/>
            <w:vMerge/>
            <w:vAlign w:val="center"/>
            <w:hideMark/>
          </w:tcPr>
          <w:p w14:paraId="1EE07CB7" w14:textId="77777777"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51D346D"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Authority type: </w:t>
            </w:r>
            <w:r w:rsidRPr="007F3DF7">
              <w:rPr>
                <w:rFonts w:ascii="Arial Narrow" w:hAnsi="Arial Narrow"/>
                <w:bCs/>
                <w:snapToGrid w:val="0"/>
                <w:sz w:val="20"/>
                <w:szCs w:val="20"/>
              </w:rPr>
              <w:t>Complex Authority Required (CAR) </w:t>
            </w:r>
          </w:p>
        </w:tc>
      </w:tr>
      <w:tr w:rsidR="00493604" w:rsidRPr="007F3DF7" w14:paraId="235A4971" w14:textId="77777777">
        <w:trPr>
          <w:trHeight w:val="15"/>
        </w:trPr>
        <w:tc>
          <w:tcPr>
            <w:tcW w:w="480" w:type="dxa"/>
            <w:vMerge w:val="restart"/>
            <w:tcBorders>
              <w:top w:val="single" w:sz="6" w:space="0" w:color="auto"/>
              <w:left w:val="single" w:sz="6" w:space="0" w:color="auto"/>
              <w:right w:val="single" w:sz="6" w:space="0" w:color="auto"/>
            </w:tcBorders>
          </w:tcPr>
          <w:p w14:paraId="078088D1" w14:textId="3D4F77DA" w:rsidR="003449AE" w:rsidRPr="007F3DF7" w:rsidRDefault="003449AE" w:rsidP="00135EE0">
            <w:pPr>
              <w:jc w:val="center"/>
              <w:rPr>
                <w:rFonts w:ascii="Arial Narrow" w:hAnsi="Arial Narrow"/>
                <w:bCs/>
                <w:snapToGrid w:val="0"/>
                <w:sz w:val="20"/>
                <w:szCs w:val="20"/>
              </w:rPr>
            </w:pPr>
          </w:p>
        </w:tc>
        <w:tc>
          <w:tcPr>
            <w:tcW w:w="770" w:type="dxa"/>
            <w:tcBorders>
              <w:top w:val="single" w:sz="6" w:space="0" w:color="auto"/>
              <w:left w:val="single" w:sz="6" w:space="0" w:color="auto"/>
              <w:bottom w:val="single" w:sz="6" w:space="0" w:color="auto"/>
              <w:right w:val="single" w:sz="6" w:space="0" w:color="auto"/>
            </w:tcBorders>
            <w:vAlign w:val="center"/>
          </w:tcPr>
          <w:p w14:paraId="690D5BCB" w14:textId="5B8613C0" w:rsidR="003449AE" w:rsidRPr="007F3DF7" w:rsidRDefault="003449AE"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tcPr>
          <w:p w14:paraId="37610628" w14:textId="77777777" w:rsidR="003449AE" w:rsidRDefault="003449AE" w:rsidP="00135EE0">
            <w:pPr>
              <w:spacing w:line="259" w:lineRule="auto"/>
              <w:jc w:val="left"/>
              <w:rPr>
                <w:rFonts w:ascii="Arial Narrow" w:eastAsia="Aptos" w:hAnsi="Arial Narrow"/>
                <w:bCs/>
                <w:color w:val="000000" w:themeColor="text1"/>
                <w:kern w:val="2"/>
                <w:sz w:val="20"/>
                <w:szCs w:val="20"/>
                <w:lang w:eastAsia="en-US"/>
                <w14:ligatures w14:val="standardContextual"/>
              </w:rPr>
            </w:pPr>
            <w:r w:rsidRPr="0073650A">
              <w:rPr>
                <w:rFonts w:ascii="Arial Narrow" w:hAnsi="Arial Narrow" w:cs="Times New Roman"/>
                <w:b/>
                <w:bCs/>
                <w:color w:val="000000" w:themeColor="text1"/>
                <w:kern w:val="2"/>
                <w:sz w:val="20"/>
                <w:szCs w:val="20"/>
                <w14:ligatures w14:val="standardContextual"/>
              </w:rPr>
              <w:t>Administrative Advice</w:t>
            </w:r>
            <w:r>
              <w:rPr>
                <w:rFonts w:ascii="Arial Narrow" w:hAnsi="Arial Narrow" w:cs="Times New Roman"/>
                <w:b/>
                <w:bCs/>
                <w:color w:val="000000" w:themeColor="text1"/>
                <w:kern w:val="2"/>
                <w:sz w:val="20"/>
                <w:szCs w:val="20"/>
                <w14:ligatures w14:val="standardContextual"/>
              </w:rPr>
              <w:t>:</w:t>
            </w:r>
          </w:p>
          <w:p w14:paraId="4087587B" w14:textId="2035F597" w:rsidR="003449AE" w:rsidRPr="007F3DF7" w:rsidRDefault="003449AE" w:rsidP="00135EE0">
            <w:pPr>
              <w:rPr>
                <w:rFonts w:ascii="Arial Narrow" w:hAnsi="Arial Narrow"/>
                <w:b/>
                <w:bCs/>
                <w:snapToGrid w:val="0"/>
                <w:sz w:val="20"/>
                <w:szCs w:val="20"/>
              </w:rPr>
            </w:pPr>
            <w:r w:rsidRPr="00605D74">
              <w:rPr>
                <w:rFonts w:ascii="Arial Narrow" w:eastAsia="Aptos" w:hAnsi="Arial Narrow"/>
                <w:bCs/>
                <w:color w:val="000000" w:themeColor="text1"/>
                <w:kern w:val="2"/>
                <w:sz w:val="20"/>
                <w:szCs w:val="20"/>
                <w:lang w:eastAsia="en-US"/>
                <w14:ligatures w14:val="standardContextual"/>
              </w:rPr>
              <w:t>The length of a break in therapy is measured from the date that the relevant PBS-subsidised medicine listed for this PBS indication is ceased during the most recent treatment cycle, until the date of the subsequent application for treatment under a new treatment cycle.</w:t>
            </w:r>
          </w:p>
        </w:tc>
      </w:tr>
      <w:tr w:rsidR="00493604" w:rsidRPr="007F3DF7" w14:paraId="14634D6A" w14:textId="77777777" w:rsidTr="009C54B7">
        <w:trPr>
          <w:trHeight w:val="15"/>
        </w:trPr>
        <w:tc>
          <w:tcPr>
            <w:tcW w:w="480" w:type="dxa"/>
            <w:vMerge/>
            <w:tcBorders>
              <w:left w:val="single" w:sz="6" w:space="0" w:color="auto"/>
              <w:right w:val="single" w:sz="6" w:space="0" w:color="auto"/>
            </w:tcBorders>
          </w:tcPr>
          <w:p w14:paraId="2775168D" w14:textId="03D62423" w:rsidR="002F77DB" w:rsidRPr="007F3DF7" w:rsidRDefault="002F77DB" w:rsidP="00135EE0">
            <w:pPr>
              <w:jc w:val="center"/>
              <w:rPr>
                <w:rFonts w:ascii="Arial Narrow" w:hAnsi="Arial Narrow"/>
                <w:bCs/>
                <w:snapToGrid w:val="0"/>
                <w:sz w:val="20"/>
                <w:szCs w:val="20"/>
              </w:rPr>
            </w:pPr>
          </w:p>
        </w:tc>
        <w:tc>
          <w:tcPr>
            <w:tcW w:w="770" w:type="dxa"/>
            <w:tcBorders>
              <w:top w:val="single" w:sz="6" w:space="0" w:color="auto"/>
              <w:left w:val="single" w:sz="6" w:space="0" w:color="auto"/>
              <w:bottom w:val="single" w:sz="6" w:space="0" w:color="auto"/>
              <w:right w:val="single" w:sz="6" w:space="0" w:color="auto"/>
            </w:tcBorders>
            <w:vAlign w:val="center"/>
          </w:tcPr>
          <w:p w14:paraId="51EEE534" w14:textId="77749AA7" w:rsidR="002F77DB" w:rsidRPr="007F3DF7" w:rsidRDefault="002F77DB"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54DBEEC1" w14:textId="77777777" w:rsidR="002F77DB" w:rsidRPr="007F3DF7" w:rsidRDefault="002F77DB" w:rsidP="00135EE0">
            <w:pPr>
              <w:rPr>
                <w:rFonts w:ascii="Arial Narrow" w:hAnsi="Arial Narrow"/>
                <w:bCs/>
                <w:snapToGrid w:val="0"/>
                <w:sz w:val="20"/>
                <w:szCs w:val="20"/>
              </w:rPr>
            </w:pPr>
            <w:r w:rsidRPr="007F3DF7">
              <w:rPr>
                <w:rFonts w:ascii="Arial Narrow" w:hAnsi="Arial Narrow"/>
                <w:b/>
                <w:bCs/>
                <w:snapToGrid w:val="0"/>
                <w:sz w:val="20"/>
                <w:szCs w:val="20"/>
              </w:rPr>
              <w:t>Administrative Advice: </w:t>
            </w:r>
            <w:r w:rsidRPr="007F3DF7">
              <w:rPr>
                <w:rFonts w:ascii="Arial Narrow" w:hAnsi="Arial Narrow"/>
                <w:bCs/>
                <w:snapToGrid w:val="0"/>
                <w:sz w:val="20"/>
                <w:szCs w:val="20"/>
              </w:rPr>
              <w:t>No increase in the maximum quantity or number of units may be authorised </w:t>
            </w:r>
          </w:p>
        </w:tc>
      </w:tr>
      <w:tr w:rsidR="00493604" w:rsidRPr="007F3DF7" w14:paraId="135B71F4" w14:textId="77777777" w:rsidTr="009C54B7">
        <w:trPr>
          <w:trHeight w:val="15"/>
        </w:trPr>
        <w:tc>
          <w:tcPr>
            <w:tcW w:w="0" w:type="auto"/>
            <w:vMerge/>
            <w:tcBorders>
              <w:left w:val="single" w:sz="6" w:space="0" w:color="auto"/>
              <w:right w:val="single" w:sz="6" w:space="0" w:color="auto"/>
            </w:tcBorders>
            <w:vAlign w:val="center"/>
          </w:tcPr>
          <w:p w14:paraId="409D932E" w14:textId="77777777" w:rsidR="002F77DB" w:rsidRPr="007F3DF7" w:rsidRDefault="002F77DB" w:rsidP="00135EE0">
            <w:pPr>
              <w:jc w:val="center"/>
              <w:rPr>
                <w:rFonts w:ascii="Arial Narrow" w:hAnsi="Arial Narrow"/>
                <w:bCs/>
                <w:snapToGrid w:val="0"/>
                <w:sz w:val="20"/>
                <w:szCs w:val="20"/>
              </w:rPr>
            </w:pPr>
          </w:p>
        </w:tc>
        <w:tc>
          <w:tcPr>
            <w:tcW w:w="770" w:type="dxa"/>
            <w:tcBorders>
              <w:top w:val="single" w:sz="6" w:space="0" w:color="auto"/>
              <w:left w:val="single" w:sz="6" w:space="0" w:color="auto"/>
              <w:bottom w:val="single" w:sz="6" w:space="0" w:color="auto"/>
              <w:right w:val="single" w:sz="6" w:space="0" w:color="auto"/>
            </w:tcBorders>
            <w:vAlign w:val="center"/>
          </w:tcPr>
          <w:p w14:paraId="782423F9" w14:textId="39F567E3" w:rsidR="002F77DB" w:rsidRPr="007F3DF7" w:rsidRDefault="002F77DB"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1D85069D" w14:textId="77777777" w:rsidR="002F77DB" w:rsidRPr="007F3DF7" w:rsidRDefault="002F77DB" w:rsidP="00135EE0">
            <w:pPr>
              <w:rPr>
                <w:rFonts w:ascii="Arial Narrow" w:hAnsi="Arial Narrow"/>
                <w:bCs/>
                <w:snapToGrid w:val="0"/>
                <w:sz w:val="20"/>
                <w:szCs w:val="20"/>
              </w:rPr>
            </w:pPr>
            <w:r w:rsidRPr="007F3DF7">
              <w:rPr>
                <w:rFonts w:ascii="Arial Narrow" w:hAnsi="Arial Narrow"/>
                <w:b/>
                <w:bCs/>
                <w:snapToGrid w:val="0"/>
                <w:sz w:val="20"/>
                <w:szCs w:val="20"/>
              </w:rPr>
              <w:t>Administrative Advice: </w:t>
            </w:r>
            <w:r w:rsidRPr="007F3DF7">
              <w:rPr>
                <w:rFonts w:ascii="Arial Narrow" w:hAnsi="Arial Narrow"/>
                <w:bCs/>
                <w:snapToGrid w:val="0"/>
                <w:sz w:val="20"/>
                <w:szCs w:val="20"/>
              </w:rPr>
              <w:t>No increase in the maximum number of repeats may be authorised </w:t>
            </w:r>
          </w:p>
        </w:tc>
      </w:tr>
      <w:tr w:rsidR="00493604" w:rsidRPr="007F3DF7" w14:paraId="120B5725" w14:textId="77777777" w:rsidTr="009C54B7">
        <w:trPr>
          <w:trHeight w:val="15"/>
        </w:trPr>
        <w:tc>
          <w:tcPr>
            <w:tcW w:w="0" w:type="auto"/>
            <w:vMerge/>
            <w:tcBorders>
              <w:left w:val="single" w:sz="6" w:space="0" w:color="auto"/>
              <w:right w:val="single" w:sz="6" w:space="0" w:color="auto"/>
            </w:tcBorders>
            <w:vAlign w:val="center"/>
          </w:tcPr>
          <w:p w14:paraId="362F6AF8" w14:textId="77777777" w:rsidR="002F77DB" w:rsidRPr="007F3DF7" w:rsidRDefault="002F77DB" w:rsidP="00135EE0">
            <w:pPr>
              <w:jc w:val="center"/>
              <w:rPr>
                <w:rFonts w:ascii="Arial Narrow" w:hAnsi="Arial Narrow"/>
                <w:bCs/>
                <w:snapToGrid w:val="0"/>
                <w:sz w:val="20"/>
                <w:szCs w:val="20"/>
              </w:rPr>
            </w:pPr>
          </w:p>
        </w:tc>
        <w:tc>
          <w:tcPr>
            <w:tcW w:w="770" w:type="dxa"/>
            <w:tcBorders>
              <w:top w:val="single" w:sz="6" w:space="0" w:color="auto"/>
              <w:left w:val="single" w:sz="6" w:space="0" w:color="auto"/>
              <w:bottom w:val="single" w:sz="6" w:space="0" w:color="auto"/>
              <w:right w:val="single" w:sz="6" w:space="0" w:color="auto"/>
            </w:tcBorders>
            <w:vAlign w:val="center"/>
          </w:tcPr>
          <w:p w14:paraId="542770F4" w14:textId="7A51549A" w:rsidR="002F77DB" w:rsidRPr="007F3DF7" w:rsidRDefault="002F77DB"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082517B6" w14:textId="77777777" w:rsidR="002F77DB" w:rsidRPr="007F3DF7" w:rsidRDefault="002F77DB" w:rsidP="00135EE0">
            <w:pPr>
              <w:rPr>
                <w:rFonts w:ascii="Arial Narrow" w:hAnsi="Arial Narrow"/>
                <w:bCs/>
                <w:snapToGrid w:val="0"/>
                <w:sz w:val="20"/>
                <w:szCs w:val="20"/>
              </w:rPr>
            </w:pPr>
            <w:r w:rsidRPr="007F3DF7">
              <w:rPr>
                <w:rFonts w:ascii="Arial Narrow" w:hAnsi="Arial Narrow"/>
                <w:b/>
                <w:bCs/>
                <w:snapToGrid w:val="0"/>
                <w:sz w:val="20"/>
                <w:szCs w:val="20"/>
              </w:rPr>
              <w:t>Administrative Advice:</w:t>
            </w:r>
            <w:r w:rsidRPr="007F3DF7">
              <w:rPr>
                <w:rFonts w:ascii="Arial Narrow" w:hAnsi="Arial Narrow"/>
                <w:bCs/>
                <w:snapToGrid w:val="0"/>
                <w:sz w:val="20"/>
                <w:szCs w:val="20"/>
              </w:rPr>
              <w:t> Special Pricing Arrangements apply </w:t>
            </w:r>
          </w:p>
        </w:tc>
      </w:tr>
      <w:tr w:rsidR="00493604" w:rsidRPr="007F3DF7" w14:paraId="522A9A7D" w14:textId="77777777" w:rsidTr="009C54B7">
        <w:trPr>
          <w:trHeight w:val="15"/>
        </w:trPr>
        <w:tc>
          <w:tcPr>
            <w:tcW w:w="0" w:type="auto"/>
            <w:vMerge/>
            <w:tcBorders>
              <w:left w:val="single" w:sz="6" w:space="0" w:color="auto"/>
              <w:right w:val="single" w:sz="6" w:space="0" w:color="auto"/>
            </w:tcBorders>
            <w:vAlign w:val="center"/>
          </w:tcPr>
          <w:p w14:paraId="581AD87E" w14:textId="77777777" w:rsidR="002F77DB" w:rsidRPr="007F3DF7" w:rsidRDefault="002F77DB" w:rsidP="00135EE0">
            <w:pPr>
              <w:jc w:val="center"/>
              <w:rPr>
                <w:rFonts w:ascii="Arial Narrow" w:hAnsi="Arial Narrow"/>
                <w:bCs/>
                <w:snapToGrid w:val="0"/>
                <w:sz w:val="20"/>
                <w:szCs w:val="20"/>
              </w:rPr>
            </w:pPr>
          </w:p>
        </w:tc>
        <w:tc>
          <w:tcPr>
            <w:tcW w:w="770" w:type="dxa"/>
            <w:tcBorders>
              <w:top w:val="single" w:sz="6" w:space="0" w:color="auto"/>
              <w:left w:val="single" w:sz="6" w:space="0" w:color="auto"/>
              <w:bottom w:val="single" w:sz="6" w:space="0" w:color="auto"/>
              <w:right w:val="single" w:sz="6" w:space="0" w:color="auto"/>
            </w:tcBorders>
            <w:vAlign w:val="center"/>
          </w:tcPr>
          <w:p w14:paraId="53E74976" w14:textId="2C4217F9" w:rsidR="002F77DB" w:rsidRPr="007F3DF7" w:rsidRDefault="002F77DB"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6AFA2156" w14:textId="77777777" w:rsidR="002F77DB" w:rsidRPr="007F3DF7" w:rsidRDefault="002F77DB" w:rsidP="00135EE0">
            <w:pPr>
              <w:rPr>
                <w:rFonts w:ascii="Arial Narrow" w:hAnsi="Arial Narrow"/>
                <w:bCs/>
                <w:snapToGrid w:val="0"/>
                <w:sz w:val="20"/>
                <w:szCs w:val="20"/>
              </w:rPr>
            </w:pPr>
            <w:r w:rsidRPr="007F3DF7">
              <w:rPr>
                <w:rFonts w:ascii="Arial Narrow" w:hAnsi="Arial Narrow"/>
                <w:b/>
                <w:bCs/>
                <w:snapToGrid w:val="0"/>
                <w:sz w:val="20"/>
                <w:szCs w:val="20"/>
              </w:rPr>
              <w:t>Administrative Advice: </w:t>
            </w:r>
            <w:r w:rsidRPr="007F3DF7">
              <w:rPr>
                <w:rFonts w:ascii="Arial Narrow" w:hAnsi="Arial Narrow"/>
                <w:bCs/>
                <w:snapToGrid w:val="0"/>
                <w:sz w:val="20"/>
                <w:szCs w:val="20"/>
              </w:rPr>
              <w:t>Any queries concerning the arrangements to prescribe may be directed to Services Australia on 1800 700 270 (hours of operation 8 a.m. to 5 p.m. Monday to Friday). </w:t>
            </w:r>
          </w:p>
          <w:p w14:paraId="18DDC88C"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Prescribing information (including Authority Application forms and other relevant documentation as applicable) is available on the Services Australia website at www.servicesaustralia.gov.au </w:t>
            </w:r>
          </w:p>
          <w:p w14:paraId="0F635058"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Applications for authority to prescribe should be submitted online using the form upload facility in Health Professional Online Services (HPOS) at www.servicesaustralia.gov.au/hpos </w:t>
            </w:r>
          </w:p>
          <w:p w14:paraId="700DFD42"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Or mailed to: </w:t>
            </w:r>
          </w:p>
          <w:p w14:paraId="63B9BD24"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Services Australia </w:t>
            </w:r>
          </w:p>
          <w:p w14:paraId="679A0B22"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Complex Drugs </w:t>
            </w:r>
          </w:p>
          <w:p w14:paraId="1BA9F743"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Reply Paid 9826 </w:t>
            </w:r>
          </w:p>
          <w:p w14:paraId="627F8BFF" w14:textId="77777777" w:rsidR="002F77DB" w:rsidRPr="007F3DF7" w:rsidRDefault="002F77DB" w:rsidP="00135EE0">
            <w:pPr>
              <w:rPr>
                <w:rFonts w:ascii="Arial Narrow" w:hAnsi="Arial Narrow"/>
                <w:bCs/>
                <w:snapToGrid w:val="0"/>
                <w:sz w:val="20"/>
                <w:szCs w:val="20"/>
              </w:rPr>
            </w:pPr>
            <w:r w:rsidRPr="007F3DF7">
              <w:rPr>
                <w:rFonts w:ascii="Arial Narrow" w:hAnsi="Arial Narrow"/>
                <w:bCs/>
                <w:snapToGrid w:val="0"/>
                <w:sz w:val="20"/>
                <w:szCs w:val="20"/>
              </w:rPr>
              <w:t>HOBART TAS 7001 </w:t>
            </w:r>
          </w:p>
        </w:tc>
      </w:tr>
      <w:tr w:rsidR="006E1830" w:rsidRPr="007F3DF7" w14:paraId="12A3FD58" w14:textId="77777777">
        <w:trPr>
          <w:trHeight w:val="15"/>
        </w:trPr>
        <w:tc>
          <w:tcPr>
            <w:tcW w:w="9026" w:type="dxa"/>
            <w:gridSpan w:val="8"/>
            <w:tcBorders>
              <w:top w:val="single" w:sz="6" w:space="0" w:color="auto"/>
              <w:left w:val="single" w:sz="6" w:space="0" w:color="auto"/>
              <w:bottom w:val="single" w:sz="6" w:space="0" w:color="auto"/>
              <w:right w:val="single" w:sz="6" w:space="0" w:color="auto"/>
            </w:tcBorders>
            <w:vAlign w:val="center"/>
          </w:tcPr>
          <w:p w14:paraId="7509C3A8" w14:textId="612DD060" w:rsidR="006E1830" w:rsidRPr="007F3DF7" w:rsidRDefault="006E1830" w:rsidP="00135EE0">
            <w:pPr>
              <w:rPr>
                <w:rFonts w:ascii="Arial Narrow" w:hAnsi="Arial Narrow"/>
                <w:b/>
                <w:bCs/>
                <w:snapToGrid w:val="0"/>
                <w:sz w:val="20"/>
                <w:szCs w:val="20"/>
              </w:rPr>
            </w:pPr>
          </w:p>
        </w:tc>
      </w:tr>
      <w:tr w:rsidR="00FD2FC3" w:rsidRPr="007F3DF7" w14:paraId="1AB4E41D"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41C4CC32" w14:textId="60CA68D3"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5DA81DE"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Indication:</w:t>
            </w:r>
            <w:r w:rsidRPr="007F3DF7">
              <w:rPr>
                <w:rFonts w:ascii="Arial Narrow" w:hAnsi="Arial Narrow"/>
                <w:bCs/>
                <w:snapToGrid w:val="0"/>
                <w:sz w:val="20"/>
                <w:szCs w:val="20"/>
              </w:rPr>
              <w:t> Uncontrolled chronic obstructive pulmonary disease (COPD) </w:t>
            </w:r>
          </w:p>
        </w:tc>
      </w:tr>
      <w:tr w:rsidR="00FD2FC3" w:rsidRPr="007F3DF7" w14:paraId="5F350DC7"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289FE46F" w14:textId="77EA236C"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190B3D22" w14:textId="62E7E944"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Treatment Phase:</w:t>
            </w:r>
            <w:r w:rsidRPr="007F3DF7">
              <w:rPr>
                <w:rFonts w:ascii="Arial Narrow" w:hAnsi="Arial Narrow"/>
                <w:bCs/>
                <w:snapToGrid w:val="0"/>
                <w:sz w:val="20"/>
                <w:szCs w:val="20"/>
              </w:rPr>
              <w:t> Initial treatment (New patients; or Recommencement of treatment in a new treatment cycle following a break in PBS subsidised biological medicine therapy) </w:t>
            </w:r>
          </w:p>
        </w:tc>
      </w:tr>
      <w:tr w:rsidR="00FD2FC3" w:rsidRPr="007F3DF7" w14:paraId="167BF744"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115E6FA0" w14:textId="1260401D"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6EED08EA"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29538E46"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tcPr>
          <w:p w14:paraId="2CC9A1BA" w14:textId="387217A3"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hideMark/>
          </w:tcPr>
          <w:p w14:paraId="4E4E34FC"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not have received PBS-subsidised treatment with a biological medicine for this condition; </w:t>
            </w:r>
            <w:r w:rsidRPr="007F3DF7">
              <w:rPr>
                <w:rFonts w:ascii="Arial Narrow" w:hAnsi="Arial Narrow"/>
                <w:b/>
                <w:bCs/>
                <w:snapToGrid w:val="0"/>
                <w:sz w:val="20"/>
                <w:szCs w:val="20"/>
              </w:rPr>
              <w:t>OR</w:t>
            </w:r>
            <w:r w:rsidRPr="007F3DF7">
              <w:rPr>
                <w:rFonts w:ascii="Arial Narrow" w:hAnsi="Arial Narrow"/>
                <w:bCs/>
                <w:snapToGrid w:val="0"/>
                <w:sz w:val="20"/>
                <w:szCs w:val="20"/>
              </w:rPr>
              <w:t> </w:t>
            </w:r>
          </w:p>
        </w:tc>
      </w:tr>
      <w:tr w:rsidR="00FD2FC3" w:rsidRPr="007F3DF7" w14:paraId="61C2FD68"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tcPr>
          <w:p w14:paraId="0585EE66" w14:textId="5F3E48B5"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hideMark/>
          </w:tcPr>
          <w:p w14:paraId="7E175FCB" w14:textId="329E2971"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have had at least </w:t>
            </w:r>
            <w:r>
              <w:rPr>
                <w:rFonts w:ascii="Arial Narrow" w:hAnsi="Arial Narrow"/>
                <w:snapToGrid w:val="0"/>
                <w:sz w:val="20"/>
                <w:szCs w:val="20"/>
              </w:rPr>
              <w:t>a</w:t>
            </w:r>
            <w:r w:rsidR="00816F98">
              <w:rPr>
                <w:rFonts w:ascii="Arial Narrow" w:hAnsi="Arial Narrow"/>
                <w:bCs/>
                <w:snapToGrid w:val="0"/>
                <w:sz w:val="20"/>
                <w:szCs w:val="20"/>
              </w:rPr>
              <w:t xml:space="preserve"> </w:t>
            </w:r>
            <w:r w:rsidRPr="007F3DF7">
              <w:rPr>
                <w:rFonts w:ascii="Arial Narrow" w:hAnsi="Arial Narrow"/>
                <w:bCs/>
                <w:snapToGrid w:val="0"/>
                <w:sz w:val="20"/>
                <w:szCs w:val="20"/>
              </w:rPr>
              <w:t>12-month break from the most recently approved PBS-subsidised biological medicine for this condition </w:t>
            </w:r>
          </w:p>
        </w:tc>
      </w:tr>
      <w:tr w:rsidR="00FD2FC3" w:rsidRPr="007F3DF7" w14:paraId="5C7B357B"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tcPr>
          <w:p w14:paraId="108078FE" w14:textId="1FFCE064"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hideMark/>
          </w:tcPr>
          <w:p w14:paraId="2BAE6591"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2CE5ABDD" w14:textId="77777777" w:rsidTr="009C54B7">
        <w:trPr>
          <w:trHeight w:val="360"/>
        </w:trPr>
        <w:tc>
          <w:tcPr>
            <w:tcW w:w="1250" w:type="dxa"/>
            <w:gridSpan w:val="2"/>
            <w:tcBorders>
              <w:top w:val="single" w:sz="6" w:space="0" w:color="auto"/>
              <w:left w:val="single" w:sz="6" w:space="0" w:color="auto"/>
              <w:bottom w:val="single" w:sz="6" w:space="0" w:color="auto"/>
              <w:right w:val="single" w:sz="6" w:space="0" w:color="auto"/>
            </w:tcBorders>
            <w:vAlign w:val="center"/>
          </w:tcPr>
          <w:p w14:paraId="7DBF864C" w14:textId="5AEBA4C5"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79010EA"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49DFC14A"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01FF0260" w14:textId="75C266D6"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F0ABC1F"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have a blood eosinophil count of at least 300 cells per microlitre in the 12 months prior to commencing treatment with this drug in this treatment cycle. </w:t>
            </w:r>
          </w:p>
        </w:tc>
      </w:tr>
      <w:tr w:rsidR="00FD2FC3" w:rsidRPr="007F3DF7" w14:paraId="4B0A74FB"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2806FE10" w14:textId="3ADEC1E1"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F4D7EE9"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4B38E5FA"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6B368DD5" w14:textId="2293FBCC"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6EC1D9D"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5D20826E"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60DB8EC5" w14:textId="1E69C6FD"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62010B6F"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not have achieved adequate control with at least 3 months of an optimised triple inhaler therapy consisting of: (i) long-acting muscarinic antagonist (LAMA), (ii) a long-acting beta-2 agonist (LABA), (iii) an inhaled corticosteroid (ICS), despite formal assessment of and adherence to correct inhaler technique which has been documented in the patient’s medical records. </w:t>
            </w:r>
          </w:p>
        </w:tc>
      </w:tr>
      <w:tr w:rsidR="00FD2FC3" w:rsidRPr="007F3DF7" w14:paraId="4390D717"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43389F63" w14:textId="5479A394"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6E47623E"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2E066839"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26985CDB" w14:textId="408C5D50"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E2F0CAF"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53182534"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46D91398" w14:textId="6112EC4D"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10D1939A"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have experienced at least one severe COPD exacerbation, or at least two moderate COPD exacerbations in the 12 months prior to commencing treatment with this drug in this treatment cycle. </w:t>
            </w:r>
          </w:p>
        </w:tc>
      </w:tr>
      <w:tr w:rsidR="00FD2FC3" w:rsidRPr="007F3DF7" w14:paraId="1743FAC6"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605826D0" w14:textId="40DF8BFC"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0D5DB1F"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7A0AFDCA"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25F82E7C" w14:textId="480CBD3B"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D1C197F"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3D88C0CE"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12B73ABA" w14:textId="45749859"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1A54AD4A"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The treatment must be in combination with </w:t>
            </w:r>
            <w:proofErr w:type="gramStart"/>
            <w:r w:rsidRPr="007F3DF7">
              <w:rPr>
                <w:rFonts w:ascii="Arial Narrow" w:hAnsi="Arial Narrow"/>
                <w:bCs/>
                <w:snapToGrid w:val="0"/>
                <w:sz w:val="20"/>
                <w:szCs w:val="20"/>
              </w:rPr>
              <w:t>all of</w:t>
            </w:r>
            <w:proofErr w:type="gramEnd"/>
            <w:r w:rsidRPr="007F3DF7">
              <w:rPr>
                <w:rFonts w:ascii="Arial Narrow" w:hAnsi="Arial Narrow"/>
                <w:bCs/>
                <w:snapToGrid w:val="0"/>
                <w:sz w:val="20"/>
                <w:szCs w:val="20"/>
              </w:rPr>
              <w:t> (i) LAMA, (ii) LABA, (iii) ICS in an optimised triple inhaler therapy </w:t>
            </w:r>
          </w:p>
        </w:tc>
      </w:tr>
      <w:tr w:rsidR="00FD2FC3" w:rsidRPr="007F3DF7" w14:paraId="4E736C15"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42597F45" w14:textId="507EF55C"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7E744B23"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42D322D3"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3D0650E6" w14:textId="1892CF1E"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65A5748"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359BE257"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38EBBEF0" w14:textId="64C5BADA"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4708BF33" w14:textId="43924EA1"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The treatment must not be used in combination with and within 4 weeks of another PBS-subsidised biological medicine prescribed for any of: (i) nasal polyps, (ii) uncontrolled severe allergic asthma, (iii) uncontrolled severe asthma</w:t>
            </w:r>
            <w:r w:rsidR="2F5D0B5E" w:rsidRPr="01F79AA9">
              <w:rPr>
                <w:rFonts w:ascii="Arial Narrow" w:hAnsi="Arial Narrow"/>
                <w:snapToGrid w:val="0"/>
                <w:sz w:val="20"/>
                <w:szCs w:val="20"/>
              </w:rPr>
              <w:t xml:space="preserve">, </w:t>
            </w:r>
            <w:r w:rsidR="2F5D0B5E" w:rsidRPr="01F79AA9">
              <w:rPr>
                <w:rFonts w:ascii="Arial Narrow" w:hAnsi="Arial Narrow"/>
                <w:sz w:val="20"/>
                <w:szCs w:val="20"/>
              </w:rPr>
              <w:t>(</w:t>
            </w:r>
            <w:r w:rsidR="2F5D0B5E" w:rsidRPr="001042C1">
              <w:rPr>
                <w:rFonts w:ascii="Arial Narrow" w:eastAsia="Arial Narrow" w:hAnsi="Arial Narrow" w:cs="Arial Narrow"/>
                <w:sz w:val="20"/>
                <w:szCs w:val="20"/>
              </w:rPr>
              <w:t>iv) uncontrolled chronic obstructive pulmonary disease.</w:t>
            </w:r>
          </w:p>
        </w:tc>
      </w:tr>
      <w:tr w:rsidR="00FD2FC3" w:rsidRPr="007F3DF7" w14:paraId="7DA42512"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38470324" w14:textId="26643523" w:rsidR="007F3DF7" w:rsidRPr="007F3DF7" w:rsidRDefault="007F3DF7" w:rsidP="00135EE0">
            <w:pP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17504643"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FD2FC3" w:rsidRPr="007F3DF7" w14:paraId="4D0C2C6F"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1D2F0E3D" w14:textId="4485AF4C"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14206D0"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FD2FC3" w:rsidRPr="007F3DF7" w14:paraId="5EBE91C1"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6711741D" w14:textId="5953A09E"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3A07BEA" w14:textId="38F6CE3B"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Patient must not receive more than 28 weeks of treatment under this restriction</w:t>
            </w:r>
          </w:p>
        </w:tc>
      </w:tr>
      <w:tr w:rsidR="00FD2FC3" w:rsidRPr="007F3DF7" w14:paraId="2DC0EEF1"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4FEA7978" w14:textId="2E4B275A"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7142E10F" w14:textId="77777777"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Treatment criteria:</w:t>
            </w:r>
            <w:r w:rsidRPr="007F3DF7">
              <w:rPr>
                <w:rFonts w:ascii="Arial Narrow" w:hAnsi="Arial Narrow"/>
                <w:bCs/>
                <w:snapToGrid w:val="0"/>
                <w:sz w:val="20"/>
                <w:szCs w:val="20"/>
              </w:rPr>
              <w:t> </w:t>
            </w:r>
          </w:p>
        </w:tc>
      </w:tr>
      <w:tr w:rsidR="00FD2FC3" w:rsidRPr="007F3DF7" w14:paraId="366C4DC2"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5D9B5C01" w14:textId="7414F64E"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2C258501" w14:textId="0BD9B5D3"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Must be treated by a medical practitioner who is either a (i) respiratory physician, (ii) general physician experienced in the management of patients with this condition. </w:t>
            </w:r>
          </w:p>
        </w:tc>
      </w:tr>
      <w:tr w:rsidR="00FD2FC3" w:rsidRPr="007F3DF7" w14:paraId="4E336B7C"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35B1A794" w14:textId="2547CD81"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7B76AE55" w14:textId="4A7B8CDA"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Prescribing Instructions:</w:t>
            </w:r>
          </w:p>
          <w:p w14:paraId="130ADD5B" w14:textId="64F4026F" w:rsidR="007F3DF7" w:rsidRPr="007F3DF7" w:rsidRDefault="007F3DF7" w:rsidP="00135EE0">
            <w:pPr>
              <w:rPr>
                <w:rFonts w:ascii="Arial Narrow" w:hAnsi="Arial Narrow"/>
                <w:bCs/>
                <w:snapToGrid w:val="0"/>
                <w:sz w:val="20"/>
                <w:szCs w:val="20"/>
              </w:rPr>
            </w:pPr>
            <w:proofErr w:type="gramStart"/>
            <w:r w:rsidRPr="007F3DF7">
              <w:rPr>
                <w:rFonts w:ascii="Arial Narrow" w:hAnsi="Arial Narrow"/>
                <w:bCs/>
                <w:snapToGrid w:val="0"/>
                <w:sz w:val="20"/>
                <w:szCs w:val="20"/>
              </w:rPr>
              <w:t>For the purpose of</w:t>
            </w:r>
            <w:proofErr w:type="gramEnd"/>
            <w:r w:rsidRPr="007F3DF7">
              <w:rPr>
                <w:rFonts w:ascii="Arial Narrow" w:hAnsi="Arial Narrow"/>
                <w:bCs/>
                <w:snapToGrid w:val="0"/>
                <w:sz w:val="20"/>
                <w:szCs w:val="20"/>
              </w:rPr>
              <w:t> administering this restriction, COPD exacerbations in the 12 months prior to starting treatment in this treatment cycle are defined as experiencing:</w:t>
            </w:r>
          </w:p>
          <w:p w14:paraId="22DAA3E2" w14:textId="410F0F0B" w:rsidR="007F3DF7" w:rsidRPr="007F3DF7" w:rsidRDefault="007F3DF7" w:rsidP="00135EE0">
            <w:pPr>
              <w:numPr>
                <w:ilvl w:val="0"/>
                <w:numId w:val="43"/>
              </w:numPr>
              <w:rPr>
                <w:rFonts w:ascii="Arial Narrow" w:hAnsi="Arial Narrow"/>
                <w:bCs/>
                <w:snapToGrid w:val="0"/>
                <w:sz w:val="20"/>
                <w:szCs w:val="20"/>
              </w:rPr>
            </w:pPr>
            <w:r w:rsidRPr="007F3DF7">
              <w:rPr>
                <w:rFonts w:ascii="Arial Narrow" w:hAnsi="Arial Narrow"/>
                <w:bCs/>
                <w:snapToGrid w:val="0"/>
                <w:sz w:val="20"/>
                <w:szCs w:val="20"/>
              </w:rPr>
              <w:t>at least 1 severe COPD exacerbation which required hospitalisation AND/OR</w:t>
            </w:r>
          </w:p>
          <w:p w14:paraId="38CDD4F1" w14:textId="790E881C" w:rsidR="007F3DF7" w:rsidRPr="007F3DF7" w:rsidRDefault="007F3DF7" w:rsidP="00135EE0">
            <w:pPr>
              <w:numPr>
                <w:ilvl w:val="0"/>
                <w:numId w:val="44"/>
              </w:numPr>
              <w:rPr>
                <w:rFonts w:ascii="Arial Narrow" w:hAnsi="Arial Narrow"/>
                <w:bCs/>
                <w:snapToGrid w:val="0"/>
                <w:sz w:val="20"/>
                <w:szCs w:val="20"/>
              </w:rPr>
            </w:pPr>
            <w:r w:rsidRPr="007F3DF7">
              <w:rPr>
                <w:rFonts w:ascii="Arial Narrow" w:hAnsi="Arial Narrow"/>
                <w:bCs/>
                <w:snapToGrid w:val="0"/>
                <w:sz w:val="20"/>
                <w:szCs w:val="20"/>
              </w:rPr>
              <w:t xml:space="preserve">2 or more moderate </w:t>
            </w:r>
            <w:r w:rsidR="00ED0995">
              <w:rPr>
                <w:rFonts w:ascii="Arial Narrow" w:hAnsi="Arial Narrow"/>
                <w:bCs/>
                <w:snapToGrid w:val="0"/>
                <w:sz w:val="20"/>
                <w:szCs w:val="20"/>
              </w:rPr>
              <w:t xml:space="preserve">COPD </w:t>
            </w:r>
            <w:r w:rsidRPr="007F3DF7">
              <w:rPr>
                <w:rFonts w:ascii="Arial Narrow" w:hAnsi="Arial Narrow"/>
                <w:bCs/>
                <w:snapToGrid w:val="0"/>
                <w:sz w:val="20"/>
                <w:szCs w:val="20"/>
              </w:rPr>
              <w:t>exacerbations, of which at least:</w:t>
            </w:r>
          </w:p>
          <w:p w14:paraId="4B6EF219" w14:textId="36AB42E9" w:rsidR="007F3DF7" w:rsidRPr="007F3DF7" w:rsidRDefault="007F3DF7" w:rsidP="00135EE0">
            <w:pPr>
              <w:numPr>
                <w:ilvl w:val="0"/>
                <w:numId w:val="45"/>
              </w:numPr>
              <w:rPr>
                <w:rFonts w:ascii="Arial Narrow" w:hAnsi="Arial Narrow"/>
                <w:bCs/>
                <w:snapToGrid w:val="0"/>
                <w:sz w:val="20"/>
                <w:szCs w:val="20"/>
              </w:rPr>
            </w:pPr>
            <w:r w:rsidRPr="007F3DF7">
              <w:rPr>
                <w:rFonts w:ascii="Arial Narrow" w:hAnsi="Arial Narrow"/>
                <w:bCs/>
                <w:snapToGrid w:val="0"/>
                <w:sz w:val="20"/>
                <w:szCs w:val="20"/>
              </w:rPr>
              <w:t>one required treatment with systemic corticosteroids and </w:t>
            </w:r>
          </w:p>
          <w:p w14:paraId="7A4A8D08" w14:textId="77777777" w:rsidR="007F3DF7" w:rsidRPr="007F3DF7" w:rsidRDefault="007F3DF7" w:rsidP="00135EE0">
            <w:pPr>
              <w:numPr>
                <w:ilvl w:val="0"/>
                <w:numId w:val="46"/>
              </w:numPr>
              <w:rPr>
                <w:rFonts w:ascii="Arial Narrow" w:hAnsi="Arial Narrow"/>
                <w:bCs/>
                <w:snapToGrid w:val="0"/>
                <w:sz w:val="20"/>
                <w:szCs w:val="20"/>
              </w:rPr>
            </w:pPr>
            <w:r w:rsidRPr="007F3DF7">
              <w:rPr>
                <w:rFonts w:ascii="Arial Narrow" w:hAnsi="Arial Narrow"/>
                <w:bCs/>
                <w:snapToGrid w:val="0"/>
                <w:sz w:val="20"/>
                <w:szCs w:val="20"/>
              </w:rPr>
              <w:t>one required treatment with systemic corticosteroids or antibiotics. </w:t>
            </w:r>
          </w:p>
          <w:p w14:paraId="191177F3" w14:textId="3C01AD59"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At least one of the moderate or severe exacerbations must have occurred while the patient was taking </w:t>
            </w:r>
            <w:proofErr w:type="gramStart"/>
            <w:r w:rsidRPr="007F3DF7">
              <w:rPr>
                <w:rFonts w:ascii="Arial Narrow" w:hAnsi="Arial Narrow"/>
                <w:bCs/>
                <w:snapToGrid w:val="0"/>
                <w:sz w:val="20"/>
                <w:szCs w:val="20"/>
              </w:rPr>
              <w:t>all of</w:t>
            </w:r>
            <w:proofErr w:type="gramEnd"/>
            <w:r w:rsidRPr="007F3DF7">
              <w:rPr>
                <w:rFonts w:ascii="Arial Narrow" w:hAnsi="Arial Narrow"/>
                <w:bCs/>
                <w:snapToGrid w:val="0"/>
                <w:sz w:val="20"/>
                <w:szCs w:val="20"/>
              </w:rPr>
              <w:t> (i) LAMA, (ii) LABA, and (iii) ICS in an optimised triple inhaler therapy.</w:t>
            </w:r>
          </w:p>
        </w:tc>
      </w:tr>
      <w:tr w:rsidR="00FD2FC3" w:rsidRPr="007F3DF7" w14:paraId="537E3B8A" w14:textId="77777777" w:rsidTr="009C54B7">
        <w:trPr>
          <w:trHeight w:val="15"/>
        </w:trPr>
        <w:tc>
          <w:tcPr>
            <w:tcW w:w="1250" w:type="dxa"/>
            <w:gridSpan w:val="2"/>
            <w:tcBorders>
              <w:top w:val="single" w:sz="6" w:space="0" w:color="auto"/>
              <w:left w:val="single" w:sz="6" w:space="0" w:color="auto"/>
              <w:bottom w:val="single" w:sz="6" w:space="0" w:color="auto"/>
              <w:right w:val="single" w:sz="6" w:space="0" w:color="auto"/>
            </w:tcBorders>
            <w:vAlign w:val="center"/>
          </w:tcPr>
          <w:p w14:paraId="526E2213" w14:textId="4F2917ED"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661E120F" w14:textId="42595ED2"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Prescribing Instructions:</w:t>
            </w:r>
          </w:p>
          <w:p w14:paraId="2AA7BD84" w14:textId="77777777"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The authority application must be via the Online PBS Authorities System, or in writing via HPOS form upload or mail and must include the following: </w:t>
            </w:r>
          </w:p>
          <w:p w14:paraId="001E324B" w14:textId="454CA01D" w:rsidR="007F3DF7" w:rsidRPr="007F3DF7" w:rsidRDefault="007F3DF7" w:rsidP="00135EE0">
            <w:pPr>
              <w:numPr>
                <w:ilvl w:val="0"/>
                <w:numId w:val="47"/>
              </w:numPr>
              <w:rPr>
                <w:rFonts w:ascii="Arial Narrow" w:hAnsi="Arial Narrow"/>
                <w:bCs/>
                <w:snapToGrid w:val="0"/>
                <w:sz w:val="20"/>
                <w:szCs w:val="20"/>
              </w:rPr>
            </w:pPr>
            <w:r w:rsidRPr="007F3DF7">
              <w:rPr>
                <w:rFonts w:ascii="Arial Narrow" w:hAnsi="Arial Narrow"/>
                <w:bCs/>
                <w:snapToGrid w:val="0"/>
                <w:sz w:val="20"/>
                <w:szCs w:val="20"/>
              </w:rPr>
              <w:t>the blood eosinophil count and date;</w:t>
            </w:r>
          </w:p>
          <w:p w14:paraId="217C29B6" w14:textId="77777777" w:rsidR="007F3DF7" w:rsidRPr="007F3DF7" w:rsidRDefault="007F3DF7" w:rsidP="00135EE0">
            <w:pPr>
              <w:numPr>
                <w:ilvl w:val="0"/>
                <w:numId w:val="48"/>
              </w:numPr>
              <w:rPr>
                <w:rFonts w:ascii="Arial Narrow" w:hAnsi="Arial Narrow"/>
                <w:bCs/>
                <w:snapToGrid w:val="0"/>
                <w:sz w:val="20"/>
                <w:szCs w:val="20"/>
              </w:rPr>
            </w:pPr>
            <w:r w:rsidRPr="007F3DF7">
              <w:rPr>
                <w:rFonts w:ascii="Arial Narrow" w:hAnsi="Arial Narrow"/>
                <w:bCs/>
                <w:snapToGrid w:val="0"/>
                <w:sz w:val="20"/>
                <w:szCs w:val="20"/>
              </w:rPr>
              <w:t>details of the optimised triple inhaler therapy with the combination of LAMA, LABA and ICS (name of treatment, dosage, date of commencement, and duration of therapy); and </w:t>
            </w:r>
          </w:p>
          <w:p w14:paraId="3358E304" w14:textId="77777777" w:rsidR="007F3DF7" w:rsidRPr="007F3DF7" w:rsidRDefault="007F3DF7" w:rsidP="00135EE0">
            <w:pPr>
              <w:numPr>
                <w:ilvl w:val="0"/>
                <w:numId w:val="49"/>
              </w:numPr>
              <w:rPr>
                <w:rFonts w:ascii="Arial Narrow" w:hAnsi="Arial Narrow"/>
                <w:bCs/>
                <w:snapToGrid w:val="0"/>
                <w:sz w:val="20"/>
                <w:szCs w:val="20"/>
              </w:rPr>
            </w:pPr>
            <w:r w:rsidRPr="007F3DF7">
              <w:rPr>
                <w:rFonts w:ascii="Arial Narrow" w:hAnsi="Arial Narrow"/>
                <w:bCs/>
                <w:snapToGrid w:val="0"/>
                <w:sz w:val="20"/>
                <w:szCs w:val="20"/>
              </w:rPr>
              <w:t>details of the number and severity of COPD exacerbation(s) experienced in the 12 months prior to commencing treatment with this drug in this treatment cycle including: </w:t>
            </w:r>
          </w:p>
          <w:p w14:paraId="7409E5A5" w14:textId="77777777" w:rsidR="007F3DF7" w:rsidRPr="007F3DF7" w:rsidRDefault="007F3DF7" w:rsidP="00135EE0">
            <w:pPr>
              <w:ind w:left="720"/>
              <w:jc w:val="left"/>
              <w:rPr>
                <w:rFonts w:ascii="Arial Narrow" w:hAnsi="Arial Narrow"/>
                <w:bCs/>
                <w:snapToGrid w:val="0"/>
                <w:sz w:val="20"/>
                <w:szCs w:val="20"/>
              </w:rPr>
            </w:pPr>
            <w:r w:rsidRPr="007F3DF7">
              <w:rPr>
                <w:rFonts w:ascii="Arial Narrow" w:hAnsi="Arial Narrow"/>
                <w:bCs/>
                <w:snapToGrid w:val="0"/>
                <w:sz w:val="20"/>
                <w:szCs w:val="20"/>
              </w:rPr>
              <w:t>(i) no. of moderate exacerbations requiring treatment with systemic corticosteroids </w:t>
            </w:r>
            <w:r w:rsidRPr="007F3DF7">
              <w:rPr>
                <w:rFonts w:ascii="Arial Narrow" w:hAnsi="Arial Narrow"/>
                <w:bCs/>
                <w:snapToGrid w:val="0"/>
                <w:sz w:val="20"/>
                <w:szCs w:val="20"/>
              </w:rPr>
              <w:br/>
              <w:t>(ii) no. of moderate exacerbations requiring treatment with antibiotics </w:t>
            </w:r>
            <w:r w:rsidRPr="007F3DF7">
              <w:rPr>
                <w:rFonts w:ascii="Arial Narrow" w:hAnsi="Arial Narrow"/>
                <w:bCs/>
                <w:snapToGrid w:val="0"/>
                <w:sz w:val="20"/>
                <w:szCs w:val="20"/>
              </w:rPr>
              <w:br/>
              <w:t>(ii) no. of severe exacerbation/s which required hospitalisation. </w:t>
            </w:r>
            <w:r w:rsidRPr="007F3DF7">
              <w:rPr>
                <w:rFonts w:ascii="Arial Narrow" w:hAnsi="Arial Narrow"/>
                <w:bCs/>
                <w:snapToGrid w:val="0"/>
                <w:sz w:val="20"/>
                <w:szCs w:val="20"/>
              </w:rPr>
              <w:br/>
              <w:t> </w:t>
            </w:r>
          </w:p>
          <w:p w14:paraId="3ABBD8F0" w14:textId="59B0F74E"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The details of the number and the severity of COPD exacerbations are to inform the basis of determining if an adequate response to treatment has been achieved under the continuing treatment restriction. In addition to stating the above details in the authority application, document them in the patient’s medical records.</w:t>
            </w:r>
          </w:p>
        </w:tc>
      </w:tr>
      <w:tr w:rsidR="00FD2FC3" w:rsidRPr="007F3DF7" w14:paraId="6889BE20" w14:textId="77777777" w:rsidTr="000B51C0">
        <w:trPr>
          <w:trHeight w:val="975"/>
        </w:trPr>
        <w:tc>
          <w:tcPr>
            <w:tcW w:w="1250" w:type="dxa"/>
            <w:gridSpan w:val="2"/>
            <w:tcBorders>
              <w:top w:val="single" w:sz="6" w:space="0" w:color="auto"/>
              <w:left w:val="single" w:sz="6" w:space="0" w:color="auto"/>
              <w:bottom w:val="single" w:sz="6" w:space="0" w:color="auto"/>
              <w:right w:val="single" w:sz="6" w:space="0" w:color="auto"/>
            </w:tcBorders>
            <w:vAlign w:val="center"/>
            <w:hideMark/>
          </w:tcPr>
          <w:p w14:paraId="2CBEFA7F" w14:textId="157A36CE" w:rsidR="007F3DF7" w:rsidRPr="007F3DF7" w:rsidRDefault="007F3DF7" w:rsidP="00135EE0">
            <w:pPr>
              <w:jc w:val="center"/>
              <w:rPr>
                <w:rFonts w:ascii="Arial Narrow" w:hAnsi="Arial Narrow"/>
                <w:bCs/>
                <w:snapToGrid w:val="0"/>
                <w:sz w:val="20"/>
                <w:szCs w:val="20"/>
              </w:rPr>
            </w:pPr>
          </w:p>
        </w:tc>
        <w:tc>
          <w:tcPr>
            <w:tcW w:w="7776" w:type="dxa"/>
            <w:gridSpan w:val="6"/>
            <w:tcBorders>
              <w:top w:val="single" w:sz="6" w:space="0" w:color="auto"/>
              <w:left w:val="single" w:sz="6" w:space="0" w:color="auto"/>
              <w:bottom w:val="single" w:sz="6" w:space="0" w:color="auto"/>
              <w:right w:val="single" w:sz="6" w:space="0" w:color="auto"/>
            </w:tcBorders>
            <w:vAlign w:val="center"/>
            <w:hideMark/>
          </w:tcPr>
          <w:p w14:paraId="359C9A0D" w14:textId="729E62D4" w:rsidR="007F3DF7" w:rsidRPr="007F3DF7" w:rsidRDefault="007F3DF7" w:rsidP="00135EE0">
            <w:pPr>
              <w:rPr>
                <w:rFonts w:ascii="Arial Narrow" w:hAnsi="Arial Narrow"/>
                <w:bCs/>
                <w:snapToGrid w:val="0"/>
                <w:sz w:val="20"/>
                <w:szCs w:val="20"/>
              </w:rPr>
            </w:pPr>
            <w:r w:rsidRPr="007F3DF7">
              <w:rPr>
                <w:rFonts w:ascii="Arial Narrow" w:hAnsi="Arial Narrow"/>
                <w:b/>
                <w:bCs/>
                <w:snapToGrid w:val="0"/>
                <w:sz w:val="20"/>
                <w:szCs w:val="20"/>
              </w:rPr>
              <w:t>Prescribing Instruction:</w:t>
            </w:r>
          </w:p>
          <w:p w14:paraId="53CEBC3D" w14:textId="3EC0865F" w:rsidR="007F3DF7" w:rsidRPr="007F3DF7" w:rsidRDefault="007F3DF7" w:rsidP="00135EE0">
            <w:pPr>
              <w:rPr>
                <w:rFonts w:ascii="Arial Narrow" w:hAnsi="Arial Narrow"/>
                <w:bCs/>
                <w:snapToGrid w:val="0"/>
                <w:sz w:val="20"/>
                <w:szCs w:val="20"/>
              </w:rPr>
            </w:pPr>
            <w:r w:rsidRPr="007F3DF7">
              <w:rPr>
                <w:rFonts w:ascii="Arial Narrow" w:hAnsi="Arial Narrow"/>
                <w:bCs/>
                <w:snapToGrid w:val="0"/>
                <w:sz w:val="20"/>
                <w:szCs w:val="20"/>
              </w:rPr>
              <w:t> If the application is submitted through HPOS form upload or mail, it must include: </w:t>
            </w:r>
          </w:p>
          <w:p w14:paraId="3D184FFE" w14:textId="77777777" w:rsidR="007F3DF7" w:rsidRPr="007F3DF7" w:rsidRDefault="007F3DF7" w:rsidP="00135EE0">
            <w:pPr>
              <w:numPr>
                <w:ilvl w:val="0"/>
                <w:numId w:val="50"/>
              </w:numPr>
              <w:rPr>
                <w:rFonts w:ascii="Arial Narrow" w:hAnsi="Arial Narrow"/>
                <w:bCs/>
                <w:snapToGrid w:val="0"/>
                <w:sz w:val="20"/>
                <w:szCs w:val="20"/>
              </w:rPr>
            </w:pPr>
            <w:r w:rsidRPr="007F3DF7">
              <w:rPr>
                <w:rFonts w:ascii="Arial Narrow" w:hAnsi="Arial Narrow"/>
                <w:bCs/>
                <w:snapToGrid w:val="0"/>
                <w:sz w:val="20"/>
                <w:szCs w:val="20"/>
              </w:rPr>
              <w:t>details of the proposed prescription; and </w:t>
            </w:r>
          </w:p>
          <w:p w14:paraId="68C1A953" w14:textId="77777777" w:rsidR="007F3DF7" w:rsidRPr="007F3DF7" w:rsidRDefault="007F3DF7" w:rsidP="00135EE0">
            <w:pPr>
              <w:numPr>
                <w:ilvl w:val="0"/>
                <w:numId w:val="51"/>
              </w:numPr>
              <w:rPr>
                <w:rFonts w:ascii="Arial Narrow" w:hAnsi="Arial Narrow"/>
                <w:bCs/>
                <w:snapToGrid w:val="0"/>
                <w:sz w:val="20"/>
                <w:szCs w:val="20"/>
              </w:rPr>
            </w:pPr>
            <w:r w:rsidRPr="007F3DF7">
              <w:rPr>
                <w:rFonts w:ascii="Arial Narrow" w:hAnsi="Arial Narrow"/>
                <w:bCs/>
                <w:snapToGrid w:val="0"/>
                <w:sz w:val="20"/>
                <w:szCs w:val="20"/>
              </w:rPr>
              <w:t>a completed authority application form relevant to the indication and treatment phase (the latest version is located on the website specified in the Administrative Advice). </w:t>
            </w:r>
          </w:p>
        </w:tc>
      </w:tr>
    </w:tbl>
    <w:p w14:paraId="5815F964" w14:textId="77777777" w:rsidR="00F84846" w:rsidRDefault="00F84846" w:rsidP="00135EE0"/>
    <w:p w14:paraId="2F362469" w14:textId="0FC5892A" w:rsidR="007F3DF7" w:rsidRPr="007F3DF7" w:rsidRDefault="007F3DF7" w:rsidP="00135EE0">
      <w:pPr>
        <w:rPr>
          <w:rFonts w:asciiTheme="minorHAnsi" w:eastAsiaTheme="minorHAnsi" w:hAnsiTheme="minorHAnsi" w:cstheme="minorBidi"/>
          <w:szCs w:val="22"/>
          <w:u w:val="single"/>
          <w:lang w:eastAsia="en-US"/>
        </w:rPr>
      </w:pPr>
      <w:r w:rsidRPr="007F3DF7">
        <w:rPr>
          <w:rFonts w:asciiTheme="minorHAnsi" w:eastAsiaTheme="minorHAnsi" w:hAnsiTheme="minorHAnsi" w:cstheme="minorBidi"/>
          <w:szCs w:val="22"/>
          <w:u w:val="single"/>
          <w:lang w:eastAsia="en-US"/>
        </w:rPr>
        <w:lastRenderedPageBreak/>
        <w:t xml:space="preserve">Continuing </w:t>
      </w:r>
      <w:r w:rsidR="00A73425">
        <w:rPr>
          <w:rFonts w:asciiTheme="minorHAnsi" w:eastAsiaTheme="minorHAnsi" w:hAnsiTheme="minorHAnsi" w:cstheme="minorBidi"/>
          <w:szCs w:val="22"/>
          <w:u w:val="single"/>
          <w:lang w:eastAsia="en-US"/>
        </w:rPr>
        <w:t xml:space="preserve">and Grandfather </w:t>
      </w:r>
      <w:r w:rsidRPr="007F3DF7">
        <w:rPr>
          <w:rFonts w:asciiTheme="minorHAnsi" w:eastAsiaTheme="minorHAnsi" w:hAnsiTheme="minorHAnsi" w:cstheme="minorBidi"/>
          <w:szCs w:val="22"/>
          <w:u w:val="single"/>
          <w:lang w:eastAsia="en-US"/>
        </w:rPr>
        <w:t>treatment</w:t>
      </w:r>
      <w:r w:rsidR="00A73425">
        <w:rPr>
          <w:rFonts w:asciiTheme="minorHAnsi" w:eastAsiaTheme="minorHAnsi" w:hAnsiTheme="minorHAnsi" w:cstheme="minorBidi"/>
          <w:szCs w:val="22"/>
          <w:u w:val="single"/>
          <w:lang w:eastAsia="en-US"/>
        </w:rPr>
        <w:t>:</w:t>
      </w: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 Continuing and grandfather treatment"/>
      </w:tblPr>
      <w:tblGrid>
        <w:gridCol w:w="832"/>
        <w:gridCol w:w="688"/>
        <w:gridCol w:w="2684"/>
        <w:gridCol w:w="736"/>
        <w:gridCol w:w="756"/>
        <w:gridCol w:w="737"/>
        <w:gridCol w:w="735"/>
        <w:gridCol w:w="1899"/>
      </w:tblGrid>
      <w:tr w:rsidR="00DD65C7" w:rsidRPr="007F3DF7" w14:paraId="6FD63CC6" w14:textId="77777777" w:rsidTr="00957723">
        <w:trPr>
          <w:trHeight w:val="15"/>
        </w:trPr>
        <w:tc>
          <w:tcPr>
            <w:tcW w:w="4204" w:type="dxa"/>
            <w:gridSpan w:val="3"/>
            <w:tcBorders>
              <w:top w:val="single" w:sz="6" w:space="0" w:color="auto"/>
              <w:left w:val="single" w:sz="6" w:space="0" w:color="auto"/>
              <w:bottom w:val="single" w:sz="6" w:space="0" w:color="auto"/>
              <w:right w:val="single" w:sz="6" w:space="0" w:color="auto"/>
            </w:tcBorders>
            <w:vAlign w:val="center"/>
            <w:hideMark/>
          </w:tcPr>
          <w:p w14:paraId="4B1F8C03"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MEDICINAL PRODUCT </w:t>
            </w:r>
          </w:p>
          <w:p w14:paraId="144B2DF4"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medicinal product pack </w:t>
            </w:r>
          </w:p>
        </w:tc>
        <w:tc>
          <w:tcPr>
            <w:tcW w:w="736" w:type="dxa"/>
            <w:tcBorders>
              <w:top w:val="single" w:sz="6" w:space="0" w:color="auto"/>
              <w:left w:val="single" w:sz="6" w:space="0" w:color="auto"/>
              <w:bottom w:val="single" w:sz="6" w:space="0" w:color="auto"/>
              <w:right w:val="single" w:sz="6" w:space="0" w:color="auto"/>
            </w:tcBorders>
            <w:vAlign w:val="center"/>
            <w:hideMark/>
          </w:tcPr>
          <w:p w14:paraId="232E9B78"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PBS item code </w:t>
            </w:r>
          </w:p>
        </w:tc>
        <w:tc>
          <w:tcPr>
            <w:tcW w:w="756" w:type="dxa"/>
            <w:tcBorders>
              <w:top w:val="single" w:sz="6" w:space="0" w:color="auto"/>
              <w:left w:val="single" w:sz="6" w:space="0" w:color="auto"/>
              <w:bottom w:val="single" w:sz="6" w:space="0" w:color="auto"/>
              <w:right w:val="single" w:sz="6" w:space="0" w:color="auto"/>
            </w:tcBorders>
            <w:vAlign w:val="center"/>
            <w:hideMark/>
          </w:tcPr>
          <w:p w14:paraId="4E0F1C6A"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Max. qty packs </w:t>
            </w:r>
          </w:p>
        </w:tc>
        <w:tc>
          <w:tcPr>
            <w:tcW w:w="737" w:type="dxa"/>
            <w:tcBorders>
              <w:top w:val="single" w:sz="6" w:space="0" w:color="auto"/>
              <w:left w:val="single" w:sz="6" w:space="0" w:color="auto"/>
              <w:bottom w:val="single" w:sz="6" w:space="0" w:color="auto"/>
              <w:right w:val="single" w:sz="6" w:space="0" w:color="auto"/>
            </w:tcBorders>
            <w:vAlign w:val="center"/>
            <w:hideMark/>
          </w:tcPr>
          <w:p w14:paraId="34C1F5D6"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Max. qty units </w:t>
            </w:r>
          </w:p>
        </w:tc>
        <w:tc>
          <w:tcPr>
            <w:tcW w:w="735" w:type="dxa"/>
            <w:tcBorders>
              <w:top w:val="single" w:sz="6" w:space="0" w:color="auto"/>
              <w:left w:val="single" w:sz="6" w:space="0" w:color="auto"/>
              <w:bottom w:val="single" w:sz="6" w:space="0" w:color="auto"/>
              <w:right w:val="single" w:sz="6" w:space="0" w:color="auto"/>
            </w:tcBorders>
            <w:vAlign w:val="center"/>
            <w:hideMark/>
          </w:tcPr>
          <w:p w14:paraId="1000D8BA"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№.of </w:t>
            </w:r>
          </w:p>
          <w:p w14:paraId="0B872413"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Rpts </w:t>
            </w:r>
          </w:p>
        </w:tc>
        <w:tc>
          <w:tcPr>
            <w:tcW w:w="1847" w:type="dxa"/>
            <w:tcBorders>
              <w:top w:val="single" w:sz="6" w:space="0" w:color="auto"/>
              <w:left w:val="single" w:sz="6" w:space="0" w:color="auto"/>
              <w:bottom w:val="single" w:sz="6" w:space="0" w:color="auto"/>
              <w:right w:val="single" w:sz="6" w:space="0" w:color="auto"/>
            </w:tcBorders>
            <w:vAlign w:val="center"/>
            <w:hideMark/>
          </w:tcPr>
          <w:p w14:paraId="5A7FB1D6" w14:textId="77777777" w:rsidR="007F3DF7" w:rsidRPr="007F3DF7" w:rsidRDefault="007F3DF7" w:rsidP="00135EE0">
            <w:pPr>
              <w:rPr>
                <w:rFonts w:ascii="Arial Narrow" w:hAnsi="Arial Narrow"/>
                <w:b/>
                <w:snapToGrid w:val="0"/>
                <w:sz w:val="20"/>
                <w:szCs w:val="20"/>
              </w:rPr>
            </w:pPr>
            <w:r w:rsidRPr="007F3DF7">
              <w:rPr>
                <w:rFonts w:ascii="Arial Narrow" w:hAnsi="Arial Narrow"/>
                <w:b/>
                <w:snapToGrid w:val="0"/>
                <w:sz w:val="20"/>
                <w:szCs w:val="20"/>
              </w:rPr>
              <w:t>Available brands </w:t>
            </w:r>
          </w:p>
        </w:tc>
      </w:tr>
      <w:tr w:rsidR="00856D93" w:rsidRPr="007F3DF7" w14:paraId="0C5F24E5" w14:textId="77777777" w:rsidTr="00957723">
        <w:trPr>
          <w:trHeight w:val="15"/>
        </w:trPr>
        <w:tc>
          <w:tcPr>
            <w:tcW w:w="9015" w:type="dxa"/>
            <w:gridSpan w:val="8"/>
            <w:tcBorders>
              <w:top w:val="single" w:sz="6" w:space="0" w:color="auto"/>
              <w:left w:val="single" w:sz="6" w:space="0" w:color="auto"/>
              <w:bottom w:val="single" w:sz="6" w:space="0" w:color="auto"/>
              <w:right w:val="single" w:sz="6" w:space="0" w:color="auto"/>
            </w:tcBorders>
            <w:vAlign w:val="center"/>
            <w:hideMark/>
          </w:tcPr>
          <w:p w14:paraId="08E67690"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MEPOLIZUMAB </w:t>
            </w:r>
          </w:p>
        </w:tc>
      </w:tr>
      <w:tr w:rsidR="00DD65C7" w:rsidRPr="007F3DF7" w14:paraId="74AB81E5" w14:textId="77777777" w:rsidTr="00957723">
        <w:trPr>
          <w:trHeight w:val="15"/>
        </w:trPr>
        <w:tc>
          <w:tcPr>
            <w:tcW w:w="4204" w:type="dxa"/>
            <w:gridSpan w:val="3"/>
            <w:tcBorders>
              <w:top w:val="single" w:sz="6" w:space="0" w:color="auto"/>
              <w:left w:val="single" w:sz="6" w:space="0" w:color="auto"/>
              <w:bottom w:val="single" w:sz="6" w:space="0" w:color="auto"/>
              <w:right w:val="single" w:sz="6" w:space="0" w:color="auto"/>
            </w:tcBorders>
            <w:vAlign w:val="center"/>
            <w:hideMark/>
          </w:tcPr>
          <w:p w14:paraId="3917099B"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mepolizumab 100 mg/mL injection, 1 mL pen device </w:t>
            </w:r>
          </w:p>
        </w:tc>
        <w:tc>
          <w:tcPr>
            <w:tcW w:w="736" w:type="dxa"/>
            <w:tcBorders>
              <w:top w:val="single" w:sz="6" w:space="0" w:color="auto"/>
              <w:left w:val="single" w:sz="6" w:space="0" w:color="auto"/>
              <w:bottom w:val="single" w:sz="6" w:space="0" w:color="auto"/>
              <w:right w:val="single" w:sz="6" w:space="0" w:color="auto"/>
            </w:tcBorders>
            <w:vAlign w:val="center"/>
            <w:hideMark/>
          </w:tcPr>
          <w:p w14:paraId="43D863CA" w14:textId="448F1C7B" w:rsidR="007F3DF7" w:rsidRPr="007F3DF7" w:rsidRDefault="007F3DF7" w:rsidP="00135EE0">
            <w:pPr>
              <w:jc w:val="center"/>
              <w:rPr>
                <w:rFonts w:ascii="Arial Narrow" w:hAnsi="Arial Narrow"/>
                <w:snapToGrid w:val="0"/>
                <w:sz w:val="20"/>
                <w:szCs w:val="20"/>
              </w:rPr>
            </w:pPr>
            <w:r w:rsidRPr="007F3DF7">
              <w:rPr>
                <w:rFonts w:ascii="Arial Narrow" w:hAnsi="Arial Narrow"/>
                <w:snapToGrid w:val="0"/>
                <w:sz w:val="20"/>
                <w:szCs w:val="20"/>
              </w:rPr>
              <w:t>NEW</w:t>
            </w:r>
          </w:p>
        </w:tc>
        <w:tc>
          <w:tcPr>
            <w:tcW w:w="756" w:type="dxa"/>
            <w:tcBorders>
              <w:top w:val="single" w:sz="6" w:space="0" w:color="auto"/>
              <w:left w:val="single" w:sz="6" w:space="0" w:color="auto"/>
              <w:bottom w:val="single" w:sz="6" w:space="0" w:color="auto"/>
              <w:right w:val="single" w:sz="6" w:space="0" w:color="auto"/>
            </w:tcBorders>
            <w:vAlign w:val="center"/>
            <w:hideMark/>
          </w:tcPr>
          <w:p w14:paraId="5F79061C" w14:textId="41447187" w:rsidR="007F3DF7" w:rsidRPr="007F3DF7" w:rsidRDefault="007F3DF7" w:rsidP="00135EE0">
            <w:pPr>
              <w:jc w:val="center"/>
              <w:rPr>
                <w:rFonts w:ascii="Arial Narrow" w:hAnsi="Arial Narrow"/>
                <w:snapToGrid w:val="0"/>
                <w:sz w:val="20"/>
                <w:szCs w:val="20"/>
              </w:rPr>
            </w:pPr>
            <w:r w:rsidRPr="007F3DF7">
              <w:rPr>
                <w:rFonts w:ascii="Arial Narrow" w:hAnsi="Arial Narrow"/>
                <w:snapToGrid w:val="0"/>
                <w:sz w:val="20"/>
                <w:szCs w:val="20"/>
              </w:rPr>
              <w:t>1</w:t>
            </w:r>
          </w:p>
        </w:tc>
        <w:tc>
          <w:tcPr>
            <w:tcW w:w="737" w:type="dxa"/>
            <w:tcBorders>
              <w:top w:val="single" w:sz="6" w:space="0" w:color="auto"/>
              <w:left w:val="single" w:sz="6" w:space="0" w:color="auto"/>
              <w:bottom w:val="single" w:sz="6" w:space="0" w:color="auto"/>
              <w:right w:val="single" w:sz="6" w:space="0" w:color="auto"/>
            </w:tcBorders>
            <w:vAlign w:val="center"/>
            <w:hideMark/>
          </w:tcPr>
          <w:p w14:paraId="40EC562F" w14:textId="79C40F85" w:rsidR="007F3DF7" w:rsidRPr="007F3DF7" w:rsidRDefault="007F3DF7" w:rsidP="00135EE0">
            <w:pPr>
              <w:jc w:val="center"/>
              <w:rPr>
                <w:rFonts w:ascii="Arial Narrow" w:hAnsi="Arial Narrow"/>
                <w:snapToGrid w:val="0"/>
                <w:sz w:val="20"/>
                <w:szCs w:val="20"/>
              </w:rPr>
            </w:pPr>
            <w:r w:rsidRPr="007F3DF7">
              <w:rPr>
                <w:rFonts w:ascii="Arial Narrow" w:hAnsi="Arial Narrow"/>
                <w:snapToGrid w:val="0"/>
                <w:sz w:val="20"/>
                <w:szCs w:val="20"/>
              </w:rPr>
              <w:t>1</w:t>
            </w:r>
          </w:p>
        </w:tc>
        <w:tc>
          <w:tcPr>
            <w:tcW w:w="735" w:type="dxa"/>
            <w:tcBorders>
              <w:top w:val="single" w:sz="6" w:space="0" w:color="auto"/>
              <w:left w:val="single" w:sz="6" w:space="0" w:color="auto"/>
              <w:bottom w:val="single" w:sz="6" w:space="0" w:color="auto"/>
              <w:right w:val="single" w:sz="6" w:space="0" w:color="auto"/>
            </w:tcBorders>
            <w:vAlign w:val="center"/>
            <w:hideMark/>
          </w:tcPr>
          <w:p w14:paraId="45B32623" w14:textId="71946C75" w:rsidR="007F3DF7" w:rsidRPr="007F3DF7" w:rsidRDefault="007F3DF7" w:rsidP="00135EE0">
            <w:pPr>
              <w:jc w:val="center"/>
              <w:rPr>
                <w:rFonts w:ascii="Arial Narrow" w:hAnsi="Arial Narrow"/>
                <w:snapToGrid w:val="0"/>
                <w:sz w:val="20"/>
                <w:szCs w:val="20"/>
              </w:rPr>
            </w:pPr>
            <w:r w:rsidRPr="007F3DF7">
              <w:rPr>
                <w:rFonts w:ascii="Arial Narrow" w:hAnsi="Arial Narrow"/>
                <w:snapToGrid w:val="0"/>
                <w:sz w:val="20"/>
                <w:szCs w:val="20"/>
              </w:rPr>
              <w:t>5</w:t>
            </w:r>
          </w:p>
        </w:tc>
        <w:tc>
          <w:tcPr>
            <w:tcW w:w="1847" w:type="dxa"/>
            <w:tcBorders>
              <w:top w:val="single" w:sz="6" w:space="0" w:color="auto"/>
              <w:left w:val="single" w:sz="6" w:space="0" w:color="auto"/>
              <w:bottom w:val="single" w:sz="6" w:space="0" w:color="auto"/>
              <w:right w:val="single" w:sz="6" w:space="0" w:color="auto"/>
            </w:tcBorders>
            <w:vAlign w:val="center"/>
            <w:hideMark/>
          </w:tcPr>
          <w:p w14:paraId="04CAD71F" w14:textId="27605AB8"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Nucala</w:t>
            </w:r>
          </w:p>
        </w:tc>
      </w:tr>
      <w:tr w:rsidR="00856D93" w:rsidRPr="007F3DF7" w14:paraId="79E422AD" w14:textId="77777777" w:rsidTr="00957723">
        <w:trPr>
          <w:trHeight w:val="15"/>
        </w:trPr>
        <w:tc>
          <w:tcPr>
            <w:tcW w:w="9015" w:type="dxa"/>
            <w:gridSpan w:val="8"/>
            <w:tcBorders>
              <w:top w:val="single" w:sz="6" w:space="0" w:color="auto"/>
              <w:left w:val="single" w:sz="6" w:space="0" w:color="auto"/>
              <w:bottom w:val="single" w:sz="6" w:space="0" w:color="auto"/>
              <w:right w:val="single" w:sz="6" w:space="0" w:color="auto"/>
            </w:tcBorders>
            <w:vAlign w:val="center"/>
            <w:hideMark/>
          </w:tcPr>
          <w:p w14:paraId="72A332E3"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w:t>
            </w:r>
          </w:p>
        </w:tc>
      </w:tr>
      <w:tr w:rsidR="00FD2FC3" w:rsidRPr="007F3DF7" w14:paraId="351E13DB" w14:textId="77777777" w:rsidTr="009C54B7">
        <w:trPr>
          <w:trHeight w:val="15"/>
        </w:trPr>
        <w:tc>
          <w:tcPr>
            <w:tcW w:w="1520" w:type="dxa"/>
            <w:gridSpan w:val="2"/>
            <w:vMerge w:val="restart"/>
            <w:tcBorders>
              <w:top w:val="single" w:sz="6" w:space="0" w:color="auto"/>
              <w:left w:val="single" w:sz="6" w:space="0" w:color="auto"/>
              <w:bottom w:val="single" w:sz="6" w:space="0" w:color="auto"/>
              <w:right w:val="single" w:sz="6" w:space="0" w:color="auto"/>
            </w:tcBorders>
          </w:tcPr>
          <w:p w14:paraId="559FE642" w14:textId="590D1F64" w:rsidR="007F3DF7" w:rsidRPr="007F3DF7" w:rsidRDefault="007F3DF7"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251545B"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Category / Program:</w:t>
            </w:r>
            <w:r w:rsidRPr="007F3DF7">
              <w:rPr>
                <w:rFonts w:ascii="Arial Narrow" w:hAnsi="Arial Narrow"/>
                <w:snapToGrid w:val="0"/>
                <w:sz w:val="20"/>
                <w:szCs w:val="20"/>
              </w:rPr>
              <w:t> Section 100 – Highly Specialised Drugs Program – Public (Code HB) / Private (Code HS) </w:t>
            </w:r>
          </w:p>
        </w:tc>
      </w:tr>
      <w:tr w:rsidR="00FD2FC3" w:rsidRPr="007F3DF7" w14:paraId="18743365" w14:textId="77777777" w:rsidTr="009C54B7">
        <w:trPr>
          <w:trHeight w:val="15"/>
        </w:trPr>
        <w:tc>
          <w:tcPr>
            <w:tcW w:w="1520" w:type="dxa"/>
            <w:gridSpan w:val="2"/>
            <w:vMerge/>
            <w:vAlign w:val="center"/>
          </w:tcPr>
          <w:p w14:paraId="5DEC8881" w14:textId="77777777" w:rsidR="007F3DF7" w:rsidRPr="007F3DF7" w:rsidRDefault="007F3DF7"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63DB5CC"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Prescriber type:</w:t>
            </w:r>
            <w:r w:rsidRPr="007F3DF7">
              <w:rPr>
                <w:rFonts w:ascii="Arial Narrow" w:hAnsi="Arial Narrow"/>
                <w:snapToGrid w:val="0"/>
                <w:sz w:val="20"/>
                <w:szCs w:val="20"/>
              </w:rPr>
              <w:t> Medical Practitioners </w:t>
            </w:r>
          </w:p>
        </w:tc>
      </w:tr>
      <w:tr w:rsidR="00FD2FC3" w:rsidRPr="007F3DF7" w14:paraId="1F7BE5C9" w14:textId="77777777" w:rsidTr="009C54B7">
        <w:trPr>
          <w:trHeight w:val="75"/>
        </w:trPr>
        <w:tc>
          <w:tcPr>
            <w:tcW w:w="1520" w:type="dxa"/>
            <w:gridSpan w:val="2"/>
            <w:vMerge/>
            <w:vAlign w:val="center"/>
          </w:tcPr>
          <w:p w14:paraId="3CE46CD4" w14:textId="77777777" w:rsidR="007F3DF7" w:rsidRPr="007F3DF7" w:rsidRDefault="007F3DF7"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22FD144" w14:textId="6E04041E" w:rsidR="007F3DF7" w:rsidRPr="007F3DF7" w:rsidRDefault="007F3DF7" w:rsidP="00135EE0">
            <w:pPr>
              <w:jc w:val="left"/>
              <w:rPr>
                <w:rFonts w:ascii="Arial Narrow" w:hAnsi="Arial Narrow"/>
                <w:snapToGrid w:val="0"/>
                <w:sz w:val="20"/>
                <w:szCs w:val="20"/>
              </w:rPr>
            </w:pPr>
            <w:r w:rsidRPr="007F3DF7">
              <w:rPr>
                <w:rFonts w:ascii="Arial Narrow" w:hAnsi="Arial Narrow"/>
                <w:b/>
                <w:snapToGrid w:val="0"/>
                <w:sz w:val="20"/>
                <w:szCs w:val="20"/>
              </w:rPr>
              <w:t>Restriction type: </w:t>
            </w:r>
            <w:r w:rsidRPr="007F3DF7">
              <w:rPr>
                <w:rFonts w:ascii="Arial Narrow" w:hAnsi="Arial Narrow"/>
                <w:snapToGrid w:val="0"/>
                <w:sz w:val="20"/>
                <w:szCs w:val="20"/>
              </w:rPr>
              <w:t>Authority Required – immediate/real time assessment by Services Australia (telephone/online application avenues) </w:t>
            </w:r>
          </w:p>
        </w:tc>
      </w:tr>
      <w:tr w:rsidR="00FD2FC3" w:rsidRPr="007F3DF7" w14:paraId="4AE86942" w14:textId="77777777" w:rsidTr="009C54B7">
        <w:trPr>
          <w:trHeight w:val="15"/>
        </w:trPr>
        <w:tc>
          <w:tcPr>
            <w:tcW w:w="1520" w:type="dxa"/>
            <w:gridSpan w:val="2"/>
            <w:vMerge/>
            <w:tcBorders>
              <w:bottom w:val="single" w:sz="4" w:space="0" w:color="auto"/>
            </w:tcBorders>
            <w:vAlign w:val="center"/>
          </w:tcPr>
          <w:p w14:paraId="6F2B1FD1" w14:textId="77777777" w:rsidR="007F3DF7" w:rsidRPr="007F3DF7" w:rsidRDefault="007F3DF7"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4707FEC"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Authority type:</w:t>
            </w:r>
            <w:r w:rsidRPr="007F3DF7">
              <w:rPr>
                <w:rFonts w:ascii="Arial Narrow" w:hAnsi="Arial Narrow"/>
                <w:b/>
                <w:i/>
                <w:snapToGrid w:val="0"/>
                <w:sz w:val="20"/>
                <w:szCs w:val="20"/>
              </w:rPr>
              <w:t> </w:t>
            </w:r>
            <w:r w:rsidRPr="007F3DF7">
              <w:rPr>
                <w:rFonts w:ascii="Arial Narrow" w:hAnsi="Arial Narrow"/>
                <w:snapToGrid w:val="0"/>
                <w:sz w:val="20"/>
                <w:szCs w:val="20"/>
              </w:rPr>
              <w:t>Complex Authority Required (CAR) </w:t>
            </w:r>
          </w:p>
        </w:tc>
      </w:tr>
      <w:tr w:rsidR="000B3A75" w:rsidRPr="007F3DF7" w14:paraId="3B7C4A09" w14:textId="77777777" w:rsidTr="009C54B7">
        <w:trPr>
          <w:trHeight w:val="15"/>
        </w:trPr>
        <w:tc>
          <w:tcPr>
            <w:tcW w:w="832" w:type="dxa"/>
            <w:vMerge w:val="restart"/>
            <w:tcBorders>
              <w:top w:val="single" w:sz="4" w:space="0" w:color="auto"/>
              <w:left w:val="single" w:sz="4" w:space="0" w:color="auto"/>
              <w:bottom w:val="single" w:sz="4" w:space="0" w:color="auto"/>
              <w:right w:val="single" w:sz="4" w:space="0" w:color="auto"/>
            </w:tcBorders>
            <w:vAlign w:val="center"/>
          </w:tcPr>
          <w:p w14:paraId="0A1AD1F9" w14:textId="411A01C2" w:rsidR="00957723" w:rsidRPr="007F3DF7" w:rsidRDefault="00957723" w:rsidP="00135EE0">
            <w:pPr>
              <w:jc w:val="center"/>
              <w:rPr>
                <w:rFonts w:ascii="Arial Narrow" w:hAnsi="Arial Narrow"/>
                <w:snapToGrid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511AF1BA" w14:textId="3C6A0BC6" w:rsidR="007F3DF7" w:rsidRPr="007F3DF7" w:rsidRDefault="007F3DF7" w:rsidP="00135EE0">
            <w:pPr>
              <w:jc w:val="center"/>
              <w:rPr>
                <w:rFonts w:ascii="Arial Narrow" w:hAnsi="Arial Narrow"/>
                <w:snapToGrid w:val="0"/>
                <w:sz w:val="20"/>
                <w:szCs w:val="20"/>
              </w:rPr>
            </w:pPr>
          </w:p>
        </w:tc>
        <w:tc>
          <w:tcPr>
            <w:tcW w:w="7547" w:type="dxa"/>
            <w:gridSpan w:val="6"/>
            <w:tcBorders>
              <w:top w:val="single" w:sz="6" w:space="0" w:color="auto"/>
              <w:left w:val="single" w:sz="4" w:space="0" w:color="auto"/>
              <w:bottom w:val="single" w:sz="6" w:space="0" w:color="auto"/>
              <w:right w:val="single" w:sz="6" w:space="0" w:color="auto"/>
            </w:tcBorders>
            <w:vAlign w:val="center"/>
            <w:hideMark/>
          </w:tcPr>
          <w:p w14:paraId="65104036"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Administrative Advice: </w:t>
            </w:r>
            <w:r w:rsidRPr="007F3DF7">
              <w:rPr>
                <w:rFonts w:ascii="Arial Narrow" w:hAnsi="Arial Narrow"/>
                <w:snapToGrid w:val="0"/>
                <w:sz w:val="20"/>
                <w:szCs w:val="20"/>
              </w:rPr>
              <w:t>No increase in the maximum quantity or number of units may be authorised </w:t>
            </w:r>
          </w:p>
        </w:tc>
      </w:tr>
      <w:tr w:rsidR="000B3A75" w:rsidRPr="007F3DF7" w14:paraId="07D2B340" w14:textId="77777777" w:rsidTr="009C54B7">
        <w:trPr>
          <w:trHeight w:val="15"/>
        </w:trPr>
        <w:tc>
          <w:tcPr>
            <w:tcW w:w="832" w:type="dxa"/>
            <w:vMerge/>
            <w:tcBorders>
              <w:top w:val="single" w:sz="4" w:space="0" w:color="auto"/>
              <w:left w:val="single" w:sz="4" w:space="0" w:color="auto"/>
              <w:bottom w:val="single" w:sz="4" w:space="0" w:color="auto"/>
              <w:right w:val="single" w:sz="4" w:space="0" w:color="auto"/>
            </w:tcBorders>
            <w:vAlign w:val="center"/>
          </w:tcPr>
          <w:p w14:paraId="68A82232" w14:textId="77777777" w:rsidR="00957723" w:rsidRPr="007F3DF7" w:rsidRDefault="00957723" w:rsidP="00135EE0">
            <w:pPr>
              <w:jc w:val="center"/>
              <w:rPr>
                <w:rFonts w:ascii="Arial Narrow" w:hAnsi="Arial Narrow"/>
                <w:snapToGrid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2A30FCC2" w14:textId="4D2FB548" w:rsidR="007F3DF7" w:rsidRPr="007F3DF7" w:rsidRDefault="007F3DF7" w:rsidP="00135EE0">
            <w:pPr>
              <w:jc w:val="center"/>
              <w:rPr>
                <w:rFonts w:ascii="Arial Narrow" w:hAnsi="Arial Narrow"/>
                <w:snapToGrid w:val="0"/>
                <w:sz w:val="20"/>
                <w:szCs w:val="20"/>
              </w:rPr>
            </w:pPr>
          </w:p>
        </w:tc>
        <w:tc>
          <w:tcPr>
            <w:tcW w:w="7547" w:type="dxa"/>
            <w:gridSpan w:val="6"/>
            <w:tcBorders>
              <w:top w:val="single" w:sz="6" w:space="0" w:color="auto"/>
              <w:left w:val="single" w:sz="4" w:space="0" w:color="auto"/>
              <w:bottom w:val="single" w:sz="6" w:space="0" w:color="auto"/>
              <w:right w:val="single" w:sz="6" w:space="0" w:color="auto"/>
            </w:tcBorders>
            <w:vAlign w:val="center"/>
            <w:hideMark/>
          </w:tcPr>
          <w:p w14:paraId="7F735D64"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Administrative Advice: </w:t>
            </w:r>
            <w:r w:rsidRPr="007F3DF7">
              <w:rPr>
                <w:rFonts w:ascii="Arial Narrow" w:hAnsi="Arial Narrow"/>
                <w:snapToGrid w:val="0"/>
                <w:sz w:val="20"/>
                <w:szCs w:val="20"/>
              </w:rPr>
              <w:t>No increase in the maximum number of repeats may be authorised </w:t>
            </w:r>
          </w:p>
        </w:tc>
      </w:tr>
      <w:tr w:rsidR="000B3A75" w:rsidRPr="007F3DF7" w14:paraId="37E054E6" w14:textId="77777777" w:rsidTr="009C54B7">
        <w:trPr>
          <w:trHeight w:val="15"/>
        </w:trPr>
        <w:tc>
          <w:tcPr>
            <w:tcW w:w="832" w:type="dxa"/>
            <w:vMerge/>
            <w:tcBorders>
              <w:top w:val="single" w:sz="4" w:space="0" w:color="auto"/>
              <w:left w:val="single" w:sz="4" w:space="0" w:color="auto"/>
              <w:bottom w:val="single" w:sz="4" w:space="0" w:color="auto"/>
              <w:right w:val="single" w:sz="4" w:space="0" w:color="auto"/>
            </w:tcBorders>
            <w:vAlign w:val="center"/>
          </w:tcPr>
          <w:p w14:paraId="11240F1E" w14:textId="77777777" w:rsidR="00957723" w:rsidRPr="007F3DF7" w:rsidRDefault="00957723" w:rsidP="00135EE0">
            <w:pPr>
              <w:jc w:val="center"/>
              <w:rPr>
                <w:rFonts w:ascii="Arial Narrow" w:hAnsi="Arial Narrow"/>
                <w:snapToGrid w:val="0"/>
                <w:sz w:val="20"/>
                <w:szCs w:val="20"/>
              </w:rPr>
            </w:pPr>
          </w:p>
        </w:tc>
        <w:tc>
          <w:tcPr>
            <w:tcW w:w="688" w:type="dxa"/>
            <w:tcBorders>
              <w:top w:val="single" w:sz="4" w:space="0" w:color="auto"/>
              <w:left w:val="single" w:sz="4" w:space="0" w:color="auto"/>
              <w:bottom w:val="single" w:sz="4" w:space="0" w:color="auto"/>
              <w:right w:val="single" w:sz="4" w:space="0" w:color="auto"/>
            </w:tcBorders>
            <w:vAlign w:val="center"/>
          </w:tcPr>
          <w:p w14:paraId="393363B6" w14:textId="0A31154E" w:rsidR="007F3DF7" w:rsidRPr="007F3DF7" w:rsidRDefault="007F3DF7" w:rsidP="00135EE0">
            <w:pPr>
              <w:jc w:val="center"/>
              <w:rPr>
                <w:rFonts w:ascii="Arial Narrow" w:hAnsi="Arial Narrow"/>
                <w:snapToGrid w:val="0"/>
                <w:sz w:val="20"/>
                <w:szCs w:val="20"/>
              </w:rPr>
            </w:pPr>
          </w:p>
        </w:tc>
        <w:tc>
          <w:tcPr>
            <w:tcW w:w="7547" w:type="dxa"/>
            <w:gridSpan w:val="6"/>
            <w:tcBorders>
              <w:top w:val="single" w:sz="6" w:space="0" w:color="auto"/>
              <w:left w:val="single" w:sz="4" w:space="0" w:color="auto"/>
              <w:bottom w:val="single" w:sz="6" w:space="0" w:color="auto"/>
              <w:right w:val="single" w:sz="6" w:space="0" w:color="auto"/>
            </w:tcBorders>
            <w:vAlign w:val="center"/>
            <w:hideMark/>
          </w:tcPr>
          <w:p w14:paraId="203F4FAD"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Administrative Advice:</w:t>
            </w:r>
            <w:r w:rsidRPr="007F3DF7">
              <w:rPr>
                <w:rFonts w:ascii="Arial Narrow" w:hAnsi="Arial Narrow"/>
                <w:snapToGrid w:val="0"/>
                <w:sz w:val="20"/>
                <w:szCs w:val="20"/>
              </w:rPr>
              <w:t> Special Pricing Arrangements apply </w:t>
            </w:r>
          </w:p>
        </w:tc>
      </w:tr>
      <w:tr w:rsidR="00690503" w:rsidRPr="007F3DF7" w14:paraId="74AA9DAD" w14:textId="77777777">
        <w:trPr>
          <w:trHeight w:val="15"/>
        </w:trPr>
        <w:tc>
          <w:tcPr>
            <w:tcW w:w="9015" w:type="dxa"/>
            <w:gridSpan w:val="8"/>
            <w:tcBorders>
              <w:top w:val="single" w:sz="4" w:space="0" w:color="auto"/>
              <w:left w:val="single" w:sz="6" w:space="0" w:color="auto"/>
              <w:bottom w:val="single" w:sz="6" w:space="0" w:color="auto"/>
              <w:right w:val="single" w:sz="6" w:space="0" w:color="auto"/>
            </w:tcBorders>
            <w:vAlign w:val="center"/>
          </w:tcPr>
          <w:p w14:paraId="3EA2552E" w14:textId="4BBDC827" w:rsidR="00690503" w:rsidRPr="007F3DF7" w:rsidRDefault="00690503" w:rsidP="00135EE0">
            <w:pPr>
              <w:rPr>
                <w:rFonts w:ascii="Arial Narrow" w:hAnsi="Arial Narrow"/>
                <w:b/>
                <w:snapToGrid w:val="0"/>
                <w:sz w:val="20"/>
                <w:szCs w:val="20"/>
              </w:rPr>
            </w:pPr>
          </w:p>
        </w:tc>
      </w:tr>
      <w:tr w:rsidR="00FD2FC3" w:rsidRPr="007F3DF7" w14:paraId="0553487C" w14:textId="77777777" w:rsidTr="009C54B7">
        <w:trPr>
          <w:trHeight w:val="15"/>
        </w:trPr>
        <w:tc>
          <w:tcPr>
            <w:tcW w:w="1520" w:type="dxa"/>
            <w:gridSpan w:val="2"/>
            <w:tcBorders>
              <w:top w:val="single" w:sz="4" w:space="0" w:color="auto"/>
              <w:left w:val="single" w:sz="6" w:space="0" w:color="auto"/>
              <w:bottom w:val="single" w:sz="6" w:space="0" w:color="auto"/>
              <w:right w:val="single" w:sz="6" w:space="0" w:color="auto"/>
            </w:tcBorders>
            <w:vAlign w:val="center"/>
          </w:tcPr>
          <w:p w14:paraId="3425C61C" w14:textId="2B3F4211"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82DEFBF" w14:textId="624CFC6C"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Indication:</w:t>
            </w:r>
            <w:r w:rsidRPr="007F3DF7">
              <w:rPr>
                <w:rFonts w:ascii="Arial Narrow" w:hAnsi="Arial Narrow"/>
                <w:snapToGrid w:val="0"/>
                <w:sz w:val="20"/>
                <w:szCs w:val="20"/>
              </w:rPr>
              <w:t> Uncontrolled chronic obstructive pulmonary disease </w:t>
            </w:r>
            <w:r w:rsidR="00583283">
              <w:rPr>
                <w:rFonts w:ascii="Arial Narrow" w:hAnsi="Arial Narrow"/>
                <w:snapToGrid w:val="0"/>
                <w:sz w:val="20"/>
                <w:szCs w:val="20"/>
              </w:rPr>
              <w:t>(COPD)</w:t>
            </w:r>
          </w:p>
        </w:tc>
      </w:tr>
      <w:tr w:rsidR="00FD2FC3" w:rsidRPr="007F3DF7" w14:paraId="6B415E98"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67106535" w14:textId="19D084EB"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B0789E0"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Treatment Phase:</w:t>
            </w:r>
            <w:r w:rsidRPr="007F3DF7">
              <w:rPr>
                <w:rFonts w:ascii="Arial Narrow" w:hAnsi="Arial Narrow"/>
                <w:i/>
                <w:snapToGrid w:val="0"/>
                <w:sz w:val="20"/>
                <w:szCs w:val="20"/>
              </w:rPr>
              <w:t> </w:t>
            </w:r>
            <w:r w:rsidRPr="007F3DF7">
              <w:rPr>
                <w:rFonts w:ascii="Arial Narrow" w:hAnsi="Arial Narrow"/>
                <w:snapToGrid w:val="0"/>
                <w:sz w:val="20"/>
                <w:szCs w:val="20"/>
              </w:rPr>
              <w:t>Continuing treatment </w:t>
            </w:r>
          </w:p>
        </w:tc>
      </w:tr>
      <w:tr w:rsidR="00FD2FC3" w:rsidRPr="007F3DF7" w14:paraId="0388C5D8"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5D6CFC0" w14:textId="47BAAAA0"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CECCD31"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FD2FC3" w:rsidRPr="007F3DF7" w14:paraId="2F8A6A69"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11A984E" w14:textId="5FB77711"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451C1F3" w14:textId="26C9CCDE"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Patient must have received PBS-subsidised treatment with this biological medicine for this condition</w:t>
            </w:r>
          </w:p>
        </w:tc>
      </w:tr>
      <w:tr w:rsidR="00FD2FC3" w:rsidRPr="007F3DF7" w14:paraId="6C716A67"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6C20FD88" w14:textId="41B068C9"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48AB3DDF"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FD2FC3" w:rsidRPr="007F3DF7" w14:paraId="3D2E4788"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560BDBD1" w14:textId="780B2178"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FFCB812"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FD2FC3" w:rsidRPr="007F3DF7" w14:paraId="18AF5B6F"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37B00B4" w14:textId="76BAB3CD"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0D6BA22" w14:textId="083B7B09" w:rsidR="007F3DF7" w:rsidRPr="007F3DF7" w:rsidRDefault="007F3DF7" w:rsidP="00135EE0">
            <w:pPr>
              <w:jc w:val="left"/>
              <w:rPr>
                <w:rFonts w:ascii="Arial Narrow" w:hAnsi="Arial Narrow"/>
                <w:snapToGrid w:val="0"/>
                <w:sz w:val="20"/>
                <w:szCs w:val="20"/>
              </w:rPr>
            </w:pPr>
            <w:r w:rsidRPr="007F3DF7">
              <w:rPr>
                <w:rFonts w:ascii="Arial Narrow" w:hAnsi="Arial Narrow"/>
                <w:snapToGrid w:val="0"/>
                <w:sz w:val="20"/>
                <w:szCs w:val="20"/>
              </w:rPr>
              <w:t>Patient must have both achieved and sustained an adequate response to this drug, defined as maintenance (i.e. no change) or a reduction in the number of moderate and/or severe exacerbation/s compared to the baseline levels provided with the initial</w:t>
            </w:r>
            <w:r w:rsidR="00772F5A">
              <w:rPr>
                <w:rFonts w:ascii="Arial Narrow" w:hAnsi="Arial Narrow"/>
                <w:snapToGrid w:val="0"/>
                <w:sz w:val="20"/>
                <w:szCs w:val="20"/>
              </w:rPr>
              <w:t xml:space="preserve"> PBS</w:t>
            </w:r>
            <w:r w:rsidRPr="007F3DF7">
              <w:rPr>
                <w:rFonts w:ascii="Arial Narrow" w:hAnsi="Arial Narrow"/>
                <w:snapToGrid w:val="0"/>
                <w:sz w:val="20"/>
                <w:szCs w:val="20"/>
              </w:rPr>
              <w:t> authority application</w:t>
            </w:r>
            <w:r w:rsidRPr="007F3DF7">
              <w:rPr>
                <w:rFonts w:ascii="Arial Narrow" w:hAnsi="Arial Narrow"/>
                <w:i/>
                <w:snapToGrid w:val="0"/>
                <w:sz w:val="20"/>
                <w:szCs w:val="20"/>
              </w:rPr>
              <w:t>.</w:t>
            </w:r>
            <w:r w:rsidRPr="007F3DF7">
              <w:rPr>
                <w:rFonts w:ascii="Arial Narrow" w:hAnsi="Arial Narrow"/>
                <w:snapToGrid w:val="0"/>
                <w:sz w:val="20"/>
                <w:szCs w:val="20"/>
              </w:rPr>
              <w:t> </w:t>
            </w:r>
          </w:p>
        </w:tc>
      </w:tr>
      <w:tr w:rsidR="00FD2FC3" w:rsidRPr="007F3DF7" w14:paraId="2F19AA41"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A5363D4" w14:textId="1A43B139"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0C297FD4"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FD2FC3" w:rsidRPr="007F3DF7" w14:paraId="5DBB6D01"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6A548F9" w14:textId="0461DB3A"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0DED2544"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FD2FC3" w:rsidRPr="007F3DF7" w14:paraId="7B17760D"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7A51AE41" w14:textId="49985A7F"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A96ED39"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 treatment must be in combination with </w:t>
            </w:r>
            <w:proofErr w:type="gramStart"/>
            <w:r w:rsidRPr="007F3DF7">
              <w:rPr>
                <w:rFonts w:ascii="Arial Narrow" w:hAnsi="Arial Narrow"/>
                <w:snapToGrid w:val="0"/>
                <w:sz w:val="20"/>
                <w:szCs w:val="20"/>
              </w:rPr>
              <w:t>all of</w:t>
            </w:r>
            <w:proofErr w:type="gramEnd"/>
            <w:r w:rsidRPr="007F3DF7">
              <w:rPr>
                <w:rFonts w:ascii="Arial Narrow" w:hAnsi="Arial Narrow"/>
                <w:snapToGrid w:val="0"/>
                <w:sz w:val="20"/>
                <w:szCs w:val="20"/>
              </w:rPr>
              <w:t> (i) LAMA, (ii) LABA, (iii) ICS in an optimised triple inhaler therapy </w:t>
            </w:r>
          </w:p>
        </w:tc>
      </w:tr>
      <w:tr w:rsidR="00FD2FC3" w:rsidRPr="007F3DF7" w14:paraId="58527ACC"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E18C277" w14:textId="391AE4CA"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6E91EE2"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FD2FC3" w:rsidRPr="007F3DF7" w14:paraId="0A02AA37"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6F3DD4E0" w14:textId="37160C53"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321C7D60"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FD2FC3" w:rsidRPr="007F3DF7" w14:paraId="09693C58"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2348A765" w14:textId="3E15C026"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354A9600" w14:textId="7DCD2798"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 treatment must not be used in combination with and within 4 weeks of another PBS-subsidised biological medicine prescribed for any of: (i) nasal polyps, (ii) uncontrolled severe allergic asthma, (iii) uncontrolled severe asthma</w:t>
            </w:r>
            <w:r w:rsidR="609CD78A" w:rsidRPr="01F79AA9">
              <w:rPr>
                <w:rFonts w:ascii="Arial Narrow" w:hAnsi="Arial Narrow"/>
                <w:snapToGrid w:val="0"/>
                <w:sz w:val="20"/>
                <w:szCs w:val="20"/>
              </w:rPr>
              <w:t xml:space="preserve">, </w:t>
            </w:r>
            <w:r w:rsidR="609CD78A" w:rsidRPr="01F79AA9">
              <w:rPr>
                <w:rFonts w:ascii="Arial Narrow" w:hAnsi="Arial Narrow"/>
                <w:sz w:val="20"/>
                <w:szCs w:val="20"/>
              </w:rPr>
              <w:t>(</w:t>
            </w:r>
            <w:r w:rsidR="609CD78A" w:rsidRPr="001E012D">
              <w:rPr>
                <w:rFonts w:ascii="Arial Narrow" w:eastAsia="Arial Narrow" w:hAnsi="Arial Narrow" w:cs="Arial Narrow"/>
                <w:sz w:val="20"/>
                <w:szCs w:val="20"/>
              </w:rPr>
              <w:t>iv) uncontrolled chronic obstructive pulmonary disease</w:t>
            </w:r>
            <w:r w:rsidR="609CD78A">
              <w:rPr>
                <w:rFonts w:ascii="Arial Narrow" w:eastAsia="Arial Narrow" w:hAnsi="Arial Narrow"/>
                <w:sz w:val="20"/>
                <w:szCs w:val="20"/>
              </w:rPr>
              <w:t>.</w:t>
            </w:r>
          </w:p>
        </w:tc>
      </w:tr>
      <w:tr w:rsidR="00FD2FC3" w:rsidRPr="007F3DF7" w14:paraId="11A9F063"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253CB43E" w14:textId="75E1E425"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4DB71D0"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Treatment criteria:</w:t>
            </w:r>
            <w:r w:rsidRPr="007F3DF7">
              <w:rPr>
                <w:rFonts w:ascii="Arial Narrow" w:hAnsi="Arial Narrow"/>
                <w:snapToGrid w:val="0"/>
                <w:sz w:val="20"/>
                <w:szCs w:val="20"/>
              </w:rPr>
              <w:t> </w:t>
            </w:r>
          </w:p>
        </w:tc>
      </w:tr>
      <w:tr w:rsidR="00FD2FC3" w:rsidRPr="007F3DF7" w14:paraId="326ED38F"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F77C5CE" w14:textId="3635894D"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0EC4062" w14:textId="3BCDC98D"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Must be treated by a medical practitioner who is either a (i) respiratory physician, (ii) general physician experienced in the management of patients with this condition. </w:t>
            </w:r>
          </w:p>
        </w:tc>
      </w:tr>
      <w:tr w:rsidR="00FD2FC3" w:rsidRPr="007F3DF7" w14:paraId="0A1E439B"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60B6D469" w14:textId="48DADC23"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0FFBA93" w14:textId="74901F8A"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Prescribing Instructions:</w:t>
            </w:r>
          </w:p>
          <w:p w14:paraId="4F443812" w14:textId="77777777" w:rsidR="00BB51FE" w:rsidRDefault="007F3DF7" w:rsidP="00135EE0">
            <w:pPr>
              <w:pStyle w:val="ListParagraph"/>
              <w:numPr>
                <w:ilvl w:val="0"/>
                <w:numId w:val="0"/>
              </w:numPr>
              <w:ind w:left="720"/>
              <w:rPr>
                <w:rFonts w:ascii="Arial Narrow" w:hAnsi="Arial Narrow"/>
                <w:sz w:val="20"/>
                <w:szCs w:val="20"/>
              </w:rPr>
            </w:pPr>
            <w:r w:rsidRPr="007F3DF7">
              <w:rPr>
                <w:rFonts w:ascii="Arial Narrow" w:hAnsi="Arial Narrow"/>
                <w:sz w:val="20"/>
                <w:szCs w:val="20"/>
              </w:rPr>
              <w:t>The following must be provided in each continuing PBS authority application and be documented in the patient's medical records: </w:t>
            </w:r>
          </w:p>
          <w:p w14:paraId="40D865BA" w14:textId="120B1C2A" w:rsidR="007F3DF7" w:rsidRPr="005068B2" w:rsidRDefault="007F3DF7" w:rsidP="00135EE0">
            <w:pPr>
              <w:pStyle w:val="ListParagraph"/>
              <w:numPr>
                <w:ilvl w:val="0"/>
                <w:numId w:val="0"/>
              </w:numPr>
              <w:ind w:left="720"/>
              <w:rPr>
                <w:rFonts w:ascii="Arial Narrow" w:hAnsi="Arial Narrow"/>
                <w:sz w:val="20"/>
                <w:szCs w:val="20"/>
              </w:rPr>
            </w:pPr>
            <w:r w:rsidRPr="005068B2">
              <w:rPr>
                <w:rFonts w:ascii="Arial Narrow" w:hAnsi="Arial Narrow"/>
                <w:sz w:val="20"/>
                <w:szCs w:val="20"/>
              </w:rPr>
              <w:t>details of the current number and severity of exacerbations compared to baseline levels provided in the initial authority application of this treatment cycle</w:t>
            </w:r>
            <w:r w:rsidR="382FF724" w:rsidRPr="33FC3A3A">
              <w:rPr>
                <w:rFonts w:ascii="Arial Narrow" w:hAnsi="Arial Narrow"/>
                <w:sz w:val="20"/>
                <w:szCs w:val="20"/>
              </w:rPr>
              <w:t xml:space="preserve"> including: </w:t>
            </w:r>
          </w:p>
          <w:p w14:paraId="48C35EF2" w14:textId="73A61EF6" w:rsidR="007F3DF7" w:rsidRPr="007F3DF7" w:rsidRDefault="007F3DF7" w:rsidP="00135EE0">
            <w:pPr>
              <w:ind w:left="720"/>
              <w:jc w:val="left"/>
              <w:rPr>
                <w:rFonts w:ascii="Arial Narrow" w:hAnsi="Arial Narrow"/>
                <w:snapToGrid w:val="0"/>
                <w:sz w:val="20"/>
                <w:szCs w:val="20"/>
              </w:rPr>
            </w:pPr>
            <w:r w:rsidRPr="007F3DF7">
              <w:rPr>
                <w:rFonts w:ascii="Arial Narrow" w:hAnsi="Arial Narrow"/>
                <w:snapToGrid w:val="0"/>
                <w:sz w:val="20"/>
                <w:szCs w:val="20"/>
              </w:rPr>
              <w:t>(i)</w:t>
            </w:r>
            <w:r w:rsidR="00196C8A">
              <w:rPr>
                <w:rFonts w:ascii="Arial Narrow" w:hAnsi="Arial Narrow"/>
                <w:bCs/>
                <w:snapToGrid w:val="0"/>
                <w:sz w:val="20"/>
                <w:szCs w:val="20"/>
              </w:rPr>
              <w:t xml:space="preserve"> </w:t>
            </w:r>
            <w:r w:rsidRPr="007F3DF7">
              <w:rPr>
                <w:rFonts w:ascii="Arial Narrow" w:hAnsi="Arial Narrow"/>
                <w:snapToGrid w:val="0"/>
                <w:sz w:val="20"/>
                <w:szCs w:val="20"/>
              </w:rPr>
              <w:t>no. of moderate exacerbations requiring treatment with systemic corticosteroids </w:t>
            </w:r>
            <w:r w:rsidRPr="007F3DF7">
              <w:rPr>
                <w:rFonts w:ascii="Arial Narrow" w:hAnsi="Arial Narrow"/>
                <w:snapToGrid w:val="0"/>
                <w:sz w:val="20"/>
                <w:szCs w:val="20"/>
              </w:rPr>
              <w:br/>
              <w:t>(ii) no. of moderate exacerbations requiring treatment with antibiotics </w:t>
            </w:r>
            <w:r w:rsidRPr="007F3DF7">
              <w:rPr>
                <w:rFonts w:ascii="Arial Narrow" w:hAnsi="Arial Narrow"/>
                <w:snapToGrid w:val="0"/>
                <w:sz w:val="20"/>
                <w:szCs w:val="20"/>
              </w:rPr>
              <w:br/>
              <w:t>(ii) no. of severe exacerbation/s which required hospitalisation </w:t>
            </w:r>
          </w:p>
        </w:tc>
      </w:tr>
      <w:tr w:rsidR="00FD2FC3" w:rsidRPr="007F3DF7" w14:paraId="73AA9786" w14:textId="77777777" w:rsidTr="009C54B7">
        <w:trPr>
          <w:trHeight w:val="15"/>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50F68A1" w14:textId="3D007FBB" w:rsidR="007F3DF7" w:rsidRPr="007F3DF7" w:rsidRDefault="007F3DF7"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0B2DB5F8" w14:textId="0AEAE578"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Administrative Advice: </w:t>
            </w:r>
            <w:r w:rsidRPr="007F3DF7">
              <w:rPr>
                <w:rFonts w:ascii="Arial Narrow" w:hAnsi="Arial Narrow"/>
                <w:snapToGrid w:val="0"/>
                <w:sz w:val="20"/>
                <w:szCs w:val="20"/>
              </w:rPr>
              <w:t>Applications for authorisation under this restriction may be made in real time using the Online PBS Authorities system (see </w:t>
            </w:r>
            <w:hyperlink r:id="rId12" w:tgtFrame="_blank" w:history="1">
              <w:r w:rsidRPr="007F3DF7">
                <w:rPr>
                  <w:rStyle w:val="Hyperlink"/>
                  <w:rFonts w:ascii="Arial Narrow" w:hAnsi="Arial Narrow"/>
                  <w:snapToGrid w:val="0"/>
                  <w:sz w:val="20"/>
                  <w:szCs w:val="20"/>
                </w:rPr>
                <w:t>www.servicesaustralia.gov.au/HPOS</w:t>
              </w:r>
            </w:hyperlink>
            <w:r w:rsidRPr="007F3DF7">
              <w:rPr>
                <w:rFonts w:ascii="Arial Narrow" w:hAnsi="Arial Narrow"/>
                <w:snapToGrid w:val="0"/>
                <w:sz w:val="20"/>
                <w:szCs w:val="20"/>
              </w:rPr>
              <w:t>) or by telephone by contacting Services Australia on 1800 700 270 (hours of operation 8 a.m. to 5 p.m. Monday to Friday).</w:t>
            </w:r>
            <w:r w:rsidRPr="007F3DF7">
              <w:rPr>
                <w:rFonts w:ascii="Arial" w:hAnsi="Arial"/>
                <w:snapToGrid w:val="0"/>
                <w:sz w:val="20"/>
                <w:szCs w:val="20"/>
              </w:rPr>
              <w:t> </w:t>
            </w:r>
            <w:r w:rsidRPr="007F3DF7">
              <w:rPr>
                <w:rFonts w:ascii="Arial Narrow" w:hAnsi="Arial Narrow"/>
                <w:snapToGrid w:val="0"/>
                <w:sz w:val="20"/>
                <w:szCs w:val="20"/>
              </w:rPr>
              <w:t> </w:t>
            </w:r>
          </w:p>
        </w:tc>
      </w:tr>
      <w:tr w:rsidR="00556822" w:rsidRPr="007F3DF7" w14:paraId="6D8556A5" w14:textId="77777777" w:rsidTr="00957723">
        <w:trPr>
          <w:trHeight w:val="447"/>
        </w:trPr>
        <w:tc>
          <w:tcPr>
            <w:tcW w:w="9015" w:type="dxa"/>
            <w:gridSpan w:val="8"/>
            <w:tcBorders>
              <w:top w:val="single" w:sz="6" w:space="0" w:color="auto"/>
              <w:left w:val="single" w:sz="6" w:space="0" w:color="auto"/>
              <w:bottom w:val="single" w:sz="6" w:space="0" w:color="auto"/>
              <w:right w:val="single" w:sz="6" w:space="0" w:color="auto"/>
            </w:tcBorders>
            <w:vAlign w:val="center"/>
          </w:tcPr>
          <w:p w14:paraId="66232668" w14:textId="77777777" w:rsidR="00556822" w:rsidRPr="007F3DF7" w:rsidRDefault="00556822" w:rsidP="00135EE0">
            <w:pPr>
              <w:rPr>
                <w:rFonts w:ascii="Arial Narrow" w:hAnsi="Arial Narrow"/>
                <w:b/>
                <w:snapToGrid w:val="0"/>
                <w:sz w:val="20"/>
                <w:szCs w:val="20"/>
              </w:rPr>
            </w:pPr>
          </w:p>
        </w:tc>
      </w:tr>
      <w:tr w:rsidR="00556822" w:rsidRPr="007F3DF7" w14:paraId="465F9EAA" w14:textId="77777777" w:rsidTr="00957723">
        <w:trPr>
          <w:trHeight w:val="300"/>
        </w:trPr>
        <w:tc>
          <w:tcPr>
            <w:tcW w:w="9015" w:type="dxa"/>
            <w:gridSpan w:val="8"/>
            <w:tcBorders>
              <w:top w:val="single" w:sz="6" w:space="0" w:color="auto"/>
              <w:left w:val="single" w:sz="6" w:space="0" w:color="auto"/>
              <w:bottom w:val="single" w:sz="6" w:space="0" w:color="auto"/>
              <w:right w:val="single" w:sz="6" w:space="0" w:color="auto"/>
            </w:tcBorders>
            <w:vAlign w:val="center"/>
            <w:hideMark/>
          </w:tcPr>
          <w:p w14:paraId="6C990B9E"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 </w:t>
            </w:r>
          </w:p>
        </w:tc>
      </w:tr>
      <w:tr w:rsidR="00556822" w:rsidRPr="007F3DF7" w14:paraId="6320B3FE" w14:textId="77777777" w:rsidTr="00957723">
        <w:trPr>
          <w:trHeight w:val="300"/>
        </w:trPr>
        <w:tc>
          <w:tcPr>
            <w:tcW w:w="9015" w:type="dxa"/>
            <w:gridSpan w:val="8"/>
            <w:tcBorders>
              <w:top w:val="single" w:sz="6" w:space="0" w:color="auto"/>
              <w:left w:val="single" w:sz="6" w:space="0" w:color="auto"/>
              <w:bottom w:val="single" w:sz="6" w:space="0" w:color="auto"/>
              <w:right w:val="single" w:sz="6" w:space="0" w:color="auto"/>
            </w:tcBorders>
            <w:vAlign w:val="center"/>
          </w:tcPr>
          <w:p w14:paraId="5D56B9BF" w14:textId="77777777" w:rsidR="00556822" w:rsidRPr="007F3DF7" w:rsidRDefault="00556822" w:rsidP="00135EE0">
            <w:pPr>
              <w:rPr>
                <w:rFonts w:ascii="Arial Narrow" w:hAnsi="Arial Narrow"/>
                <w:b/>
                <w:snapToGrid w:val="0"/>
                <w:sz w:val="20"/>
                <w:szCs w:val="20"/>
              </w:rPr>
            </w:pPr>
            <w:r w:rsidRPr="007C06BB">
              <w:rPr>
                <w:rFonts w:ascii="Arial Narrow" w:eastAsia="Aptos" w:hAnsi="Arial Narrow"/>
                <w:b/>
                <w:color w:val="000000" w:themeColor="text1"/>
                <w:kern w:val="2"/>
                <w:sz w:val="20"/>
                <w:szCs w:val="20"/>
                <w:lang w:eastAsia="en-US"/>
                <w14:ligatures w14:val="standardContextual"/>
              </w:rPr>
              <w:lastRenderedPageBreak/>
              <w:t xml:space="preserve">Restriction type: </w:t>
            </w:r>
            <w:r w:rsidRPr="007C06BB">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C06BB">
              <w:rPr>
                <w:rFonts w:ascii="Arial Narrow" w:eastAsia="Calibri" w:hAnsi="Arial Narrow"/>
                <w:color w:val="000000" w:themeColor="text1"/>
                <w:kern w:val="2"/>
                <w:sz w:val="20"/>
                <w:szCs w:val="20"/>
                <w:lang w:eastAsia="en-US"/>
                <w14:ligatures w14:val="standardContextual"/>
              </w:rPr>
              <w:instrText xml:space="preserve"> FORMCHECKBOX </w:instrText>
            </w:r>
            <w:r w:rsidRPr="007C06BB">
              <w:rPr>
                <w:rFonts w:ascii="Arial Narrow" w:eastAsia="Calibri" w:hAnsi="Arial Narrow"/>
                <w:color w:val="000000" w:themeColor="text1"/>
                <w:kern w:val="2"/>
                <w:sz w:val="20"/>
                <w:szCs w:val="20"/>
                <w:lang w:eastAsia="en-US"/>
                <w14:ligatures w14:val="standardContextual"/>
              </w:rPr>
            </w:r>
            <w:r w:rsidRPr="007C06BB">
              <w:rPr>
                <w:rFonts w:ascii="Arial Narrow" w:eastAsia="Calibri" w:hAnsi="Arial Narrow"/>
                <w:color w:val="000000" w:themeColor="text1"/>
                <w:kern w:val="2"/>
                <w:sz w:val="20"/>
                <w:szCs w:val="20"/>
                <w:lang w:eastAsia="en-US"/>
                <w14:ligatures w14:val="standardContextual"/>
              </w:rPr>
              <w:fldChar w:fldCharType="separate"/>
            </w:r>
            <w:r w:rsidRPr="007C06BB">
              <w:rPr>
                <w:rFonts w:ascii="Arial Narrow" w:eastAsia="Calibri" w:hAnsi="Arial Narrow"/>
                <w:color w:val="000000" w:themeColor="text1"/>
                <w:kern w:val="2"/>
                <w:sz w:val="20"/>
                <w:szCs w:val="20"/>
                <w:lang w:eastAsia="en-US"/>
                <w14:ligatures w14:val="standardContextual"/>
              </w:rPr>
              <w:fldChar w:fldCharType="end"/>
            </w:r>
            <w:r w:rsidRPr="007C06BB">
              <w:rPr>
                <w:rFonts w:ascii="Arial Narrow" w:eastAsia="Calibri" w:hAnsi="Arial Narrow"/>
                <w:color w:val="000000" w:themeColor="text1"/>
                <w:kern w:val="2"/>
                <w:sz w:val="20"/>
                <w:szCs w:val="20"/>
                <w14:ligatures w14:val="standardContextual"/>
              </w:rPr>
              <w:t xml:space="preserve"> Authority Required – </w:t>
            </w:r>
            <w:r w:rsidRPr="0073650A">
              <w:rPr>
                <w:rFonts w:ascii="Arial Narrow" w:eastAsia="Calibri" w:hAnsi="Arial Narrow"/>
                <w:color w:val="000000" w:themeColor="text1"/>
                <w:kern w:val="2"/>
                <w:sz w:val="20"/>
                <w:szCs w:val="20"/>
                <w14:ligatures w14:val="standardContextual"/>
              </w:rPr>
              <w:t>Authority Required (FULL assessment) in writing only via OPA/post/HPOS upload</w:t>
            </w:r>
          </w:p>
        </w:tc>
      </w:tr>
      <w:tr w:rsidR="00ED7877" w:rsidRPr="007F3DF7" w14:paraId="007E84F7" w14:textId="77777777" w:rsidTr="00957723">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hideMark/>
          </w:tcPr>
          <w:p w14:paraId="0A7ECB3D"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 </w:t>
            </w: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3D47A480"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Indication:</w:t>
            </w:r>
            <w:r w:rsidRPr="007F3DF7">
              <w:rPr>
                <w:rFonts w:ascii="Arial Narrow" w:hAnsi="Arial Narrow"/>
                <w:snapToGrid w:val="0"/>
                <w:sz w:val="20"/>
                <w:szCs w:val="20"/>
              </w:rPr>
              <w:t> Uncontrolled Chronic obstructive pulmonary disease (COPD) </w:t>
            </w:r>
          </w:p>
        </w:tc>
      </w:tr>
      <w:tr w:rsidR="00ED7877" w:rsidRPr="007F3DF7" w14:paraId="2D7D8D8A"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0BFAFA1" w14:textId="48B6FB83"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4C17A4C"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Treatment Phase:</w:t>
            </w:r>
            <w:r w:rsidRPr="007F3DF7">
              <w:rPr>
                <w:rFonts w:ascii="Arial Narrow" w:hAnsi="Arial Narrow"/>
                <w:snapToGrid w:val="0"/>
                <w:sz w:val="20"/>
                <w:szCs w:val="20"/>
              </w:rPr>
              <w:t> Transitioning from non-PBS to PBS-subsidised supply- Grandfather arrangements </w:t>
            </w:r>
          </w:p>
        </w:tc>
      </w:tr>
      <w:tr w:rsidR="00ED7877" w:rsidRPr="007F3DF7" w14:paraId="5D61E3A3"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4ABB3BF" w14:textId="01DD6CE1"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0A1B88F5"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482B2E70"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F66CCBE" w14:textId="128D809E"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5C95768"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Patient must have previously received non-PBS subsidised treatment with this biological medicine for this PBS indication prior to [listing date] </w:t>
            </w:r>
          </w:p>
        </w:tc>
      </w:tr>
      <w:tr w:rsidR="00ED7877" w:rsidRPr="007F3DF7" w14:paraId="2B21D385"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BA149B1" w14:textId="642D622E"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3594DE53"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ED7877" w:rsidRPr="007F3DF7" w14:paraId="02684E84"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BBC6617" w14:textId="4A908BA1"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5A552DB"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594AB46F"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7698BED8" w14:textId="67B91DAD"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CDE5AB5" w14:textId="7D7D2395"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Patient must have had a blood eosinophil count of at least 300 cells per microlitre in the 12 months prior to</w:t>
            </w:r>
            <w:r w:rsidRPr="007F3DF7">
              <w:rPr>
                <w:rFonts w:ascii="Arial Narrow" w:hAnsi="Arial Narrow"/>
                <w:i/>
                <w:snapToGrid w:val="0"/>
                <w:sz w:val="20"/>
                <w:szCs w:val="20"/>
              </w:rPr>
              <w:t> </w:t>
            </w:r>
            <w:r w:rsidRPr="007F3DF7">
              <w:rPr>
                <w:rFonts w:ascii="Arial Narrow" w:hAnsi="Arial Narrow"/>
                <w:snapToGrid w:val="0"/>
                <w:sz w:val="20"/>
                <w:szCs w:val="20"/>
              </w:rPr>
              <w:t xml:space="preserve">commencing non-PBS subsidised </w:t>
            </w:r>
            <w:r w:rsidR="00DB3C18" w:rsidRPr="007C06BB">
              <w:rPr>
                <w:rFonts w:ascii="Arial Narrow" w:hAnsi="Arial Narrow"/>
                <w:color w:val="000000" w:themeColor="text1"/>
                <w:sz w:val="20"/>
                <w:szCs w:val="20"/>
              </w:rPr>
              <w:t>treatment with this drug for this condition</w:t>
            </w:r>
            <w:r w:rsidR="00DB3C18">
              <w:rPr>
                <w:rFonts w:ascii="Arial Narrow" w:hAnsi="Arial Narrow" w:cs="Times New Roman"/>
                <w:color w:val="000000" w:themeColor="text1"/>
                <w:kern w:val="2"/>
                <w:sz w:val="20"/>
                <w:szCs w:val="20"/>
                <w14:ligatures w14:val="standardContextual"/>
              </w:rPr>
              <w:t>.</w:t>
            </w:r>
          </w:p>
        </w:tc>
      </w:tr>
      <w:tr w:rsidR="00ED7877" w:rsidRPr="007F3DF7" w14:paraId="7E264D7E"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21F8E8A2" w14:textId="40054071"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5014E50"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ED7877" w:rsidRPr="007F3DF7" w14:paraId="1114BC30"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E77D356" w14:textId="46515091"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5F347C1"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14EF755D"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638447B1" w14:textId="6971A4CE"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4BF2B5D"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Patient must not have achieved, prior to commencing non-PBS subsidised treatment with this drug for this condition, adequate control with at least 3 months of optimised triple inhaled therapy consisting of: (i) long-acting muscarinic antagonist (LAMA),(ii) a long-acting beta-2 agonist (LABA), (iii) an inhaled corticosteroid (ICS), despite formal assessment of and adherence to correct inhaler technique which has been documented in the patient’s medical records. </w:t>
            </w:r>
          </w:p>
        </w:tc>
      </w:tr>
      <w:tr w:rsidR="00ED7877" w:rsidRPr="007F3DF7" w14:paraId="35248932"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1763DD0" w14:textId="706ECC83"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02E23E9"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ED7877" w:rsidRPr="007F3DF7" w14:paraId="2FAAADE9"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55B01E33" w14:textId="26290187"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60837EF7"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04C5B970"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1DE97DD" w14:textId="684ADED4"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374D96C"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Patient must have experienced at least one severe COPD exacerbation, or at least two moderate COPD exacerbations in the 12 months prior to commencing non-PBS subsidised treatment with this drug for this condition. </w:t>
            </w:r>
          </w:p>
        </w:tc>
      </w:tr>
      <w:tr w:rsidR="00ED7877" w:rsidRPr="007F3DF7" w14:paraId="246D36D2"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067AFD1" w14:textId="240B6AC9"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4D0AC43"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ED7877" w:rsidRPr="007F3DF7" w14:paraId="50D11C92"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CDCDDC6" w14:textId="31E312DE"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034B359"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53CE777A"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141F292" w14:textId="334216C2"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A03833C"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The treatment must be in combination with </w:t>
            </w:r>
            <w:proofErr w:type="gramStart"/>
            <w:r w:rsidRPr="007F3DF7">
              <w:rPr>
                <w:rFonts w:ascii="Arial Narrow" w:hAnsi="Arial Narrow"/>
                <w:snapToGrid w:val="0"/>
                <w:sz w:val="20"/>
                <w:szCs w:val="20"/>
              </w:rPr>
              <w:t>all of</w:t>
            </w:r>
            <w:proofErr w:type="gramEnd"/>
            <w:r w:rsidRPr="007F3DF7">
              <w:rPr>
                <w:rFonts w:ascii="Arial Narrow" w:hAnsi="Arial Narrow"/>
                <w:snapToGrid w:val="0"/>
                <w:sz w:val="20"/>
                <w:szCs w:val="20"/>
              </w:rPr>
              <w:t> (i) LAMA, (ii) LABA, (iii) ICS in an optimised triple inhaler therapy </w:t>
            </w:r>
          </w:p>
        </w:tc>
      </w:tr>
      <w:tr w:rsidR="00ED7877" w:rsidRPr="007F3DF7" w14:paraId="013FFDFC"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2CA7117" w14:textId="1BAC22D0" w:rsidR="00556822" w:rsidRPr="007F3DF7" w:rsidRDefault="00556822" w:rsidP="00135EE0">
            <w:pP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B615D2B"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AND</w:t>
            </w:r>
            <w:r w:rsidRPr="007F3DF7">
              <w:rPr>
                <w:rFonts w:ascii="Arial Narrow" w:hAnsi="Arial Narrow"/>
                <w:snapToGrid w:val="0"/>
                <w:sz w:val="20"/>
                <w:szCs w:val="20"/>
              </w:rPr>
              <w:t> </w:t>
            </w:r>
          </w:p>
        </w:tc>
      </w:tr>
      <w:tr w:rsidR="00ED7877" w:rsidRPr="00732AB1" w14:paraId="743DE093" w14:textId="77777777" w:rsidTr="00957723">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EFF6B57" w14:textId="17185AFC" w:rsidR="00556822" w:rsidRPr="007F3DF7" w:rsidRDefault="00556822" w:rsidP="00135EE0">
            <w:pPr>
              <w:jc w:val="center"/>
              <w:rPr>
                <w:rFonts w:ascii="Arial Narrow" w:hAnsi="Arial Narrow"/>
                <w:bCs/>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tcPr>
          <w:p w14:paraId="77C5A452" w14:textId="77777777" w:rsidR="00556822" w:rsidRPr="00732AB1" w:rsidRDefault="00556822" w:rsidP="00135EE0">
            <w:pPr>
              <w:rPr>
                <w:rFonts w:ascii="Arial Narrow" w:hAnsi="Arial Narrow"/>
                <w:b/>
                <w:bCs/>
                <w:snapToGrid w:val="0"/>
                <w:sz w:val="20"/>
                <w:szCs w:val="20"/>
              </w:rPr>
            </w:pPr>
            <w:r w:rsidRPr="00732AB1">
              <w:rPr>
                <w:rFonts w:ascii="Arial Narrow" w:hAnsi="Arial Narrow"/>
                <w:b/>
                <w:bCs/>
                <w:snapToGrid w:val="0"/>
                <w:sz w:val="20"/>
                <w:szCs w:val="20"/>
              </w:rPr>
              <w:t>Clinical criteria:</w:t>
            </w:r>
          </w:p>
        </w:tc>
      </w:tr>
      <w:tr w:rsidR="00ED7877" w:rsidRPr="00732AB1" w14:paraId="3A19E560" w14:textId="77777777" w:rsidTr="00957723">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4DD5686" w14:textId="7BA450CC" w:rsidR="00556822" w:rsidRPr="007F3DF7" w:rsidRDefault="00556822" w:rsidP="00135EE0">
            <w:pPr>
              <w:jc w:val="center"/>
              <w:rPr>
                <w:rFonts w:ascii="Arial Narrow" w:hAnsi="Arial Narrow"/>
                <w:bCs/>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tcPr>
          <w:p w14:paraId="3A4D148B" w14:textId="6D336F98" w:rsidR="00556822" w:rsidRPr="00732AB1" w:rsidRDefault="00556822" w:rsidP="00135EE0">
            <w:pPr>
              <w:rPr>
                <w:rFonts w:ascii="Arial Narrow" w:hAnsi="Arial Narrow"/>
                <w:b/>
                <w:bCs/>
                <w:snapToGrid w:val="0"/>
                <w:sz w:val="20"/>
                <w:szCs w:val="20"/>
              </w:rPr>
            </w:pPr>
            <w:r w:rsidRPr="00574BAF">
              <w:rPr>
                <w:rStyle w:val="cf01"/>
                <w:rFonts w:ascii="Arial Narrow" w:hAnsi="Arial Narrow"/>
                <w:color w:val="auto"/>
                <w:sz w:val="20"/>
                <w:szCs w:val="20"/>
              </w:rPr>
              <w:t>Patient must have both achieved and sustained an adequate response to this drug, defined as</w:t>
            </w:r>
            <w:r w:rsidRPr="00574BAF">
              <w:rPr>
                <w:rStyle w:val="cf11"/>
                <w:rFonts w:ascii="Arial Narrow" w:hAnsi="Arial Narrow"/>
                <w:color w:val="auto"/>
                <w:sz w:val="20"/>
                <w:szCs w:val="20"/>
              </w:rPr>
              <w:t xml:space="preserve"> </w:t>
            </w:r>
            <w:r w:rsidRPr="00574BAF">
              <w:rPr>
                <w:rStyle w:val="cf01"/>
                <w:rFonts w:ascii="Arial Narrow" w:hAnsi="Arial Narrow"/>
                <w:color w:val="auto"/>
                <w:sz w:val="20"/>
                <w:szCs w:val="20"/>
              </w:rPr>
              <w:t>maintenance (i.e. no change) or a reduction in the number of moderate and/or severe exacerbation/s compared to the baseline levels provided with this authority application</w:t>
            </w:r>
            <w:r w:rsidRPr="00574BAF">
              <w:rPr>
                <w:rStyle w:val="cf21"/>
                <w:rFonts w:ascii="Arial Narrow" w:hAnsi="Arial Narrow"/>
                <w:i w:val="0"/>
                <w:color w:val="auto"/>
                <w:sz w:val="20"/>
                <w:szCs w:val="20"/>
              </w:rPr>
              <w:t xml:space="preserve">, if </w:t>
            </w:r>
            <w:r w:rsidR="00BB51FE">
              <w:rPr>
                <w:rStyle w:val="cf21"/>
                <w:rFonts w:ascii="Arial Narrow" w:hAnsi="Arial Narrow"/>
                <w:i w:val="0"/>
                <w:color w:val="auto"/>
                <w:sz w:val="20"/>
                <w:szCs w:val="20"/>
              </w:rPr>
              <w:t xml:space="preserve">they </w:t>
            </w:r>
            <w:r w:rsidRPr="00574BAF">
              <w:rPr>
                <w:rStyle w:val="cf21"/>
                <w:rFonts w:ascii="Arial Narrow" w:hAnsi="Arial Narrow"/>
                <w:i w:val="0"/>
                <w:color w:val="auto"/>
                <w:sz w:val="20"/>
                <w:szCs w:val="20"/>
              </w:rPr>
              <w:t>received at least 24 weeks of treatment with this drug for this condition.</w:t>
            </w:r>
            <w:r w:rsidRPr="00574BAF">
              <w:rPr>
                <w:rStyle w:val="cf21"/>
                <w:rFonts w:ascii="Arial Narrow" w:hAnsi="Arial Narrow"/>
                <w:color w:val="auto"/>
              </w:rPr>
              <w:t xml:space="preserve"> </w:t>
            </w:r>
          </w:p>
        </w:tc>
      </w:tr>
      <w:tr w:rsidR="00ED7877" w:rsidRPr="00732AB1" w14:paraId="4851F433" w14:textId="77777777" w:rsidTr="00957723">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E81554A" w14:textId="77777777" w:rsidR="00556822" w:rsidRPr="007F3DF7" w:rsidRDefault="00556822" w:rsidP="00135EE0">
            <w:pPr>
              <w:rPr>
                <w:rFonts w:ascii="Arial Narrow" w:hAnsi="Arial Narrow"/>
                <w:bCs/>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tcPr>
          <w:p w14:paraId="12B1C151" w14:textId="77777777" w:rsidR="00556822" w:rsidRPr="00732AB1" w:rsidRDefault="00556822" w:rsidP="00135EE0">
            <w:pPr>
              <w:rPr>
                <w:rStyle w:val="cf01"/>
                <w:rFonts w:ascii="Arial Narrow" w:hAnsi="Arial Narrow"/>
                <w:sz w:val="20"/>
                <w:szCs w:val="20"/>
              </w:rPr>
            </w:pPr>
            <w:r w:rsidRPr="00732AB1">
              <w:rPr>
                <w:rFonts w:ascii="Arial Narrow" w:hAnsi="Arial Narrow"/>
                <w:b/>
                <w:bCs/>
                <w:snapToGrid w:val="0"/>
              </w:rPr>
              <w:t>A</w:t>
            </w:r>
            <w:r w:rsidRPr="00732AB1">
              <w:rPr>
                <w:rFonts w:ascii="Arial Narrow" w:hAnsi="Arial Narrow"/>
                <w:b/>
                <w:bCs/>
                <w:snapToGrid w:val="0"/>
                <w:sz w:val="20"/>
              </w:rPr>
              <w:t>ND</w:t>
            </w:r>
          </w:p>
        </w:tc>
      </w:tr>
      <w:tr w:rsidR="00ED7877" w:rsidRPr="007F3DF7" w14:paraId="2EE9B7ED"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0B123613" w14:textId="504AD30C"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4B13FCE"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Clinical criteria:</w:t>
            </w:r>
            <w:r w:rsidRPr="007F3DF7">
              <w:rPr>
                <w:rFonts w:ascii="Arial Narrow" w:hAnsi="Arial Narrow"/>
                <w:snapToGrid w:val="0"/>
                <w:sz w:val="20"/>
                <w:szCs w:val="20"/>
              </w:rPr>
              <w:t> </w:t>
            </w:r>
          </w:p>
        </w:tc>
      </w:tr>
      <w:tr w:rsidR="00ED7877" w:rsidRPr="007F3DF7" w14:paraId="09558A6D"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5741BCC3" w14:textId="2A6B9FF8"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0FF3717D" w14:textId="77777777" w:rsidR="00556822" w:rsidRPr="007F3DF7" w:rsidRDefault="00556822" w:rsidP="00135EE0">
            <w:pPr>
              <w:rPr>
                <w:rFonts w:ascii="Arial Narrow" w:eastAsia="Arial Narrow" w:hAnsi="Arial Narrow" w:cs="Arial Narrow"/>
                <w:snapToGrid w:val="0"/>
                <w:sz w:val="20"/>
                <w:szCs w:val="20"/>
              </w:rPr>
            </w:pPr>
            <w:r w:rsidRPr="007F3DF7">
              <w:rPr>
                <w:rFonts w:ascii="Arial Narrow" w:hAnsi="Arial Narrow"/>
                <w:snapToGrid w:val="0"/>
                <w:sz w:val="20"/>
                <w:szCs w:val="20"/>
              </w:rPr>
              <w:t>The treatment must not be used in combination with and within 4 weeks of another PBS-subsidised biological medicine prescribed for any of: (i) nasal polyps, (ii) uncontrolled severe allergic asthma, (iii) uncontrolled severe asthma</w:t>
            </w:r>
            <w:r w:rsidRPr="01F79AA9">
              <w:rPr>
                <w:rFonts w:ascii="Arial Narrow" w:hAnsi="Arial Narrow"/>
                <w:snapToGrid w:val="0"/>
                <w:sz w:val="20"/>
                <w:szCs w:val="20"/>
              </w:rPr>
              <w:t>, (</w:t>
            </w:r>
            <w:r w:rsidRPr="00574BAF">
              <w:rPr>
                <w:rFonts w:ascii="Arial Narrow" w:eastAsia="Arial Narrow" w:hAnsi="Arial Narrow" w:cs="Arial Narrow"/>
                <w:sz w:val="20"/>
                <w:szCs w:val="20"/>
              </w:rPr>
              <w:t>iv) uncontrolled chronic obstructive pulmonary disease.</w:t>
            </w:r>
          </w:p>
        </w:tc>
      </w:tr>
      <w:tr w:rsidR="00ED7877" w:rsidRPr="007F3DF7" w14:paraId="0D8FC660"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31AC2C0C" w14:textId="2EBC4543"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3522A7E5"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Treatment criteria:</w:t>
            </w:r>
            <w:r w:rsidRPr="007F3DF7">
              <w:rPr>
                <w:rFonts w:ascii="Arial Narrow" w:hAnsi="Arial Narrow"/>
                <w:snapToGrid w:val="0"/>
                <w:sz w:val="20"/>
                <w:szCs w:val="20"/>
              </w:rPr>
              <w:t> </w:t>
            </w:r>
          </w:p>
        </w:tc>
      </w:tr>
      <w:tr w:rsidR="00ED7877" w:rsidRPr="007F3DF7" w14:paraId="107D2F62"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5FB9FD9B" w14:textId="2A1D939B"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D430E01" w14:textId="02ED654D"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 Must be treated by a medical practitioner who is either a (i) respiratory physician (ii) general physician experienced in the management of patients with this condition.</w:t>
            </w:r>
          </w:p>
        </w:tc>
      </w:tr>
      <w:tr w:rsidR="00ED7877" w:rsidRPr="007F3DF7" w14:paraId="20DC9483"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2D8F6F2F" w14:textId="79FDC972"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2A93AD5" w14:textId="772620FE"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Prescribing Instructions:</w:t>
            </w:r>
          </w:p>
          <w:p w14:paraId="6142F8A2" w14:textId="21002813" w:rsidR="00556822" w:rsidRPr="007F3DF7" w:rsidRDefault="00556822" w:rsidP="00135EE0">
            <w:pPr>
              <w:rPr>
                <w:rFonts w:ascii="Arial Narrow" w:hAnsi="Arial Narrow"/>
                <w:snapToGrid w:val="0"/>
                <w:sz w:val="20"/>
                <w:szCs w:val="20"/>
              </w:rPr>
            </w:pPr>
            <w:proofErr w:type="gramStart"/>
            <w:r w:rsidRPr="007F3DF7">
              <w:rPr>
                <w:rFonts w:ascii="Arial Narrow" w:hAnsi="Arial Narrow"/>
                <w:snapToGrid w:val="0"/>
                <w:sz w:val="20"/>
                <w:szCs w:val="20"/>
              </w:rPr>
              <w:t>For the purpose of</w:t>
            </w:r>
            <w:proofErr w:type="gramEnd"/>
            <w:r w:rsidRPr="007F3DF7">
              <w:rPr>
                <w:rFonts w:ascii="Arial Narrow" w:hAnsi="Arial Narrow"/>
                <w:snapToGrid w:val="0"/>
                <w:sz w:val="20"/>
                <w:szCs w:val="20"/>
              </w:rPr>
              <w:t> administering this restriction, COPD exacerbations in the 12 months prior to commencing non-PBS subsidised treatment with this drug for this condition, are defined as experiencing:</w:t>
            </w:r>
          </w:p>
          <w:p w14:paraId="61495769" w14:textId="5AA69593" w:rsidR="00556822" w:rsidRPr="007F3DF7" w:rsidRDefault="00BB51FE" w:rsidP="00135EE0">
            <w:pPr>
              <w:rPr>
                <w:rFonts w:ascii="Arial Narrow" w:hAnsi="Arial Narrow"/>
                <w:snapToGrid w:val="0"/>
                <w:sz w:val="20"/>
                <w:szCs w:val="20"/>
              </w:rPr>
            </w:pPr>
            <w:r>
              <w:rPr>
                <w:rFonts w:ascii="Arial Narrow" w:hAnsi="Arial Narrow"/>
                <w:snapToGrid w:val="0"/>
                <w:sz w:val="20"/>
                <w:szCs w:val="20"/>
              </w:rPr>
              <w:t xml:space="preserve"> </w:t>
            </w:r>
            <w:r>
              <w:rPr>
                <w:snapToGrid w:val="0"/>
                <w:sz w:val="20"/>
                <w:szCs w:val="20"/>
              </w:rPr>
              <w:t xml:space="preserve">   </w:t>
            </w:r>
            <w:r w:rsidRPr="007F3DF7">
              <w:rPr>
                <w:rFonts w:ascii="Arial Narrow" w:hAnsi="Arial Narrow"/>
                <w:snapToGrid w:val="0"/>
                <w:sz w:val="20"/>
                <w:szCs w:val="20"/>
              </w:rPr>
              <w:t>(i)</w:t>
            </w:r>
            <w:r>
              <w:rPr>
                <w:rFonts w:ascii="Arial Narrow" w:hAnsi="Arial Narrow"/>
                <w:bCs/>
                <w:snapToGrid w:val="0"/>
                <w:sz w:val="20"/>
                <w:szCs w:val="20"/>
              </w:rPr>
              <w:t xml:space="preserve"> </w:t>
            </w:r>
            <w:r w:rsidR="00556822" w:rsidRPr="007F3DF7">
              <w:rPr>
                <w:rFonts w:ascii="Arial Narrow" w:hAnsi="Arial Narrow"/>
                <w:snapToGrid w:val="0"/>
                <w:sz w:val="20"/>
                <w:szCs w:val="20"/>
              </w:rPr>
              <w:t>at least 1 severe COPD exacerbation which required hospitalisation AND/OR</w:t>
            </w:r>
          </w:p>
          <w:p w14:paraId="55AB3AF3" w14:textId="1DB7B8D6" w:rsidR="00556822" w:rsidRPr="007F3DF7" w:rsidRDefault="00604F8B" w:rsidP="00135EE0">
            <w:pPr>
              <w:rPr>
                <w:rFonts w:ascii="Arial Narrow" w:hAnsi="Arial Narrow"/>
                <w:snapToGrid w:val="0"/>
                <w:sz w:val="20"/>
                <w:szCs w:val="20"/>
              </w:rPr>
            </w:pPr>
            <w:r w:rsidRPr="00604F8B">
              <w:rPr>
                <w:rFonts w:ascii="Arial Narrow" w:hAnsi="Arial Narrow"/>
                <w:snapToGrid w:val="0"/>
                <w:sz w:val="20"/>
                <w:szCs w:val="20"/>
              </w:rPr>
              <w:t xml:space="preserve">    (ii) </w:t>
            </w:r>
            <w:r w:rsidR="00556822" w:rsidRPr="007F3DF7">
              <w:rPr>
                <w:rFonts w:ascii="Arial Narrow" w:hAnsi="Arial Narrow"/>
                <w:snapToGrid w:val="0"/>
                <w:sz w:val="20"/>
                <w:szCs w:val="20"/>
              </w:rPr>
              <w:t xml:space="preserve">2 or more moderate </w:t>
            </w:r>
            <w:r w:rsidR="00E259E0">
              <w:rPr>
                <w:rFonts w:ascii="Arial Narrow" w:hAnsi="Arial Narrow"/>
                <w:snapToGrid w:val="0"/>
                <w:sz w:val="20"/>
                <w:szCs w:val="20"/>
              </w:rPr>
              <w:t xml:space="preserve">COPD </w:t>
            </w:r>
            <w:r w:rsidR="00556822" w:rsidRPr="007F3DF7">
              <w:rPr>
                <w:rFonts w:ascii="Arial Narrow" w:hAnsi="Arial Narrow"/>
                <w:snapToGrid w:val="0"/>
                <w:sz w:val="20"/>
                <w:szCs w:val="20"/>
              </w:rPr>
              <w:t>exacerbations, of which at least:</w:t>
            </w:r>
          </w:p>
          <w:p w14:paraId="25015405" w14:textId="77777777" w:rsidR="00556822" w:rsidRPr="007F3DF7" w:rsidRDefault="00556822" w:rsidP="00135EE0">
            <w:pPr>
              <w:numPr>
                <w:ilvl w:val="0"/>
                <w:numId w:val="61"/>
              </w:numPr>
              <w:rPr>
                <w:rFonts w:ascii="Arial Narrow" w:hAnsi="Arial Narrow"/>
                <w:snapToGrid w:val="0"/>
                <w:sz w:val="20"/>
                <w:szCs w:val="20"/>
              </w:rPr>
            </w:pPr>
            <w:r w:rsidRPr="007F3DF7">
              <w:rPr>
                <w:rFonts w:ascii="Arial Narrow" w:hAnsi="Arial Narrow"/>
                <w:snapToGrid w:val="0"/>
                <w:sz w:val="20"/>
                <w:szCs w:val="20"/>
              </w:rPr>
              <w:t>one required treatment with systemic corticosteroids and </w:t>
            </w:r>
          </w:p>
          <w:p w14:paraId="3F011231" w14:textId="77777777" w:rsidR="00556822" w:rsidRPr="007F3DF7" w:rsidRDefault="00556822" w:rsidP="00135EE0">
            <w:pPr>
              <w:numPr>
                <w:ilvl w:val="0"/>
                <w:numId w:val="62"/>
              </w:numPr>
              <w:rPr>
                <w:rFonts w:ascii="Arial Narrow" w:hAnsi="Arial Narrow"/>
                <w:snapToGrid w:val="0"/>
                <w:sz w:val="20"/>
                <w:szCs w:val="20"/>
              </w:rPr>
            </w:pPr>
            <w:r w:rsidRPr="007F3DF7">
              <w:rPr>
                <w:rFonts w:ascii="Arial Narrow" w:hAnsi="Arial Narrow"/>
                <w:snapToGrid w:val="0"/>
                <w:sz w:val="20"/>
                <w:szCs w:val="20"/>
              </w:rPr>
              <w:t>one required treatment with systemic corticosteroids or antibiotics. </w:t>
            </w:r>
          </w:p>
          <w:p w14:paraId="2723BB7E" w14:textId="5F552306"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lastRenderedPageBreak/>
              <w:t>At least one of the moderate or severe exacerbations must have occurred while the patient was taking </w:t>
            </w:r>
            <w:proofErr w:type="gramStart"/>
            <w:r w:rsidRPr="007F3DF7">
              <w:rPr>
                <w:rFonts w:ascii="Arial Narrow" w:hAnsi="Arial Narrow"/>
                <w:snapToGrid w:val="0"/>
                <w:sz w:val="20"/>
                <w:szCs w:val="20"/>
              </w:rPr>
              <w:t>all of</w:t>
            </w:r>
            <w:proofErr w:type="gramEnd"/>
            <w:r w:rsidRPr="007F3DF7">
              <w:rPr>
                <w:rFonts w:ascii="Arial Narrow" w:hAnsi="Arial Narrow"/>
                <w:snapToGrid w:val="0"/>
                <w:sz w:val="20"/>
                <w:szCs w:val="20"/>
              </w:rPr>
              <w:t> (i) LAMA, (ii) LABA, and (iii) ICS.</w:t>
            </w:r>
          </w:p>
        </w:tc>
      </w:tr>
      <w:tr w:rsidR="00ED7877" w:rsidRPr="007F3DF7" w14:paraId="579F3928"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493A20DC" w14:textId="28AF37E6"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560B6566" w14:textId="4D105768"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Prescribing Instructions:</w:t>
            </w:r>
          </w:p>
          <w:p w14:paraId="0E3DCCDB"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The authority application must be via the Online PBS Authorities System, or in writing via HPOS form upload or mail and must include the following: </w:t>
            </w:r>
          </w:p>
          <w:p w14:paraId="73E89604" w14:textId="77777777" w:rsidR="00556822" w:rsidRPr="007F3DF7" w:rsidRDefault="00556822" w:rsidP="00135EE0">
            <w:pPr>
              <w:numPr>
                <w:ilvl w:val="0"/>
                <w:numId w:val="63"/>
              </w:numPr>
              <w:rPr>
                <w:rFonts w:ascii="Arial Narrow" w:hAnsi="Arial Narrow"/>
                <w:snapToGrid w:val="0"/>
                <w:sz w:val="20"/>
                <w:szCs w:val="20"/>
              </w:rPr>
            </w:pPr>
            <w:r w:rsidRPr="007F3DF7">
              <w:rPr>
                <w:rFonts w:ascii="Arial Narrow" w:hAnsi="Arial Narrow"/>
                <w:snapToGrid w:val="0"/>
                <w:sz w:val="20"/>
                <w:szCs w:val="20"/>
              </w:rPr>
              <w:t>the blood eosinophil count and date; </w:t>
            </w:r>
          </w:p>
          <w:p w14:paraId="3CD01AF4" w14:textId="77777777" w:rsidR="00556822" w:rsidRPr="00DA5468" w:rsidRDefault="00556822" w:rsidP="00135EE0">
            <w:pPr>
              <w:numPr>
                <w:ilvl w:val="0"/>
                <w:numId w:val="64"/>
              </w:numPr>
              <w:rPr>
                <w:rFonts w:ascii="Arial Narrow" w:hAnsi="Arial Narrow"/>
                <w:sz w:val="20"/>
                <w:szCs w:val="20"/>
              </w:rPr>
            </w:pPr>
            <w:r w:rsidRPr="007F3DF7">
              <w:rPr>
                <w:rFonts w:ascii="Arial Narrow" w:hAnsi="Arial Narrow"/>
                <w:snapToGrid w:val="0"/>
                <w:sz w:val="20"/>
                <w:szCs w:val="20"/>
              </w:rPr>
              <w:t>details of therapy with a combination of LAMA, LABA and ICS (name of treatment, dosage, date of commencement, and duration of therapy prior to commencing non-PBS subsidised treatment with this drug for this condition);</w:t>
            </w:r>
          </w:p>
          <w:p w14:paraId="16A6D417" w14:textId="77777777" w:rsidR="00556822" w:rsidRPr="007F3DF7" w:rsidRDefault="00556822" w:rsidP="00135EE0">
            <w:pPr>
              <w:numPr>
                <w:ilvl w:val="0"/>
                <w:numId w:val="64"/>
              </w:numPr>
              <w:rPr>
                <w:rFonts w:ascii="Arial Narrow" w:hAnsi="Arial Narrow"/>
                <w:sz w:val="20"/>
                <w:szCs w:val="20"/>
              </w:rPr>
            </w:pPr>
            <w:r w:rsidRPr="0FFEF72D">
              <w:rPr>
                <w:rFonts w:ascii="Arial Narrow" w:hAnsi="Arial Narrow"/>
                <w:b/>
                <w:bCs/>
                <w:sz w:val="20"/>
                <w:szCs w:val="20"/>
              </w:rPr>
              <w:t>Baseline exacerbation history</w:t>
            </w:r>
          </w:p>
          <w:p w14:paraId="19233AD8"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details of the number and severity of COPD exacerbations experienced in the 12 months immediately prior to commencement of this drug as non‑PBS‑subsidised therapy for this condition, including:</w:t>
            </w:r>
          </w:p>
          <w:p w14:paraId="779524B1"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 xml:space="preserve">i. </w:t>
            </w:r>
            <w:r w:rsidRPr="5707FB95">
              <w:rPr>
                <w:rFonts w:ascii="Arial Narrow" w:hAnsi="Arial Narrow"/>
                <w:sz w:val="20"/>
                <w:szCs w:val="20"/>
              </w:rPr>
              <w:t>number</w:t>
            </w:r>
            <w:r w:rsidRPr="0FFEF72D">
              <w:rPr>
                <w:rFonts w:ascii="Arial Narrow" w:hAnsi="Arial Narrow"/>
                <w:sz w:val="20"/>
                <w:szCs w:val="20"/>
              </w:rPr>
              <w:t xml:space="preserve"> of moderate exacerbations requiring treatment with systemic corticosteroids</w:t>
            </w:r>
          </w:p>
          <w:p w14:paraId="2FAD8B4B"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 xml:space="preserve">ii. </w:t>
            </w:r>
            <w:r w:rsidRPr="5707FB95">
              <w:rPr>
                <w:rFonts w:ascii="Arial Narrow" w:hAnsi="Arial Narrow"/>
                <w:sz w:val="20"/>
                <w:szCs w:val="20"/>
              </w:rPr>
              <w:t>number</w:t>
            </w:r>
            <w:r w:rsidRPr="0FFEF72D">
              <w:rPr>
                <w:rFonts w:ascii="Arial Narrow" w:hAnsi="Arial Narrow"/>
                <w:sz w:val="20"/>
                <w:szCs w:val="20"/>
              </w:rPr>
              <w:t xml:space="preserve"> of moderate exacerbations requiring treatment with antibiotics</w:t>
            </w:r>
          </w:p>
          <w:p w14:paraId="2FC592CA" w14:textId="77777777" w:rsidR="00556822" w:rsidRDefault="00556822" w:rsidP="00135EE0">
            <w:pPr>
              <w:ind w:left="720"/>
              <w:jc w:val="left"/>
              <w:rPr>
                <w:rFonts w:ascii="Arial Narrow" w:hAnsi="Arial Narrow"/>
                <w:sz w:val="20"/>
                <w:szCs w:val="20"/>
              </w:rPr>
            </w:pPr>
            <w:r w:rsidRPr="0FFEF72D">
              <w:rPr>
                <w:rFonts w:ascii="Arial Narrow" w:hAnsi="Arial Narrow"/>
                <w:sz w:val="20"/>
                <w:szCs w:val="20"/>
              </w:rPr>
              <w:t xml:space="preserve">iii. </w:t>
            </w:r>
            <w:r w:rsidRPr="5707FB95">
              <w:rPr>
                <w:rFonts w:ascii="Arial Narrow" w:hAnsi="Arial Narrow"/>
                <w:sz w:val="20"/>
                <w:szCs w:val="20"/>
              </w:rPr>
              <w:t>number</w:t>
            </w:r>
            <w:r w:rsidRPr="0FFEF72D">
              <w:rPr>
                <w:rFonts w:ascii="Arial Narrow" w:hAnsi="Arial Narrow"/>
                <w:sz w:val="20"/>
                <w:szCs w:val="20"/>
              </w:rPr>
              <w:t xml:space="preserve"> of severe exacerbations requiring hospitalisation</w:t>
            </w:r>
            <w:r w:rsidRPr="493D50BC">
              <w:rPr>
                <w:rFonts w:ascii="Arial Narrow" w:hAnsi="Arial Narrow"/>
                <w:sz w:val="20"/>
                <w:szCs w:val="20"/>
              </w:rPr>
              <w:t>; and</w:t>
            </w:r>
          </w:p>
          <w:p w14:paraId="499D215B" w14:textId="77777777" w:rsidR="00556822" w:rsidRPr="007F3DF7" w:rsidRDefault="00556822" w:rsidP="00135EE0">
            <w:pPr>
              <w:pStyle w:val="ListParagraph"/>
              <w:numPr>
                <w:ilvl w:val="0"/>
                <w:numId w:val="70"/>
              </w:numPr>
              <w:spacing w:after="0"/>
              <w:jc w:val="left"/>
              <w:rPr>
                <w:rFonts w:ascii="Arial Narrow" w:hAnsi="Arial Narrow"/>
                <w:sz w:val="20"/>
                <w:szCs w:val="20"/>
              </w:rPr>
            </w:pPr>
            <w:r w:rsidRPr="0FFEF72D">
              <w:rPr>
                <w:rFonts w:ascii="Arial Narrow" w:hAnsi="Arial Narrow"/>
                <w:b/>
                <w:bCs/>
                <w:sz w:val="20"/>
                <w:szCs w:val="20"/>
              </w:rPr>
              <w:t xml:space="preserve">Assessment of response to treatment </w:t>
            </w:r>
            <w:r w:rsidRPr="4554BB94">
              <w:rPr>
                <w:rFonts w:ascii="Arial Narrow" w:hAnsi="Arial Narrow"/>
                <w:b/>
                <w:bCs/>
                <w:sz w:val="20"/>
                <w:szCs w:val="20"/>
              </w:rPr>
              <w:t xml:space="preserve">where applicable </w:t>
            </w:r>
            <w:r w:rsidRPr="0FFEF72D">
              <w:rPr>
                <w:rFonts w:ascii="Arial Narrow" w:hAnsi="Arial Narrow"/>
                <w:b/>
                <w:bCs/>
                <w:sz w:val="20"/>
                <w:szCs w:val="20"/>
              </w:rPr>
              <w:t>(</w:t>
            </w:r>
            <w:r w:rsidRPr="00654399">
              <w:rPr>
                <w:rFonts w:ascii="Arial Narrow" w:hAnsi="Arial Narrow"/>
                <w:b/>
                <w:sz w:val="20"/>
                <w:szCs w:val="20"/>
              </w:rPr>
              <w:t>for patients who have received at least 24 weeks of treatment</w:t>
            </w:r>
            <w:r w:rsidRPr="39E859DF">
              <w:rPr>
                <w:rFonts w:ascii="Arial Narrow" w:hAnsi="Arial Narrow"/>
                <w:b/>
                <w:bCs/>
                <w:sz w:val="20"/>
                <w:szCs w:val="20"/>
              </w:rPr>
              <w:t>)</w:t>
            </w:r>
            <w:r>
              <w:rPr>
                <w:rFonts w:ascii="Arial Narrow" w:hAnsi="Arial Narrow"/>
                <w:b/>
                <w:bCs/>
                <w:sz w:val="20"/>
                <w:szCs w:val="20"/>
              </w:rPr>
              <w:t xml:space="preserve"> </w:t>
            </w:r>
            <w:r>
              <w:rPr>
                <w:rFonts w:ascii="Arial Narrow" w:hAnsi="Arial Narrow"/>
                <w:b/>
                <w:bCs/>
                <w:sz w:val="20"/>
                <w:szCs w:val="20"/>
              </w:rPr>
              <w:br/>
            </w:r>
            <w:r w:rsidRPr="0FFEF72D">
              <w:rPr>
                <w:rFonts w:ascii="Arial Narrow" w:hAnsi="Arial Narrow"/>
                <w:sz w:val="20"/>
                <w:szCs w:val="20"/>
              </w:rPr>
              <w:t xml:space="preserve">details of the current number and severity of COPD exacerbations, compared with the baseline information supplied in </w:t>
            </w:r>
            <w:r w:rsidRPr="493D50BC">
              <w:rPr>
                <w:rFonts w:ascii="Arial Narrow" w:hAnsi="Arial Narrow"/>
                <w:sz w:val="20"/>
                <w:szCs w:val="20"/>
              </w:rPr>
              <w:t>this</w:t>
            </w:r>
            <w:r w:rsidRPr="0FFEF72D">
              <w:rPr>
                <w:rFonts w:ascii="Arial Narrow" w:hAnsi="Arial Narrow"/>
                <w:sz w:val="20"/>
                <w:szCs w:val="20"/>
              </w:rPr>
              <w:t xml:space="preserve"> authority application, including:</w:t>
            </w:r>
          </w:p>
          <w:p w14:paraId="2C156EF6"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 xml:space="preserve">i. </w:t>
            </w:r>
            <w:r w:rsidRPr="493D50BC">
              <w:rPr>
                <w:rFonts w:ascii="Arial Narrow" w:hAnsi="Arial Narrow"/>
                <w:sz w:val="20"/>
                <w:szCs w:val="20"/>
              </w:rPr>
              <w:t>number</w:t>
            </w:r>
            <w:r w:rsidRPr="0FFEF72D">
              <w:rPr>
                <w:rFonts w:ascii="Arial Narrow" w:hAnsi="Arial Narrow"/>
                <w:sz w:val="20"/>
                <w:szCs w:val="20"/>
              </w:rPr>
              <w:t xml:space="preserve"> of moderate exacerbations requiring treatment with systemic corticosteroids</w:t>
            </w:r>
          </w:p>
          <w:p w14:paraId="4D4E911C"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 xml:space="preserve">ii. </w:t>
            </w:r>
            <w:r w:rsidRPr="493D50BC">
              <w:rPr>
                <w:rFonts w:ascii="Arial Narrow" w:hAnsi="Arial Narrow"/>
                <w:sz w:val="20"/>
                <w:szCs w:val="20"/>
              </w:rPr>
              <w:t>number</w:t>
            </w:r>
            <w:r w:rsidRPr="0FFEF72D">
              <w:rPr>
                <w:rFonts w:ascii="Arial Narrow" w:hAnsi="Arial Narrow"/>
                <w:sz w:val="20"/>
                <w:szCs w:val="20"/>
              </w:rPr>
              <w:t xml:space="preserve"> of moderate exacerbations requiring treatment with antibiotics</w:t>
            </w:r>
          </w:p>
          <w:p w14:paraId="5A21AC6C" w14:textId="77777777" w:rsidR="00556822" w:rsidRPr="007F3DF7" w:rsidRDefault="00556822" w:rsidP="00135EE0">
            <w:pPr>
              <w:ind w:left="720"/>
              <w:jc w:val="left"/>
              <w:rPr>
                <w:rFonts w:ascii="Arial Narrow" w:hAnsi="Arial Narrow"/>
                <w:sz w:val="20"/>
                <w:szCs w:val="20"/>
              </w:rPr>
            </w:pPr>
            <w:r w:rsidRPr="0FFEF72D">
              <w:rPr>
                <w:rFonts w:ascii="Arial Narrow" w:hAnsi="Arial Narrow"/>
                <w:sz w:val="20"/>
                <w:szCs w:val="20"/>
              </w:rPr>
              <w:t xml:space="preserve">iii. </w:t>
            </w:r>
            <w:r w:rsidRPr="493D50BC">
              <w:rPr>
                <w:rFonts w:ascii="Arial Narrow" w:hAnsi="Arial Narrow"/>
                <w:sz w:val="20"/>
                <w:szCs w:val="20"/>
              </w:rPr>
              <w:t>number</w:t>
            </w:r>
            <w:r w:rsidRPr="0FFEF72D">
              <w:rPr>
                <w:rFonts w:ascii="Arial Narrow" w:hAnsi="Arial Narrow"/>
                <w:sz w:val="20"/>
                <w:szCs w:val="20"/>
              </w:rPr>
              <w:t xml:space="preserve"> of severe exacerbations requiring hospitalisation</w:t>
            </w:r>
          </w:p>
          <w:p w14:paraId="58E08F7D" w14:textId="77777777" w:rsidR="00556822" w:rsidRPr="007F3DF7" w:rsidRDefault="00556822" w:rsidP="00135EE0">
            <w:pPr>
              <w:jc w:val="left"/>
              <w:rPr>
                <w:rFonts w:ascii="Arial Narrow" w:hAnsi="Arial Narrow"/>
                <w:snapToGrid w:val="0"/>
                <w:sz w:val="20"/>
                <w:szCs w:val="20"/>
              </w:rPr>
            </w:pPr>
          </w:p>
          <w:p w14:paraId="39ED8999" w14:textId="2AC287C0"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The details of the number and the severity of COPD exacerbations are to inform the basis of determining if an adequate response to treatment has been achieved under the continuing treatment restriction.</w:t>
            </w:r>
          </w:p>
          <w:p w14:paraId="68C48E98" w14:textId="0E5D6A63"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In addition to stating the above details in the authority application, document them in the patient’s medical records.</w:t>
            </w:r>
          </w:p>
        </w:tc>
      </w:tr>
      <w:tr w:rsidR="00ED7877" w:rsidRPr="007F3DF7" w14:paraId="1C2B9D0A"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2608881" w14:textId="7AA6B6E5"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1C616F98" w14:textId="5FE09648"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 Prescribing Instruction:</w:t>
            </w:r>
          </w:p>
          <w:p w14:paraId="6102CC92"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 If the application is submitted through HPOS form upload or mail, it must include: </w:t>
            </w:r>
          </w:p>
          <w:p w14:paraId="436ED947" w14:textId="77777777" w:rsidR="00556822" w:rsidRPr="007F3DF7" w:rsidRDefault="00556822" w:rsidP="00135EE0">
            <w:pPr>
              <w:numPr>
                <w:ilvl w:val="0"/>
                <w:numId w:val="66"/>
              </w:numPr>
              <w:rPr>
                <w:rFonts w:ascii="Arial Narrow" w:hAnsi="Arial Narrow"/>
                <w:snapToGrid w:val="0"/>
                <w:sz w:val="20"/>
                <w:szCs w:val="20"/>
              </w:rPr>
            </w:pPr>
            <w:r w:rsidRPr="007F3DF7">
              <w:rPr>
                <w:rFonts w:ascii="Arial Narrow" w:hAnsi="Arial Narrow"/>
                <w:snapToGrid w:val="0"/>
                <w:sz w:val="20"/>
                <w:szCs w:val="20"/>
              </w:rPr>
              <w:t>details of the proposed prescription; and </w:t>
            </w:r>
          </w:p>
          <w:p w14:paraId="0E924346" w14:textId="77777777" w:rsidR="00556822" w:rsidRPr="007F3DF7" w:rsidRDefault="00556822" w:rsidP="00135EE0">
            <w:pPr>
              <w:numPr>
                <w:ilvl w:val="0"/>
                <w:numId w:val="67"/>
              </w:numPr>
              <w:rPr>
                <w:rFonts w:ascii="Arial Narrow" w:hAnsi="Arial Narrow"/>
                <w:snapToGrid w:val="0"/>
                <w:sz w:val="20"/>
                <w:szCs w:val="20"/>
              </w:rPr>
            </w:pPr>
            <w:r w:rsidRPr="007F3DF7">
              <w:rPr>
                <w:rFonts w:ascii="Arial Narrow" w:hAnsi="Arial Narrow"/>
                <w:snapToGrid w:val="0"/>
                <w:sz w:val="20"/>
                <w:szCs w:val="20"/>
              </w:rPr>
              <w:t>a completed authority application form relevant to the indication and treatment phase (the latest version is located on the website specified in the Administrative Advice). </w:t>
            </w:r>
          </w:p>
        </w:tc>
      </w:tr>
      <w:tr w:rsidR="00ED7877" w:rsidRPr="007F3DF7" w14:paraId="6B7C7C4F"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50343C7C" w14:textId="392D9AC4"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F012F32" w14:textId="44EA8CCA"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Administrative Advice:</w:t>
            </w:r>
            <w:r w:rsidRPr="007F3DF7">
              <w:rPr>
                <w:rFonts w:ascii="Arial Narrow" w:hAnsi="Arial Narrow"/>
                <w:snapToGrid w:val="0"/>
                <w:sz w:val="20"/>
                <w:szCs w:val="20"/>
              </w:rPr>
              <w:t> </w:t>
            </w:r>
            <w:r w:rsidR="00CF6F1D" w:rsidRPr="001431AE">
              <w:rPr>
                <w:rFonts w:ascii="Arial Narrow" w:eastAsia="Aptos" w:hAnsi="Arial Narrow" w:cs="Times New Roman"/>
                <w:color w:val="000000" w:themeColor="text1"/>
                <w:kern w:val="2"/>
                <w:sz w:val="20"/>
                <w:szCs w:val="20"/>
                <w:lang w:eastAsia="en-US"/>
                <w14:ligatures w14:val="standardContextual"/>
              </w:rPr>
              <w:t xml:space="preserve">A Grandfathered patient </w:t>
            </w:r>
            <w:r w:rsidRPr="001431AE">
              <w:rPr>
                <w:rFonts w:ascii="Arial Narrow" w:eastAsia="Aptos" w:hAnsi="Arial Narrow" w:cs="Times New Roman"/>
                <w:color w:val="000000" w:themeColor="text1"/>
                <w:kern w:val="2"/>
                <w:sz w:val="20"/>
                <w:szCs w:val="20"/>
                <w:lang w:eastAsia="en-US"/>
                <w14:ligatures w14:val="standardContextual"/>
              </w:rPr>
              <w:t xml:space="preserve">may qualify for PBS-subsidised treatment under this restriction </w:t>
            </w:r>
            <w:r w:rsidR="00CF6F1D" w:rsidRPr="001431AE">
              <w:rPr>
                <w:rFonts w:ascii="Arial Narrow" w:eastAsia="Aptos" w:hAnsi="Arial Narrow" w:cs="Times New Roman"/>
                <w:color w:val="000000" w:themeColor="text1"/>
                <w:kern w:val="2"/>
                <w:sz w:val="20"/>
                <w:szCs w:val="20"/>
                <w:lang w:eastAsia="en-US"/>
                <w14:ligatures w14:val="standardContextual"/>
              </w:rPr>
              <w:t>once only.</w:t>
            </w:r>
            <w:r w:rsidRPr="001431AE">
              <w:rPr>
                <w:rFonts w:ascii="Arial Narrow" w:eastAsia="Aptos" w:hAnsi="Arial Narrow" w:cs="Times New Roman"/>
                <w:color w:val="000000" w:themeColor="text1"/>
                <w:kern w:val="2"/>
                <w:sz w:val="20"/>
                <w:szCs w:val="20"/>
                <w:lang w:eastAsia="en-US"/>
                <w14:ligatures w14:val="standardContextual"/>
              </w:rPr>
              <w:t xml:space="preserve"> For continuing PBS-subsidised treatment,</w:t>
            </w:r>
            <w:r w:rsidR="00CF6F1D" w:rsidRPr="001431AE">
              <w:rPr>
                <w:rFonts w:ascii="Arial Narrow" w:eastAsia="Aptos" w:hAnsi="Arial Narrow" w:cs="Times New Roman"/>
                <w:color w:val="000000" w:themeColor="text1"/>
                <w:kern w:val="2"/>
                <w:sz w:val="20"/>
                <w:szCs w:val="20"/>
                <w:lang w:eastAsia="en-US"/>
                <w14:ligatures w14:val="standardContextual"/>
              </w:rPr>
              <w:t> </w:t>
            </w:r>
            <w:r w:rsidRPr="001431AE">
              <w:rPr>
                <w:rFonts w:ascii="Arial Narrow" w:eastAsia="Aptos" w:hAnsi="Arial Narrow" w:cs="Times New Roman"/>
                <w:color w:val="000000" w:themeColor="text1"/>
                <w:kern w:val="2"/>
                <w:sz w:val="20"/>
                <w:szCs w:val="20"/>
                <w:lang w:eastAsia="en-US"/>
                <w14:ligatures w14:val="standardContextual"/>
              </w:rPr>
              <w:t xml:space="preserve">a </w:t>
            </w:r>
            <w:r w:rsidR="00CF6F1D" w:rsidRPr="001431AE">
              <w:rPr>
                <w:rFonts w:ascii="Arial Narrow" w:eastAsia="Aptos" w:hAnsi="Arial Narrow" w:cs="Times New Roman"/>
                <w:color w:val="000000" w:themeColor="text1"/>
                <w:kern w:val="2"/>
                <w:sz w:val="20"/>
                <w:szCs w:val="20"/>
                <w:lang w:eastAsia="en-US"/>
                <w14:ligatures w14:val="standardContextual"/>
              </w:rPr>
              <w:t>Grandfathered</w:t>
            </w:r>
            <w:r w:rsidRPr="001431AE">
              <w:rPr>
                <w:rFonts w:ascii="Arial Narrow" w:eastAsia="Aptos" w:hAnsi="Arial Narrow" w:cs="Times New Roman"/>
                <w:color w:val="000000" w:themeColor="text1"/>
                <w:kern w:val="2"/>
                <w:sz w:val="20"/>
                <w:szCs w:val="20"/>
                <w:lang w:eastAsia="en-US"/>
                <w14:ligatures w14:val="standardContextual"/>
              </w:rPr>
              <w:t xml:space="preserve"> patient must qualify under the </w:t>
            </w:r>
            <w:r w:rsidR="00CF6F1D" w:rsidRPr="001431AE">
              <w:rPr>
                <w:rFonts w:ascii="Arial Narrow" w:eastAsia="Aptos" w:hAnsi="Arial Narrow" w:cs="Times New Roman"/>
                <w:color w:val="000000" w:themeColor="text1"/>
                <w:kern w:val="2"/>
                <w:sz w:val="20"/>
                <w:szCs w:val="20"/>
                <w:lang w:eastAsia="en-US"/>
                <w14:ligatures w14:val="standardContextual"/>
              </w:rPr>
              <w:t>continuing treatment</w:t>
            </w:r>
            <w:r w:rsidRPr="001431AE">
              <w:rPr>
                <w:rFonts w:ascii="Arial Narrow" w:eastAsia="Aptos" w:hAnsi="Arial Narrow" w:cs="Times New Roman"/>
                <w:color w:val="000000" w:themeColor="text1"/>
                <w:kern w:val="2"/>
                <w:sz w:val="20"/>
                <w:szCs w:val="20"/>
                <w:lang w:eastAsia="en-US"/>
                <w14:ligatures w14:val="standardContextual"/>
              </w:rPr>
              <w:t xml:space="preserve"> criteria.</w:t>
            </w:r>
          </w:p>
        </w:tc>
      </w:tr>
      <w:tr w:rsidR="00ED7877" w:rsidRPr="007F3DF7" w14:paraId="37732D1D"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21B9D950" w14:textId="138AD51D"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71D29A37"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Administrative Advice:</w:t>
            </w:r>
            <w:r w:rsidRPr="007F3DF7">
              <w:rPr>
                <w:rFonts w:ascii="Arial Narrow" w:hAnsi="Arial Narrow"/>
                <w:snapToGrid w:val="0"/>
                <w:sz w:val="20"/>
                <w:szCs w:val="20"/>
              </w:rPr>
              <w:t> This grandfather restriction will cease to operate from 12 months after the date specified in the clinical criteria. </w:t>
            </w:r>
          </w:p>
        </w:tc>
      </w:tr>
      <w:tr w:rsidR="00ED7877" w:rsidRPr="007F3DF7" w14:paraId="1544AE0A" w14:textId="77777777" w:rsidTr="009C54B7">
        <w:trPr>
          <w:trHeight w:val="300"/>
        </w:trPr>
        <w:tc>
          <w:tcPr>
            <w:tcW w:w="1520" w:type="dxa"/>
            <w:gridSpan w:val="2"/>
            <w:tcBorders>
              <w:top w:val="single" w:sz="6" w:space="0" w:color="auto"/>
              <w:left w:val="single" w:sz="6" w:space="0" w:color="auto"/>
              <w:bottom w:val="single" w:sz="6" w:space="0" w:color="auto"/>
              <w:right w:val="single" w:sz="6" w:space="0" w:color="auto"/>
            </w:tcBorders>
            <w:vAlign w:val="center"/>
          </w:tcPr>
          <w:p w14:paraId="1EA7DF01" w14:textId="0CCC358E" w:rsidR="00556822" w:rsidRPr="007F3DF7" w:rsidRDefault="00556822" w:rsidP="00135EE0">
            <w:pPr>
              <w:jc w:val="center"/>
              <w:rPr>
                <w:rFonts w:ascii="Arial Narrow" w:hAnsi="Arial Narrow"/>
                <w:snapToGrid w:val="0"/>
                <w:sz w:val="20"/>
                <w:szCs w:val="20"/>
              </w:rPr>
            </w:pPr>
          </w:p>
        </w:tc>
        <w:tc>
          <w:tcPr>
            <w:tcW w:w="7495" w:type="dxa"/>
            <w:gridSpan w:val="6"/>
            <w:tcBorders>
              <w:top w:val="single" w:sz="6" w:space="0" w:color="auto"/>
              <w:left w:val="single" w:sz="6" w:space="0" w:color="auto"/>
              <w:bottom w:val="single" w:sz="6" w:space="0" w:color="auto"/>
              <w:right w:val="single" w:sz="6" w:space="0" w:color="auto"/>
            </w:tcBorders>
            <w:vAlign w:val="center"/>
            <w:hideMark/>
          </w:tcPr>
          <w:p w14:paraId="2922DFFD" w14:textId="77777777" w:rsidR="00556822" w:rsidRPr="007F3DF7" w:rsidRDefault="00556822" w:rsidP="00135EE0">
            <w:pPr>
              <w:rPr>
                <w:rFonts w:ascii="Arial Narrow" w:hAnsi="Arial Narrow"/>
                <w:snapToGrid w:val="0"/>
                <w:sz w:val="20"/>
                <w:szCs w:val="20"/>
              </w:rPr>
            </w:pPr>
            <w:r w:rsidRPr="007F3DF7">
              <w:rPr>
                <w:rFonts w:ascii="Arial Narrow" w:hAnsi="Arial Narrow"/>
                <w:b/>
                <w:snapToGrid w:val="0"/>
                <w:sz w:val="20"/>
                <w:szCs w:val="20"/>
              </w:rPr>
              <w:t>Administrative Advice: </w:t>
            </w:r>
            <w:r w:rsidRPr="007F3DF7">
              <w:rPr>
                <w:rFonts w:ascii="Arial Narrow" w:hAnsi="Arial Narrow"/>
                <w:snapToGrid w:val="0"/>
                <w:sz w:val="20"/>
                <w:szCs w:val="20"/>
              </w:rPr>
              <w:t>Any queries concerning the arrangements to prescribe may be directed to Services Australia on 1800 700 270 (hours of operation 8 a.m. to 5 p.m. Monday to Friday). </w:t>
            </w:r>
          </w:p>
          <w:p w14:paraId="39F7B059"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Prescribing information (including Authority Application forms and other relevant documentation as applicable) is available on the Services Australia website at www.servicesaustralia.gov.au </w:t>
            </w:r>
          </w:p>
          <w:p w14:paraId="6E350C16"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Applications for authority to prescribe should be submitted online using the form upload facility in Health Professional Online Services (HPOS) at www.servicesaustralia.gov.au/hpos </w:t>
            </w:r>
          </w:p>
          <w:p w14:paraId="041DAC52"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Or mailed to: </w:t>
            </w:r>
          </w:p>
          <w:p w14:paraId="016870E1"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Services Australia </w:t>
            </w:r>
          </w:p>
          <w:p w14:paraId="1EBF05DD"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Complex Drugs </w:t>
            </w:r>
          </w:p>
          <w:p w14:paraId="2150A383"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Reply Paid 9826 </w:t>
            </w:r>
          </w:p>
          <w:p w14:paraId="2D9DAEB9" w14:textId="77777777" w:rsidR="00556822" w:rsidRPr="007F3DF7" w:rsidRDefault="00556822" w:rsidP="00135EE0">
            <w:pPr>
              <w:rPr>
                <w:rFonts w:ascii="Arial Narrow" w:hAnsi="Arial Narrow"/>
                <w:snapToGrid w:val="0"/>
                <w:sz w:val="20"/>
                <w:szCs w:val="20"/>
              </w:rPr>
            </w:pPr>
            <w:r w:rsidRPr="007F3DF7">
              <w:rPr>
                <w:rFonts w:ascii="Arial Narrow" w:hAnsi="Arial Narrow"/>
                <w:snapToGrid w:val="0"/>
                <w:sz w:val="20"/>
                <w:szCs w:val="20"/>
              </w:rPr>
              <w:t>HOBART TAS 7001 </w:t>
            </w:r>
          </w:p>
        </w:tc>
      </w:tr>
    </w:tbl>
    <w:p w14:paraId="0600F4C8" w14:textId="736D215A" w:rsidR="00DE3181" w:rsidRPr="007F3DF7" w:rsidRDefault="00DE3181" w:rsidP="00135EE0">
      <w:pPr>
        <w:rPr>
          <w:rFonts w:asciiTheme="minorHAnsi" w:hAnsiTheme="minorHAnsi"/>
          <w:bCs/>
          <w:snapToGrid w:val="0"/>
        </w:rPr>
      </w:pPr>
    </w:p>
    <w:p w14:paraId="1895B8AA" w14:textId="77777777" w:rsidR="00556822" w:rsidRDefault="00556822" w:rsidP="00135EE0">
      <w:pPr>
        <w:rPr>
          <w:rFonts w:asciiTheme="minorHAnsi" w:hAnsiTheme="minorHAnsi"/>
          <w:bCs/>
          <w:snapToGrid w:val="0"/>
        </w:rPr>
      </w:pPr>
    </w:p>
    <w:p w14:paraId="26E35516" w14:textId="22E2D688" w:rsidR="00F84846" w:rsidRDefault="000A1E6E" w:rsidP="00135EE0">
      <w:pPr>
        <w:pStyle w:val="3-BodyText"/>
      </w:pPr>
      <w:bookmarkStart w:id="186" w:name="_Ref224656298"/>
      <w:r>
        <w:rPr>
          <w:snapToGrid w:val="0"/>
        </w:rPr>
        <w:lastRenderedPageBreak/>
        <w:t>Flow on changes to listing</w:t>
      </w:r>
      <w:r w:rsidR="00F70F9B">
        <w:rPr>
          <w:bCs/>
          <w:snapToGrid w:val="0"/>
        </w:rPr>
        <w:t xml:space="preserve">. Should a second biologic be listed </w:t>
      </w:r>
      <w:r w:rsidR="00BB6B4A">
        <w:rPr>
          <w:bCs/>
          <w:snapToGrid w:val="0"/>
        </w:rPr>
        <w:t>for this indication</w:t>
      </w:r>
      <w:r w:rsidR="00C22062">
        <w:rPr>
          <w:bCs/>
          <w:snapToGrid w:val="0"/>
        </w:rPr>
        <w:t xml:space="preserve">, </w:t>
      </w:r>
      <w:r w:rsidR="00A82812">
        <w:t xml:space="preserve">amend </w:t>
      </w:r>
      <w:r w:rsidR="00C47A02">
        <w:t>the</w:t>
      </w:r>
      <w:r w:rsidR="00A82812">
        <w:t xml:space="preserve"> treatment </w:t>
      </w:r>
      <w:r w:rsidR="00C47A02">
        <w:t>phase: Initial</w:t>
      </w:r>
      <w:r w:rsidR="00A82812">
        <w:t xml:space="preserve"> treatment </w:t>
      </w:r>
      <w:r w:rsidR="00A947BA">
        <w:t xml:space="preserve">to </w:t>
      </w:r>
      <w:r w:rsidR="00CA37BE">
        <w:t xml:space="preserve">state: </w:t>
      </w:r>
      <w:r w:rsidR="00A947BA">
        <w:t xml:space="preserve">Initial treatment </w:t>
      </w:r>
      <w:r w:rsidR="71C1F728">
        <w:t xml:space="preserve">– </w:t>
      </w:r>
      <w:r w:rsidR="71C1F728" w:rsidRPr="00B00A5B">
        <w:rPr>
          <w:i/>
        </w:rPr>
        <w:t xml:space="preserve">initial </w:t>
      </w:r>
      <w:r w:rsidR="00A947BA" w:rsidRPr="00C47A02">
        <w:rPr>
          <w:i/>
        </w:rPr>
        <w:t>1</w:t>
      </w:r>
      <w:r w:rsidR="0005498B">
        <w:t>,</w:t>
      </w:r>
      <w:r w:rsidR="00635F5D">
        <w:t xml:space="preserve"> </w:t>
      </w:r>
      <w:r w:rsidR="00C22062">
        <w:rPr>
          <w:bCs/>
          <w:snapToGrid w:val="0"/>
        </w:rPr>
        <w:t xml:space="preserve">add </w:t>
      </w:r>
      <w:r w:rsidR="003E3701">
        <w:t>I</w:t>
      </w:r>
      <w:r w:rsidR="00C22062">
        <w:rPr>
          <w:bCs/>
          <w:snapToGrid w:val="0"/>
        </w:rPr>
        <w:t xml:space="preserve">nitial 2 </w:t>
      </w:r>
      <w:r w:rsidR="51ED3C6A">
        <w:rPr>
          <w:snapToGrid w:val="0"/>
        </w:rPr>
        <w:t xml:space="preserve">(change of treatment) </w:t>
      </w:r>
      <w:r w:rsidR="00000E24">
        <w:rPr>
          <w:snapToGrid w:val="0"/>
        </w:rPr>
        <w:t xml:space="preserve">restriction </w:t>
      </w:r>
      <w:r w:rsidR="10A35F50">
        <w:rPr>
          <w:snapToGrid w:val="0"/>
        </w:rPr>
        <w:t>and</w:t>
      </w:r>
      <w:r w:rsidR="00C22062">
        <w:rPr>
          <w:bCs/>
          <w:snapToGrid w:val="0"/>
        </w:rPr>
        <w:t xml:space="preserve"> the long </w:t>
      </w:r>
      <w:r w:rsidR="004078E0">
        <w:rPr>
          <w:bCs/>
          <w:snapToGrid w:val="0"/>
        </w:rPr>
        <w:t xml:space="preserve">Administrative Advice </w:t>
      </w:r>
      <w:r w:rsidR="00D522F5">
        <w:rPr>
          <w:bCs/>
          <w:snapToGrid w:val="0"/>
        </w:rPr>
        <w:t>as follows.</w:t>
      </w:r>
      <w:bookmarkEnd w:id="186"/>
      <w:r w:rsidR="00D522F5">
        <w:rPr>
          <w:bCs/>
          <w:snapToGrid w:val="0"/>
        </w:rPr>
        <w:t xml:space="preserve"> </w:t>
      </w:r>
    </w:p>
    <w:tbl>
      <w:tblPr>
        <w:tblW w:w="9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low on changes"/>
      </w:tblPr>
      <w:tblGrid>
        <w:gridCol w:w="3390"/>
        <w:gridCol w:w="1907"/>
        <w:gridCol w:w="691"/>
        <w:gridCol w:w="686"/>
        <w:gridCol w:w="685"/>
        <w:gridCol w:w="1667"/>
      </w:tblGrid>
      <w:tr w:rsidR="00DD65C7" w:rsidRPr="007F3DF7" w14:paraId="3BB04523" w14:textId="77777777">
        <w:trPr>
          <w:trHeight w:val="15"/>
        </w:trPr>
        <w:tc>
          <w:tcPr>
            <w:tcW w:w="3390" w:type="dxa"/>
            <w:tcBorders>
              <w:top w:val="single" w:sz="6" w:space="0" w:color="auto"/>
              <w:left w:val="single" w:sz="6" w:space="0" w:color="auto"/>
              <w:bottom w:val="single" w:sz="6" w:space="0" w:color="auto"/>
              <w:right w:val="single" w:sz="6" w:space="0" w:color="auto"/>
            </w:tcBorders>
            <w:vAlign w:val="center"/>
            <w:hideMark/>
          </w:tcPr>
          <w:p w14:paraId="2C064BDC" w14:textId="77777777" w:rsidR="008B30B2" w:rsidRPr="007F3DF7" w:rsidRDefault="008B30B2" w:rsidP="00135EE0">
            <w:pPr>
              <w:rPr>
                <w:rFonts w:ascii="Arial Narrow" w:hAnsi="Arial Narrow"/>
                <w:bCs/>
                <w:snapToGrid w:val="0"/>
                <w:sz w:val="20"/>
                <w:szCs w:val="20"/>
              </w:rPr>
            </w:pPr>
            <w:r w:rsidRPr="007F3DF7">
              <w:rPr>
                <w:rFonts w:ascii="Arial Narrow" w:hAnsi="Arial Narrow"/>
                <w:b/>
                <w:bCs/>
                <w:snapToGrid w:val="0"/>
                <w:sz w:val="20"/>
                <w:szCs w:val="20"/>
              </w:rPr>
              <w:t>MEDICINAL PRODUCT</w:t>
            </w:r>
            <w:r w:rsidRPr="007F3DF7">
              <w:rPr>
                <w:rFonts w:ascii="Arial Narrow" w:hAnsi="Arial Narrow"/>
                <w:bCs/>
                <w:snapToGrid w:val="0"/>
                <w:sz w:val="20"/>
                <w:szCs w:val="20"/>
              </w:rPr>
              <w:t> </w:t>
            </w:r>
          </w:p>
          <w:p w14:paraId="0898F664" w14:textId="77777777" w:rsidR="008B30B2" w:rsidRPr="007F3DF7" w:rsidRDefault="008B30B2" w:rsidP="00135EE0">
            <w:pPr>
              <w:rPr>
                <w:rFonts w:ascii="Arial Narrow" w:hAnsi="Arial Narrow"/>
                <w:bCs/>
                <w:snapToGrid w:val="0"/>
                <w:sz w:val="20"/>
                <w:szCs w:val="20"/>
              </w:rPr>
            </w:pPr>
            <w:r w:rsidRPr="007F3DF7">
              <w:rPr>
                <w:rFonts w:ascii="Arial Narrow" w:hAnsi="Arial Narrow"/>
                <w:b/>
                <w:bCs/>
                <w:snapToGrid w:val="0"/>
                <w:sz w:val="20"/>
                <w:szCs w:val="20"/>
              </w:rPr>
              <w:t>medicinal product pack</w:t>
            </w:r>
            <w:r w:rsidRPr="007F3DF7">
              <w:rPr>
                <w:rFonts w:ascii="Arial Narrow" w:hAnsi="Arial Narrow"/>
                <w:bCs/>
                <w:snapToGrid w:val="0"/>
                <w:sz w:val="20"/>
                <w:szCs w:val="20"/>
              </w:rPr>
              <w:t> </w:t>
            </w:r>
          </w:p>
        </w:tc>
        <w:tc>
          <w:tcPr>
            <w:tcW w:w="1907" w:type="dxa"/>
            <w:tcBorders>
              <w:top w:val="single" w:sz="6" w:space="0" w:color="auto"/>
              <w:left w:val="single" w:sz="6" w:space="0" w:color="auto"/>
              <w:bottom w:val="single" w:sz="6" w:space="0" w:color="auto"/>
              <w:right w:val="single" w:sz="6" w:space="0" w:color="auto"/>
            </w:tcBorders>
            <w:vAlign w:val="center"/>
            <w:hideMark/>
          </w:tcPr>
          <w:p w14:paraId="6F310808"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
                <w:bCs/>
                <w:snapToGrid w:val="0"/>
                <w:sz w:val="20"/>
                <w:szCs w:val="20"/>
              </w:rPr>
              <w:t>PBS item code</w:t>
            </w:r>
          </w:p>
        </w:tc>
        <w:tc>
          <w:tcPr>
            <w:tcW w:w="691" w:type="dxa"/>
            <w:tcBorders>
              <w:top w:val="single" w:sz="6" w:space="0" w:color="auto"/>
              <w:left w:val="single" w:sz="6" w:space="0" w:color="auto"/>
              <w:bottom w:val="single" w:sz="6" w:space="0" w:color="auto"/>
              <w:right w:val="single" w:sz="6" w:space="0" w:color="auto"/>
            </w:tcBorders>
            <w:vAlign w:val="center"/>
            <w:hideMark/>
          </w:tcPr>
          <w:p w14:paraId="470E1377"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
                <w:bCs/>
                <w:snapToGrid w:val="0"/>
                <w:sz w:val="20"/>
                <w:szCs w:val="20"/>
              </w:rPr>
              <w:t>Max. qty packs</w:t>
            </w:r>
          </w:p>
        </w:tc>
        <w:tc>
          <w:tcPr>
            <w:tcW w:w="686" w:type="dxa"/>
            <w:tcBorders>
              <w:top w:val="single" w:sz="6" w:space="0" w:color="auto"/>
              <w:left w:val="single" w:sz="6" w:space="0" w:color="auto"/>
              <w:bottom w:val="single" w:sz="6" w:space="0" w:color="auto"/>
              <w:right w:val="single" w:sz="6" w:space="0" w:color="auto"/>
            </w:tcBorders>
            <w:vAlign w:val="center"/>
            <w:hideMark/>
          </w:tcPr>
          <w:p w14:paraId="020DA01D"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
                <w:bCs/>
                <w:snapToGrid w:val="0"/>
                <w:sz w:val="20"/>
                <w:szCs w:val="20"/>
              </w:rPr>
              <w:t>Max. qty units</w:t>
            </w:r>
          </w:p>
        </w:tc>
        <w:tc>
          <w:tcPr>
            <w:tcW w:w="685" w:type="dxa"/>
            <w:tcBorders>
              <w:top w:val="single" w:sz="6" w:space="0" w:color="auto"/>
              <w:left w:val="single" w:sz="6" w:space="0" w:color="auto"/>
              <w:bottom w:val="single" w:sz="6" w:space="0" w:color="auto"/>
              <w:right w:val="single" w:sz="6" w:space="0" w:color="auto"/>
            </w:tcBorders>
            <w:vAlign w:val="center"/>
            <w:hideMark/>
          </w:tcPr>
          <w:p w14:paraId="5FC430E1"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
                <w:bCs/>
                <w:snapToGrid w:val="0"/>
                <w:sz w:val="20"/>
                <w:szCs w:val="20"/>
              </w:rPr>
              <w:t>№.of</w:t>
            </w:r>
          </w:p>
          <w:p w14:paraId="0494185D"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
                <w:bCs/>
                <w:snapToGrid w:val="0"/>
                <w:sz w:val="20"/>
                <w:szCs w:val="20"/>
              </w:rPr>
              <w:t>Rpts</w:t>
            </w:r>
          </w:p>
        </w:tc>
        <w:tc>
          <w:tcPr>
            <w:tcW w:w="1667" w:type="dxa"/>
            <w:tcBorders>
              <w:top w:val="single" w:sz="6" w:space="0" w:color="auto"/>
              <w:left w:val="single" w:sz="6" w:space="0" w:color="auto"/>
              <w:bottom w:val="single" w:sz="6" w:space="0" w:color="auto"/>
              <w:right w:val="single" w:sz="6" w:space="0" w:color="auto"/>
            </w:tcBorders>
            <w:vAlign w:val="center"/>
            <w:hideMark/>
          </w:tcPr>
          <w:p w14:paraId="40774C20" w14:textId="77777777" w:rsidR="008B30B2" w:rsidRPr="007F3DF7" w:rsidRDefault="008B30B2" w:rsidP="00135EE0">
            <w:pPr>
              <w:rPr>
                <w:rFonts w:ascii="Arial Narrow" w:hAnsi="Arial Narrow"/>
                <w:bCs/>
                <w:snapToGrid w:val="0"/>
                <w:sz w:val="20"/>
                <w:szCs w:val="20"/>
              </w:rPr>
            </w:pPr>
            <w:r w:rsidRPr="007F3DF7">
              <w:rPr>
                <w:rFonts w:ascii="Arial Narrow" w:hAnsi="Arial Narrow"/>
                <w:b/>
                <w:bCs/>
                <w:snapToGrid w:val="0"/>
                <w:sz w:val="20"/>
                <w:szCs w:val="20"/>
              </w:rPr>
              <w:t>Available brands</w:t>
            </w:r>
            <w:r w:rsidRPr="007F3DF7">
              <w:rPr>
                <w:rFonts w:ascii="Arial Narrow" w:hAnsi="Arial Narrow"/>
                <w:bCs/>
                <w:snapToGrid w:val="0"/>
                <w:sz w:val="20"/>
                <w:szCs w:val="20"/>
              </w:rPr>
              <w:t> </w:t>
            </w:r>
          </w:p>
        </w:tc>
      </w:tr>
      <w:tr w:rsidR="0015467C" w:rsidRPr="007F3DF7" w14:paraId="19D012F4" w14:textId="77777777">
        <w:trPr>
          <w:trHeight w:val="15"/>
        </w:trPr>
        <w:tc>
          <w:tcPr>
            <w:tcW w:w="9026" w:type="dxa"/>
            <w:gridSpan w:val="6"/>
            <w:tcBorders>
              <w:top w:val="single" w:sz="6" w:space="0" w:color="auto"/>
              <w:left w:val="single" w:sz="6" w:space="0" w:color="auto"/>
              <w:bottom w:val="single" w:sz="6" w:space="0" w:color="auto"/>
              <w:right w:val="single" w:sz="6" w:space="0" w:color="auto"/>
            </w:tcBorders>
            <w:vAlign w:val="center"/>
            <w:hideMark/>
          </w:tcPr>
          <w:p w14:paraId="74591D90" w14:textId="77777777" w:rsidR="008B30B2" w:rsidRPr="007F3DF7" w:rsidRDefault="008B30B2" w:rsidP="00135EE0">
            <w:pPr>
              <w:jc w:val="left"/>
              <w:rPr>
                <w:rFonts w:ascii="Arial Narrow" w:hAnsi="Arial Narrow"/>
                <w:bCs/>
                <w:snapToGrid w:val="0"/>
                <w:sz w:val="20"/>
                <w:szCs w:val="20"/>
              </w:rPr>
            </w:pPr>
            <w:r w:rsidRPr="007F3DF7">
              <w:rPr>
                <w:rFonts w:ascii="Arial Narrow" w:hAnsi="Arial Narrow"/>
                <w:bCs/>
                <w:snapToGrid w:val="0"/>
                <w:sz w:val="20"/>
                <w:szCs w:val="20"/>
              </w:rPr>
              <w:t>MEPOLIZUMAB</w:t>
            </w:r>
          </w:p>
        </w:tc>
      </w:tr>
      <w:tr w:rsidR="00DD65C7" w:rsidRPr="007F3DF7" w14:paraId="16994AB2" w14:textId="77777777">
        <w:trPr>
          <w:trHeight w:val="15"/>
        </w:trPr>
        <w:tc>
          <w:tcPr>
            <w:tcW w:w="3390" w:type="dxa"/>
            <w:tcBorders>
              <w:top w:val="single" w:sz="6" w:space="0" w:color="auto"/>
              <w:left w:val="single" w:sz="6" w:space="0" w:color="auto"/>
              <w:bottom w:val="single" w:sz="6" w:space="0" w:color="auto"/>
              <w:right w:val="single" w:sz="6" w:space="0" w:color="auto"/>
            </w:tcBorders>
            <w:vAlign w:val="center"/>
            <w:hideMark/>
          </w:tcPr>
          <w:p w14:paraId="5E73D502" w14:textId="77777777" w:rsidR="008B30B2" w:rsidRPr="007F3DF7" w:rsidRDefault="008B30B2" w:rsidP="00135EE0">
            <w:pPr>
              <w:rPr>
                <w:rFonts w:ascii="Arial Narrow" w:hAnsi="Arial Narrow"/>
                <w:bCs/>
                <w:snapToGrid w:val="0"/>
                <w:sz w:val="20"/>
                <w:szCs w:val="20"/>
              </w:rPr>
            </w:pPr>
            <w:r w:rsidRPr="007F3DF7">
              <w:rPr>
                <w:rFonts w:ascii="Arial Narrow" w:hAnsi="Arial Narrow"/>
                <w:bCs/>
                <w:snapToGrid w:val="0"/>
                <w:sz w:val="20"/>
                <w:szCs w:val="20"/>
              </w:rPr>
              <w:t>mepolizumab 100 mg/mL injection, 1 mL pen device </w:t>
            </w:r>
          </w:p>
        </w:tc>
        <w:tc>
          <w:tcPr>
            <w:tcW w:w="1907" w:type="dxa"/>
            <w:tcBorders>
              <w:top w:val="single" w:sz="6" w:space="0" w:color="auto"/>
              <w:left w:val="single" w:sz="6" w:space="0" w:color="auto"/>
              <w:bottom w:val="single" w:sz="6" w:space="0" w:color="auto"/>
              <w:right w:val="single" w:sz="6" w:space="0" w:color="auto"/>
            </w:tcBorders>
            <w:vAlign w:val="center"/>
            <w:hideMark/>
          </w:tcPr>
          <w:p w14:paraId="1CBF9AAD" w14:textId="1596EB8F" w:rsidR="008B30B2" w:rsidRPr="007F3DF7" w:rsidRDefault="00B939FA" w:rsidP="00135EE0">
            <w:pPr>
              <w:jc w:val="center"/>
              <w:rPr>
                <w:rFonts w:ascii="Arial Narrow" w:hAnsi="Arial Narrow"/>
                <w:bCs/>
                <w:snapToGrid w:val="0"/>
                <w:sz w:val="20"/>
                <w:szCs w:val="20"/>
              </w:rPr>
            </w:pPr>
            <w:r>
              <w:rPr>
                <w:rFonts w:ascii="Arial Narrow" w:eastAsia="Aptos" w:hAnsi="Arial Narrow"/>
                <w:color w:val="000000" w:themeColor="text1"/>
                <w:kern w:val="2"/>
                <w:sz w:val="20"/>
                <w:szCs w:val="20"/>
                <w:lang w:eastAsia="en-US"/>
                <w14:ligatures w14:val="standardContextual"/>
              </w:rPr>
              <w:t>Initial item code</w:t>
            </w:r>
            <w:r w:rsidR="008B30B2" w:rsidRPr="007F3DF7">
              <w:rPr>
                <w:rFonts w:ascii="Arial Narrow" w:hAnsi="Arial Narrow"/>
                <w:bCs/>
                <w:snapToGrid w:val="0"/>
                <w:sz w:val="20"/>
                <w:szCs w:val="20"/>
              </w:rPr>
              <w:t> (HSD PUBLIC)</w:t>
            </w:r>
          </w:p>
          <w:p w14:paraId="7D9D965E" w14:textId="4B61D3D2" w:rsidR="008B30B2" w:rsidRPr="007F3DF7" w:rsidRDefault="00A152BC" w:rsidP="00135EE0">
            <w:pPr>
              <w:jc w:val="center"/>
              <w:rPr>
                <w:rFonts w:ascii="Arial Narrow" w:hAnsi="Arial Narrow"/>
                <w:bCs/>
                <w:snapToGrid w:val="0"/>
                <w:sz w:val="20"/>
                <w:szCs w:val="20"/>
              </w:rPr>
            </w:pPr>
            <w:r>
              <w:rPr>
                <w:rFonts w:ascii="Arial Narrow" w:eastAsia="Aptos" w:hAnsi="Arial Narrow"/>
                <w:color w:val="000000" w:themeColor="text1"/>
                <w:kern w:val="2"/>
                <w:sz w:val="20"/>
                <w:szCs w:val="20"/>
                <w:lang w:eastAsia="en-US"/>
                <w14:ligatures w14:val="standardContextual"/>
              </w:rPr>
              <w:t>Initial item code</w:t>
            </w:r>
            <w:r w:rsidR="008B30B2" w:rsidRPr="007F3DF7">
              <w:rPr>
                <w:rFonts w:ascii="Arial Narrow" w:hAnsi="Arial Narrow"/>
                <w:bCs/>
                <w:snapToGrid w:val="0"/>
                <w:sz w:val="20"/>
                <w:szCs w:val="20"/>
              </w:rPr>
              <w:t xml:space="preserve"> (HSD PRIVATE)</w:t>
            </w:r>
          </w:p>
          <w:p w14:paraId="219E84D8"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Cs/>
                <w:snapToGrid w:val="0"/>
                <w:sz w:val="20"/>
                <w:szCs w:val="20"/>
                <w:vertAlign w:val="subscript"/>
              </w:rPr>
              <w:t>MP</w:t>
            </w:r>
          </w:p>
        </w:tc>
        <w:tc>
          <w:tcPr>
            <w:tcW w:w="691" w:type="dxa"/>
            <w:tcBorders>
              <w:top w:val="single" w:sz="6" w:space="0" w:color="auto"/>
              <w:left w:val="single" w:sz="6" w:space="0" w:color="auto"/>
              <w:bottom w:val="single" w:sz="6" w:space="0" w:color="auto"/>
              <w:right w:val="single" w:sz="6" w:space="0" w:color="auto"/>
            </w:tcBorders>
            <w:vAlign w:val="center"/>
            <w:hideMark/>
          </w:tcPr>
          <w:p w14:paraId="595B0D23"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Cs/>
                <w:snapToGrid w:val="0"/>
                <w:sz w:val="20"/>
                <w:szCs w:val="20"/>
              </w:rPr>
              <w:t>1</w:t>
            </w:r>
          </w:p>
        </w:tc>
        <w:tc>
          <w:tcPr>
            <w:tcW w:w="686" w:type="dxa"/>
            <w:tcBorders>
              <w:top w:val="single" w:sz="6" w:space="0" w:color="auto"/>
              <w:left w:val="single" w:sz="6" w:space="0" w:color="auto"/>
              <w:bottom w:val="single" w:sz="6" w:space="0" w:color="auto"/>
              <w:right w:val="single" w:sz="6" w:space="0" w:color="auto"/>
            </w:tcBorders>
            <w:vAlign w:val="center"/>
            <w:hideMark/>
          </w:tcPr>
          <w:p w14:paraId="1513DA2C"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Cs/>
                <w:snapToGrid w:val="0"/>
                <w:sz w:val="20"/>
                <w:szCs w:val="20"/>
              </w:rPr>
              <w:t>1</w:t>
            </w:r>
          </w:p>
        </w:tc>
        <w:tc>
          <w:tcPr>
            <w:tcW w:w="685" w:type="dxa"/>
            <w:tcBorders>
              <w:top w:val="single" w:sz="6" w:space="0" w:color="auto"/>
              <w:left w:val="single" w:sz="6" w:space="0" w:color="auto"/>
              <w:bottom w:val="single" w:sz="6" w:space="0" w:color="auto"/>
              <w:right w:val="single" w:sz="6" w:space="0" w:color="auto"/>
            </w:tcBorders>
            <w:vAlign w:val="center"/>
            <w:hideMark/>
          </w:tcPr>
          <w:p w14:paraId="35A59763" w14:textId="77777777" w:rsidR="008B30B2" w:rsidRPr="007F3DF7" w:rsidRDefault="008B30B2" w:rsidP="00135EE0">
            <w:pPr>
              <w:jc w:val="center"/>
              <w:rPr>
                <w:rFonts w:ascii="Arial Narrow" w:hAnsi="Arial Narrow"/>
                <w:bCs/>
                <w:snapToGrid w:val="0"/>
                <w:sz w:val="20"/>
                <w:szCs w:val="20"/>
              </w:rPr>
            </w:pPr>
            <w:r w:rsidRPr="007F3DF7">
              <w:rPr>
                <w:rFonts w:ascii="Arial Narrow" w:hAnsi="Arial Narrow"/>
                <w:bCs/>
                <w:snapToGrid w:val="0"/>
                <w:sz w:val="20"/>
                <w:szCs w:val="20"/>
              </w:rPr>
              <w:t>6</w:t>
            </w:r>
          </w:p>
        </w:tc>
        <w:tc>
          <w:tcPr>
            <w:tcW w:w="1667" w:type="dxa"/>
            <w:tcBorders>
              <w:top w:val="single" w:sz="6" w:space="0" w:color="auto"/>
              <w:left w:val="single" w:sz="6" w:space="0" w:color="auto"/>
              <w:bottom w:val="single" w:sz="6" w:space="0" w:color="auto"/>
              <w:right w:val="single" w:sz="6" w:space="0" w:color="auto"/>
            </w:tcBorders>
            <w:vAlign w:val="center"/>
            <w:hideMark/>
          </w:tcPr>
          <w:p w14:paraId="2CAD7CCB" w14:textId="75E69B9B" w:rsidR="008B30B2" w:rsidRPr="007F3DF7" w:rsidRDefault="008B30B2" w:rsidP="00135EE0">
            <w:pPr>
              <w:rPr>
                <w:rFonts w:ascii="Arial Narrow" w:hAnsi="Arial Narrow"/>
                <w:bCs/>
                <w:snapToGrid w:val="0"/>
                <w:sz w:val="20"/>
                <w:szCs w:val="20"/>
              </w:rPr>
            </w:pPr>
            <w:r w:rsidRPr="007F3DF7">
              <w:rPr>
                <w:rFonts w:ascii="Arial Narrow" w:hAnsi="Arial Narrow"/>
                <w:bCs/>
                <w:snapToGrid w:val="0"/>
                <w:sz w:val="20"/>
                <w:szCs w:val="20"/>
              </w:rPr>
              <w:t>Nucala</w:t>
            </w:r>
          </w:p>
        </w:tc>
      </w:tr>
      <w:tr w:rsidR="0015467C" w:rsidRPr="007F3DF7" w14:paraId="710D4BB4" w14:textId="77777777">
        <w:trPr>
          <w:trHeight w:val="15"/>
        </w:trPr>
        <w:tc>
          <w:tcPr>
            <w:tcW w:w="9026" w:type="dxa"/>
            <w:gridSpan w:val="6"/>
            <w:tcBorders>
              <w:top w:val="single" w:sz="6" w:space="0" w:color="auto"/>
              <w:left w:val="single" w:sz="6" w:space="0" w:color="auto"/>
              <w:bottom w:val="single" w:sz="6" w:space="0" w:color="auto"/>
              <w:right w:val="single" w:sz="6" w:space="0" w:color="auto"/>
            </w:tcBorders>
            <w:vAlign w:val="center"/>
            <w:hideMark/>
          </w:tcPr>
          <w:p w14:paraId="11D34511" w14:textId="77777777" w:rsidR="008B30B2" w:rsidRPr="007F3DF7" w:rsidRDefault="008B30B2" w:rsidP="00135EE0">
            <w:pPr>
              <w:rPr>
                <w:rFonts w:ascii="Arial Narrow" w:hAnsi="Arial Narrow"/>
                <w:bCs/>
                <w:snapToGrid w:val="0"/>
                <w:sz w:val="20"/>
                <w:szCs w:val="20"/>
              </w:rPr>
            </w:pPr>
            <w:r w:rsidRPr="007F3DF7">
              <w:rPr>
                <w:rFonts w:ascii="Arial Narrow" w:hAnsi="Arial Narrow"/>
                <w:bCs/>
                <w:snapToGrid w:val="0"/>
                <w:sz w:val="20"/>
                <w:szCs w:val="20"/>
              </w:rPr>
              <w:t> </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90"/>
        <w:gridCol w:w="615"/>
        <w:gridCol w:w="7767"/>
      </w:tblGrid>
      <w:tr w:rsidR="00A130CE" w:rsidRPr="0073650A" w14:paraId="278B5175" w14:textId="77777777" w:rsidTr="009C54B7">
        <w:tc>
          <w:tcPr>
            <w:tcW w:w="1305" w:type="dxa"/>
            <w:gridSpan w:val="2"/>
            <w:vMerge w:val="restart"/>
            <w:vAlign w:val="center"/>
          </w:tcPr>
          <w:p w14:paraId="612FD9D4" w14:textId="7BDE3E29"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hideMark/>
          </w:tcPr>
          <w:p w14:paraId="03C494C1" w14:textId="77777777" w:rsidR="00A130CE" w:rsidRPr="0073650A" w:rsidRDefault="00A130CE" w:rsidP="00135EE0">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Category / Program:</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lang w:eastAsia="en-US"/>
                <w14:ligatures w14:val="standardContextual"/>
              </w:rPr>
              <w:t xml:space="preserve"> </w:t>
            </w:r>
            <w:r w:rsidRPr="0073650A">
              <w:rPr>
                <w:rFonts w:ascii="Arial Narrow" w:eastAsia="Calibri" w:hAnsi="Arial Narrow" w:cs="Times New Roman"/>
                <w:color w:val="000000" w:themeColor="text1"/>
                <w:kern w:val="2"/>
                <w:sz w:val="20"/>
                <w:szCs w:val="20"/>
                <w:lang w:eastAsia="en-US"/>
                <w14:ligatures w14:val="standardContextual"/>
              </w:rPr>
              <w:t>Section 100 – Highly Specialised Drugs Program – Public (Code HB) / Private (Code HS)</w:t>
            </w:r>
          </w:p>
        </w:tc>
      </w:tr>
      <w:tr w:rsidR="00A130CE" w:rsidRPr="0073650A" w14:paraId="0D05547C" w14:textId="77777777" w:rsidTr="00A130CE">
        <w:tc>
          <w:tcPr>
            <w:tcW w:w="1305" w:type="dxa"/>
            <w:gridSpan w:val="2"/>
            <w:vMerge/>
            <w:vAlign w:val="center"/>
          </w:tcPr>
          <w:p w14:paraId="26C0C8D3"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4CE51FE4" w14:textId="77777777" w:rsidR="00A130CE" w:rsidRPr="0073650A" w:rsidRDefault="00A130CE" w:rsidP="00135EE0">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Prescriber type:</w:t>
            </w:r>
            <w:r w:rsidRPr="0073650A">
              <w:rPr>
                <w:rFonts w:ascii="Arial Narrow" w:eastAsia="Aptos" w:hAnsi="Arial Narrow"/>
                <w:color w:val="000000" w:themeColor="text1"/>
                <w:kern w:val="2"/>
                <w:sz w:val="20"/>
                <w:szCs w:val="20"/>
                <w:lang w:eastAsia="en-US"/>
                <w14:ligatures w14:val="standardContextual"/>
              </w:rPr>
              <w:t xml:space="preserve"> </w:t>
            </w:r>
            <w:r w:rsidRPr="0073650A">
              <w:rPr>
                <w:rFonts w:ascii="Arial Narrow" w:eastAsia="Aptos"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color w:val="000000" w:themeColor="text1"/>
                <w:kern w:val="2"/>
                <w:sz w:val="20"/>
                <w:szCs w:val="20"/>
                <w:lang w:eastAsia="en-US"/>
                <w14:ligatures w14:val="standardContextual"/>
              </w:rPr>
              <w:instrText xml:space="preserve"> FORMCHECKBOX </w:instrText>
            </w:r>
            <w:r w:rsidRPr="0073650A">
              <w:rPr>
                <w:rFonts w:ascii="Arial Narrow" w:eastAsia="Aptos" w:hAnsi="Arial Narrow"/>
                <w:color w:val="000000" w:themeColor="text1"/>
                <w:kern w:val="2"/>
                <w:sz w:val="20"/>
                <w:szCs w:val="20"/>
                <w:lang w:eastAsia="en-US"/>
                <w14:ligatures w14:val="standardContextual"/>
              </w:rPr>
            </w:r>
            <w:r w:rsidRPr="0073650A">
              <w:rPr>
                <w:rFonts w:ascii="Arial Narrow" w:eastAsia="Aptos" w:hAnsi="Arial Narrow"/>
                <w:color w:val="000000" w:themeColor="text1"/>
                <w:kern w:val="2"/>
                <w:sz w:val="20"/>
                <w:szCs w:val="20"/>
                <w:lang w:eastAsia="en-US"/>
                <w14:ligatures w14:val="standardContextual"/>
              </w:rPr>
              <w:fldChar w:fldCharType="separate"/>
            </w:r>
            <w:r w:rsidRPr="0073650A">
              <w:rPr>
                <w:rFonts w:ascii="Arial Narrow" w:eastAsia="Aptos" w:hAnsi="Arial Narrow"/>
                <w:color w:val="000000" w:themeColor="text1"/>
                <w:kern w:val="2"/>
                <w:sz w:val="20"/>
                <w:szCs w:val="20"/>
                <w:lang w:eastAsia="en-US"/>
                <w14:ligatures w14:val="standardContextual"/>
              </w:rPr>
              <w:fldChar w:fldCharType="end"/>
            </w:r>
            <w:r w:rsidRPr="0073650A">
              <w:rPr>
                <w:rFonts w:ascii="Arial Narrow" w:eastAsia="Aptos" w:hAnsi="Arial Narrow"/>
                <w:color w:val="000000" w:themeColor="text1"/>
                <w:kern w:val="2"/>
                <w:sz w:val="20"/>
                <w:szCs w:val="20"/>
                <w:lang w:eastAsia="en-US"/>
                <w14:ligatures w14:val="standardContextual"/>
              </w:rPr>
              <w:t>Medical Practitioners</w:t>
            </w:r>
          </w:p>
        </w:tc>
      </w:tr>
      <w:tr w:rsidR="00A130CE" w:rsidRPr="0073650A" w14:paraId="012FCC9E" w14:textId="77777777" w:rsidTr="009C54B7">
        <w:tc>
          <w:tcPr>
            <w:tcW w:w="1305" w:type="dxa"/>
            <w:gridSpan w:val="2"/>
            <w:vMerge/>
            <w:vAlign w:val="center"/>
          </w:tcPr>
          <w:p w14:paraId="2086C6AE"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hideMark/>
          </w:tcPr>
          <w:p w14:paraId="6D80CC70" w14:textId="77777777" w:rsidR="00A130CE" w:rsidRPr="0073650A" w:rsidRDefault="00A130CE" w:rsidP="00135EE0">
            <w:pPr>
              <w:spacing w:line="259" w:lineRule="auto"/>
              <w:jc w:val="left"/>
              <w:rPr>
                <w:rFonts w:ascii="Arial Narrow" w:hAnsi="Arial Narrow" w:cs="Times New Roman"/>
                <w:color w:val="000000" w:themeColor="text1"/>
                <w:kern w:val="2"/>
                <w:sz w:val="20"/>
                <w:szCs w:val="20"/>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Restriction type: </w:t>
            </w:r>
            <w:r w:rsidRPr="0073650A">
              <w:rPr>
                <w:rFonts w:ascii="Arial Narrow" w:eastAsia="Calibri" w:hAnsi="Arial Narrow"/>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Calibri" w:hAnsi="Arial Narrow"/>
                <w:color w:val="000000" w:themeColor="text1"/>
                <w:kern w:val="2"/>
                <w:sz w:val="20"/>
                <w:szCs w:val="20"/>
                <w:lang w:eastAsia="en-US"/>
                <w14:ligatures w14:val="standardContextual"/>
              </w:rPr>
              <w:instrText xml:space="preserve"> FORMCHECKBOX </w:instrText>
            </w:r>
            <w:r w:rsidRPr="0073650A">
              <w:rPr>
                <w:rFonts w:ascii="Arial Narrow" w:eastAsia="Calibri" w:hAnsi="Arial Narrow"/>
                <w:color w:val="000000" w:themeColor="text1"/>
                <w:kern w:val="2"/>
                <w:sz w:val="20"/>
                <w:szCs w:val="20"/>
                <w:lang w:eastAsia="en-US"/>
                <w14:ligatures w14:val="standardContextual"/>
              </w:rPr>
            </w:r>
            <w:r w:rsidRPr="0073650A">
              <w:rPr>
                <w:rFonts w:ascii="Arial Narrow" w:eastAsia="Calibri" w:hAnsi="Arial Narrow"/>
                <w:color w:val="000000" w:themeColor="text1"/>
                <w:kern w:val="2"/>
                <w:sz w:val="20"/>
                <w:szCs w:val="20"/>
                <w:lang w:eastAsia="en-US"/>
                <w14:ligatures w14:val="standardContextual"/>
              </w:rPr>
              <w:fldChar w:fldCharType="separate"/>
            </w:r>
            <w:r w:rsidRPr="0073650A">
              <w:rPr>
                <w:rFonts w:ascii="Arial Narrow" w:eastAsia="Calibri" w:hAnsi="Arial Narrow"/>
                <w:color w:val="000000" w:themeColor="text1"/>
                <w:kern w:val="2"/>
                <w:sz w:val="20"/>
                <w:szCs w:val="20"/>
                <w:lang w:eastAsia="en-US"/>
                <w14:ligatures w14:val="standardContextual"/>
              </w:rPr>
              <w:fldChar w:fldCharType="end"/>
            </w:r>
            <w:r w:rsidRPr="0073650A">
              <w:rPr>
                <w:rFonts w:ascii="Arial Narrow" w:eastAsia="Calibri" w:hAnsi="Arial Narrow"/>
                <w:color w:val="000000" w:themeColor="text1"/>
                <w:kern w:val="2"/>
                <w:sz w:val="20"/>
                <w:szCs w:val="20"/>
                <w14:ligatures w14:val="standardContextual"/>
              </w:rPr>
              <w:t xml:space="preserve"> Authority Required (FULL assessment) in writing only via OPA/post/HPOS upload</w:t>
            </w:r>
          </w:p>
        </w:tc>
      </w:tr>
      <w:tr w:rsidR="00A130CE" w:rsidRPr="0073650A" w14:paraId="608BC7BF" w14:textId="77777777" w:rsidTr="00A130CE">
        <w:tc>
          <w:tcPr>
            <w:tcW w:w="1305" w:type="dxa"/>
            <w:gridSpan w:val="2"/>
            <w:vMerge/>
            <w:vAlign w:val="center"/>
          </w:tcPr>
          <w:p w14:paraId="21C97A7B"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496C7330" w14:textId="77777777" w:rsidR="00A130CE" w:rsidRPr="0073650A" w:rsidRDefault="00A130CE" w:rsidP="00135EE0">
            <w:pPr>
              <w:spacing w:line="259" w:lineRule="auto"/>
              <w:jc w:val="left"/>
              <w:rPr>
                <w:rFonts w:ascii="Arial Narrow" w:eastAsia="Aptos" w:hAnsi="Arial Narrow"/>
                <w:b/>
                <w:color w:val="000000" w:themeColor="text1"/>
                <w:kern w:val="2"/>
                <w:sz w:val="20"/>
                <w:szCs w:val="20"/>
                <w:lang w:eastAsia="en-US"/>
                <w14:ligatures w14:val="standardContextual"/>
              </w:rPr>
            </w:pPr>
            <w:r w:rsidRPr="0073650A">
              <w:rPr>
                <w:rFonts w:ascii="Arial Narrow" w:eastAsia="Aptos" w:hAnsi="Arial Narrow"/>
                <w:b/>
                <w:color w:val="000000" w:themeColor="text1"/>
                <w:kern w:val="2"/>
                <w:sz w:val="20"/>
                <w:szCs w:val="20"/>
                <w:lang w:eastAsia="en-US"/>
                <w14:ligatures w14:val="standardContextual"/>
              </w:rPr>
              <w:t xml:space="preserve">Authority type: </w:t>
            </w:r>
            <w:r w:rsidRPr="0073650A">
              <w:rPr>
                <w:rFonts w:ascii="Arial Narrow" w:eastAsia="Aptos" w:hAnsi="Arial Narrow"/>
                <w:bCs/>
                <w:color w:val="000000" w:themeColor="text1"/>
                <w:kern w:val="2"/>
                <w:sz w:val="20"/>
                <w:szCs w:val="20"/>
                <w:lang w:eastAsia="en-US"/>
                <w14:ligatures w14:val="standardContextual"/>
              </w:rPr>
              <w:fldChar w:fldCharType="begin">
                <w:ffData>
                  <w:name w:val=""/>
                  <w:enabled/>
                  <w:calcOnExit w:val="0"/>
                  <w:checkBox>
                    <w:sizeAuto/>
                    <w:default w:val="1"/>
                  </w:checkBox>
                </w:ffData>
              </w:fldChar>
            </w:r>
            <w:r w:rsidRPr="0073650A">
              <w:rPr>
                <w:rFonts w:ascii="Arial Narrow" w:eastAsia="Aptos" w:hAnsi="Arial Narrow"/>
                <w:bCs/>
                <w:color w:val="000000" w:themeColor="text1"/>
                <w:kern w:val="2"/>
                <w:sz w:val="20"/>
                <w:szCs w:val="20"/>
                <w:lang w:eastAsia="en-US"/>
                <w14:ligatures w14:val="standardContextual"/>
              </w:rPr>
              <w:instrText xml:space="preserve"> FORMCHECKBOX </w:instrText>
            </w:r>
            <w:r w:rsidRPr="0073650A">
              <w:rPr>
                <w:rFonts w:ascii="Arial Narrow" w:eastAsia="Aptos" w:hAnsi="Arial Narrow"/>
                <w:bCs/>
                <w:color w:val="000000" w:themeColor="text1"/>
                <w:kern w:val="2"/>
                <w:sz w:val="20"/>
                <w:szCs w:val="20"/>
                <w:lang w:eastAsia="en-US"/>
                <w14:ligatures w14:val="standardContextual"/>
              </w:rPr>
            </w:r>
            <w:r w:rsidRPr="0073650A">
              <w:rPr>
                <w:rFonts w:ascii="Arial Narrow" w:eastAsia="Aptos" w:hAnsi="Arial Narrow"/>
                <w:bCs/>
                <w:color w:val="000000" w:themeColor="text1"/>
                <w:kern w:val="2"/>
                <w:sz w:val="20"/>
                <w:szCs w:val="20"/>
                <w:lang w:eastAsia="en-US"/>
                <w14:ligatures w14:val="standardContextual"/>
              </w:rPr>
              <w:fldChar w:fldCharType="separate"/>
            </w:r>
            <w:r w:rsidRPr="0073650A">
              <w:rPr>
                <w:rFonts w:ascii="Arial Narrow" w:eastAsia="Aptos" w:hAnsi="Arial Narrow"/>
                <w:bCs/>
                <w:color w:val="000000" w:themeColor="text1"/>
                <w:kern w:val="2"/>
                <w:sz w:val="20"/>
                <w:szCs w:val="20"/>
                <w:lang w:eastAsia="en-US"/>
                <w14:ligatures w14:val="standardContextual"/>
              </w:rPr>
              <w:fldChar w:fldCharType="end"/>
            </w:r>
            <w:r w:rsidRPr="0073650A">
              <w:rPr>
                <w:rFonts w:ascii="Arial Narrow" w:eastAsia="Aptos" w:hAnsi="Arial Narrow"/>
                <w:bCs/>
                <w:color w:val="000000" w:themeColor="text1"/>
                <w:kern w:val="2"/>
                <w:sz w:val="20"/>
                <w:szCs w:val="20"/>
                <w:lang w:eastAsia="en-US"/>
                <w14:ligatures w14:val="standardContextual"/>
              </w:rPr>
              <w:t xml:space="preserve"> Complex Authority Required (CAR)</w:t>
            </w:r>
          </w:p>
        </w:tc>
      </w:tr>
      <w:tr w:rsidR="00A130CE" w:rsidRPr="0073650A" w14:paraId="66D8604A" w14:textId="77777777" w:rsidTr="00A130CE">
        <w:tc>
          <w:tcPr>
            <w:tcW w:w="690" w:type="dxa"/>
            <w:vMerge w:val="restart"/>
            <w:vAlign w:val="center"/>
          </w:tcPr>
          <w:p w14:paraId="6D7AE1AC" w14:textId="016CFE46"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615" w:type="dxa"/>
            <w:vAlign w:val="center"/>
          </w:tcPr>
          <w:p w14:paraId="1E3063EB" w14:textId="21BA5BAE"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4175FF85" w14:textId="77777777" w:rsidR="00A130CE" w:rsidRPr="0073650A" w:rsidRDefault="00A130CE" w:rsidP="00135EE0">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quantity or number of units may be authorised</w:t>
            </w:r>
          </w:p>
        </w:tc>
      </w:tr>
      <w:tr w:rsidR="00A130CE" w:rsidRPr="0073650A" w14:paraId="2206E5DA" w14:textId="77777777" w:rsidTr="00A130CE">
        <w:tc>
          <w:tcPr>
            <w:tcW w:w="690" w:type="dxa"/>
            <w:vMerge/>
            <w:vAlign w:val="center"/>
          </w:tcPr>
          <w:p w14:paraId="15F2E1F5"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615" w:type="dxa"/>
            <w:vAlign w:val="center"/>
          </w:tcPr>
          <w:p w14:paraId="21D33D23" w14:textId="16667844"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3FDD25FB" w14:textId="77777777" w:rsidR="00A130CE" w:rsidRPr="0073650A" w:rsidRDefault="00A130CE" w:rsidP="00135EE0">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 xml:space="preserve">Administrative Advice: </w:t>
            </w:r>
            <w:r w:rsidRPr="0073650A">
              <w:rPr>
                <w:rFonts w:ascii="Arial Narrow" w:hAnsi="Arial Narrow" w:cs="Times New Roman"/>
                <w:color w:val="000000" w:themeColor="text1"/>
                <w:kern w:val="2"/>
                <w:sz w:val="20"/>
                <w:szCs w:val="20"/>
                <w14:ligatures w14:val="standardContextual"/>
              </w:rPr>
              <w:t>No increase in the maximum number of repeats may be authorised</w:t>
            </w:r>
          </w:p>
        </w:tc>
      </w:tr>
      <w:tr w:rsidR="00A130CE" w:rsidRPr="0073650A" w14:paraId="02D9BFE6" w14:textId="77777777" w:rsidTr="00A130CE">
        <w:tc>
          <w:tcPr>
            <w:tcW w:w="690" w:type="dxa"/>
            <w:vMerge/>
            <w:vAlign w:val="center"/>
          </w:tcPr>
          <w:p w14:paraId="7DACA399"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615" w:type="dxa"/>
            <w:vAlign w:val="center"/>
          </w:tcPr>
          <w:p w14:paraId="630D28C1" w14:textId="7B1E6BAD"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0AE15DD7" w14:textId="77777777" w:rsidR="00A130CE" w:rsidRPr="0073650A" w:rsidRDefault="00A130CE" w:rsidP="00135EE0">
            <w:pPr>
              <w:spacing w:line="259" w:lineRule="auto"/>
              <w:jc w:val="left"/>
              <w:rPr>
                <w:rFonts w:ascii="Arial Narrow" w:hAnsi="Arial Narrow" w:cs="Times New Roman"/>
                <w:b/>
                <w:bCs/>
                <w:color w:val="000000" w:themeColor="text1"/>
                <w:kern w:val="2"/>
                <w:sz w:val="20"/>
                <w:szCs w:val="20"/>
                <w14:ligatures w14:val="standardContextual"/>
              </w:rPr>
            </w:pPr>
            <w:r w:rsidRPr="0073650A">
              <w:rPr>
                <w:rFonts w:ascii="Arial Narrow" w:hAnsi="Arial Narrow" w:cs="Times New Roman"/>
                <w:b/>
                <w:bCs/>
                <w:color w:val="000000" w:themeColor="text1"/>
                <w:kern w:val="2"/>
                <w:sz w:val="20"/>
                <w:szCs w:val="20"/>
                <w14:ligatures w14:val="standardContextual"/>
              </w:rPr>
              <w:t>Administrative Advice:</w:t>
            </w:r>
            <w:r w:rsidRPr="0073650A">
              <w:rPr>
                <w:rFonts w:ascii="Arial Narrow" w:hAnsi="Arial Narrow" w:cs="Times New Roman"/>
                <w:color w:val="000000" w:themeColor="text1"/>
                <w:kern w:val="2"/>
                <w:sz w:val="20"/>
                <w:szCs w:val="20"/>
                <w14:ligatures w14:val="standardContextual"/>
              </w:rPr>
              <w:t xml:space="preserve"> Special Pricing Arrangements apply</w:t>
            </w:r>
          </w:p>
        </w:tc>
      </w:tr>
      <w:tr w:rsidR="00A130CE" w:rsidRPr="000B663B" w14:paraId="255BCBA2" w14:textId="77777777" w:rsidTr="00A130CE">
        <w:tc>
          <w:tcPr>
            <w:tcW w:w="690" w:type="dxa"/>
            <w:vMerge/>
            <w:vAlign w:val="center"/>
          </w:tcPr>
          <w:p w14:paraId="76A39645" w14:textId="77777777" w:rsidR="00A130CE" w:rsidRPr="0073650A"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615" w:type="dxa"/>
            <w:vAlign w:val="center"/>
          </w:tcPr>
          <w:p w14:paraId="3E549035" w14:textId="3567883C" w:rsidR="00A130CE" w:rsidRPr="000B663B" w:rsidRDefault="00A130CE" w:rsidP="00135EE0">
            <w:pPr>
              <w:spacing w:line="259" w:lineRule="auto"/>
              <w:jc w:val="center"/>
              <w:rPr>
                <w:rFonts w:ascii="Arial Narrow" w:hAnsi="Arial Narrow" w:cs="Times New Roman"/>
                <w:color w:val="000000" w:themeColor="text1"/>
                <w:kern w:val="2"/>
                <w:sz w:val="20"/>
                <w:szCs w:val="20"/>
                <w14:ligatures w14:val="standardContextual"/>
              </w:rPr>
            </w:pPr>
          </w:p>
        </w:tc>
        <w:tc>
          <w:tcPr>
            <w:tcW w:w="7767" w:type="dxa"/>
            <w:vAlign w:val="center"/>
          </w:tcPr>
          <w:p w14:paraId="4D2D104E"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b/>
                <w:bCs/>
                <w:color w:val="000000" w:themeColor="text1"/>
                <w:sz w:val="20"/>
                <w:szCs w:val="20"/>
              </w:rPr>
              <w:t xml:space="preserve">Administrative Advice: </w:t>
            </w:r>
            <w:r w:rsidRPr="000B663B">
              <w:rPr>
                <w:rFonts w:ascii="Arial Narrow" w:hAnsi="Arial Narrow"/>
                <w:color w:val="000000" w:themeColor="text1"/>
                <w:sz w:val="20"/>
                <w:szCs w:val="20"/>
              </w:rPr>
              <w:t>Any queries concerning the arrangements to prescribe may be directed to Services Australia on 1800 700 270 (hours of operation 8 a.m. to 5 p.m. Monday to Friday).</w:t>
            </w:r>
          </w:p>
          <w:p w14:paraId="54D74C03"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Prescribing information (including Authority Application forms and other relevant documentation as applicable) is available on the Services Australia website at www.servicesaustralia.gov.au</w:t>
            </w:r>
          </w:p>
          <w:p w14:paraId="628BFA76"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Applications for authority to prescribe should be submitted online using the form upload facility in Health Professional Online Services (HPOS) at www.servicesaustralia.gov.au/hpos</w:t>
            </w:r>
          </w:p>
          <w:p w14:paraId="2F1465DF"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Or mailed to:</w:t>
            </w:r>
          </w:p>
          <w:p w14:paraId="3C94F028"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Services Australia</w:t>
            </w:r>
          </w:p>
          <w:p w14:paraId="38CE07B2"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Complex Drugs</w:t>
            </w:r>
          </w:p>
          <w:p w14:paraId="530A1759" w14:textId="77777777" w:rsidR="00A130CE" w:rsidRPr="000B663B" w:rsidRDefault="00A130CE" w:rsidP="00135EE0">
            <w:pPr>
              <w:rPr>
                <w:rFonts w:ascii="Arial Narrow" w:hAnsi="Arial Narrow"/>
                <w:color w:val="000000" w:themeColor="text1"/>
                <w:sz w:val="20"/>
                <w:szCs w:val="20"/>
              </w:rPr>
            </w:pPr>
            <w:r w:rsidRPr="000B663B">
              <w:rPr>
                <w:rFonts w:ascii="Arial Narrow" w:hAnsi="Arial Narrow"/>
                <w:color w:val="000000" w:themeColor="text1"/>
                <w:sz w:val="20"/>
                <w:szCs w:val="20"/>
              </w:rPr>
              <w:t>Reply Paid 9826</w:t>
            </w:r>
          </w:p>
          <w:p w14:paraId="452E8973" w14:textId="5DC64A3A" w:rsidR="00A130CE" w:rsidRPr="000B663B" w:rsidRDefault="00A130CE" w:rsidP="00135EE0">
            <w:pPr>
              <w:spacing w:line="259" w:lineRule="auto"/>
              <w:jc w:val="left"/>
              <w:rPr>
                <w:rFonts w:ascii="Arial Narrow" w:hAnsi="Arial Narrow" w:cs="Times New Roman"/>
                <w:b/>
                <w:bCs/>
                <w:color w:val="000000" w:themeColor="text1"/>
                <w:kern w:val="2"/>
                <w:sz w:val="20"/>
                <w:szCs w:val="20"/>
                <w14:ligatures w14:val="standardContextual"/>
              </w:rPr>
            </w:pPr>
            <w:r w:rsidRPr="000B663B">
              <w:rPr>
                <w:rFonts w:ascii="Arial Narrow" w:hAnsi="Arial Narrow"/>
                <w:color w:val="000000" w:themeColor="text1"/>
                <w:sz w:val="20"/>
                <w:szCs w:val="20"/>
              </w:rPr>
              <w:t>HOBART TAS 7001</w:t>
            </w:r>
          </w:p>
        </w:tc>
      </w:tr>
    </w:tbl>
    <w:tbl>
      <w:tblPr>
        <w:tblW w:w="9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3"/>
        <w:gridCol w:w="7803"/>
      </w:tblGrid>
      <w:tr w:rsidR="00373579" w:rsidRPr="007F3DF7" w14:paraId="4845E623" w14:textId="77777777">
        <w:trPr>
          <w:trHeight w:val="15"/>
        </w:trPr>
        <w:tc>
          <w:tcPr>
            <w:tcW w:w="9026" w:type="dxa"/>
            <w:gridSpan w:val="2"/>
            <w:tcBorders>
              <w:top w:val="single" w:sz="6" w:space="0" w:color="auto"/>
              <w:left w:val="single" w:sz="6" w:space="0" w:color="auto"/>
              <w:bottom w:val="single" w:sz="6" w:space="0" w:color="auto"/>
              <w:right w:val="single" w:sz="6" w:space="0" w:color="auto"/>
            </w:tcBorders>
            <w:vAlign w:val="center"/>
          </w:tcPr>
          <w:p w14:paraId="2565AA60" w14:textId="77777777" w:rsidR="00373579" w:rsidRPr="007F3DF7" w:rsidRDefault="00373579" w:rsidP="00135EE0">
            <w:pPr>
              <w:rPr>
                <w:rFonts w:ascii="Arial Narrow" w:hAnsi="Arial Narrow"/>
                <w:bCs/>
                <w:snapToGrid w:val="0"/>
                <w:sz w:val="20"/>
                <w:szCs w:val="20"/>
              </w:rPr>
            </w:pPr>
          </w:p>
        </w:tc>
      </w:tr>
      <w:tr w:rsidR="0015467C" w:rsidRPr="007F3DF7" w14:paraId="288B6DEF" w14:textId="77777777" w:rsidTr="00502A78">
        <w:trPr>
          <w:trHeight w:val="105"/>
        </w:trPr>
        <w:tc>
          <w:tcPr>
            <w:tcW w:w="9026" w:type="dxa"/>
            <w:gridSpan w:val="2"/>
            <w:tcBorders>
              <w:top w:val="single" w:sz="6" w:space="0" w:color="auto"/>
              <w:left w:val="single" w:sz="6" w:space="0" w:color="auto"/>
              <w:bottom w:val="single" w:sz="6" w:space="0" w:color="auto"/>
              <w:right w:val="single" w:sz="6" w:space="0" w:color="auto"/>
            </w:tcBorders>
            <w:vAlign w:val="center"/>
            <w:hideMark/>
          </w:tcPr>
          <w:p w14:paraId="3526B21A" w14:textId="3D697378" w:rsidR="00F84846" w:rsidRPr="007F3DF7" w:rsidRDefault="00F84846" w:rsidP="00135EE0">
            <w:pPr>
              <w:rPr>
                <w:rFonts w:ascii="Arial Narrow" w:hAnsi="Arial Narrow"/>
                <w:bCs/>
                <w:snapToGrid w:val="0"/>
                <w:sz w:val="20"/>
                <w:szCs w:val="20"/>
              </w:rPr>
            </w:pPr>
          </w:p>
        </w:tc>
      </w:tr>
      <w:tr w:rsidR="006902C2" w:rsidRPr="007F3DF7" w14:paraId="0ACDBE9A"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8051F2D" w14:textId="66939E5C"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4789C169"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Indication:</w:t>
            </w:r>
            <w:r w:rsidRPr="007F3DF7">
              <w:rPr>
                <w:rFonts w:ascii="Arial Narrow" w:hAnsi="Arial Narrow"/>
                <w:bCs/>
                <w:snapToGrid w:val="0"/>
                <w:sz w:val="20"/>
                <w:szCs w:val="20"/>
              </w:rPr>
              <w:t> Uncontrolled chronic obstructive pulmonary disease (COPD) </w:t>
            </w:r>
          </w:p>
        </w:tc>
      </w:tr>
      <w:tr w:rsidR="006902C2" w:rsidRPr="007F3DF7" w14:paraId="14EF29F4"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1215CB2D" w14:textId="0209FFF5"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69203DC9"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Treatment Phase:</w:t>
            </w:r>
            <w:r w:rsidRPr="007F3DF7">
              <w:rPr>
                <w:rFonts w:ascii="Arial Narrow" w:hAnsi="Arial Narrow"/>
                <w:bCs/>
                <w:snapToGrid w:val="0"/>
                <w:sz w:val="20"/>
                <w:szCs w:val="20"/>
              </w:rPr>
              <w:t> Initial treatment – Initial 2 (Change of treatment) </w:t>
            </w:r>
          </w:p>
        </w:tc>
      </w:tr>
      <w:tr w:rsidR="006902C2" w:rsidRPr="007F3DF7" w14:paraId="2DD29ACC"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362938A1" w14:textId="601C038E"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666E3ACC"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6902C2" w:rsidRPr="007F3DF7" w14:paraId="56BD2769"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389532A" w14:textId="520480BC"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46481792"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Patient must have received prior PBS-subsidised treatment with a biological medicine for this condition in this treatment cycle </w:t>
            </w:r>
          </w:p>
        </w:tc>
      </w:tr>
      <w:tr w:rsidR="006902C2" w:rsidRPr="007F3DF7" w14:paraId="592AC071"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319DCC26" w14:textId="4DC3D2F9"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0DADA1F4"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6902C2" w:rsidRPr="007F3DF7" w14:paraId="70ED9F5C"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58258EBC" w14:textId="2DB0F66F"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33E19A6A"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6902C2" w:rsidRPr="007F3DF7" w14:paraId="720A0656"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670777DE" w14:textId="0A47E22E"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06C94288" w14:textId="4EFF9CCA" w:rsidR="00F84846" w:rsidRPr="007F3DF7" w:rsidRDefault="00F84846" w:rsidP="00135EE0">
            <w:pPr>
              <w:rPr>
                <w:rFonts w:ascii="Arial Narrow" w:hAnsi="Arial Narrow"/>
                <w:bCs/>
                <w:snapToGrid w:val="0"/>
                <w:sz w:val="20"/>
                <w:szCs w:val="20"/>
              </w:rPr>
            </w:pPr>
            <w:r w:rsidRPr="007F3DF7">
              <w:rPr>
                <w:rFonts w:ascii="Arial Narrow" w:hAnsi="Arial Narrow"/>
                <w:snapToGrid w:val="0"/>
                <w:sz w:val="20"/>
                <w:szCs w:val="20"/>
              </w:rPr>
              <w:t xml:space="preserve">Patient must have either: (i) not previously received this drug for this condition in the current treatment cycle, (ii) previously received this drug </w:t>
            </w:r>
            <w:r w:rsidR="4B5F47D0" w:rsidRPr="7203F20C">
              <w:rPr>
                <w:rFonts w:ascii="Arial Narrow" w:hAnsi="Arial Narrow"/>
                <w:snapToGrid w:val="0"/>
                <w:sz w:val="20"/>
                <w:szCs w:val="20"/>
              </w:rPr>
              <w:t xml:space="preserve">in the current treatment cycle </w:t>
            </w:r>
            <w:r w:rsidR="5B37E3DB" w:rsidRPr="7203F20C">
              <w:rPr>
                <w:rFonts w:ascii="Arial Narrow" w:hAnsi="Arial Narrow"/>
                <w:snapToGrid w:val="0"/>
                <w:sz w:val="20"/>
                <w:szCs w:val="20"/>
              </w:rPr>
              <w:t>and</w:t>
            </w:r>
            <w:r w:rsidR="5B37E3DB" w:rsidRPr="3356D8CE">
              <w:rPr>
                <w:rFonts w:ascii="Arial" w:hAnsi="Arial"/>
                <w:snapToGrid w:val="0"/>
                <w:sz w:val="20"/>
                <w:szCs w:val="20"/>
              </w:rPr>
              <w:t> </w:t>
            </w:r>
            <w:r w:rsidR="5B37E3DB" w:rsidRPr="3356D8CE">
              <w:rPr>
                <w:rFonts w:ascii="Arial Narrow" w:hAnsi="Arial Narrow"/>
                <w:snapToGrid w:val="0"/>
                <w:sz w:val="20"/>
                <w:szCs w:val="20"/>
              </w:rPr>
              <w:t>demonstrated</w:t>
            </w:r>
            <w:r w:rsidRPr="007F3DF7">
              <w:rPr>
                <w:rFonts w:ascii="Arial Narrow" w:hAnsi="Arial Narrow"/>
                <w:snapToGrid w:val="0"/>
                <w:sz w:val="20"/>
                <w:szCs w:val="20"/>
              </w:rPr>
              <w:t>/maintained an adequate clinical response.</w:t>
            </w:r>
          </w:p>
        </w:tc>
      </w:tr>
      <w:tr w:rsidR="006902C2" w:rsidRPr="007F3DF7" w14:paraId="504A5EE6"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5A21485" w14:textId="3FEC7B89"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35F9EEC9"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6902C2" w:rsidRPr="007F3DF7" w14:paraId="7F128AB4"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50277B24" w14:textId="1BDE88AC"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15ABE8E6"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6902C2" w:rsidRPr="007F3DF7" w14:paraId="7D387A92"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56022B7" w14:textId="087170F3"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54207BC1"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The treatment must be in combination with </w:t>
            </w:r>
            <w:proofErr w:type="gramStart"/>
            <w:r w:rsidRPr="007F3DF7">
              <w:rPr>
                <w:rFonts w:ascii="Arial Narrow" w:hAnsi="Arial Narrow"/>
                <w:bCs/>
                <w:snapToGrid w:val="0"/>
                <w:sz w:val="20"/>
                <w:szCs w:val="20"/>
              </w:rPr>
              <w:t>all of</w:t>
            </w:r>
            <w:proofErr w:type="gramEnd"/>
            <w:r w:rsidRPr="007F3DF7">
              <w:rPr>
                <w:rFonts w:ascii="Arial Narrow" w:hAnsi="Arial Narrow"/>
                <w:bCs/>
                <w:snapToGrid w:val="0"/>
                <w:sz w:val="20"/>
                <w:szCs w:val="20"/>
              </w:rPr>
              <w:t> (i) LAMA, (ii) LABA, (iii) ICS in an optimised triple inhaler therapy </w:t>
            </w:r>
          </w:p>
        </w:tc>
      </w:tr>
      <w:tr w:rsidR="006902C2" w:rsidRPr="007F3DF7" w14:paraId="30208385"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7AC31C9C" w14:textId="0FD053C4"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2A2D8A54"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6902C2" w:rsidRPr="007F3DF7" w14:paraId="1122273C"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6A625856" w14:textId="2B91C4F9"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59E3BEF8"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6902C2" w:rsidRPr="007F3DF7" w14:paraId="3125A48D"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6647D4ED" w14:textId="4A697ABA"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6CC087C6" w14:textId="70A28394"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The treatment must not be used in combination with and within 4 weeks of another PBS-subsidised biological medicine prescribed for any of: (i) nasal polyps, (ii) uncontrolled severe allergic asthma, (iii) uncontrolled severe asthma</w:t>
            </w:r>
            <w:r w:rsidR="14046B12" w:rsidRPr="01F79AA9">
              <w:rPr>
                <w:rFonts w:ascii="Arial Narrow" w:hAnsi="Arial Narrow"/>
                <w:snapToGrid w:val="0"/>
                <w:sz w:val="20"/>
                <w:szCs w:val="20"/>
              </w:rPr>
              <w:t xml:space="preserve">, </w:t>
            </w:r>
            <w:r w:rsidR="14046B12" w:rsidRPr="009441D5">
              <w:rPr>
                <w:rFonts w:ascii="Arial Narrow" w:eastAsia="Arial Narrow" w:hAnsi="Arial Narrow" w:cs="Arial Narrow"/>
                <w:sz w:val="20"/>
                <w:szCs w:val="20"/>
              </w:rPr>
              <w:t>(iv) uncontrolled chronic obstructive pulmonary disease.</w:t>
            </w:r>
            <w:r w:rsidR="14046B12" w:rsidRPr="01F79AA9">
              <w:rPr>
                <w:rFonts w:ascii="Arial Narrow" w:eastAsia="Arial Narrow" w:hAnsi="Arial Narrow" w:cs="Arial Narrow"/>
                <w:sz w:val="20"/>
                <w:szCs w:val="20"/>
              </w:rPr>
              <w:t xml:space="preserve"> </w:t>
            </w:r>
          </w:p>
        </w:tc>
      </w:tr>
      <w:tr w:rsidR="006902C2" w:rsidRPr="007F3DF7" w14:paraId="085B16DF"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C26852D" w14:textId="6A66923F"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3CCFBB8E"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AND</w:t>
            </w:r>
            <w:r w:rsidRPr="007F3DF7">
              <w:rPr>
                <w:rFonts w:ascii="Arial Narrow" w:hAnsi="Arial Narrow"/>
                <w:bCs/>
                <w:snapToGrid w:val="0"/>
                <w:sz w:val="20"/>
                <w:szCs w:val="20"/>
              </w:rPr>
              <w:t> </w:t>
            </w:r>
          </w:p>
        </w:tc>
      </w:tr>
      <w:tr w:rsidR="006902C2" w:rsidRPr="007F3DF7" w14:paraId="6643A72A"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29892C26" w14:textId="0528CD1B"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0E6F7E0E"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Clinical criteria:</w:t>
            </w:r>
            <w:r w:rsidRPr="007F3DF7">
              <w:rPr>
                <w:rFonts w:ascii="Arial Narrow" w:hAnsi="Arial Narrow"/>
                <w:bCs/>
                <w:snapToGrid w:val="0"/>
                <w:sz w:val="20"/>
                <w:szCs w:val="20"/>
              </w:rPr>
              <w:t> </w:t>
            </w:r>
          </w:p>
        </w:tc>
      </w:tr>
      <w:tr w:rsidR="006902C2" w:rsidRPr="007F3DF7" w14:paraId="37A9C02D"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4C70EC6B" w14:textId="35F19B0D"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232AAFDF"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Patient must not receive more than 28 weeks of treatment under this restriction </w:t>
            </w:r>
          </w:p>
        </w:tc>
      </w:tr>
      <w:tr w:rsidR="006902C2" w:rsidRPr="007F3DF7" w14:paraId="2B9BC2C9"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63E40BD" w14:textId="22526D7E"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1D464397" w14:textId="77777777"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Treatment criteria:</w:t>
            </w:r>
            <w:r w:rsidRPr="007F3DF7">
              <w:rPr>
                <w:rFonts w:ascii="Arial Narrow" w:hAnsi="Arial Narrow"/>
                <w:bCs/>
                <w:snapToGrid w:val="0"/>
                <w:sz w:val="20"/>
                <w:szCs w:val="20"/>
              </w:rPr>
              <w:t> </w:t>
            </w:r>
          </w:p>
        </w:tc>
      </w:tr>
      <w:tr w:rsidR="006902C2" w:rsidRPr="007F3DF7" w14:paraId="096F0BBB"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118C6513" w14:textId="1D23107D"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520E4B64"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Must be treated by a medical practitioner who is either a (i) respiratory physician, (ii) general physician experienced in the management of patients with COPD this condition. </w:t>
            </w:r>
          </w:p>
        </w:tc>
      </w:tr>
      <w:tr w:rsidR="006902C2" w:rsidRPr="007F3DF7" w14:paraId="6E5E129F"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0421B498" w14:textId="1CAF5219"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1C19CC6A" w14:textId="7FC44C0F"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Prescribing Instructions:</w:t>
            </w:r>
          </w:p>
          <w:p w14:paraId="24C3C3E5"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The authority application must be via the Online PBS Authorities System, or in writing via HPOS form upload or mail and must include the following: </w:t>
            </w:r>
          </w:p>
          <w:p w14:paraId="053EE350" w14:textId="77777777" w:rsidR="00F84846" w:rsidRPr="007F3DF7" w:rsidRDefault="00F84846" w:rsidP="00135EE0">
            <w:pPr>
              <w:numPr>
                <w:ilvl w:val="0"/>
                <w:numId w:val="52"/>
              </w:numPr>
              <w:rPr>
                <w:rFonts w:ascii="Arial Narrow" w:hAnsi="Arial Narrow"/>
                <w:bCs/>
                <w:snapToGrid w:val="0"/>
                <w:sz w:val="20"/>
                <w:szCs w:val="20"/>
              </w:rPr>
            </w:pPr>
            <w:r w:rsidRPr="007F3DF7">
              <w:rPr>
                <w:rFonts w:ascii="Arial Narrow" w:hAnsi="Arial Narrow"/>
                <w:bCs/>
                <w:snapToGrid w:val="0"/>
                <w:sz w:val="20"/>
                <w:szCs w:val="20"/>
              </w:rPr>
              <w:t>details (date and duration of treatment) of prior biological medicine treatment; and </w:t>
            </w:r>
          </w:p>
          <w:p w14:paraId="58A3339A" w14:textId="4B37B689" w:rsidR="00F84846" w:rsidRPr="007F3DF7" w:rsidRDefault="00F84846" w:rsidP="00135EE0">
            <w:pPr>
              <w:numPr>
                <w:ilvl w:val="0"/>
                <w:numId w:val="53"/>
              </w:numPr>
              <w:rPr>
                <w:rFonts w:ascii="Arial Narrow" w:hAnsi="Arial Narrow"/>
                <w:bCs/>
                <w:snapToGrid w:val="0"/>
                <w:sz w:val="20"/>
                <w:szCs w:val="20"/>
              </w:rPr>
            </w:pPr>
            <w:r w:rsidRPr="007F3DF7">
              <w:rPr>
                <w:rFonts w:ascii="Arial Narrow" w:hAnsi="Arial Narrow"/>
                <w:bCs/>
                <w:snapToGrid w:val="0"/>
                <w:sz w:val="20"/>
                <w:szCs w:val="20"/>
              </w:rPr>
              <w:t xml:space="preserve">The reason for switching therapy (e.g. not achieving adequate response with prior </w:t>
            </w:r>
            <w:r w:rsidR="00AE310C">
              <w:rPr>
                <w:rFonts w:ascii="Arial Narrow" w:hAnsi="Arial Narrow"/>
                <w:bCs/>
                <w:snapToGrid w:val="0"/>
                <w:sz w:val="20"/>
                <w:szCs w:val="20"/>
              </w:rPr>
              <w:t>biological</w:t>
            </w:r>
            <w:r w:rsidRPr="007F3DF7">
              <w:rPr>
                <w:rFonts w:ascii="Arial Narrow" w:hAnsi="Arial Narrow"/>
                <w:bCs/>
                <w:snapToGrid w:val="0"/>
                <w:sz w:val="20"/>
                <w:szCs w:val="20"/>
              </w:rPr>
              <w:t xml:space="preserve"> therapy, partial response to prior therapy, adverse event to prior therapy) </w:t>
            </w:r>
          </w:p>
          <w:p w14:paraId="07FF75FD" w14:textId="0AAEDA25" w:rsidR="00F84846" w:rsidRPr="007F3DF7" w:rsidRDefault="00F84846" w:rsidP="00135EE0">
            <w:pPr>
              <w:jc w:val="left"/>
              <w:rPr>
                <w:rFonts w:ascii="Arial Narrow" w:hAnsi="Arial Narrow"/>
                <w:bCs/>
                <w:snapToGrid w:val="0"/>
                <w:sz w:val="20"/>
                <w:szCs w:val="20"/>
              </w:rPr>
            </w:pPr>
            <w:r w:rsidRPr="007F3DF7">
              <w:rPr>
                <w:rFonts w:ascii="Arial Narrow" w:hAnsi="Arial Narrow"/>
                <w:bCs/>
                <w:snapToGrid w:val="0"/>
                <w:sz w:val="20"/>
                <w:szCs w:val="20"/>
              </w:rPr>
              <w:t>All supporting evidence must be documented in the patient’s medical records </w:t>
            </w:r>
          </w:p>
        </w:tc>
      </w:tr>
      <w:tr w:rsidR="006902C2" w:rsidRPr="007F3DF7" w14:paraId="240A6F09" w14:textId="77777777" w:rsidTr="009C54B7">
        <w:trPr>
          <w:trHeight w:val="15"/>
        </w:trPr>
        <w:tc>
          <w:tcPr>
            <w:tcW w:w="1223" w:type="dxa"/>
            <w:tcBorders>
              <w:top w:val="single" w:sz="6" w:space="0" w:color="auto"/>
              <w:left w:val="single" w:sz="6" w:space="0" w:color="auto"/>
              <w:bottom w:val="single" w:sz="6" w:space="0" w:color="auto"/>
              <w:right w:val="single" w:sz="6" w:space="0" w:color="auto"/>
            </w:tcBorders>
            <w:vAlign w:val="center"/>
          </w:tcPr>
          <w:p w14:paraId="29FD41F1" w14:textId="2060781C" w:rsidR="00F84846" w:rsidRPr="007F3DF7" w:rsidRDefault="00F84846" w:rsidP="00135EE0">
            <w:pPr>
              <w:jc w:val="center"/>
              <w:rPr>
                <w:rFonts w:ascii="Arial Narrow" w:hAnsi="Arial Narrow"/>
                <w:bCs/>
                <w:snapToGrid w:val="0"/>
                <w:sz w:val="20"/>
                <w:szCs w:val="20"/>
              </w:rPr>
            </w:pPr>
          </w:p>
        </w:tc>
        <w:tc>
          <w:tcPr>
            <w:tcW w:w="7803" w:type="dxa"/>
            <w:tcBorders>
              <w:top w:val="single" w:sz="6" w:space="0" w:color="auto"/>
              <w:left w:val="single" w:sz="6" w:space="0" w:color="auto"/>
              <w:bottom w:val="single" w:sz="6" w:space="0" w:color="auto"/>
              <w:right w:val="single" w:sz="6" w:space="0" w:color="auto"/>
            </w:tcBorders>
            <w:vAlign w:val="center"/>
            <w:hideMark/>
          </w:tcPr>
          <w:p w14:paraId="73D78ED8" w14:textId="2362518F" w:rsidR="00F84846" w:rsidRPr="007F3DF7" w:rsidRDefault="00F84846" w:rsidP="00135EE0">
            <w:pPr>
              <w:rPr>
                <w:rFonts w:ascii="Arial Narrow" w:hAnsi="Arial Narrow"/>
                <w:bCs/>
                <w:snapToGrid w:val="0"/>
                <w:sz w:val="20"/>
                <w:szCs w:val="20"/>
              </w:rPr>
            </w:pPr>
            <w:r w:rsidRPr="007F3DF7">
              <w:rPr>
                <w:rFonts w:ascii="Arial Narrow" w:hAnsi="Arial Narrow"/>
                <w:b/>
                <w:bCs/>
                <w:snapToGrid w:val="0"/>
                <w:sz w:val="20"/>
                <w:szCs w:val="20"/>
              </w:rPr>
              <w:t>   Prescribing Instruction:</w:t>
            </w:r>
          </w:p>
          <w:p w14:paraId="2F8FDB92" w14:textId="77777777" w:rsidR="00F84846" w:rsidRPr="007F3DF7" w:rsidRDefault="00F84846" w:rsidP="00135EE0">
            <w:pPr>
              <w:rPr>
                <w:rFonts w:ascii="Arial Narrow" w:hAnsi="Arial Narrow"/>
                <w:bCs/>
                <w:snapToGrid w:val="0"/>
                <w:sz w:val="20"/>
                <w:szCs w:val="20"/>
              </w:rPr>
            </w:pPr>
            <w:r w:rsidRPr="007F3DF7">
              <w:rPr>
                <w:rFonts w:ascii="Arial Narrow" w:hAnsi="Arial Narrow"/>
                <w:bCs/>
                <w:snapToGrid w:val="0"/>
                <w:sz w:val="20"/>
                <w:szCs w:val="20"/>
              </w:rPr>
              <w:t>   If the application is submitted through HPOS form upload or mail, it must include: </w:t>
            </w:r>
          </w:p>
          <w:p w14:paraId="3CE7477B" w14:textId="77777777" w:rsidR="00F84846" w:rsidRPr="007F3DF7" w:rsidRDefault="00F84846" w:rsidP="00135EE0">
            <w:pPr>
              <w:numPr>
                <w:ilvl w:val="0"/>
                <w:numId w:val="54"/>
              </w:numPr>
              <w:rPr>
                <w:rFonts w:ascii="Arial Narrow" w:hAnsi="Arial Narrow"/>
                <w:bCs/>
                <w:snapToGrid w:val="0"/>
                <w:sz w:val="20"/>
                <w:szCs w:val="20"/>
              </w:rPr>
            </w:pPr>
            <w:r w:rsidRPr="007F3DF7">
              <w:rPr>
                <w:rFonts w:ascii="Arial Narrow" w:hAnsi="Arial Narrow"/>
                <w:bCs/>
                <w:snapToGrid w:val="0"/>
                <w:sz w:val="20"/>
                <w:szCs w:val="20"/>
              </w:rPr>
              <w:t>details of the proposed prescription; and </w:t>
            </w:r>
          </w:p>
          <w:p w14:paraId="0FAE128D" w14:textId="77777777" w:rsidR="00F84846" w:rsidRPr="007F3DF7" w:rsidRDefault="00F84846" w:rsidP="00135EE0">
            <w:pPr>
              <w:numPr>
                <w:ilvl w:val="0"/>
                <w:numId w:val="55"/>
              </w:numPr>
              <w:rPr>
                <w:rFonts w:ascii="Arial Narrow" w:hAnsi="Arial Narrow"/>
                <w:bCs/>
                <w:snapToGrid w:val="0"/>
                <w:sz w:val="20"/>
                <w:szCs w:val="20"/>
              </w:rPr>
            </w:pPr>
            <w:r w:rsidRPr="007F3DF7">
              <w:rPr>
                <w:rFonts w:ascii="Arial Narrow" w:hAnsi="Arial Narrow"/>
                <w:bCs/>
                <w:snapToGrid w:val="0"/>
                <w:sz w:val="20"/>
                <w:szCs w:val="20"/>
              </w:rPr>
              <w:t>a completed authority application form relevant to the indication and treatment phase (the latest version is located on the website specified in the Administrative Advice). </w:t>
            </w:r>
          </w:p>
        </w:tc>
      </w:tr>
    </w:tbl>
    <w:p w14:paraId="1BD8ACCF" w14:textId="77777777" w:rsidR="00F84846" w:rsidRDefault="00F84846" w:rsidP="00135EE0">
      <w:pPr>
        <w:rPr>
          <w:rFonts w:asciiTheme="minorHAnsi" w:hAnsiTheme="minorHAnsi"/>
          <w:bCs/>
          <w:snapToGrid w:val="0"/>
        </w:rPr>
      </w:pPr>
    </w:p>
    <w:p w14:paraId="1F9BE0B6" w14:textId="77777777" w:rsidR="00F84846" w:rsidRPr="007F3DF7" w:rsidRDefault="00F84846" w:rsidP="00135EE0">
      <w:pPr>
        <w:rPr>
          <w:rFonts w:asciiTheme="minorHAnsi" w:hAnsiTheme="minorHAnsi"/>
          <w:bCs/>
          <w:snapToGrid w:val="0"/>
        </w:rPr>
      </w:pPr>
    </w:p>
    <w:tbl>
      <w:tblPr>
        <w:tblW w:w="90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low on changes"/>
      </w:tblPr>
      <w:tblGrid>
        <w:gridCol w:w="1268"/>
        <w:gridCol w:w="7740"/>
      </w:tblGrid>
      <w:tr w:rsidR="006A78A3" w:rsidRPr="007F3DF7" w14:paraId="6EE4F044" w14:textId="77777777" w:rsidTr="00F72ED0">
        <w:trPr>
          <w:trHeight w:val="15"/>
        </w:trPr>
        <w:tc>
          <w:tcPr>
            <w:tcW w:w="1268" w:type="dxa"/>
            <w:tcBorders>
              <w:top w:val="single" w:sz="6" w:space="0" w:color="auto"/>
              <w:left w:val="single" w:sz="6" w:space="0" w:color="auto"/>
              <w:bottom w:val="single" w:sz="6" w:space="0" w:color="auto"/>
              <w:right w:val="single" w:sz="6" w:space="0" w:color="auto"/>
            </w:tcBorders>
            <w:hideMark/>
          </w:tcPr>
          <w:p w14:paraId="6C970541" w14:textId="74FBFC43" w:rsidR="007F3DF7" w:rsidRPr="007F3DF7" w:rsidRDefault="007F3DF7" w:rsidP="00135EE0">
            <w:pPr>
              <w:jc w:val="center"/>
              <w:rPr>
                <w:rFonts w:ascii="Arial Narrow" w:hAnsi="Arial Narrow"/>
                <w:snapToGrid w:val="0"/>
                <w:sz w:val="20"/>
                <w:szCs w:val="20"/>
              </w:rPr>
            </w:pPr>
          </w:p>
        </w:tc>
        <w:tc>
          <w:tcPr>
            <w:tcW w:w="7740" w:type="dxa"/>
            <w:tcBorders>
              <w:top w:val="single" w:sz="6" w:space="0" w:color="auto"/>
              <w:left w:val="single" w:sz="6" w:space="0" w:color="auto"/>
              <w:bottom w:val="single" w:sz="6" w:space="0" w:color="auto"/>
              <w:right w:val="single" w:sz="6" w:space="0" w:color="auto"/>
            </w:tcBorders>
            <w:hideMark/>
          </w:tcPr>
          <w:p w14:paraId="78B18239"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rPr>
              <w:t>Administrative Advice:</w:t>
            </w:r>
            <w:r w:rsidRPr="007F3DF7">
              <w:rPr>
                <w:rFonts w:ascii="Arial Narrow" w:hAnsi="Arial Narrow"/>
                <w:snapToGrid w:val="0"/>
                <w:sz w:val="20"/>
                <w:szCs w:val="20"/>
              </w:rPr>
              <w:t> </w:t>
            </w:r>
          </w:p>
          <w:p w14:paraId="4CDDCF66" w14:textId="77777777" w:rsidR="007F3DF7" w:rsidRPr="007F3DF7" w:rsidRDefault="007F3DF7" w:rsidP="00135EE0">
            <w:pPr>
              <w:rPr>
                <w:rFonts w:ascii="Arial Narrow" w:hAnsi="Arial Narrow"/>
                <w:snapToGrid w:val="0"/>
                <w:sz w:val="20"/>
                <w:szCs w:val="20"/>
              </w:rPr>
            </w:pPr>
            <w:r w:rsidRPr="007F3DF7">
              <w:rPr>
                <w:rFonts w:ascii="Arial Narrow" w:hAnsi="Arial Narrow"/>
                <w:b/>
                <w:snapToGrid w:val="0"/>
                <w:sz w:val="20"/>
                <w:szCs w:val="20"/>
                <w:u w:val="single"/>
              </w:rPr>
              <w:t>TREATMENT OF PATIENTS WITH UNCONTROLLED CHRONIC OBSTRUCTIVE PULMONARY DISEASE (COPD)</w:t>
            </w:r>
            <w:r w:rsidRPr="007F3DF7">
              <w:rPr>
                <w:rFonts w:ascii="Arial Narrow" w:hAnsi="Arial Narrow"/>
                <w:snapToGrid w:val="0"/>
                <w:sz w:val="20"/>
                <w:szCs w:val="20"/>
              </w:rPr>
              <w:t> </w:t>
            </w:r>
          </w:p>
          <w:p w14:paraId="746A5E4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 following information applies to the prescribing under the Pharmaceutical Benefits Scheme (PBS) of the biological medicines for Uncontrolled COPD. Where the term biological medicine appears in the following notes and restrictions it refers to all PBS benefits with the specific PBS indication of ‘Uncontrolled COPD’ </w:t>
            </w:r>
          </w:p>
          <w:p w14:paraId="2FAFF561"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 patient is eligible for PBS-subsidised treatment with only one biological medicine for ‘Uncontrolled COPD’ at any one time. </w:t>
            </w:r>
          </w:p>
          <w:p w14:paraId="0C656295"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Under these arrangements, within a treatment cycle, a patient may receive long-term treatment with a biological medicine </w:t>
            </w:r>
            <w:proofErr w:type="gramStart"/>
            <w:r w:rsidRPr="007F3DF7">
              <w:rPr>
                <w:rFonts w:ascii="Arial Narrow" w:hAnsi="Arial Narrow"/>
                <w:snapToGrid w:val="0"/>
                <w:sz w:val="20"/>
                <w:szCs w:val="20"/>
              </w:rPr>
              <w:t>as long as</w:t>
            </w:r>
            <w:proofErr w:type="gramEnd"/>
            <w:r w:rsidRPr="007F3DF7">
              <w:rPr>
                <w:rFonts w:ascii="Arial Narrow" w:hAnsi="Arial Narrow"/>
                <w:snapToGrid w:val="0"/>
                <w:sz w:val="20"/>
                <w:szCs w:val="20"/>
              </w:rPr>
              <w:t> they sustain a response to therapy. </w:t>
            </w:r>
          </w:p>
          <w:p w14:paraId="2883A787" w14:textId="588916EE"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 patient currently receiving PBS-subsidised treatment as of (</w:t>
            </w:r>
            <w:r w:rsidR="00403D48">
              <w:rPr>
                <w:rFonts w:ascii="Arial Narrow" w:hAnsi="Arial Narrow"/>
                <w:bCs/>
                <w:snapToGrid w:val="0"/>
                <w:sz w:val="20"/>
                <w:szCs w:val="20"/>
              </w:rPr>
              <w:t xml:space="preserve">first biologic </w:t>
            </w:r>
            <w:r w:rsidR="002B5FC3">
              <w:rPr>
                <w:rFonts w:ascii="Arial Narrow" w:hAnsi="Arial Narrow"/>
                <w:bCs/>
                <w:snapToGrid w:val="0"/>
                <w:sz w:val="20"/>
                <w:szCs w:val="20"/>
              </w:rPr>
              <w:t xml:space="preserve">for COPD </w:t>
            </w:r>
            <w:r w:rsidRPr="007F3DF7">
              <w:rPr>
                <w:rFonts w:ascii="Arial Narrow" w:hAnsi="Arial Narrow"/>
                <w:snapToGrid w:val="0"/>
                <w:sz w:val="20"/>
                <w:szCs w:val="20"/>
              </w:rPr>
              <w:t>listing date X/X/XXXX ) is considered to have started a cycle of treatment. </w:t>
            </w:r>
          </w:p>
          <w:p w14:paraId="5DBE9EC3"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Within the same treatment cycle, a patient cannot trial and not achieve response, or cease to respond to, the same PBS-subsidised biological medicine more than once. </w:t>
            </w:r>
          </w:p>
          <w:p w14:paraId="74DD8BEF"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Therefore, in cases where the patient does not achieve the response criteria for a PBS-subsidised biological medicine, they must change to an alternate biological medicine if they wish to continue PBS-subsidised biological treatment. </w:t>
            </w:r>
          </w:p>
          <w:p w14:paraId="724E3BA5"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In cases where the patient does not achieve or sustain the response criteria to treatment two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 </w:t>
            </w:r>
          </w:p>
          <w:p w14:paraId="3E53117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 </w:t>
            </w:r>
          </w:p>
          <w:p w14:paraId="13D1EB0F" w14:textId="54426F15"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There is no limit to the number of treatment cycles that a patient may undertake in their lifetime. </w:t>
            </w:r>
          </w:p>
          <w:p w14:paraId="7733565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w:t>
            </w:r>
          </w:p>
          <w:p w14:paraId="07845B25" w14:textId="259EB2EA"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How to prescribe PBS-subsidised biological medicine treatment for ‘Uncontrolled COPD’</w:t>
            </w:r>
          </w:p>
          <w:p w14:paraId="7BA94094"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(1) Initial treatment: </w:t>
            </w:r>
          </w:p>
          <w:p w14:paraId="271F5911"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Applications for initial treatment should be made where: </w:t>
            </w:r>
          </w:p>
          <w:p w14:paraId="78A898D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lastRenderedPageBreak/>
              <w:t>(i) a patient has not received prior PBS-subsidised biological medicine treatment and wishes to commence such therapy (Initial 1 restriction); or </w:t>
            </w:r>
          </w:p>
          <w:p w14:paraId="76FC951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(ii) a patient has received prior PBS-subsidised treatment with a biological medicine and wishes to recommence a new treatment cycle with this biological medicine following a mandatory treatment break in PBS-subsidised therapy (Initial 1 restriction); or </w:t>
            </w:r>
          </w:p>
          <w:p w14:paraId="52F0B905"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(iii) a patient has received prior PBS-subsidised biological medicine therapy and wishes to trial an alternate biological medicine within the same treatment cycle (Initial 2 restriction) - [further details are under 'Swapping therapy' below]. </w:t>
            </w:r>
          </w:p>
          <w:p w14:paraId="77F6E608"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All applications for initial treatment will be limited to provide for a maximum of up to 28 weeks of therapy of a biological medicine. It is recommended that a patient be reviewed in the month prior to completing their course of initial treatment to ensure uninterrupted biological medicine supply. </w:t>
            </w:r>
          </w:p>
          <w:p w14:paraId="55E3AC5A"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w:t>
            </w:r>
          </w:p>
          <w:p w14:paraId="1A57E4D2" w14:textId="57223DD8"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(2) Grandfather patients</w:t>
            </w:r>
          </w:p>
          <w:p w14:paraId="38F203E3" w14:textId="64174D00"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 patient who commenced treatment with a biological medicine for ‘Uncontrolled COPD’ prior to [the relevant biological medicine’s listing date, specified in the restrictions] and who continues to receive treatment at the time of application, may qualify for treatment under the ‘Grandfather’ treatment restriction.</w:t>
            </w:r>
            <w:r w:rsidR="005D45D2">
              <w:rPr>
                <w:rFonts w:ascii="Arial Narrow" w:hAnsi="Arial Narrow"/>
                <w:snapToGrid w:val="0"/>
                <w:sz w:val="20"/>
                <w:szCs w:val="20"/>
              </w:rPr>
              <w:t xml:space="preserve"> </w:t>
            </w:r>
          </w:p>
          <w:p w14:paraId="378BECC3" w14:textId="7C63431C"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 patient may only qualify for PBS-subsidised treatment under this restriction once. A maximum of 24 weeks of treatment will be authorised under this restriction. Following completion of the first PBS-subsidised course, further subsidised treatment must be prescribed under the continuing treatment restriction of the relevant biological medicine.</w:t>
            </w:r>
          </w:p>
          <w:p w14:paraId="0E06D1C1"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w:t>
            </w:r>
          </w:p>
          <w:p w14:paraId="36A99595"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(3) Continuing treatment: </w:t>
            </w:r>
          </w:p>
          <w:p w14:paraId="22DC3F03"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 </w:t>
            </w:r>
          </w:p>
          <w:p w14:paraId="766A0D4F"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(4) Swapping therapy within the same treatment cycle. </w:t>
            </w:r>
          </w:p>
          <w:p w14:paraId="5D8D8AE1"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Once initial treatment with the first PBS-subsidised biological medicine is approved, a patient may swap to an alternate biological medicine at any time by qualifying under an Initial 2 restriction. </w:t>
            </w:r>
          </w:p>
          <w:p w14:paraId="1A15CB42" w14:textId="15EC52CD"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xml:space="preserve">However, they cannot swap to a particular biological medicine if they did not </w:t>
            </w:r>
            <w:r w:rsidRPr="0049859F">
              <w:rPr>
                <w:rFonts w:ascii="Arial Narrow" w:hAnsi="Arial Narrow"/>
                <w:snapToGrid w:val="0"/>
                <w:sz w:val="20"/>
                <w:szCs w:val="20"/>
              </w:rPr>
              <w:t>achieve </w:t>
            </w:r>
            <w:r w:rsidRPr="3C70BCCA">
              <w:rPr>
                <w:rFonts w:ascii="Arial Narrow" w:hAnsi="Arial Narrow"/>
                <w:snapToGrid w:val="0"/>
                <w:sz w:val="20"/>
                <w:szCs w:val="20"/>
              </w:rPr>
              <w:t>response</w:t>
            </w:r>
            <w:r w:rsidR="5BA9DDAD" w:rsidRPr="5558C827">
              <w:rPr>
                <w:rFonts w:ascii="Arial Narrow" w:hAnsi="Arial Narrow"/>
                <w:snapToGrid w:val="0"/>
                <w:sz w:val="20"/>
                <w:szCs w:val="20"/>
              </w:rPr>
              <w:t xml:space="preserve"> to</w:t>
            </w:r>
            <w:r w:rsidRPr="3C70BCCA">
              <w:rPr>
                <w:rFonts w:ascii="Arial Narrow" w:hAnsi="Arial Narrow"/>
                <w:snapToGrid w:val="0"/>
                <w:sz w:val="20"/>
                <w:szCs w:val="20"/>
              </w:rPr>
              <w:t> </w:t>
            </w:r>
            <w:r w:rsidR="5BA9DDAD" w:rsidRPr="617C38D0">
              <w:rPr>
                <w:rFonts w:ascii="Arial Narrow" w:hAnsi="Arial Narrow"/>
                <w:snapToGrid w:val="0"/>
                <w:sz w:val="20"/>
                <w:szCs w:val="20"/>
              </w:rPr>
              <w:t>prior</w:t>
            </w:r>
            <w:r w:rsidRPr="007F3DF7">
              <w:rPr>
                <w:rFonts w:ascii="Arial Narrow" w:hAnsi="Arial Narrow"/>
                <w:snapToGrid w:val="0"/>
                <w:sz w:val="20"/>
                <w:szCs w:val="20"/>
              </w:rPr>
              <w:t xml:space="preserve"> treatment with that drug within the same treatment cycle. </w:t>
            </w:r>
          </w:p>
          <w:p w14:paraId="51235D92"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Within the same treatment cycle a patient may alternate between therapy with any biological medicine of their choice (1 at a time) providing: </w:t>
            </w:r>
          </w:p>
          <w:p w14:paraId="54C98587"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 they have not received PBS-subsidised treatment with that </w:t>
            </w:r>
            <w:proofErr w:type="gramStart"/>
            <w:r w:rsidRPr="007F3DF7">
              <w:rPr>
                <w:rFonts w:ascii="Arial Narrow" w:hAnsi="Arial Narrow"/>
                <w:snapToGrid w:val="0"/>
                <w:sz w:val="20"/>
                <w:szCs w:val="20"/>
              </w:rPr>
              <w:t>particular biological</w:t>
            </w:r>
            <w:proofErr w:type="gramEnd"/>
            <w:r w:rsidRPr="007F3DF7">
              <w:rPr>
                <w:rFonts w:ascii="Arial Narrow" w:hAnsi="Arial Narrow"/>
                <w:snapToGrid w:val="0"/>
                <w:sz w:val="20"/>
                <w:szCs w:val="20"/>
              </w:rPr>
              <w:t> medicine previously; or </w:t>
            </w:r>
          </w:p>
          <w:p w14:paraId="52145D90"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(ii) they have demonstrated an adequate response to that </w:t>
            </w:r>
            <w:proofErr w:type="gramStart"/>
            <w:r w:rsidRPr="007F3DF7">
              <w:rPr>
                <w:rFonts w:ascii="Arial Narrow" w:hAnsi="Arial Narrow"/>
                <w:snapToGrid w:val="0"/>
                <w:sz w:val="20"/>
                <w:szCs w:val="20"/>
              </w:rPr>
              <w:t>particular biological</w:t>
            </w:r>
            <w:proofErr w:type="gramEnd"/>
            <w:r w:rsidRPr="007F3DF7">
              <w:rPr>
                <w:rFonts w:ascii="Arial Narrow" w:hAnsi="Arial Narrow"/>
                <w:snapToGrid w:val="0"/>
                <w:sz w:val="20"/>
                <w:szCs w:val="20"/>
              </w:rPr>
              <w:t> medicine if they have previously trialled it on the PBS; and </w:t>
            </w:r>
          </w:p>
          <w:p w14:paraId="72564F20"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(iii) they have not previously ceased to respond to treatment with all 2 biological medicines in this treatment cycle. </w:t>
            </w:r>
          </w:p>
          <w:p w14:paraId="74267B74"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(5) Re-commencement of a new treatment cycle after a treatment break in PBS-subsidised therapy: </w:t>
            </w:r>
          </w:p>
          <w:p w14:paraId="035B02A9"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A patient who wishes to trial a second or subsequent new treatment cycle, following a mandatory break in PBS-subsidised therapy of at least 12 months (in patients who have not achieved or ceased to sustain a response to treatment 2 times within a treatment cycle), must re-qualify through an Initial 1 restriction. </w:t>
            </w:r>
          </w:p>
          <w:p w14:paraId="5581C810" w14:textId="77777777" w:rsidR="007F3DF7" w:rsidRPr="007F3DF7" w:rsidRDefault="007F3DF7" w:rsidP="00135EE0">
            <w:pPr>
              <w:rPr>
                <w:rFonts w:ascii="Arial Narrow" w:hAnsi="Arial Narrow"/>
                <w:snapToGrid w:val="0"/>
                <w:sz w:val="20"/>
                <w:szCs w:val="20"/>
              </w:rPr>
            </w:pPr>
            <w:r w:rsidRPr="007F3DF7">
              <w:rPr>
                <w:rFonts w:ascii="Arial Narrow" w:hAnsi="Arial Narrow"/>
                <w:snapToGrid w:val="0"/>
                <w:sz w:val="20"/>
                <w:szCs w:val="20"/>
              </w:rPr>
              <w:t> </w:t>
            </w:r>
          </w:p>
        </w:tc>
      </w:tr>
    </w:tbl>
    <w:p w14:paraId="5FE25477" w14:textId="77777777" w:rsidR="007F3DF7" w:rsidRPr="007F3DF7" w:rsidRDefault="007F3DF7" w:rsidP="00135EE0">
      <w:pPr>
        <w:rPr>
          <w:rFonts w:asciiTheme="minorHAnsi" w:hAnsiTheme="minorHAnsi"/>
          <w:bCs/>
          <w:snapToGrid w:val="0"/>
        </w:rPr>
      </w:pPr>
      <w:r w:rsidRPr="007F3DF7">
        <w:rPr>
          <w:rFonts w:asciiTheme="minorHAnsi" w:hAnsiTheme="minorHAnsi"/>
          <w:bCs/>
          <w:snapToGrid w:val="0"/>
        </w:rPr>
        <w:lastRenderedPageBreak/>
        <w:t> </w:t>
      </w:r>
    </w:p>
    <w:p w14:paraId="343B9F21" w14:textId="75475978" w:rsidR="008E48E9" w:rsidRPr="00A05965" w:rsidRDefault="65E0462B" w:rsidP="00135EE0">
      <w:pPr>
        <w:pStyle w:val="3-BodyText"/>
      </w:pPr>
      <w:bookmarkStart w:id="187" w:name="_Ref224719368"/>
      <w:r w:rsidRPr="00A05965">
        <w:t>Flow on changes to all P</w:t>
      </w:r>
      <w:r w:rsidRPr="16667453">
        <w:t>BS-subsidised biological medicine</w:t>
      </w:r>
      <w:r w:rsidRPr="00A05965">
        <w:t xml:space="preserve"> listed for </w:t>
      </w:r>
      <w:r w:rsidR="289774FC" w:rsidRPr="16667453">
        <w:t xml:space="preserve">nasal polyps, uncontrolled severe allergic asthma, and uncontrolled severe asthma to prevent </w:t>
      </w:r>
      <w:r w:rsidR="009E5E8D" w:rsidRPr="16667453">
        <w:t>concomitant</w:t>
      </w:r>
      <w:r w:rsidR="289774FC" w:rsidRPr="16667453">
        <w:t xml:space="preserve"> therapy with another </w:t>
      </w:r>
      <w:r w:rsidR="009E5E8D" w:rsidRPr="16667453">
        <w:t>biologic</w:t>
      </w:r>
      <w:r w:rsidR="289774FC" w:rsidRPr="16667453">
        <w:t xml:space="preserve"> listed for these indications including uncontrolled COPD.</w:t>
      </w:r>
      <w:bookmarkEnd w:id="187"/>
    </w:p>
    <w:p w14:paraId="4F26D547" w14:textId="10982633" w:rsidR="008E48E9" w:rsidRDefault="0FD70B54" w:rsidP="00135EE0">
      <w:pPr>
        <w:spacing w:before="120"/>
      </w:pPr>
      <w:r w:rsidRPr="16667453">
        <w:t xml:space="preserve">Amend the following clinical criterion </w:t>
      </w:r>
      <w:r w:rsidR="000167D5">
        <w:t>with the addition of the text in italics</w:t>
      </w:r>
      <w:r w:rsidRPr="16667453">
        <w:t xml:space="preserve">: </w:t>
      </w:r>
    </w:p>
    <w:tbl>
      <w:tblPr>
        <w:tblW w:w="0" w:type="auto"/>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Flow on changes to all PBS-subsidised biological medicine listed for nasal polyps, uncontrolled severe allergic asthma, and uncontrolled severe asthma to prevent concomitant therapy with another biologic listed for these indications including uncontrolled COPD"/>
      </w:tblPr>
      <w:tblGrid>
        <w:gridCol w:w="1567"/>
        <w:gridCol w:w="7459"/>
      </w:tblGrid>
      <w:tr w:rsidR="00F75BF5" w14:paraId="6A7F6F24" w14:textId="77777777" w:rsidTr="00A229EC">
        <w:trPr>
          <w:trHeight w:val="300"/>
        </w:trPr>
        <w:tc>
          <w:tcPr>
            <w:tcW w:w="1567" w:type="dxa"/>
            <w:tcBorders>
              <w:top w:val="single" w:sz="6" w:space="0" w:color="auto"/>
              <w:left w:val="single" w:sz="6" w:space="0" w:color="auto"/>
              <w:bottom w:val="single" w:sz="6" w:space="0" w:color="auto"/>
              <w:right w:val="single" w:sz="6" w:space="0" w:color="auto"/>
            </w:tcBorders>
            <w:vAlign w:val="center"/>
          </w:tcPr>
          <w:p w14:paraId="5FA98B14" w14:textId="067ED375" w:rsidR="16667453" w:rsidRDefault="16667453" w:rsidP="00135EE0">
            <w:pPr>
              <w:jc w:val="center"/>
              <w:rPr>
                <w:rFonts w:ascii="Arial Narrow" w:hAnsi="Arial Narrow"/>
                <w:sz w:val="20"/>
                <w:szCs w:val="20"/>
              </w:rPr>
            </w:pPr>
          </w:p>
        </w:tc>
        <w:tc>
          <w:tcPr>
            <w:tcW w:w="7459" w:type="dxa"/>
            <w:tcBorders>
              <w:top w:val="single" w:sz="6" w:space="0" w:color="auto"/>
              <w:left w:val="single" w:sz="6" w:space="0" w:color="auto"/>
              <w:bottom w:val="single" w:sz="6" w:space="0" w:color="auto"/>
              <w:right w:val="single" w:sz="6" w:space="0" w:color="auto"/>
            </w:tcBorders>
            <w:vAlign w:val="center"/>
          </w:tcPr>
          <w:p w14:paraId="24DC3B06" w14:textId="77777777" w:rsidR="16667453" w:rsidRDefault="16667453" w:rsidP="00135EE0">
            <w:pPr>
              <w:rPr>
                <w:rFonts w:ascii="Arial Narrow" w:hAnsi="Arial Narrow"/>
                <w:sz w:val="20"/>
                <w:szCs w:val="20"/>
              </w:rPr>
            </w:pPr>
            <w:r w:rsidRPr="16667453">
              <w:rPr>
                <w:rFonts w:ascii="Arial Narrow" w:hAnsi="Arial Narrow"/>
                <w:b/>
                <w:bCs/>
                <w:sz w:val="20"/>
                <w:szCs w:val="20"/>
              </w:rPr>
              <w:t>Clinical criteria:</w:t>
            </w:r>
            <w:r w:rsidRPr="16667453">
              <w:rPr>
                <w:rFonts w:ascii="Arial Narrow" w:hAnsi="Arial Narrow"/>
                <w:sz w:val="20"/>
                <w:szCs w:val="20"/>
              </w:rPr>
              <w:t> </w:t>
            </w:r>
          </w:p>
        </w:tc>
      </w:tr>
      <w:tr w:rsidR="00F75BF5" w14:paraId="05DEFA75" w14:textId="77777777" w:rsidTr="00A229EC">
        <w:trPr>
          <w:trHeight w:val="300"/>
        </w:trPr>
        <w:tc>
          <w:tcPr>
            <w:tcW w:w="1567" w:type="dxa"/>
            <w:tcBorders>
              <w:top w:val="single" w:sz="6" w:space="0" w:color="auto"/>
              <w:left w:val="single" w:sz="6" w:space="0" w:color="auto"/>
              <w:bottom w:val="single" w:sz="6" w:space="0" w:color="auto"/>
              <w:right w:val="single" w:sz="6" w:space="0" w:color="auto"/>
            </w:tcBorders>
            <w:vAlign w:val="center"/>
          </w:tcPr>
          <w:p w14:paraId="39387828" w14:textId="620A6548" w:rsidR="16667453" w:rsidRDefault="16667453" w:rsidP="00135EE0">
            <w:pPr>
              <w:jc w:val="center"/>
              <w:rPr>
                <w:rFonts w:ascii="Arial Narrow" w:hAnsi="Arial Narrow"/>
                <w:sz w:val="20"/>
                <w:szCs w:val="20"/>
              </w:rPr>
            </w:pPr>
          </w:p>
        </w:tc>
        <w:tc>
          <w:tcPr>
            <w:tcW w:w="7459" w:type="dxa"/>
            <w:tcBorders>
              <w:top w:val="single" w:sz="6" w:space="0" w:color="auto"/>
              <w:left w:val="single" w:sz="6" w:space="0" w:color="auto"/>
              <w:bottom w:val="single" w:sz="6" w:space="0" w:color="auto"/>
              <w:right w:val="single" w:sz="6" w:space="0" w:color="auto"/>
            </w:tcBorders>
            <w:vAlign w:val="center"/>
          </w:tcPr>
          <w:p w14:paraId="26F7B517" w14:textId="785A5ABA" w:rsidR="16667453" w:rsidRDefault="16667453" w:rsidP="00135EE0">
            <w:pPr>
              <w:rPr>
                <w:rFonts w:ascii="Arial Narrow" w:eastAsia="Arial Narrow" w:hAnsi="Arial Narrow" w:cs="Arial Narrow"/>
                <w:sz w:val="20"/>
                <w:szCs w:val="20"/>
              </w:rPr>
            </w:pPr>
            <w:r w:rsidRPr="16667453">
              <w:rPr>
                <w:rFonts w:ascii="Arial Narrow" w:hAnsi="Arial Narrow"/>
                <w:sz w:val="20"/>
                <w:szCs w:val="20"/>
              </w:rPr>
              <w:t xml:space="preserve">The treatment must not be used in combination with and within 4 weeks of another PBS-subsidised biological medicine prescribed for any of: (i) nasal polyps, (ii) uncontrolled severe allergic asthma, (iii) uncontrolled severe asthma, </w:t>
            </w:r>
            <w:r w:rsidRPr="007D77B4">
              <w:rPr>
                <w:rFonts w:ascii="Arial Narrow" w:eastAsia="Arial Narrow" w:hAnsi="Arial Narrow" w:cs="Arial Narrow"/>
                <w:sz w:val="20"/>
                <w:szCs w:val="20"/>
              </w:rPr>
              <w:t>(</w:t>
            </w:r>
            <w:r w:rsidRPr="007D77B4">
              <w:rPr>
                <w:rFonts w:ascii="Arial Narrow" w:eastAsia="Arial Narrow" w:hAnsi="Arial Narrow" w:cs="Arial Narrow"/>
                <w:i/>
                <w:sz w:val="20"/>
                <w:szCs w:val="20"/>
              </w:rPr>
              <w:t>iv) uncontrolled chronic obstructive pulmonary disease</w:t>
            </w:r>
            <w:r w:rsidRPr="00DD1F49">
              <w:rPr>
                <w:rFonts w:ascii="Arial Narrow" w:eastAsia="Arial Narrow" w:hAnsi="Arial Narrow" w:cs="Arial Narrow"/>
                <w:i/>
                <w:sz w:val="20"/>
                <w:szCs w:val="20"/>
              </w:rPr>
              <w:t>.</w:t>
            </w:r>
          </w:p>
        </w:tc>
      </w:tr>
    </w:tbl>
    <w:p w14:paraId="4615E852" w14:textId="220071D5" w:rsidR="008E48E9" w:rsidRDefault="008E48E9" w:rsidP="00135EE0">
      <w:pPr>
        <w:spacing w:before="120"/>
      </w:pPr>
    </w:p>
    <w:p w14:paraId="3C9C30D4" w14:textId="77777777" w:rsidR="008E48E9" w:rsidRDefault="008E48E9" w:rsidP="00135EE0">
      <w:pPr>
        <w:spacing w:before="120" w:line="259" w:lineRule="auto"/>
        <w:rPr>
          <w:rFonts w:asciiTheme="minorHAnsi" w:hAnsiTheme="minorHAnsi"/>
          <w:b/>
          <w:i/>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4FE76E75" w14:textId="3FB8FDE4" w:rsidR="00B04121" w:rsidRPr="00061CBE" w:rsidRDefault="00B04121" w:rsidP="00B04121">
      <w:pPr>
        <w:pStyle w:val="2-SectionHeading"/>
        <w:rPr>
          <w:lang w:val="en-GB"/>
        </w:rPr>
      </w:pPr>
      <w:r>
        <w:t>9</w:t>
      </w:r>
      <w:r w:rsidRPr="00061CBE">
        <w:tab/>
        <w:t>Context for Decision</w:t>
      </w:r>
    </w:p>
    <w:p w14:paraId="7C854F6C" w14:textId="77777777" w:rsidR="00B04121" w:rsidRPr="00061CBE" w:rsidRDefault="00B04121" w:rsidP="00B04121">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144E908" w14:textId="3EBFC612" w:rsidR="00B04121" w:rsidRPr="00061CBE" w:rsidRDefault="00B04121" w:rsidP="00B04121">
      <w:pPr>
        <w:pStyle w:val="2-SectionHeading"/>
      </w:pPr>
      <w:r>
        <w:t>10</w:t>
      </w:r>
      <w:r w:rsidRPr="00061CBE">
        <w:tab/>
        <w:t>Sponsor’s Comment</w:t>
      </w:r>
    </w:p>
    <w:p w14:paraId="6615ECBD" w14:textId="7469A4FE" w:rsidR="00B04121" w:rsidRDefault="006D7DFA" w:rsidP="003C172C">
      <w:pPr>
        <w:ind w:left="720"/>
        <w:rPr>
          <w:bCs/>
        </w:rPr>
      </w:pPr>
      <w:r w:rsidRPr="00737FA7">
        <w:rPr>
          <w:bCs/>
          <w:lang w:val="en"/>
        </w:rPr>
        <w:t>GSK welcomes the PBAC's recommendation to list mepolizumab (NUCALA®) on the PBS as an add-on maintenance treatment for adults with uncontrolled chronic obstructive pulmonary disease (COPD) and type 2 inflammation (defined by the submission as blood eosinophil count (BEC) ≥ 300 cells/µL). GSK is working through the conditions of the recommendation.</w:t>
      </w:r>
    </w:p>
    <w:p w14:paraId="156820D2" w14:textId="77777777" w:rsidR="008E48E9" w:rsidRPr="00907671" w:rsidRDefault="008E48E9" w:rsidP="00135EE0">
      <w:pPr>
        <w:spacing w:before="120"/>
        <w:rPr>
          <w:rFonts w:asciiTheme="minorHAnsi" w:hAnsiTheme="minorHAnsi"/>
          <w:b/>
          <w:i/>
          <w:iCs/>
          <w:snapToGrid w:val="0"/>
          <w:lang w:val="en-GB"/>
        </w:rPr>
      </w:pPr>
    </w:p>
    <w:bookmarkEnd w:id="1"/>
    <w:bookmarkEnd w:id="2"/>
    <w:bookmarkEnd w:id="3"/>
    <w:bookmarkEnd w:id="4"/>
    <w:bookmarkEnd w:id="5"/>
    <w:bookmarkEnd w:id="180"/>
    <w:p w14:paraId="07C95BC1" w14:textId="15EAA4A8" w:rsidR="00BD078A" w:rsidRPr="00E46EAC" w:rsidRDefault="00BD078A" w:rsidP="00135EE0">
      <w:pPr>
        <w:jc w:val="left"/>
        <w:rPr>
          <w:rFonts w:asciiTheme="minorHAnsi" w:eastAsiaTheme="majorEastAsia" w:hAnsiTheme="minorHAnsi" w:cstheme="majorBidi"/>
          <w:b/>
          <w:color w:val="000000" w:themeColor="text1"/>
        </w:rPr>
      </w:pPr>
    </w:p>
    <w:sectPr w:rsidR="00BD078A" w:rsidRPr="00E46EAC" w:rsidSect="002F364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03AF" w14:textId="77777777" w:rsidR="002013E5" w:rsidRDefault="002013E5" w:rsidP="00124A51">
      <w:r>
        <w:separator/>
      </w:r>
    </w:p>
    <w:p w14:paraId="5036088C" w14:textId="77777777" w:rsidR="002013E5" w:rsidRDefault="002013E5"/>
  </w:endnote>
  <w:endnote w:type="continuationSeparator" w:id="0">
    <w:p w14:paraId="506F2585" w14:textId="77777777" w:rsidR="002013E5" w:rsidRDefault="002013E5" w:rsidP="00124A51">
      <w:r>
        <w:continuationSeparator/>
      </w:r>
    </w:p>
    <w:p w14:paraId="52FF4405" w14:textId="77777777" w:rsidR="002013E5" w:rsidRDefault="0020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New">
    <w:charset w:val="00"/>
    <w:family w:val="modern"/>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B522" w14:textId="505BD214" w:rsidR="008A7387" w:rsidRDefault="00552F74">
    <w:pPr>
      <w:pStyle w:val="Footer"/>
    </w:pPr>
    <w:r>
      <w:rPr>
        <w:noProof/>
      </w:rPr>
      <mc:AlternateContent>
        <mc:Choice Requires="wps">
          <w:drawing>
            <wp:anchor distT="0" distB="0" distL="0" distR="0" simplePos="0" relativeHeight="251658244" behindDoc="0" locked="0" layoutInCell="1" allowOverlap="1" wp14:anchorId="6D972221" wp14:editId="46AA6C02">
              <wp:simplePos x="635" y="635"/>
              <wp:positionH relativeFrom="page">
                <wp:align>center</wp:align>
              </wp:positionH>
              <wp:positionV relativeFrom="page">
                <wp:align>bottom</wp:align>
              </wp:positionV>
              <wp:extent cx="1261745" cy="376555"/>
              <wp:effectExtent l="0" t="0" r="14605" b="0"/>
              <wp:wrapNone/>
              <wp:docPr id="813897980"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14FBAB93" w14:textId="15F1D05D"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72221"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99.3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HEDwIAAB0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Kzod299BfcKpHAwL95avWyy9YT48M4cbxkFQ&#10;teEJD6mgqyicLUoacD/+5o/5SDxGKelQMRU1KGlK1DeDC4niGg03GrtkFJ/zWY5xc9D3gDos8ElY&#10;nkz0uqBGUzrQr6jnVSyEIWY4lqvobjTvwyBdfA9crFYpCXVkWdiYreUROtIVuXzpX5mzZ8IDruoR&#10;Rjmx8g3vQ2686e3qEJD9tJRI7UDkmXHUYFrr+b1Ekf/6n7Kur3r5Ew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FVAYcQPAgAA&#10;HQQAAA4AAAAAAAAAAAAAAAAALgIAAGRycy9lMm9Eb2MueG1sUEsBAi0AFAAGAAgAAAAhAH9+7tfb&#10;AAAABAEAAA8AAAAAAAAAAAAAAAAAaQQAAGRycy9kb3ducmV2LnhtbFBLBQYAAAAABAAEAPMAAABx&#10;BQAAAAA=&#10;" filled="f" stroked="f">
              <v:textbox style="mso-fit-shape-to-text:t" inset="0,0,0,15pt">
                <w:txbxContent>
                  <w:p w14:paraId="14FBAB93" w14:textId="15F1D05D"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0324" w14:textId="45D5F376" w:rsidR="00A05A9D" w:rsidRDefault="00A05A9D" w:rsidP="00197F07">
    <w:pPr>
      <w:pStyle w:val="PageFooter"/>
      <w:numPr>
        <w:ilvl w:val="0"/>
        <w:numId w:val="0"/>
      </w:numPr>
      <w:tabs>
        <w:tab w:val="clear" w:pos="4153"/>
        <w:tab w:val="clear" w:pos="4513"/>
        <w:tab w:val="clear" w:pos="8306"/>
        <w:tab w:val="clear" w:pos="9026"/>
      </w:tabs>
      <w:rPr>
        <w:b w:val="0"/>
        <w:bCs/>
      </w:rPr>
    </w:pPr>
  </w:p>
  <w:p w14:paraId="4CF91411" w14:textId="01F59E20" w:rsidR="00443FC4" w:rsidRPr="003E764F" w:rsidRDefault="002013E5" w:rsidP="00197F07">
    <w:pPr>
      <w:pStyle w:val="PageFooter"/>
      <w:numPr>
        <w:ilvl w:val="0"/>
        <w:numId w:val="0"/>
      </w:numPr>
      <w:tabs>
        <w:tab w:val="clear" w:pos="4153"/>
        <w:tab w:val="clear" w:pos="4513"/>
        <w:tab w:val="clear" w:pos="8306"/>
        <w:tab w:val="clear" w:pos="9026"/>
      </w:tabs>
    </w:pPr>
    <w:sdt>
      <w:sdtPr>
        <w:id w:val="95305280"/>
        <w:docPartObj>
          <w:docPartGallery w:val="Page Numbers (Bottom of Page)"/>
          <w:docPartUnique/>
        </w:docPartObj>
      </w:sdtPr>
      <w:sdtEndPr>
        <w:rPr>
          <w:noProof/>
        </w:rPr>
      </w:sdtEndPr>
      <w:sdtContent>
        <w:r w:rsidR="00443FC4" w:rsidRPr="003E764F">
          <w:fldChar w:fldCharType="begin"/>
        </w:r>
        <w:r w:rsidR="00443FC4" w:rsidRPr="003E764F">
          <w:instrText xml:space="preserve"> PAGE   \* MERGEFORMAT </w:instrText>
        </w:r>
        <w:r w:rsidR="00443FC4" w:rsidRPr="003E764F">
          <w:fldChar w:fldCharType="separate"/>
        </w:r>
        <w:r w:rsidR="00443FC4" w:rsidRPr="003E764F">
          <w:rPr>
            <w:noProof/>
          </w:rPr>
          <w:t>2</w:t>
        </w:r>
        <w:r w:rsidR="00443FC4" w:rsidRPr="003E764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12F" w14:textId="16FE331E" w:rsidR="008A7387" w:rsidRDefault="00552F74">
    <w:pPr>
      <w:pStyle w:val="Footer"/>
    </w:pPr>
    <w:r>
      <w:rPr>
        <w:noProof/>
      </w:rPr>
      <mc:AlternateContent>
        <mc:Choice Requires="wps">
          <w:drawing>
            <wp:anchor distT="0" distB="0" distL="0" distR="0" simplePos="0" relativeHeight="251658243" behindDoc="0" locked="0" layoutInCell="1" allowOverlap="1" wp14:anchorId="30FBC058" wp14:editId="75122C3A">
              <wp:simplePos x="635" y="635"/>
              <wp:positionH relativeFrom="page">
                <wp:align>center</wp:align>
              </wp:positionH>
              <wp:positionV relativeFrom="page">
                <wp:align>bottom</wp:align>
              </wp:positionV>
              <wp:extent cx="1261745" cy="376555"/>
              <wp:effectExtent l="0" t="0" r="14605" b="0"/>
              <wp:wrapNone/>
              <wp:docPr id="134716055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61897114" w14:textId="70C3FD54"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BC058"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99.3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" filled="f" stroked="f">
              <v:textbox style="mso-fit-shape-to-text:t" inset="0,0,0,15pt">
                <w:txbxContent>
                  <w:p w14:paraId="61897114" w14:textId="70C3FD54"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7BB1" w14:textId="77777777" w:rsidR="002013E5" w:rsidRDefault="002013E5">
      <w:r>
        <w:separator/>
      </w:r>
    </w:p>
  </w:footnote>
  <w:footnote w:type="continuationSeparator" w:id="0">
    <w:p w14:paraId="48996357" w14:textId="77777777" w:rsidR="002013E5" w:rsidRDefault="002013E5" w:rsidP="00124A51">
      <w:r>
        <w:continuationSeparator/>
      </w:r>
    </w:p>
    <w:p w14:paraId="3F84DDAB" w14:textId="77777777" w:rsidR="002013E5" w:rsidRDefault="002013E5"/>
  </w:footnote>
  <w:footnote w:id="1">
    <w:p w14:paraId="5E2C1BE4" w14:textId="77777777" w:rsidR="008531AE" w:rsidRPr="00107DB9" w:rsidRDefault="008531AE" w:rsidP="003338A0">
      <w:pPr>
        <w:pStyle w:val="TableFigureFooter"/>
      </w:pPr>
      <w:r w:rsidRPr="00107DB9">
        <w:rPr>
          <w:rStyle w:val="FootnoteReference"/>
        </w:rPr>
        <w:footnoteRef/>
      </w:r>
      <w:r w:rsidRPr="00107DB9">
        <w:t xml:space="preserve"> Global Initiative for Chronic Obstructive Lung Disease. 2025. https://goldcopd.org/2026-gold-report-and-pocket-guide</w:t>
      </w:r>
    </w:p>
  </w:footnote>
  <w:footnote w:id="2">
    <w:p w14:paraId="5D36DB88" w14:textId="77777777" w:rsidR="008531AE" w:rsidRDefault="008531AE" w:rsidP="003338A0">
      <w:pPr>
        <w:pStyle w:val="TableFigureFooter"/>
      </w:pPr>
      <w:r>
        <w:rPr>
          <w:rStyle w:val="FootnoteReference"/>
        </w:rPr>
        <w:footnoteRef/>
      </w:r>
      <w:r>
        <w:t xml:space="preserve"> </w:t>
      </w:r>
      <w:r w:rsidRPr="00BF2BB1">
        <w:t>Global Initiative for Chronic Obstructive Lung Disease. 202</w:t>
      </w:r>
      <w:r>
        <w:t>4</w:t>
      </w:r>
      <w:r w:rsidRPr="00BF2BB1">
        <w:t xml:space="preserve">. </w:t>
      </w:r>
      <w:r w:rsidRPr="00B822FE">
        <w:t>https://goldcopd.org/wp-content/uploads/2024/11/GOLD-2025-Report-v1.0-15Nov2024_WMV.pdf</w:t>
      </w:r>
      <w:r w:rsidRPr="00BF2BB1">
        <w:t xml:space="preserve"> p</w:t>
      </w:r>
      <w:r>
        <w:t>110</w:t>
      </w:r>
    </w:p>
  </w:footnote>
  <w:footnote w:id="3">
    <w:p w14:paraId="040431FE" w14:textId="77777777" w:rsidR="00B55448" w:rsidRDefault="00B55448" w:rsidP="00B55448">
      <w:pPr>
        <w:pStyle w:val="FootnoteText"/>
      </w:pPr>
      <w:r>
        <w:rPr>
          <w:rStyle w:val="FootnoteReference"/>
        </w:rPr>
        <w:footnoteRef/>
      </w:r>
      <w:r>
        <w:t xml:space="preserve"> </w:t>
      </w:r>
      <w:r w:rsidRPr="004E7E4B">
        <w:rPr>
          <w:i/>
          <w:iCs/>
        </w:rPr>
        <w:t>Note that the results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4">
    <w:p w14:paraId="312079B3" w14:textId="669767D7" w:rsidR="008E6B86" w:rsidRDefault="008E6B86">
      <w:pPr>
        <w:pStyle w:val="FootnoteText"/>
      </w:pPr>
      <w:r>
        <w:rPr>
          <w:rStyle w:val="FootnoteReference"/>
        </w:rPr>
        <w:footnoteRef/>
      </w:r>
      <w:r>
        <w:t xml:space="preserve"> </w:t>
      </w:r>
      <w:r w:rsidRPr="00EC405B">
        <w:rPr>
          <w:i/>
          <w:iCs/>
        </w:rPr>
        <w:t>Note that p values ha</w:t>
      </w:r>
      <w:r w:rsidR="00327E9D" w:rsidRPr="00EC405B">
        <w:rPr>
          <w:i/>
          <w:iCs/>
        </w:rPr>
        <w:t>ve</w:t>
      </w:r>
      <w:r w:rsidRPr="00EC405B">
        <w:rPr>
          <w:i/>
          <w:iCs/>
        </w:rPr>
        <w:t xml:space="preserve"> not been adjusted for multiplicity</w:t>
      </w:r>
    </w:p>
  </w:footnote>
  <w:footnote w:id="5">
    <w:p w14:paraId="7E9C6BA7" w14:textId="77777777" w:rsidR="008531AE" w:rsidRPr="00F3653F" w:rsidRDefault="008531AE" w:rsidP="003338A0">
      <w:pPr>
        <w:pStyle w:val="TableFigureFooter"/>
      </w:pPr>
      <w:r w:rsidRPr="00F3653F">
        <w:rPr>
          <w:rStyle w:val="FootnoteReference"/>
          <w:rFonts w:cs="Calibri"/>
        </w:rPr>
        <w:footnoteRef/>
      </w:r>
      <w:r w:rsidRPr="00F3653F">
        <w:t xml:space="preserve"> Bhatt SP, Freemantle N, Soliman M, Heble J, Cabon Y, Mayen Herrera E, Yang J, Xu Y. Dupilumab Versus Mepolizumab for COPD: Evaluating Efficacy Outcomes Using Placebo-Adjusted Indirect Treatment Comparison. Pulmonary Therapy. 2025 Sep 26:1-7.</w:t>
      </w:r>
    </w:p>
  </w:footnote>
  <w:footnote w:id="6">
    <w:p w14:paraId="51DADB3B" w14:textId="77777777" w:rsidR="008531AE" w:rsidRPr="00F3653F" w:rsidRDefault="008531AE" w:rsidP="003338A0">
      <w:pPr>
        <w:pStyle w:val="TableFigureFooter"/>
      </w:pPr>
      <w:r w:rsidRPr="00F3653F">
        <w:rPr>
          <w:rStyle w:val="FootnoteReference"/>
          <w:rFonts w:cs="Calibri"/>
        </w:rPr>
        <w:footnoteRef/>
      </w:r>
      <w:r w:rsidRPr="00F3653F">
        <w:t xml:space="preserve"> Suter P, Greig R, Chan R, </w:t>
      </w:r>
      <w:proofErr w:type="spellStart"/>
      <w:r w:rsidRPr="00F3653F">
        <w:t>Lipworth</w:t>
      </w:r>
      <w:proofErr w:type="spellEnd"/>
      <w:r w:rsidRPr="00F3653F">
        <w:t xml:space="preserve"> B. Efficacy of dupilumab and mepolizumab in eosinophilic COPD: insights from phase 3 trials. Respiratory Medicine. 2025 Sep 5:108343. </w:t>
      </w:r>
    </w:p>
  </w:footnote>
  <w:footnote w:id="7">
    <w:p w14:paraId="2DCAF672" w14:textId="6AA076E7" w:rsidR="000A2043" w:rsidRDefault="000A2043">
      <w:pPr>
        <w:pStyle w:val="FootnoteText"/>
      </w:pPr>
      <w:r>
        <w:rPr>
          <w:rStyle w:val="FootnoteReference"/>
        </w:rPr>
        <w:footnoteRef/>
      </w:r>
      <w:r>
        <w:t xml:space="preserve"> </w:t>
      </w:r>
      <w:r w:rsidRPr="00FB558B">
        <w:rPr>
          <w:i/>
          <w:iCs/>
        </w:rPr>
        <w:t>Note that these results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rsidRPr="000A2043">
        <w:t xml:space="preserve"> </w:t>
      </w:r>
    </w:p>
  </w:footnote>
  <w:footnote w:id="8">
    <w:p w14:paraId="2FDD2753" w14:textId="77777777" w:rsidR="003524D5" w:rsidRPr="003524D5" w:rsidRDefault="001B7A3B" w:rsidP="003524D5">
      <w:pPr>
        <w:pStyle w:val="FootnoteText"/>
        <w:rPr>
          <w:i/>
          <w:iCs/>
          <w:lang w:val="en"/>
        </w:rPr>
      </w:pPr>
      <w:r>
        <w:rPr>
          <w:rStyle w:val="FootnoteReference"/>
        </w:rPr>
        <w:footnoteRef/>
      </w:r>
      <w:r>
        <w:t xml:space="preserve"> </w:t>
      </w:r>
      <w:r w:rsidR="003524D5" w:rsidRPr="003524D5">
        <w:rPr>
          <w:i/>
          <w:iCs/>
          <w:lang w:val="en"/>
        </w:rPr>
        <w:t xml:space="preserve">Data from METREX, METREO, IMPACT, ELIPSE were limited to subgroup with ≥2 moderate or ≥1 severe exacerbation in the prior year and BEC ≥300 cells/µL while on </w:t>
      </w:r>
      <w:proofErr w:type="spellStart"/>
      <w:r w:rsidR="003524D5" w:rsidRPr="003524D5">
        <w:rPr>
          <w:i/>
          <w:iCs/>
          <w:lang w:val="en"/>
        </w:rPr>
        <w:t>optimised</w:t>
      </w:r>
      <w:proofErr w:type="spellEnd"/>
      <w:r w:rsidR="003524D5" w:rsidRPr="003524D5">
        <w:rPr>
          <w:i/>
          <w:iCs/>
          <w:lang w:val="en"/>
        </w:rPr>
        <w:t xml:space="preserve"> inhaled therapy. Only the mepolizumab dosage of 100mg SC from the METREO trial was included. Note that exacerbation rates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 </w:t>
      </w:r>
    </w:p>
    <w:p w14:paraId="36877582" w14:textId="523A676E" w:rsidR="001B7A3B" w:rsidRDefault="001B7A3B">
      <w:pPr>
        <w:pStyle w:val="FootnoteText"/>
      </w:pPr>
    </w:p>
  </w:footnote>
  <w:footnote w:id="9">
    <w:p w14:paraId="768E2388" w14:textId="77777777" w:rsidR="00BF50CC" w:rsidRPr="001870CD" w:rsidRDefault="00BF50CC" w:rsidP="003338A0">
      <w:pPr>
        <w:pStyle w:val="TableFigureFooter"/>
      </w:pPr>
      <w:r>
        <w:rPr>
          <w:rStyle w:val="FootnoteReference"/>
        </w:rPr>
        <w:footnoteRef/>
      </w:r>
      <w:r>
        <w:t xml:space="preserve"> </w:t>
      </w:r>
      <w:r w:rsidRPr="00797A50">
        <w:t xml:space="preserve">Norman R, Mulhern B, </w:t>
      </w:r>
      <w:proofErr w:type="spellStart"/>
      <w:r w:rsidRPr="00797A50">
        <w:t>Lancsar</w:t>
      </w:r>
      <w:proofErr w:type="spellEnd"/>
      <w:r w:rsidRPr="00797A50">
        <w:t xml:space="preserve"> E, </w:t>
      </w:r>
      <w:proofErr w:type="spellStart"/>
      <w:r w:rsidRPr="00797A50">
        <w:t>Lorgelly</w:t>
      </w:r>
      <w:proofErr w:type="spellEnd"/>
      <w:r w:rsidRPr="00797A50">
        <w:t xml:space="preserve"> P, Ratcliffe J, Street D, Viney R. The Use of a Discrete Choice Experiment Including Both Duration and Dead for the Development of an EQ-5D-5L Value Set for Australia. </w:t>
      </w:r>
      <w:r w:rsidRPr="001870CD">
        <w:t>Pharmacoeconomics. 2023 Apr;41(4): pp427-438</w:t>
      </w:r>
    </w:p>
    <w:p w14:paraId="45F5FD43" w14:textId="77777777" w:rsidR="00BF50CC" w:rsidRPr="001870CD" w:rsidRDefault="00BF50CC" w:rsidP="00BF50CC">
      <w:pPr>
        <w:pStyle w:val="FootnoteText"/>
      </w:pPr>
    </w:p>
  </w:footnote>
  <w:footnote w:id="10">
    <w:p w14:paraId="51B50F43" w14:textId="234C9068" w:rsidR="00D30D4C" w:rsidRDefault="00D30D4C">
      <w:pPr>
        <w:pStyle w:val="FootnoteText"/>
      </w:pPr>
      <w:r w:rsidRPr="007C482B">
        <w:rPr>
          <w:rStyle w:val="TableFigureFooterChar"/>
          <w:vertAlign w:val="superscript"/>
        </w:rPr>
        <w:footnoteRef/>
      </w:r>
      <w:r>
        <w:t xml:space="preserve"> </w:t>
      </w:r>
      <w:r w:rsidR="003C5470" w:rsidRPr="007C482B">
        <w:rPr>
          <w:rStyle w:val="TableFigureFooterChar"/>
        </w:rPr>
        <w:t>Hiles SA, Gibson PG, McDonald VM. Disease burden of eosinophilic airway disease: Comparing severe asthma, COPD and asthma-COPD overlap. Respirology. 2021;26(1):52-61. doi:10.1111/resp.13841</w:t>
      </w:r>
    </w:p>
  </w:footnote>
  <w:footnote w:id="11">
    <w:p w14:paraId="0C326D9D" w14:textId="62ED5DF6" w:rsidR="00B65299" w:rsidRDefault="00B65299">
      <w:pPr>
        <w:pStyle w:val="FootnoteText"/>
      </w:pPr>
      <w:r>
        <w:rPr>
          <w:rStyle w:val="FootnoteReference"/>
        </w:rPr>
        <w:footnoteRef/>
      </w:r>
      <w:r>
        <w:t xml:space="preserve"> </w:t>
      </w:r>
      <w:r w:rsidR="00434EF6">
        <w:rPr>
          <w:i/>
          <w:iCs/>
        </w:rPr>
        <w:t xml:space="preserve">The redacted information is intended for publication in a forthcoming article in European Respiratory Journal Open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F567" w14:textId="7C53EC78" w:rsidR="008A7387" w:rsidRDefault="00552F74">
    <w:pPr>
      <w:pStyle w:val="Header"/>
    </w:pPr>
    <w:r>
      <w:rPr>
        <w:noProof/>
      </w:rPr>
      <mc:AlternateContent>
        <mc:Choice Requires="wps">
          <w:drawing>
            <wp:anchor distT="0" distB="0" distL="0" distR="0" simplePos="0" relativeHeight="251658241" behindDoc="0" locked="0" layoutInCell="1" allowOverlap="1" wp14:anchorId="3AA3C3C9" wp14:editId="31B0E526">
              <wp:simplePos x="635" y="635"/>
              <wp:positionH relativeFrom="page">
                <wp:align>center</wp:align>
              </wp:positionH>
              <wp:positionV relativeFrom="page">
                <wp:align>top</wp:align>
              </wp:positionV>
              <wp:extent cx="1261745" cy="376555"/>
              <wp:effectExtent l="0" t="0" r="14605" b="4445"/>
              <wp:wrapNone/>
              <wp:docPr id="196388704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484A866C" w14:textId="6E13BCEA"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3C3C9"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99.3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UoCwIAABYEAAAOAAAAZHJzL2Uyb0RvYy54bWysU8Fu2zAMvQ/YPwi6L3ayJe2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x0mwxvfk0p4Rj7OPN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" filled="f" stroked="f">
              <v:textbox style="mso-fit-shape-to-text:t" inset="0,15pt,0,0">
                <w:txbxContent>
                  <w:p w14:paraId="484A866C" w14:textId="6E13BCEA"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BA6B" w14:textId="21F89922" w:rsidR="00127A6B" w:rsidRPr="00195452" w:rsidRDefault="00552F74" w:rsidP="00127A6B">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767B4E08" wp14:editId="49CA67C7">
              <wp:simplePos x="635" y="635"/>
              <wp:positionH relativeFrom="page">
                <wp:align>center</wp:align>
              </wp:positionH>
              <wp:positionV relativeFrom="page">
                <wp:align>top</wp:align>
              </wp:positionV>
              <wp:extent cx="1261745" cy="376555"/>
              <wp:effectExtent l="0" t="0" r="14605" b="4445"/>
              <wp:wrapNone/>
              <wp:docPr id="6018407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4C31C8EB" w14:textId="2902308A"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B4E08"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99.3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" filled="f" stroked="f">
              <v:textbox style="mso-fit-shape-to-text:t" inset="0,15pt,0,0">
                <w:txbxContent>
                  <w:p w14:paraId="4C31C8EB" w14:textId="2902308A"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w:t>
                    </w:r>
                  </w:p>
                </w:txbxContent>
              </v:textbox>
              <w10:wrap anchorx="page" anchory="page"/>
            </v:shape>
          </w:pict>
        </mc:Fallback>
      </mc:AlternateContent>
    </w:r>
    <w:r w:rsidR="0082510B">
      <w:rPr>
        <w:rFonts w:asciiTheme="minorHAnsi" w:hAnsiTheme="minorHAnsi"/>
        <w:color w:val="808080"/>
      </w:rPr>
      <w:t>Public Summary Document</w:t>
    </w:r>
    <w:r w:rsidR="00DF7905">
      <w:rPr>
        <w:rFonts w:asciiTheme="minorHAnsi" w:hAnsiTheme="minorHAnsi"/>
        <w:color w:val="808080"/>
      </w:rPr>
      <w:t xml:space="preserve"> </w:t>
    </w:r>
    <w:r w:rsidR="003E764F" w:rsidRPr="00056684">
      <w:rPr>
        <w:rFonts w:asciiTheme="minorHAnsi" w:hAnsiTheme="minorHAnsi"/>
        <w:color w:val="808080"/>
      </w:rPr>
      <w:t xml:space="preserve">– </w:t>
    </w:r>
    <w:r w:rsidR="00127A6B">
      <w:rPr>
        <w:rFonts w:asciiTheme="minorHAnsi" w:hAnsiTheme="minorHAnsi"/>
        <w:color w:val="808080"/>
      </w:rPr>
      <w:t xml:space="preserve">March 2026 </w:t>
    </w:r>
    <w:r w:rsidR="00127A6B" w:rsidRPr="00195452">
      <w:rPr>
        <w:rFonts w:asciiTheme="minorHAnsi" w:hAnsiTheme="minorHAnsi"/>
        <w:color w:val="808080"/>
      </w:rPr>
      <w:t>PBAC Meeting</w:t>
    </w:r>
  </w:p>
  <w:p w14:paraId="07743FA2" w14:textId="77777777" w:rsidR="00127A6B" w:rsidRDefault="00127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28F" w14:textId="13D826C7" w:rsidR="008A7387" w:rsidRDefault="00552F74">
    <w:pPr>
      <w:pStyle w:val="Header"/>
    </w:pPr>
    <w:r>
      <w:rPr>
        <w:noProof/>
      </w:rPr>
      <mc:AlternateContent>
        <mc:Choice Requires="wps">
          <w:drawing>
            <wp:anchor distT="0" distB="0" distL="0" distR="0" simplePos="0" relativeHeight="251658240" behindDoc="0" locked="0" layoutInCell="1" allowOverlap="1" wp14:anchorId="66545A10" wp14:editId="455E4BCD">
              <wp:simplePos x="635" y="635"/>
              <wp:positionH relativeFrom="page">
                <wp:align>center</wp:align>
              </wp:positionH>
              <wp:positionV relativeFrom="page">
                <wp:align>top</wp:align>
              </wp:positionV>
              <wp:extent cx="1261745" cy="376555"/>
              <wp:effectExtent l="0" t="0" r="14605" b="4445"/>
              <wp:wrapNone/>
              <wp:docPr id="320600843"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77F8825D" w14:textId="13AE177C"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45A10"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99.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" filled="f" stroked="f">
              <v:textbox style="mso-fit-shape-to-text:t" inset="0,15pt,0,0">
                <w:txbxContent>
                  <w:p w14:paraId="77F8825D" w14:textId="13AE177C" w:rsidR="00552F74" w:rsidRPr="00552F74" w:rsidRDefault="00552F74" w:rsidP="00552F74">
                    <w:pPr>
                      <w:rPr>
                        <w:rFonts w:ascii="Aptos" w:eastAsia="Aptos" w:hAnsi="Aptos" w:cs="Aptos"/>
                        <w:noProof/>
                        <w:color w:val="FF0000"/>
                      </w:rPr>
                    </w:pPr>
                    <w:r w:rsidRPr="00552F74">
                      <w:rPr>
                        <w:rFonts w:ascii="Aptos" w:eastAsia="Aptos" w:hAnsi="Aptos" w:cs="Aptos"/>
                        <w:noProof/>
                        <w:color w:val="FF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52247A"/>
    <w:multiLevelType w:val="hybridMultilevel"/>
    <w:tmpl w:val="491AD8C2"/>
    <w:lvl w:ilvl="0" w:tplc="1520E9A6">
      <w:start w:val="1"/>
      <w:numFmt w:val="lowerRoman"/>
      <w:lvlText w:val="(%1)"/>
      <w:lvlJc w:val="left"/>
      <w:rPr>
        <w:rFonts w:ascii="Arial Narrow" w:eastAsiaTheme="minorHAnsi" w:hAnsi="Arial Narrow"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BF524C"/>
    <w:multiLevelType w:val="hybridMultilevel"/>
    <w:tmpl w:val="59BA97D4"/>
    <w:lvl w:ilvl="0" w:tplc="89A4E0B6">
      <w:start w:val="1"/>
      <w:numFmt w:val="lowerRoman"/>
      <w:lvlText w:val="(%1)"/>
      <w:lvlJc w:val="left"/>
      <w:pPr>
        <w:ind w:left="663" w:hanging="720"/>
      </w:pPr>
      <w:rPr>
        <w:rFonts w:hint="default"/>
      </w:rPr>
    </w:lvl>
    <w:lvl w:ilvl="1" w:tplc="0C090019" w:tentative="1">
      <w:start w:val="1"/>
      <w:numFmt w:val="lowerLetter"/>
      <w:lvlText w:val="%2."/>
      <w:lvlJc w:val="left"/>
      <w:pPr>
        <w:ind w:left="1023" w:hanging="360"/>
      </w:pPr>
    </w:lvl>
    <w:lvl w:ilvl="2" w:tplc="0C09001B" w:tentative="1">
      <w:start w:val="1"/>
      <w:numFmt w:val="lowerRoman"/>
      <w:lvlText w:val="%3."/>
      <w:lvlJc w:val="right"/>
      <w:pPr>
        <w:ind w:left="1743" w:hanging="180"/>
      </w:pPr>
    </w:lvl>
    <w:lvl w:ilvl="3" w:tplc="0C09000F" w:tentative="1">
      <w:start w:val="1"/>
      <w:numFmt w:val="decimal"/>
      <w:lvlText w:val="%4."/>
      <w:lvlJc w:val="left"/>
      <w:pPr>
        <w:ind w:left="2463" w:hanging="360"/>
      </w:pPr>
    </w:lvl>
    <w:lvl w:ilvl="4" w:tplc="0C090019" w:tentative="1">
      <w:start w:val="1"/>
      <w:numFmt w:val="lowerLetter"/>
      <w:lvlText w:val="%5."/>
      <w:lvlJc w:val="left"/>
      <w:pPr>
        <w:ind w:left="3183" w:hanging="360"/>
      </w:pPr>
    </w:lvl>
    <w:lvl w:ilvl="5" w:tplc="0C09001B" w:tentative="1">
      <w:start w:val="1"/>
      <w:numFmt w:val="lowerRoman"/>
      <w:lvlText w:val="%6."/>
      <w:lvlJc w:val="right"/>
      <w:pPr>
        <w:ind w:left="3903" w:hanging="180"/>
      </w:pPr>
    </w:lvl>
    <w:lvl w:ilvl="6" w:tplc="0C09000F" w:tentative="1">
      <w:start w:val="1"/>
      <w:numFmt w:val="decimal"/>
      <w:lvlText w:val="%7."/>
      <w:lvlJc w:val="left"/>
      <w:pPr>
        <w:ind w:left="4623" w:hanging="360"/>
      </w:pPr>
    </w:lvl>
    <w:lvl w:ilvl="7" w:tplc="0C090019" w:tentative="1">
      <w:start w:val="1"/>
      <w:numFmt w:val="lowerLetter"/>
      <w:lvlText w:val="%8."/>
      <w:lvlJc w:val="left"/>
      <w:pPr>
        <w:ind w:left="5343" w:hanging="360"/>
      </w:pPr>
    </w:lvl>
    <w:lvl w:ilvl="8" w:tplc="0C09001B" w:tentative="1">
      <w:start w:val="1"/>
      <w:numFmt w:val="lowerRoman"/>
      <w:lvlText w:val="%9."/>
      <w:lvlJc w:val="right"/>
      <w:pPr>
        <w:ind w:left="6063" w:hanging="180"/>
      </w:pPr>
    </w:lvl>
  </w:abstractNum>
  <w:abstractNum w:abstractNumId="4" w15:restartNumberingAfterBreak="0">
    <w:nsid w:val="01C9356B"/>
    <w:multiLevelType w:val="hybridMultilevel"/>
    <w:tmpl w:val="DD3A732C"/>
    <w:lvl w:ilvl="0" w:tplc="139460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A80A57"/>
    <w:multiLevelType w:val="multilevel"/>
    <w:tmpl w:val="DC6E04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3213808"/>
    <w:multiLevelType w:val="multilevel"/>
    <w:tmpl w:val="D714CA0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134"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AD06E9"/>
    <w:multiLevelType w:val="multilevel"/>
    <w:tmpl w:val="3092AE4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F7799"/>
    <w:multiLevelType w:val="hybridMultilevel"/>
    <w:tmpl w:val="ED0690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440831"/>
    <w:multiLevelType w:val="hybridMultilevel"/>
    <w:tmpl w:val="C8B2DB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23718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AF03D5"/>
    <w:multiLevelType w:val="multilevel"/>
    <w:tmpl w:val="6CF0C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9313DD"/>
    <w:multiLevelType w:val="multilevel"/>
    <w:tmpl w:val="8C16A1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7990B15"/>
    <w:multiLevelType w:val="multilevel"/>
    <w:tmpl w:val="A866C9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BBC37BD"/>
    <w:multiLevelType w:val="multilevel"/>
    <w:tmpl w:val="371458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CC32BC1"/>
    <w:multiLevelType w:val="multilevel"/>
    <w:tmpl w:val="6B028F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D383609"/>
    <w:multiLevelType w:val="hybridMultilevel"/>
    <w:tmpl w:val="E83030C6"/>
    <w:lvl w:ilvl="0" w:tplc="A6D6EF40">
      <w:start w:val="1"/>
      <w:numFmt w:val="bullet"/>
      <w:pStyle w:val="Sanofi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2F7830"/>
    <w:multiLevelType w:val="multilevel"/>
    <w:tmpl w:val="56AA4C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0180049"/>
    <w:multiLevelType w:val="multilevel"/>
    <w:tmpl w:val="5C361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504FB1"/>
    <w:multiLevelType w:val="multilevel"/>
    <w:tmpl w:val="F3663E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7E83A79"/>
    <w:multiLevelType w:val="multilevel"/>
    <w:tmpl w:val="E3FAB3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C5A3DED"/>
    <w:multiLevelType w:val="hybridMultilevel"/>
    <w:tmpl w:val="B5B44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864167"/>
    <w:multiLevelType w:val="multilevel"/>
    <w:tmpl w:val="7AE650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B6707A"/>
    <w:multiLevelType w:val="hybridMultilevel"/>
    <w:tmpl w:val="8EBAF700"/>
    <w:styleLink w:val="Style1"/>
    <w:lvl w:ilvl="0" w:tplc="FFFFFFFF">
      <w:start w:val="1"/>
      <w:numFmt w:val="lowerLetter"/>
      <w:lvlText w:val="(%1)"/>
      <w:lvlJc w:val="left"/>
      <w:pPr>
        <w:ind w:left="1080" w:hanging="72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88E352"/>
    <w:multiLevelType w:val="hybridMultilevel"/>
    <w:tmpl w:val="FFFFFFFF"/>
    <w:lvl w:ilvl="0" w:tplc="9C12FA62">
      <w:start w:val="1"/>
      <w:numFmt w:val="bullet"/>
      <w:lvlText w:val=""/>
      <w:lvlJc w:val="left"/>
      <w:pPr>
        <w:ind w:left="1080" w:hanging="360"/>
      </w:pPr>
      <w:rPr>
        <w:rFonts w:ascii="Wingdings" w:hAnsi="Wingdings" w:hint="default"/>
      </w:rPr>
    </w:lvl>
    <w:lvl w:ilvl="1" w:tplc="317E0094">
      <w:start w:val="1"/>
      <w:numFmt w:val="bullet"/>
      <w:lvlText w:val=""/>
      <w:lvlJc w:val="left"/>
      <w:pPr>
        <w:ind w:left="1800" w:hanging="360"/>
      </w:pPr>
      <w:rPr>
        <w:rFonts w:ascii="Wingdings" w:hAnsi="Wingdings" w:hint="default"/>
      </w:rPr>
    </w:lvl>
    <w:lvl w:ilvl="2" w:tplc="997C9BC6">
      <w:start w:val="1"/>
      <w:numFmt w:val="bullet"/>
      <w:lvlText w:val=""/>
      <w:lvlJc w:val="left"/>
      <w:pPr>
        <w:ind w:left="2520" w:hanging="360"/>
      </w:pPr>
      <w:rPr>
        <w:rFonts w:ascii="Wingdings" w:hAnsi="Wingdings" w:hint="default"/>
      </w:rPr>
    </w:lvl>
    <w:lvl w:ilvl="3" w:tplc="88886B3E">
      <w:start w:val="1"/>
      <w:numFmt w:val="bullet"/>
      <w:lvlText w:val=""/>
      <w:lvlJc w:val="left"/>
      <w:pPr>
        <w:ind w:left="3240" w:hanging="360"/>
      </w:pPr>
      <w:rPr>
        <w:rFonts w:ascii="Wingdings" w:hAnsi="Wingdings" w:hint="default"/>
      </w:rPr>
    </w:lvl>
    <w:lvl w:ilvl="4" w:tplc="B920A022">
      <w:start w:val="1"/>
      <w:numFmt w:val="bullet"/>
      <w:lvlText w:val=""/>
      <w:lvlJc w:val="left"/>
      <w:pPr>
        <w:ind w:left="3960" w:hanging="360"/>
      </w:pPr>
      <w:rPr>
        <w:rFonts w:ascii="Wingdings" w:hAnsi="Wingdings" w:hint="default"/>
      </w:rPr>
    </w:lvl>
    <w:lvl w:ilvl="5" w:tplc="C3EE2F54">
      <w:start w:val="1"/>
      <w:numFmt w:val="bullet"/>
      <w:lvlText w:val=""/>
      <w:lvlJc w:val="left"/>
      <w:pPr>
        <w:ind w:left="4680" w:hanging="360"/>
      </w:pPr>
      <w:rPr>
        <w:rFonts w:ascii="Wingdings" w:hAnsi="Wingdings" w:hint="default"/>
      </w:rPr>
    </w:lvl>
    <w:lvl w:ilvl="6" w:tplc="0086538E">
      <w:start w:val="1"/>
      <w:numFmt w:val="bullet"/>
      <w:lvlText w:val=""/>
      <w:lvlJc w:val="left"/>
      <w:pPr>
        <w:ind w:left="5400" w:hanging="360"/>
      </w:pPr>
      <w:rPr>
        <w:rFonts w:ascii="Wingdings" w:hAnsi="Wingdings" w:hint="default"/>
      </w:rPr>
    </w:lvl>
    <w:lvl w:ilvl="7" w:tplc="E996B708">
      <w:start w:val="1"/>
      <w:numFmt w:val="bullet"/>
      <w:lvlText w:val=""/>
      <w:lvlJc w:val="left"/>
      <w:pPr>
        <w:ind w:left="6120" w:hanging="360"/>
      </w:pPr>
      <w:rPr>
        <w:rFonts w:ascii="Wingdings" w:hAnsi="Wingdings" w:hint="default"/>
      </w:rPr>
    </w:lvl>
    <w:lvl w:ilvl="8" w:tplc="348403B2">
      <w:start w:val="1"/>
      <w:numFmt w:val="bullet"/>
      <w:lvlText w:val=""/>
      <w:lvlJc w:val="left"/>
      <w:pPr>
        <w:ind w:left="6840" w:hanging="360"/>
      </w:pPr>
      <w:rPr>
        <w:rFonts w:ascii="Wingdings" w:hAnsi="Wingdings" w:hint="default"/>
      </w:rPr>
    </w:lvl>
  </w:abstractNum>
  <w:abstractNum w:abstractNumId="29"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0F85686"/>
    <w:multiLevelType w:val="hybridMultilevel"/>
    <w:tmpl w:val="C6EAB9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73F2AF7"/>
    <w:multiLevelType w:val="hybridMultilevel"/>
    <w:tmpl w:val="23BC30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203B7A"/>
    <w:multiLevelType w:val="hybridMultilevel"/>
    <w:tmpl w:val="D9B45FC8"/>
    <w:lvl w:ilvl="0" w:tplc="D6180C9C">
      <w:start w:val="1"/>
      <w:numFmt w:val="lowerRoman"/>
      <w:lvlText w:val="(%1)"/>
      <w:lvlJc w:val="left"/>
      <w:pPr>
        <w:tabs>
          <w:tab w:val="num" w:pos="360"/>
        </w:tabs>
        <w:ind w:left="360" w:hanging="360"/>
      </w:pPr>
      <w:rPr>
        <w:rFonts w:ascii="Arial Narrow" w:eastAsia="Times New Roman" w:hAnsi="Arial Narrow" w:cs="Calibri"/>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A4C2D64"/>
    <w:multiLevelType w:val="hybridMultilevel"/>
    <w:tmpl w:val="02FA996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4" w15:restartNumberingAfterBreak="0">
    <w:nsid w:val="3AA10550"/>
    <w:multiLevelType w:val="multilevel"/>
    <w:tmpl w:val="114E21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F055A01"/>
    <w:multiLevelType w:val="multilevel"/>
    <w:tmpl w:val="53B482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F3D5B7B"/>
    <w:multiLevelType w:val="multilevel"/>
    <w:tmpl w:val="744601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18E2F77"/>
    <w:multiLevelType w:val="multilevel"/>
    <w:tmpl w:val="2320D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1BE4748"/>
    <w:multiLevelType w:val="multilevel"/>
    <w:tmpl w:val="C3D685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376485D"/>
    <w:multiLevelType w:val="multilevel"/>
    <w:tmpl w:val="A5F2A9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7D7189"/>
    <w:multiLevelType w:val="hybridMultilevel"/>
    <w:tmpl w:val="BCDCFCCA"/>
    <w:lvl w:ilvl="0" w:tplc="CABE85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962181"/>
    <w:multiLevelType w:val="multilevel"/>
    <w:tmpl w:val="287C7F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C6F7C47"/>
    <w:multiLevelType w:val="hybridMultilevel"/>
    <w:tmpl w:val="F1C81398"/>
    <w:lvl w:ilvl="0" w:tplc="CFDA9C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C800D32"/>
    <w:multiLevelType w:val="hybridMultilevel"/>
    <w:tmpl w:val="C6D20F5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D5209B6"/>
    <w:multiLevelType w:val="multilevel"/>
    <w:tmpl w:val="9CE0D5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DF15D08"/>
    <w:multiLevelType w:val="hybridMultilevel"/>
    <w:tmpl w:val="655E5962"/>
    <w:lvl w:ilvl="0" w:tplc="FFFFFFFF">
      <w:start w:val="1"/>
      <w:numFmt w:val="lowerRoman"/>
      <w:lvlText w:val="(%1)"/>
      <w:lvlJc w:val="left"/>
      <w:pPr>
        <w:tabs>
          <w:tab w:val="num" w:pos="360"/>
        </w:tabs>
        <w:ind w:left="360" w:hanging="360"/>
      </w:pPr>
      <w:rPr>
        <w:rFonts w:ascii="Arial Narrow" w:eastAsia="Times New Roman" w:hAnsi="Arial Narrow" w:cs="Calibri"/>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ED9323D"/>
    <w:multiLevelType w:val="multilevel"/>
    <w:tmpl w:val="E0802932"/>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8" w15:restartNumberingAfterBreak="0">
    <w:nsid w:val="504B23AC"/>
    <w:multiLevelType w:val="multilevel"/>
    <w:tmpl w:val="8B42EB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6890501"/>
    <w:multiLevelType w:val="hybridMultilevel"/>
    <w:tmpl w:val="37866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7F21504"/>
    <w:multiLevelType w:val="hybridMultilevel"/>
    <w:tmpl w:val="7A88583C"/>
    <w:lvl w:ilvl="0" w:tplc="68587898">
      <w:start w:val="1"/>
      <w:numFmt w:val="lowerRoman"/>
      <w:lvlText w:val="(%1)"/>
      <w:lvlJc w:val="left"/>
      <w:pPr>
        <w:ind w:left="1080" w:hanging="720"/>
      </w:pPr>
      <w:rPr>
        <w:rFonts w:hint="default"/>
        <w:b w:val="0"/>
        <w:bCs w:val="0"/>
        <w:i/>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907908"/>
    <w:multiLevelType w:val="hybridMultilevel"/>
    <w:tmpl w:val="56127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EA07108"/>
    <w:multiLevelType w:val="hybridMultilevel"/>
    <w:tmpl w:val="E23830B2"/>
    <w:lvl w:ilvl="0" w:tplc="C3701B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38C4599"/>
    <w:multiLevelType w:val="hybridMultilevel"/>
    <w:tmpl w:val="6B2AA0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42E74AF"/>
    <w:multiLevelType w:val="hybridMultilevel"/>
    <w:tmpl w:val="48CE5FD2"/>
    <w:lvl w:ilvl="0" w:tplc="DC0AEA28">
      <w:start w:val="1"/>
      <w:numFmt w:val="lowerLetter"/>
      <w:pStyle w:val="Table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6867A07"/>
    <w:multiLevelType w:val="multilevel"/>
    <w:tmpl w:val="6422E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6B02EB2"/>
    <w:multiLevelType w:val="hybridMultilevel"/>
    <w:tmpl w:val="7A88583C"/>
    <w:lvl w:ilvl="0" w:tplc="FFFFFFFF">
      <w:start w:val="1"/>
      <w:numFmt w:val="lowerRoman"/>
      <w:lvlText w:val="(%1)"/>
      <w:lvlJc w:val="left"/>
      <w:pPr>
        <w:ind w:left="1080" w:hanging="720"/>
      </w:pPr>
      <w:rPr>
        <w:rFonts w:hint="default"/>
        <w:b w:val="0"/>
        <w:bCs w:val="0"/>
        <w:i/>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74AB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7A145E8"/>
    <w:multiLevelType w:val="hybridMultilevel"/>
    <w:tmpl w:val="1F7E7DF0"/>
    <w:lvl w:ilvl="0" w:tplc="F2A413A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7CC3E14"/>
    <w:multiLevelType w:val="hybridMultilevel"/>
    <w:tmpl w:val="4364A8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9B6C89"/>
    <w:multiLevelType w:val="multilevel"/>
    <w:tmpl w:val="1C8A4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D9F44A8"/>
    <w:multiLevelType w:val="hybridMultilevel"/>
    <w:tmpl w:val="0186B98E"/>
    <w:lvl w:ilvl="0" w:tplc="2D3A772A">
      <w:start w:val="1"/>
      <w:numFmt w:val="lowerRoman"/>
      <w:lvlText w:val="(%1)"/>
      <w:lvlJc w:val="left"/>
      <w:pPr>
        <w:ind w:left="663" w:hanging="720"/>
      </w:pPr>
      <w:rPr>
        <w:rFonts w:hint="default"/>
        <w:b w:val="0"/>
        <w:bCs w:val="0"/>
        <w:color w:val="auto"/>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64" w15:restartNumberingAfterBreak="0">
    <w:nsid w:val="6EA2D412"/>
    <w:multiLevelType w:val="hybridMultilevel"/>
    <w:tmpl w:val="655C0AFE"/>
    <w:lvl w:ilvl="0" w:tplc="313659E6">
      <w:start w:val="1"/>
      <w:numFmt w:val="lowerRoman"/>
      <w:lvlText w:val="(%1)"/>
      <w:lvlJc w:val="left"/>
      <w:rPr>
        <w:rFonts w:ascii="Arial Narrow" w:eastAsiaTheme="minorHAnsi" w:hAnsi="Arial Narrow"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0A37283"/>
    <w:multiLevelType w:val="hybridMultilevel"/>
    <w:tmpl w:val="8EBAF700"/>
    <w:lvl w:ilvl="0" w:tplc="4E1E2F54">
      <w:start w:val="1"/>
      <w:numFmt w:val="lowerLetter"/>
      <w:lvlText w:val="(%1)"/>
      <w:lvlJc w:val="left"/>
      <w:pPr>
        <w:ind w:left="1080" w:hanging="720"/>
      </w:pPr>
      <w:rPr>
        <w:rFonts w:ascii="Arial Narrow" w:eastAsia="Times New Roman" w:hAnsi="Arial Narrow"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4257B2B"/>
    <w:multiLevelType w:val="multilevel"/>
    <w:tmpl w:val="DFD8EE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84D033C"/>
    <w:multiLevelType w:val="multilevel"/>
    <w:tmpl w:val="6AD04D68"/>
    <w:lvl w:ilvl="0">
      <w:start w:val="1"/>
      <w:numFmt w:val="decimal"/>
      <w:pStyle w:val="PageFooter"/>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B2504E"/>
    <w:multiLevelType w:val="multilevel"/>
    <w:tmpl w:val="5670759E"/>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9" w15:restartNumberingAfterBreak="0">
    <w:nsid w:val="7EB40370"/>
    <w:multiLevelType w:val="multilevel"/>
    <w:tmpl w:val="09929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16186631">
    <w:abstractNumId w:val="67"/>
  </w:num>
  <w:num w:numId="2" w16cid:durableId="917793048">
    <w:abstractNumId w:val="40"/>
  </w:num>
  <w:num w:numId="3" w16cid:durableId="263461728">
    <w:abstractNumId w:val="1"/>
  </w:num>
  <w:num w:numId="4" w16cid:durableId="220360847">
    <w:abstractNumId w:val="55"/>
  </w:num>
  <w:num w:numId="5" w16cid:durableId="268196418">
    <w:abstractNumId w:val="29"/>
  </w:num>
  <w:num w:numId="6" w16cid:durableId="1048839230">
    <w:abstractNumId w:val="67"/>
  </w:num>
  <w:num w:numId="7" w16cid:durableId="1342195469">
    <w:abstractNumId w:val="9"/>
  </w:num>
  <w:num w:numId="8" w16cid:durableId="1254628174">
    <w:abstractNumId w:val="24"/>
  </w:num>
  <w:num w:numId="9" w16cid:durableId="1389301493">
    <w:abstractNumId w:val="17"/>
  </w:num>
  <w:num w:numId="10" w16cid:durableId="1431973372">
    <w:abstractNumId w:val="51"/>
  </w:num>
  <w:num w:numId="11" w16cid:durableId="1071804545">
    <w:abstractNumId w:val="46"/>
  </w:num>
  <w:num w:numId="12" w16cid:durableId="799080638">
    <w:abstractNumId w:val="32"/>
  </w:num>
  <w:num w:numId="13" w16cid:durableId="1596017323">
    <w:abstractNumId w:val="49"/>
  </w:num>
  <w:num w:numId="14" w16cid:durableId="735974819">
    <w:abstractNumId w:val="31"/>
  </w:num>
  <w:num w:numId="15" w16cid:durableId="897518815">
    <w:abstractNumId w:val="60"/>
  </w:num>
  <w:num w:numId="16" w16cid:durableId="429473096">
    <w:abstractNumId w:val="54"/>
  </w:num>
  <w:num w:numId="17" w16cid:durableId="778719498">
    <w:abstractNumId w:val="33"/>
  </w:num>
  <w:num w:numId="18" w16cid:durableId="1245265607">
    <w:abstractNumId w:val="8"/>
  </w:num>
  <w:num w:numId="19" w16cid:durableId="1167666828">
    <w:abstractNumId w:val="6"/>
  </w:num>
  <w:num w:numId="20" w16cid:durableId="919755877">
    <w:abstractNumId w:val="30"/>
  </w:num>
  <w:num w:numId="21" w16cid:durableId="1613318300">
    <w:abstractNumId w:val="64"/>
  </w:num>
  <w:num w:numId="22" w16cid:durableId="453133175">
    <w:abstractNumId w:val="11"/>
  </w:num>
  <w:num w:numId="23" w16cid:durableId="1571422764">
    <w:abstractNumId w:val="58"/>
  </w:num>
  <w:num w:numId="24" w16cid:durableId="851339200">
    <w:abstractNumId w:val="0"/>
  </w:num>
  <w:num w:numId="25" w16cid:durableId="1389501232">
    <w:abstractNumId w:val="3"/>
  </w:num>
  <w:num w:numId="26" w16cid:durableId="2003967495">
    <w:abstractNumId w:val="50"/>
  </w:num>
  <w:num w:numId="27" w16cid:durableId="1157576756">
    <w:abstractNumId w:val="41"/>
  </w:num>
  <w:num w:numId="28" w16cid:durableId="1613587432">
    <w:abstractNumId w:val="44"/>
  </w:num>
  <w:num w:numId="29" w16cid:durableId="932588633">
    <w:abstractNumId w:val="65"/>
  </w:num>
  <w:num w:numId="30" w16cid:durableId="1217279148">
    <w:abstractNumId w:val="52"/>
  </w:num>
  <w:num w:numId="31" w16cid:durableId="1207598064">
    <w:abstractNumId w:val="43"/>
  </w:num>
  <w:num w:numId="32" w16cid:durableId="1421608342">
    <w:abstractNumId w:val="4"/>
  </w:num>
  <w:num w:numId="33" w16cid:durableId="1314143216">
    <w:abstractNumId w:val="27"/>
  </w:num>
  <w:num w:numId="34" w16cid:durableId="908079292">
    <w:abstractNumId w:val="63"/>
  </w:num>
  <w:num w:numId="35" w16cid:durableId="379716783">
    <w:abstractNumId w:val="57"/>
  </w:num>
  <w:num w:numId="36" w16cid:durableId="23215284">
    <w:abstractNumId w:val="10"/>
  </w:num>
  <w:num w:numId="37" w16cid:durableId="1569418770">
    <w:abstractNumId w:val="7"/>
  </w:num>
  <w:num w:numId="38" w16cid:durableId="705176722">
    <w:abstractNumId w:val="2"/>
  </w:num>
  <w:num w:numId="39" w16cid:durableId="1926569401">
    <w:abstractNumId w:val="21"/>
  </w:num>
  <w:num w:numId="40" w16cid:durableId="1979457665">
    <w:abstractNumId w:val="26"/>
  </w:num>
  <w:num w:numId="41" w16cid:durableId="2038313566">
    <w:abstractNumId w:val="20"/>
  </w:num>
  <w:num w:numId="42" w16cid:durableId="209997201">
    <w:abstractNumId w:val="62"/>
  </w:num>
  <w:num w:numId="43" w16cid:durableId="2002081749">
    <w:abstractNumId w:val="23"/>
  </w:num>
  <w:num w:numId="44" w16cid:durableId="64763307">
    <w:abstractNumId w:val="48"/>
  </w:num>
  <w:num w:numId="45" w16cid:durableId="1892646804">
    <w:abstractNumId w:val="12"/>
  </w:num>
  <w:num w:numId="46" w16cid:durableId="1291786287">
    <w:abstractNumId w:val="18"/>
  </w:num>
  <w:num w:numId="47" w16cid:durableId="1228029095">
    <w:abstractNumId w:val="66"/>
  </w:num>
  <w:num w:numId="48" w16cid:durableId="650133189">
    <w:abstractNumId w:val="5"/>
  </w:num>
  <w:num w:numId="49" w16cid:durableId="426463158">
    <w:abstractNumId w:val="37"/>
  </w:num>
  <w:num w:numId="50" w16cid:durableId="272907381">
    <w:abstractNumId w:val="39"/>
  </w:num>
  <w:num w:numId="51" w16cid:durableId="99221872">
    <w:abstractNumId w:val="14"/>
  </w:num>
  <w:num w:numId="52" w16cid:durableId="1350908456">
    <w:abstractNumId w:val="56"/>
  </w:num>
  <w:num w:numId="53" w16cid:durableId="411784111">
    <w:abstractNumId w:val="35"/>
  </w:num>
  <w:num w:numId="54" w16cid:durableId="1243683568">
    <w:abstractNumId w:val="13"/>
  </w:num>
  <w:num w:numId="55" w16cid:durableId="1953852411">
    <w:abstractNumId w:val="25"/>
  </w:num>
  <w:num w:numId="56" w16cid:durableId="1511020466">
    <w:abstractNumId w:val="19"/>
  </w:num>
  <w:num w:numId="57" w16cid:durableId="750812219">
    <w:abstractNumId w:val="69"/>
  </w:num>
  <w:num w:numId="58" w16cid:durableId="1091462393">
    <w:abstractNumId w:val="22"/>
  </w:num>
  <w:num w:numId="59" w16cid:durableId="241909405">
    <w:abstractNumId w:val="68"/>
  </w:num>
  <w:num w:numId="60" w16cid:durableId="653411344">
    <w:abstractNumId w:val="47"/>
  </w:num>
  <w:num w:numId="61" w16cid:durableId="2112581841">
    <w:abstractNumId w:val="61"/>
  </w:num>
  <w:num w:numId="62" w16cid:durableId="1808164137">
    <w:abstractNumId w:val="38"/>
  </w:num>
  <w:num w:numId="63" w16cid:durableId="471364332">
    <w:abstractNumId w:val="16"/>
  </w:num>
  <w:num w:numId="64" w16cid:durableId="1253393480">
    <w:abstractNumId w:val="15"/>
  </w:num>
  <w:num w:numId="65" w16cid:durableId="81611862">
    <w:abstractNumId w:val="36"/>
  </w:num>
  <w:num w:numId="66" w16cid:durableId="1886671512">
    <w:abstractNumId w:val="34"/>
  </w:num>
  <w:num w:numId="67" w16cid:durableId="1229342160">
    <w:abstractNumId w:val="42"/>
  </w:num>
  <w:num w:numId="68" w16cid:durableId="1744447072">
    <w:abstractNumId w:val="28"/>
  </w:num>
  <w:num w:numId="69" w16cid:durableId="10572657">
    <w:abstractNumId w:val="53"/>
  </w:num>
  <w:num w:numId="70" w16cid:durableId="1280603146">
    <w:abstractNumId w:val="59"/>
  </w:num>
  <w:num w:numId="71" w16cid:durableId="1331520374">
    <w:abstractNumId w:val="45"/>
  </w:num>
  <w:num w:numId="72" w16cid:durableId="1266614452">
    <w:abstractNumId w:val="6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39190495">
    <w:abstractNumId w:val="67"/>
  </w:num>
  <w:num w:numId="74" w16cid:durableId="269701600">
    <w:abstractNumId w:val="29"/>
  </w:num>
  <w:num w:numId="75" w16cid:durableId="862481290">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3B"/>
    <w:rsid w:val="0000063F"/>
    <w:rsid w:val="00000790"/>
    <w:rsid w:val="00000E24"/>
    <w:rsid w:val="00000E2F"/>
    <w:rsid w:val="00000F8F"/>
    <w:rsid w:val="00000FA6"/>
    <w:rsid w:val="0000110B"/>
    <w:rsid w:val="000012A1"/>
    <w:rsid w:val="00001652"/>
    <w:rsid w:val="00001A8A"/>
    <w:rsid w:val="00001D7E"/>
    <w:rsid w:val="00001EEA"/>
    <w:rsid w:val="000022E2"/>
    <w:rsid w:val="000026C3"/>
    <w:rsid w:val="0000286C"/>
    <w:rsid w:val="00002979"/>
    <w:rsid w:val="000029C4"/>
    <w:rsid w:val="00002A7C"/>
    <w:rsid w:val="00002DCC"/>
    <w:rsid w:val="00002E73"/>
    <w:rsid w:val="00003238"/>
    <w:rsid w:val="00003499"/>
    <w:rsid w:val="000035CB"/>
    <w:rsid w:val="000037FC"/>
    <w:rsid w:val="00003806"/>
    <w:rsid w:val="000039B7"/>
    <w:rsid w:val="000039D2"/>
    <w:rsid w:val="00003D96"/>
    <w:rsid w:val="00003F80"/>
    <w:rsid w:val="0000458F"/>
    <w:rsid w:val="000046D3"/>
    <w:rsid w:val="00004860"/>
    <w:rsid w:val="00004F37"/>
    <w:rsid w:val="00004F81"/>
    <w:rsid w:val="000051CD"/>
    <w:rsid w:val="000056B9"/>
    <w:rsid w:val="000059A2"/>
    <w:rsid w:val="00005A75"/>
    <w:rsid w:val="00005A82"/>
    <w:rsid w:val="00005EEF"/>
    <w:rsid w:val="00005F5A"/>
    <w:rsid w:val="0000639A"/>
    <w:rsid w:val="000064FF"/>
    <w:rsid w:val="00006A58"/>
    <w:rsid w:val="00006BE6"/>
    <w:rsid w:val="00006CB1"/>
    <w:rsid w:val="00006E58"/>
    <w:rsid w:val="00006FF3"/>
    <w:rsid w:val="00007910"/>
    <w:rsid w:val="00007EB1"/>
    <w:rsid w:val="00007F4D"/>
    <w:rsid w:val="000100FF"/>
    <w:rsid w:val="000101FE"/>
    <w:rsid w:val="000106E8"/>
    <w:rsid w:val="00010768"/>
    <w:rsid w:val="000107E6"/>
    <w:rsid w:val="00010C25"/>
    <w:rsid w:val="00010FC3"/>
    <w:rsid w:val="00011392"/>
    <w:rsid w:val="00011419"/>
    <w:rsid w:val="00011663"/>
    <w:rsid w:val="000116BA"/>
    <w:rsid w:val="000117A4"/>
    <w:rsid w:val="0001190A"/>
    <w:rsid w:val="00011B31"/>
    <w:rsid w:val="00011D50"/>
    <w:rsid w:val="00011DEE"/>
    <w:rsid w:val="00012966"/>
    <w:rsid w:val="00013103"/>
    <w:rsid w:val="00013247"/>
    <w:rsid w:val="00013254"/>
    <w:rsid w:val="00013338"/>
    <w:rsid w:val="0001364F"/>
    <w:rsid w:val="000137C7"/>
    <w:rsid w:val="00013C5F"/>
    <w:rsid w:val="0001408B"/>
    <w:rsid w:val="000146BB"/>
    <w:rsid w:val="0001470A"/>
    <w:rsid w:val="000147BC"/>
    <w:rsid w:val="00014921"/>
    <w:rsid w:val="00014AC6"/>
    <w:rsid w:val="00014CED"/>
    <w:rsid w:val="000151BD"/>
    <w:rsid w:val="00015886"/>
    <w:rsid w:val="00015BB7"/>
    <w:rsid w:val="00015D60"/>
    <w:rsid w:val="00015FEE"/>
    <w:rsid w:val="0001607B"/>
    <w:rsid w:val="000162EF"/>
    <w:rsid w:val="000163E9"/>
    <w:rsid w:val="000166BA"/>
    <w:rsid w:val="00016784"/>
    <w:rsid w:val="000167D5"/>
    <w:rsid w:val="000168DA"/>
    <w:rsid w:val="00017095"/>
    <w:rsid w:val="00017459"/>
    <w:rsid w:val="000175F4"/>
    <w:rsid w:val="00020206"/>
    <w:rsid w:val="000206A7"/>
    <w:rsid w:val="000207C9"/>
    <w:rsid w:val="00020C32"/>
    <w:rsid w:val="00020D19"/>
    <w:rsid w:val="000210EE"/>
    <w:rsid w:val="00021135"/>
    <w:rsid w:val="000215AF"/>
    <w:rsid w:val="000216BF"/>
    <w:rsid w:val="00021D5A"/>
    <w:rsid w:val="00021D9E"/>
    <w:rsid w:val="00021DEB"/>
    <w:rsid w:val="0002225F"/>
    <w:rsid w:val="00022643"/>
    <w:rsid w:val="00022778"/>
    <w:rsid w:val="00022C2D"/>
    <w:rsid w:val="00022E39"/>
    <w:rsid w:val="00023156"/>
    <w:rsid w:val="000234DE"/>
    <w:rsid w:val="00023763"/>
    <w:rsid w:val="000237AE"/>
    <w:rsid w:val="00024223"/>
    <w:rsid w:val="000245CD"/>
    <w:rsid w:val="00024B30"/>
    <w:rsid w:val="00024E17"/>
    <w:rsid w:val="00024EB5"/>
    <w:rsid w:val="000255BA"/>
    <w:rsid w:val="00025805"/>
    <w:rsid w:val="00025BD4"/>
    <w:rsid w:val="00025C6A"/>
    <w:rsid w:val="00025C74"/>
    <w:rsid w:val="000262D8"/>
    <w:rsid w:val="00026A49"/>
    <w:rsid w:val="00026B0B"/>
    <w:rsid w:val="00026D55"/>
    <w:rsid w:val="00027158"/>
    <w:rsid w:val="000272F8"/>
    <w:rsid w:val="00027452"/>
    <w:rsid w:val="000274B8"/>
    <w:rsid w:val="00027508"/>
    <w:rsid w:val="0002763F"/>
    <w:rsid w:val="00027821"/>
    <w:rsid w:val="000278EF"/>
    <w:rsid w:val="00027E07"/>
    <w:rsid w:val="00030119"/>
    <w:rsid w:val="0003056C"/>
    <w:rsid w:val="0003057E"/>
    <w:rsid w:val="000307DA"/>
    <w:rsid w:val="00031468"/>
    <w:rsid w:val="00031537"/>
    <w:rsid w:val="00031E37"/>
    <w:rsid w:val="000322F7"/>
    <w:rsid w:val="00032731"/>
    <w:rsid w:val="000328F9"/>
    <w:rsid w:val="0003300E"/>
    <w:rsid w:val="00033140"/>
    <w:rsid w:val="000336EF"/>
    <w:rsid w:val="000337B1"/>
    <w:rsid w:val="00033863"/>
    <w:rsid w:val="000339F6"/>
    <w:rsid w:val="0003403C"/>
    <w:rsid w:val="0003429F"/>
    <w:rsid w:val="000342BF"/>
    <w:rsid w:val="000346A1"/>
    <w:rsid w:val="00034789"/>
    <w:rsid w:val="00034B9F"/>
    <w:rsid w:val="00035061"/>
    <w:rsid w:val="00035353"/>
    <w:rsid w:val="00035402"/>
    <w:rsid w:val="0003549A"/>
    <w:rsid w:val="00035738"/>
    <w:rsid w:val="0003576E"/>
    <w:rsid w:val="00035880"/>
    <w:rsid w:val="00035897"/>
    <w:rsid w:val="00035A20"/>
    <w:rsid w:val="00035D3C"/>
    <w:rsid w:val="00035DC0"/>
    <w:rsid w:val="00036331"/>
    <w:rsid w:val="00036829"/>
    <w:rsid w:val="00036A95"/>
    <w:rsid w:val="00036D83"/>
    <w:rsid w:val="00036EF6"/>
    <w:rsid w:val="00037698"/>
    <w:rsid w:val="000377E5"/>
    <w:rsid w:val="000378BC"/>
    <w:rsid w:val="0004020C"/>
    <w:rsid w:val="000403E6"/>
    <w:rsid w:val="00040796"/>
    <w:rsid w:val="00040895"/>
    <w:rsid w:val="00040AFF"/>
    <w:rsid w:val="00040EC0"/>
    <w:rsid w:val="00040EE4"/>
    <w:rsid w:val="00040FFF"/>
    <w:rsid w:val="000410A0"/>
    <w:rsid w:val="000412A2"/>
    <w:rsid w:val="0004146A"/>
    <w:rsid w:val="00041DDE"/>
    <w:rsid w:val="00041EB1"/>
    <w:rsid w:val="00041FA8"/>
    <w:rsid w:val="00041FC1"/>
    <w:rsid w:val="00042064"/>
    <w:rsid w:val="00042237"/>
    <w:rsid w:val="00042504"/>
    <w:rsid w:val="000429DF"/>
    <w:rsid w:val="00042A11"/>
    <w:rsid w:val="00042B5C"/>
    <w:rsid w:val="00042D75"/>
    <w:rsid w:val="00042F94"/>
    <w:rsid w:val="000430BC"/>
    <w:rsid w:val="000435EE"/>
    <w:rsid w:val="00043722"/>
    <w:rsid w:val="00043871"/>
    <w:rsid w:val="00043C37"/>
    <w:rsid w:val="00043DD5"/>
    <w:rsid w:val="00043F92"/>
    <w:rsid w:val="00044103"/>
    <w:rsid w:val="00044149"/>
    <w:rsid w:val="00044710"/>
    <w:rsid w:val="000448CF"/>
    <w:rsid w:val="00044901"/>
    <w:rsid w:val="00045017"/>
    <w:rsid w:val="000450B7"/>
    <w:rsid w:val="000451B3"/>
    <w:rsid w:val="00045902"/>
    <w:rsid w:val="00045A2B"/>
    <w:rsid w:val="00045C0A"/>
    <w:rsid w:val="00046086"/>
    <w:rsid w:val="00046278"/>
    <w:rsid w:val="000463CD"/>
    <w:rsid w:val="00046761"/>
    <w:rsid w:val="0004698F"/>
    <w:rsid w:val="000469B0"/>
    <w:rsid w:val="00046B8C"/>
    <w:rsid w:val="00046CE1"/>
    <w:rsid w:val="00046D64"/>
    <w:rsid w:val="00047051"/>
    <w:rsid w:val="0004707A"/>
    <w:rsid w:val="000470A4"/>
    <w:rsid w:val="00047142"/>
    <w:rsid w:val="00047179"/>
    <w:rsid w:val="000473DA"/>
    <w:rsid w:val="000474A4"/>
    <w:rsid w:val="000474E5"/>
    <w:rsid w:val="0004796C"/>
    <w:rsid w:val="00047C94"/>
    <w:rsid w:val="00047EC0"/>
    <w:rsid w:val="00047F1B"/>
    <w:rsid w:val="000508C2"/>
    <w:rsid w:val="00050D2E"/>
    <w:rsid w:val="00050E02"/>
    <w:rsid w:val="00050F4D"/>
    <w:rsid w:val="000516DD"/>
    <w:rsid w:val="0005179A"/>
    <w:rsid w:val="00052238"/>
    <w:rsid w:val="00052349"/>
    <w:rsid w:val="00052870"/>
    <w:rsid w:val="00052DA6"/>
    <w:rsid w:val="00052DE5"/>
    <w:rsid w:val="0005311E"/>
    <w:rsid w:val="000532BA"/>
    <w:rsid w:val="00053368"/>
    <w:rsid w:val="00053441"/>
    <w:rsid w:val="00053699"/>
    <w:rsid w:val="000539D0"/>
    <w:rsid w:val="00053ACA"/>
    <w:rsid w:val="00053BE9"/>
    <w:rsid w:val="00053EAD"/>
    <w:rsid w:val="00053F88"/>
    <w:rsid w:val="000542E3"/>
    <w:rsid w:val="000542EC"/>
    <w:rsid w:val="000543BC"/>
    <w:rsid w:val="0005441E"/>
    <w:rsid w:val="00054621"/>
    <w:rsid w:val="000546D7"/>
    <w:rsid w:val="00054718"/>
    <w:rsid w:val="000548B0"/>
    <w:rsid w:val="0005498B"/>
    <w:rsid w:val="00054A8D"/>
    <w:rsid w:val="00055326"/>
    <w:rsid w:val="000553AB"/>
    <w:rsid w:val="000553D4"/>
    <w:rsid w:val="000553E8"/>
    <w:rsid w:val="0005566E"/>
    <w:rsid w:val="00055793"/>
    <w:rsid w:val="00055F7E"/>
    <w:rsid w:val="00056139"/>
    <w:rsid w:val="00056186"/>
    <w:rsid w:val="00056BAC"/>
    <w:rsid w:val="00056ECF"/>
    <w:rsid w:val="00056F46"/>
    <w:rsid w:val="00057197"/>
    <w:rsid w:val="000573B1"/>
    <w:rsid w:val="00057D1B"/>
    <w:rsid w:val="00057EED"/>
    <w:rsid w:val="000604DF"/>
    <w:rsid w:val="00060532"/>
    <w:rsid w:val="000605A6"/>
    <w:rsid w:val="00060A71"/>
    <w:rsid w:val="00060CFB"/>
    <w:rsid w:val="00061199"/>
    <w:rsid w:val="00061C4A"/>
    <w:rsid w:val="00062167"/>
    <w:rsid w:val="00062178"/>
    <w:rsid w:val="00062324"/>
    <w:rsid w:val="00062B81"/>
    <w:rsid w:val="00062D59"/>
    <w:rsid w:val="00062DF3"/>
    <w:rsid w:val="00063601"/>
    <w:rsid w:val="00063E4E"/>
    <w:rsid w:val="00063F5F"/>
    <w:rsid w:val="00064856"/>
    <w:rsid w:val="000652F8"/>
    <w:rsid w:val="000653B5"/>
    <w:rsid w:val="00065BAB"/>
    <w:rsid w:val="00065D32"/>
    <w:rsid w:val="00065E9D"/>
    <w:rsid w:val="000660E4"/>
    <w:rsid w:val="00066360"/>
    <w:rsid w:val="00066AF8"/>
    <w:rsid w:val="00067215"/>
    <w:rsid w:val="00067921"/>
    <w:rsid w:val="00067CA0"/>
    <w:rsid w:val="00067E84"/>
    <w:rsid w:val="00070E47"/>
    <w:rsid w:val="00070EB9"/>
    <w:rsid w:val="00071248"/>
    <w:rsid w:val="00071C6D"/>
    <w:rsid w:val="000720B9"/>
    <w:rsid w:val="00072761"/>
    <w:rsid w:val="00072948"/>
    <w:rsid w:val="00072ABF"/>
    <w:rsid w:val="00072DA7"/>
    <w:rsid w:val="00073287"/>
    <w:rsid w:val="000737F7"/>
    <w:rsid w:val="0007397D"/>
    <w:rsid w:val="00074886"/>
    <w:rsid w:val="00074BCA"/>
    <w:rsid w:val="00074D21"/>
    <w:rsid w:val="00075447"/>
    <w:rsid w:val="000756BB"/>
    <w:rsid w:val="000757E2"/>
    <w:rsid w:val="0007588A"/>
    <w:rsid w:val="0007591A"/>
    <w:rsid w:val="00075C63"/>
    <w:rsid w:val="00075CCD"/>
    <w:rsid w:val="00075CEE"/>
    <w:rsid w:val="00075F72"/>
    <w:rsid w:val="0007672F"/>
    <w:rsid w:val="00076AD8"/>
    <w:rsid w:val="00076B54"/>
    <w:rsid w:val="00076D78"/>
    <w:rsid w:val="00077041"/>
    <w:rsid w:val="000774F0"/>
    <w:rsid w:val="000775C0"/>
    <w:rsid w:val="00077680"/>
    <w:rsid w:val="00077A8C"/>
    <w:rsid w:val="00077BF1"/>
    <w:rsid w:val="00077CFE"/>
    <w:rsid w:val="00080909"/>
    <w:rsid w:val="00080A5F"/>
    <w:rsid w:val="00080B68"/>
    <w:rsid w:val="00080E05"/>
    <w:rsid w:val="0008108F"/>
    <w:rsid w:val="000812CA"/>
    <w:rsid w:val="0008131C"/>
    <w:rsid w:val="00081377"/>
    <w:rsid w:val="0008138E"/>
    <w:rsid w:val="000813FA"/>
    <w:rsid w:val="000815C8"/>
    <w:rsid w:val="00081664"/>
    <w:rsid w:val="000818BF"/>
    <w:rsid w:val="00081BCB"/>
    <w:rsid w:val="00081E46"/>
    <w:rsid w:val="00081E63"/>
    <w:rsid w:val="0008258D"/>
    <w:rsid w:val="0008266A"/>
    <w:rsid w:val="00082ADC"/>
    <w:rsid w:val="00082D89"/>
    <w:rsid w:val="00082EBE"/>
    <w:rsid w:val="000831AF"/>
    <w:rsid w:val="000831FA"/>
    <w:rsid w:val="00083261"/>
    <w:rsid w:val="00083892"/>
    <w:rsid w:val="00083C5B"/>
    <w:rsid w:val="00083E99"/>
    <w:rsid w:val="00084382"/>
    <w:rsid w:val="00084622"/>
    <w:rsid w:val="00084721"/>
    <w:rsid w:val="00084A0A"/>
    <w:rsid w:val="00084FA8"/>
    <w:rsid w:val="0008503A"/>
    <w:rsid w:val="000854D6"/>
    <w:rsid w:val="000856C5"/>
    <w:rsid w:val="000858D7"/>
    <w:rsid w:val="00085C31"/>
    <w:rsid w:val="00085EE6"/>
    <w:rsid w:val="00086292"/>
    <w:rsid w:val="00086649"/>
    <w:rsid w:val="0008671F"/>
    <w:rsid w:val="00086950"/>
    <w:rsid w:val="000869C6"/>
    <w:rsid w:val="000871DF"/>
    <w:rsid w:val="000874E6"/>
    <w:rsid w:val="00087901"/>
    <w:rsid w:val="00087D6B"/>
    <w:rsid w:val="00087DA8"/>
    <w:rsid w:val="000902D9"/>
    <w:rsid w:val="00090780"/>
    <w:rsid w:val="00090807"/>
    <w:rsid w:val="00090C7E"/>
    <w:rsid w:val="000911AC"/>
    <w:rsid w:val="000912C0"/>
    <w:rsid w:val="0009178B"/>
    <w:rsid w:val="000917CD"/>
    <w:rsid w:val="00092600"/>
    <w:rsid w:val="0009262B"/>
    <w:rsid w:val="000927AC"/>
    <w:rsid w:val="0009286F"/>
    <w:rsid w:val="00092EA1"/>
    <w:rsid w:val="00093310"/>
    <w:rsid w:val="000934B7"/>
    <w:rsid w:val="000934CD"/>
    <w:rsid w:val="000934D4"/>
    <w:rsid w:val="00093609"/>
    <w:rsid w:val="00093685"/>
    <w:rsid w:val="00093750"/>
    <w:rsid w:val="000942F1"/>
    <w:rsid w:val="00094344"/>
    <w:rsid w:val="0009445C"/>
    <w:rsid w:val="000947A2"/>
    <w:rsid w:val="000949B9"/>
    <w:rsid w:val="00094AEC"/>
    <w:rsid w:val="00094EEE"/>
    <w:rsid w:val="00095200"/>
    <w:rsid w:val="00095A7B"/>
    <w:rsid w:val="00095B3D"/>
    <w:rsid w:val="00095DB7"/>
    <w:rsid w:val="00095EBB"/>
    <w:rsid w:val="00095FE5"/>
    <w:rsid w:val="00095FE6"/>
    <w:rsid w:val="00096284"/>
    <w:rsid w:val="00096A16"/>
    <w:rsid w:val="00096B4A"/>
    <w:rsid w:val="00096B81"/>
    <w:rsid w:val="00097029"/>
    <w:rsid w:val="00097A18"/>
    <w:rsid w:val="00097BB8"/>
    <w:rsid w:val="000A0185"/>
    <w:rsid w:val="000A03D4"/>
    <w:rsid w:val="000A0472"/>
    <w:rsid w:val="000A09F3"/>
    <w:rsid w:val="000A0B49"/>
    <w:rsid w:val="000A14FD"/>
    <w:rsid w:val="000A17FE"/>
    <w:rsid w:val="000A1A0C"/>
    <w:rsid w:val="000A1A67"/>
    <w:rsid w:val="000A1B32"/>
    <w:rsid w:val="000A1BC0"/>
    <w:rsid w:val="000A1BD4"/>
    <w:rsid w:val="000A1E6E"/>
    <w:rsid w:val="000A1F03"/>
    <w:rsid w:val="000A2043"/>
    <w:rsid w:val="000A2061"/>
    <w:rsid w:val="000A2133"/>
    <w:rsid w:val="000A239C"/>
    <w:rsid w:val="000A2437"/>
    <w:rsid w:val="000A2D1E"/>
    <w:rsid w:val="000A2F9E"/>
    <w:rsid w:val="000A37E9"/>
    <w:rsid w:val="000A3BAD"/>
    <w:rsid w:val="000A3C21"/>
    <w:rsid w:val="000A3E47"/>
    <w:rsid w:val="000A4360"/>
    <w:rsid w:val="000A4BB4"/>
    <w:rsid w:val="000A4F8A"/>
    <w:rsid w:val="000A522B"/>
    <w:rsid w:val="000A52D7"/>
    <w:rsid w:val="000A5492"/>
    <w:rsid w:val="000A571B"/>
    <w:rsid w:val="000A572F"/>
    <w:rsid w:val="000A59CF"/>
    <w:rsid w:val="000A59F2"/>
    <w:rsid w:val="000A5D38"/>
    <w:rsid w:val="000A5DCB"/>
    <w:rsid w:val="000A6039"/>
    <w:rsid w:val="000A61A0"/>
    <w:rsid w:val="000A61A7"/>
    <w:rsid w:val="000A6876"/>
    <w:rsid w:val="000A6888"/>
    <w:rsid w:val="000A6DE1"/>
    <w:rsid w:val="000A7453"/>
    <w:rsid w:val="000A749A"/>
    <w:rsid w:val="000A7B95"/>
    <w:rsid w:val="000A7BF6"/>
    <w:rsid w:val="000A7D08"/>
    <w:rsid w:val="000B006C"/>
    <w:rsid w:val="000B0121"/>
    <w:rsid w:val="000B0670"/>
    <w:rsid w:val="000B080D"/>
    <w:rsid w:val="000B0ABA"/>
    <w:rsid w:val="000B0B0F"/>
    <w:rsid w:val="000B0E75"/>
    <w:rsid w:val="000B0F93"/>
    <w:rsid w:val="000B1156"/>
    <w:rsid w:val="000B13E9"/>
    <w:rsid w:val="000B1826"/>
    <w:rsid w:val="000B1967"/>
    <w:rsid w:val="000B1A33"/>
    <w:rsid w:val="000B1D3D"/>
    <w:rsid w:val="000B1D8E"/>
    <w:rsid w:val="000B1F4D"/>
    <w:rsid w:val="000B1F6F"/>
    <w:rsid w:val="000B20A1"/>
    <w:rsid w:val="000B2361"/>
    <w:rsid w:val="000B27CA"/>
    <w:rsid w:val="000B29A6"/>
    <w:rsid w:val="000B2A82"/>
    <w:rsid w:val="000B2B0D"/>
    <w:rsid w:val="000B2DCB"/>
    <w:rsid w:val="000B2EC5"/>
    <w:rsid w:val="000B3279"/>
    <w:rsid w:val="000B34E3"/>
    <w:rsid w:val="000B38C1"/>
    <w:rsid w:val="000B3A75"/>
    <w:rsid w:val="000B4604"/>
    <w:rsid w:val="000B4889"/>
    <w:rsid w:val="000B4ACC"/>
    <w:rsid w:val="000B51C0"/>
    <w:rsid w:val="000B55C2"/>
    <w:rsid w:val="000B5B2A"/>
    <w:rsid w:val="000B5CE0"/>
    <w:rsid w:val="000B602D"/>
    <w:rsid w:val="000B6368"/>
    <w:rsid w:val="000B6A23"/>
    <w:rsid w:val="000B6CAC"/>
    <w:rsid w:val="000B6D45"/>
    <w:rsid w:val="000B6D4A"/>
    <w:rsid w:val="000B7052"/>
    <w:rsid w:val="000B70AF"/>
    <w:rsid w:val="000B70B1"/>
    <w:rsid w:val="000B7612"/>
    <w:rsid w:val="000B78AE"/>
    <w:rsid w:val="000B7916"/>
    <w:rsid w:val="000B7C60"/>
    <w:rsid w:val="000B7ED9"/>
    <w:rsid w:val="000C056C"/>
    <w:rsid w:val="000C0620"/>
    <w:rsid w:val="000C0641"/>
    <w:rsid w:val="000C0691"/>
    <w:rsid w:val="000C0952"/>
    <w:rsid w:val="000C09FF"/>
    <w:rsid w:val="000C0A4A"/>
    <w:rsid w:val="000C10F2"/>
    <w:rsid w:val="000C1141"/>
    <w:rsid w:val="000C158E"/>
    <w:rsid w:val="000C1831"/>
    <w:rsid w:val="000C1BCC"/>
    <w:rsid w:val="000C1C25"/>
    <w:rsid w:val="000C214C"/>
    <w:rsid w:val="000C2230"/>
    <w:rsid w:val="000C245E"/>
    <w:rsid w:val="000C2CA0"/>
    <w:rsid w:val="000C2F4F"/>
    <w:rsid w:val="000C34AC"/>
    <w:rsid w:val="000C3867"/>
    <w:rsid w:val="000C3B2D"/>
    <w:rsid w:val="000C3BD9"/>
    <w:rsid w:val="000C3DF9"/>
    <w:rsid w:val="000C4154"/>
    <w:rsid w:val="000C41B3"/>
    <w:rsid w:val="000C41C2"/>
    <w:rsid w:val="000C42B3"/>
    <w:rsid w:val="000C430B"/>
    <w:rsid w:val="000C4800"/>
    <w:rsid w:val="000C4CF2"/>
    <w:rsid w:val="000C5510"/>
    <w:rsid w:val="000C5748"/>
    <w:rsid w:val="000C584B"/>
    <w:rsid w:val="000C5879"/>
    <w:rsid w:val="000C5A99"/>
    <w:rsid w:val="000C5AD2"/>
    <w:rsid w:val="000C5B56"/>
    <w:rsid w:val="000C5E4A"/>
    <w:rsid w:val="000C6366"/>
    <w:rsid w:val="000C6713"/>
    <w:rsid w:val="000C6845"/>
    <w:rsid w:val="000C684E"/>
    <w:rsid w:val="000C6C87"/>
    <w:rsid w:val="000C6D75"/>
    <w:rsid w:val="000C709F"/>
    <w:rsid w:val="000C77D4"/>
    <w:rsid w:val="000C77EE"/>
    <w:rsid w:val="000C7804"/>
    <w:rsid w:val="000C7877"/>
    <w:rsid w:val="000C7A9B"/>
    <w:rsid w:val="000C7BAF"/>
    <w:rsid w:val="000C7EBD"/>
    <w:rsid w:val="000D005C"/>
    <w:rsid w:val="000D0B19"/>
    <w:rsid w:val="000D0F47"/>
    <w:rsid w:val="000D0F76"/>
    <w:rsid w:val="000D1092"/>
    <w:rsid w:val="000D1368"/>
    <w:rsid w:val="000D13AF"/>
    <w:rsid w:val="000D1463"/>
    <w:rsid w:val="000D1616"/>
    <w:rsid w:val="000D188F"/>
    <w:rsid w:val="000D1BFC"/>
    <w:rsid w:val="000D1D5D"/>
    <w:rsid w:val="000D1F5F"/>
    <w:rsid w:val="000D212D"/>
    <w:rsid w:val="000D2497"/>
    <w:rsid w:val="000D281A"/>
    <w:rsid w:val="000D2848"/>
    <w:rsid w:val="000D29A0"/>
    <w:rsid w:val="000D3255"/>
    <w:rsid w:val="000D326A"/>
    <w:rsid w:val="000D3604"/>
    <w:rsid w:val="000D3943"/>
    <w:rsid w:val="000D40B6"/>
    <w:rsid w:val="000D42F9"/>
    <w:rsid w:val="000D45E1"/>
    <w:rsid w:val="000D4725"/>
    <w:rsid w:val="000D4E1D"/>
    <w:rsid w:val="000D4ECF"/>
    <w:rsid w:val="000D4F70"/>
    <w:rsid w:val="000D5054"/>
    <w:rsid w:val="000D51B7"/>
    <w:rsid w:val="000D51FB"/>
    <w:rsid w:val="000D53B8"/>
    <w:rsid w:val="000D573B"/>
    <w:rsid w:val="000D5CA1"/>
    <w:rsid w:val="000D6060"/>
    <w:rsid w:val="000D69EF"/>
    <w:rsid w:val="000D6BC6"/>
    <w:rsid w:val="000D71FD"/>
    <w:rsid w:val="000D723E"/>
    <w:rsid w:val="000D78B9"/>
    <w:rsid w:val="000D79D7"/>
    <w:rsid w:val="000D7ADE"/>
    <w:rsid w:val="000D7C33"/>
    <w:rsid w:val="000E0217"/>
    <w:rsid w:val="000E0640"/>
    <w:rsid w:val="000E0668"/>
    <w:rsid w:val="000E06E5"/>
    <w:rsid w:val="000E0CBE"/>
    <w:rsid w:val="000E0F2D"/>
    <w:rsid w:val="000E135D"/>
    <w:rsid w:val="000E139F"/>
    <w:rsid w:val="000E1460"/>
    <w:rsid w:val="000E30BB"/>
    <w:rsid w:val="000E3260"/>
    <w:rsid w:val="000E363E"/>
    <w:rsid w:val="000E3770"/>
    <w:rsid w:val="000E3C4E"/>
    <w:rsid w:val="000E3D2B"/>
    <w:rsid w:val="000E41FE"/>
    <w:rsid w:val="000E4715"/>
    <w:rsid w:val="000E48DD"/>
    <w:rsid w:val="000E4DAD"/>
    <w:rsid w:val="000E5314"/>
    <w:rsid w:val="000E5581"/>
    <w:rsid w:val="000E5DA2"/>
    <w:rsid w:val="000E5EFB"/>
    <w:rsid w:val="000E6205"/>
    <w:rsid w:val="000E625A"/>
    <w:rsid w:val="000E6393"/>
    <w:rsid w:val="000E6487"/>
    <w:rsid w:val="000E6C29"/>
    <w:rsid w:val="000E6EBD"/>
    <w:rsid w:val="000E6F17"/>
    <w:rsid w:val="000E6F6E"/>
    <w:rsid w:val="000E6FC5"/>
    <w:rsid w:val="000E70A3"/>
    <w:rsid w:val="000E7237"/>
    <w:rsid w:val="000E7794"/>
    <w:rsid w:val="000E7A01"/>
    <w:rsid w:val="000F00BA"/>
    <w:rsid w:val="000F0183"/>
    <w:rsid w:val="000F0205"/>
    <w:rsid w:val="000F051B"/>
    <w:rsid w:val="000F0878"/>
    <w:rsid w:val="000F0A52"/>
    <w:rsid w:val="000F0AFF"/>
    <w:rsid w:val="000F159C"/>
    <w:rsid w:val="000F1B09"/>
    <w:rsid w:val="000F1C3A"/>
    <w:rsid w:val="000F1D6F"/>
    <w:rsid w:val="000F24EC"/>
    <w:rsid w:val="000F24F7"/>
    <w:rsid w:val="000F279D"/>
    <w:rsid w:val="000F2A87"/>
    <w:rsid w:val="000F2AEC"/>
    <w:rsid w:val="000F2DC2"/>
    <w:rsid w:val="000F2E44"/>
    <w:rsid w:val="000F3060"/>
    <w:rsid w:val="000F316A"/>
    <w:rsid w:val="000F34BD"/>
    <w:rsid w:val="000F35E8"/>
    <w:rsid w:val="000F37EC"/>
    <w:rsid w:val="000F3834"/>
    <w:rsid w:val="000F38BF"/>
    <w:rsid w:val="000F3A8B"/>
    <w:rsid w:val="000F3C74"/>
    <w:rsid w:val="000F3E14"/>
    <w:rsid w:val="000F3E55"/>
    <w:rsid w:val="000F3EC7"/>
    <w:rsid w:val="000F3F1C"/>
    <w:rsid w:val="000F44E5"/>
    <w:rsid w:val="000F4515"/>
    <w:rsid w:val="000F488F"/>
    <w:rsid w:val="000F4BB8"/>
    <w:rsid w:val="000F4EFD"/>
    <w:rsid w:val="000F4FA9"/>
    <w:rsid w:val="000F5092"/>
    <w:rsid w:val="000F50F2"/>
    <w:rsid w:val="000F53FB"/>
    <w:rsid w:val="000F5588"/>
    <w:rsid w:val="000F59EE"/>
    <w:rsid w:val="000F5B85"/>
    <w:rsid w:val="000F5BC7"/>
    <w:rsid w:val="000F5BF4"/>
    <w:rsid w:val="000F60B6"/>
    <w:rsid w:val="000F60E4"/>
    <w:rsid w:val="000F6209"/>
    <w:rsid w:val="000F62FA"/>
    <w:rsid w:val="000F6ADC"/>
    <w:rsid w:val="000F6B1E"/>
    <w:rsid w:val="000F6EB9"/>
    <w:rsid w:val="000F7127"/>
    <w:rsid w:val="000F72DC"/>
    <w:rsid w:val="000F7314"/>
    <w:rsid w:val="000F734D"/>
    <w:rsid w:val="000F73D7"/>
    <w:rsid w:val="000F740C"/>
    <w:rsid w:val="000F7B54"/>
    <w:rsid w:val="000F7E33"/>
    <w:rsid w:val="000F7E50"/>
    <w:rsid w:val="001000B3"/>
    <w:rsid w:val="001002A6"/>
    <w:rsid w:val="001003FF"/>
    <w:rsid w:val="00100720"/>
    <w:rsid w:val="00100A59"/>
    <w:rsid w:val="00100BAE"/>
    <w:rsid w:val="00100BAF"/>
    <w:rsid w:val="00100F4D"/>
    <w:rsid w:val="00100F8A"/>
    <w:rsid w:val="00101025"/>
    <w:rsid w:val="001013C8"/>
    <w:rsid w:val="00101474"/>
    <w:rsid w:val="001015FC"/>
    <w:rsid w:val="001028A3"/>
    <w:rsid w:val="0010319D"/>
    <w:rsid w:val="001032E4"/>
    <w:rsid w:val="00103ACC"/>
    <w:rsid w:val="00103CC8"/>
    <w:rsid w:val="0010412E"/>
    <w:rsid w:val="001042C1"/>
    <w:rsid w:val="00104510"/>
    <w:rsid w:val="0010452E"/>
    <w:rsid w:val="00104BFF"/>
    <w:rsid w:val="0010506A"/>
    <w:rsid w:val="00105AE2"/>
    <w:rsid w:val="00105D48"/>
    <w:rsid w:val="00105F7F"/>
    <w:rsid w:val="0010603E"/>
    <w:rsid w:val="00106055"/>
    <w:rsid w:val="001060C6"/>
    <w:rsid w:val="00106198"/>
    <w:rsid w:val="00106200"/>
    <w:rsid w:val="001063AA"/>
    <w:rsid w:val="001064F9"/>
    <w:rsid w:val="00106A1C"/>
    <w:rsid w:val="00106AEC"/>
    <w:rsid w:val="00106B80"/>
    <w:rsid w:val="00106BC8"/>
    <w:rsid w:val="0010719D"/>
    <w:rsid w:val="00107B75"/>
    <w:rsid w:val="00107C46"/>
    <w:rsid w:val="00107DB9"/>
    <w:rsid w:val="0011032E"/>
    <w:rsid w:val="00110524"/>
    <w:rsid w:val="001109DF"/>
    <w:rsid w:val="00110BE7"/>
    <w:rsid w:val="00110C5E"/>
    <w:rsid w:val="00110D11"/>
    <w:rsid w:val="001119D1"/>
    <w:rsid w:val="0011230C"/>
    <w:rsid w:val="0011297A"/>
    <w:rsid w:val="00112D20"/>
    <w:rsid w:val="00112E56"/>
    <w:rsid w:val="001130FD"/>
    <w:rsid w:val="00113225"/>
    <w:rsid w:val="001132E5"/>
    <w:rsid w:val="001132EB"/>
    <w:rsid w:val="0011336D"/>
    <w:rsid w:val="001133E6"/>
    <w:rsid w:val="0011348B"/>
    <w:rsid w:val="001136B5"/>
    <w:rsid w:val="00113C25"/>
    <w:rsid w:val="00113F07"/>
    <w:rsid w:val="00114201"/>
    <w:rsid w:val="001147A7"/>
    <w:rsid w:val="00114953"/>
    <w:rsid w:val="00114985"/>
    <w:rsid w:val="00114B2B"/>
    <w:rsid w:val="00114C6F"/>
    <w:rsid w:val="00114CFE"/>
    <w:rsid w:val="00114EBF"/>
    <w:rsid w:val="0011505E"/>
    <w:rsid w:val="001150CB"/>
    <w:rsid w:val="0011527F"/>
    <w:rsid w:val="0011534B"/>
    <w:rsid w:val="001153DD"/>
    <w:rsid w:val="00115530"/>
    <w:rsid w:val="00115645"/>
    <w:rsid w:val="00115982"/>
    <w:rsid w:val="00115CDA"/>
    <w:rsid w:val="001163E5"/>
    <w:rsid w:val="00116C35"/>
    <w:rsid w:val="00116C53"/>
    <w:rsid w:val="00116DA2"/>
    <w:rsid w:val="00116DF1"/>
    <w:rsid w:val="0011716B"/>
    <w:rsid w:val="00117773"/>
    <w:rsid w:val="00117B58"/>
    <w:rsid w:val="00117B9D"/>
    <w:rsid w:val="00117FCC"/>
    <w:rsid w:val="00120260"/>
    <w:rsid w:val="00120D54"/>
    <w:rsid w:val="00120D66"/>
    <w:rsid w:val="00120D84"/>
    <w:rsid w:val="0012106D"/>
    <w:rsid w:val="001215CD"/>
    <w:rsid w:val="00121799"/>
    <w:rsid w:val="001219C0"/>
    <w:rsid w:val="00121A69"/>
    <w:rsid w:val="00121D49"/>
    <w:rsid w:val="00121DA9"/>
    <w:rsid w:val="001222FC"/>
    <w:rsid w:val="0012237D"/>
    <w:rsid w:val="0012255A"/>
    <w:rsid w:val="00122644"/>
    <w:rsid w:val="00122B30"/>
    <w:rsid w:val="00122DDE"/>
    <w:rsid w:val="001231F8"/>
    <w:rsid w:val="001233CD"/>
    <w:rsid w:val="001234F9"/>
    <w:rsid w:val="001234FE"/>
    <w:rsid w:val="00123536"/>
    <w:rsid w:val="00123597"/>
    <w:rsid w:val="001236D2"/>
    <w:rsid w:val="0012380D"/>
    <w:rsid w:val="00123902"/>
    <w:rsid w:val="00123BDF"/>
    <w:rsid w:val="001241C4"/>
    <w:rsid w:val="00124358"/>
    <w:rsid w:val="00124389"/>
    <w:rsid w:val="00124946"/>
    <w:rsid w:val="00124A39"/>
    <w:rsid w:val="00124A51"/>
    <w:rsid w:val="00124AD3"/>
    <w:rsid w:val="00124AF2"/>
    <w:rsid w:val="00124B5C"/>
    <w:rsid w:val="00124D75"/>
    <w:rsid w:val="00125053"/>
    <w:rsid w:val="001253A3"/>
    <w:rsid w:val="001255EF"/>
    <w:rsid w:val="0012567C"/>
    <w:rsid w:val="00125720"/>
    <w:rsid w:val="00125A6B"/>
    <w:rsid w:val="00125AF9"/>
    <w:rsid w:val="00125C91"/>
    <w:rsid w:val="001265F6"/>
    <w:rsid w:val="00126621"/>
    <w:rsid w:val="00126643"/>
    <w:rsid w:val="001268AC"/>
    <w:rsid w:val="00126A15"/>
    <w:rsid w:val="00126B1D"/>
    <w:rsid w:val="00127024"/>
    <w:rsid w:val="001274E8"/>
    <w:rsid w:val="00127A6B"/>
    <w:rsid w:val="00127D9F"/>
    <w:rsid w:val="00127F4A"/>
    <w:rsid w:val="00127FDF"/>
    <w:rsid w:val="0013002E"/>
    <w:rsid w:val="001301E9"/>
    <w:rsid w:val="00130603"/>
    <w:rsid w:val="00130617"/>
    <w:rsid w:val="00130639"/>
    <w:rsid w:val="001306D2"/>
    <w:rsid w:val="0013161E"/>
    <w:rsid w:val="00131CD4"/>
    <w:rsid w:val="00131D82"/>
    <w:rsid w:val="00132120"/>
    <w:rsid w:val="001321EA"/>
    <w:rsid w:val="001324AE"/>
    <w:rsid w:val="0013267E"/>
    <w:rsid w:val="00132B22"/>
    <w:rsid w:val="00132C65"/>
    <w:rsid w:val="00132DA7"/>
    <w:rsid w:val="0013309B"/>
    <w:rsid w:val="001331D9"/>
    <w:rsid w:val="00133BA2"/>
    <w:rsid w:val="00133D36"/>
    <w:rsid w:val="00133D80"/>
    <w:rsid w:val="00134452"/>
    <w:rsid w:val="001344FC"/>
    <w:rsid w:val="001346B0"/>
    <w:rsid w:val="001348DC"/>
    <w:rsid w:val="00134AC5"/>
    <w:rsid w:val="00135132"/>
    <w:rsid w:val="00135822"/>
    <w:rsid w:val="00135CA7"/>
    <w:rsid w:val="00135CB0"/>
    <w:rsid w:val="00135EE0"/>
    <w:rsid w:val="0013652E"/>
    <w:rsid w:val="00136968"/>
    <w:rsid w:val="00136E83"/>
    <w:rsid w:val="00136E97"/>
    <w:rsid w:val="00136EE4"/>
    <w:rsid w:val="00137645"/>
    <w:rsid w:val="00137918"/>
    <w:rsid w:val="00137E26"/>
    <w:rsid w:val="0014015A"/>
    <w:rsid w:val="00140262"/>
    <w:rsid w:val="00140535"/>
    <w:rsid w:val="00140862"/>
    <w:rsid w:val="001408DB"/>
    <w:rsid w:val="00140D10"/>
    <w:rsid w:val="00140E99"/>
    <w:rsid w:val="001416BE"/>
    <w:rsid w:val="001418BB"/>
    <w:rsid w:val="00142A30"/>
    <w:rsid w:val="00142AD8"/>
    <w:rsid w:val="00142DB9"/>
    <w:rsid w:val="00142F72"/>
    <w:rsid w:val="00143369"/>
    <w:rsid w:val="00143947"/>
    <w:rsid w:val="00143A09"/>
    <w:rsid w:val="00143F67"/>
    <w:rsid w:val="001442E8"/>
    <w:rsid w:val="0014442E"/>
    <w:rsid w:val="00144C4B"/>
    <w:rsid w:val="001450EC"/>
    <w:rsid w:val="00145234"/>
    <w:rsid w:val="00145305"/>
    <w:rsid w:val="00145540"/>
    <w:rsid w:val="001456B0"/>
    <w:rsid w:val="00145904"/>
    <w:rsid w:val="001464BF"/>
    <w:rsid w:val="00146623"/>
    <w:rsid w:val="00146861"/>
    <w:rsid w:val="00146D11"/>
    <w:rsid w:val="00146D41"/>
    <w:rsid w:val="001475AB"/>
    <w:rsid w:val="001476F2"/>
    <w:rsid w:val="001476F6"/>
    <w:rsid w:val="00150AB0"/>
    <w:rsid w:val="001519B6"/>
    <w:rsid w:val="00151C95"/>
    <w:rsid w:val="0015259C"/>
    <w:rsid w:val="00152613"/>
    <w:rsid w:val="001528FD"/>
    <w:rsid w:val="00152B42"/>
    <w:rsid w:val="00153194"/>
    <w:rsid w:val="00153249"/>
    <w:rsid w:val="001532A9"/>
    <w:rsid w:val="0015360E"/>
    <w:rsid w:val="00153E55"/>
    <w:rsid w:val="001540D8"/>
    <w:rsid w:val="00154537"/>
    <w:rsid w:val="0015467C"/>
    <w:rsid w:val="001547AB"/>
    <w:rsid w:val="00154957"/>
    <w:rsid w:val="00154E75"/>
    <w:rsid w:val="00154FCB"/>
    <w:rsid w:val="0015544D"/>
    <w:rsid w:val="0015548A"/>
    <w:rsid w:val="001554E1"/>
    <w:rsid w:val="00155771"/>
    <w:rsid w:val="00156765"/>
    <w:rsid w:val="00156BDF"/>
    <w:rsid w:val="00156F8F"/>
    <w:rsid w:val="00157130"/>
    <w:rsid w:val="0015715E"/>
    <w:rsid w:val="001573D9"/>
    <w:rsid w:val="001576B1"/>
    <w:rsid w:val="00157DC6"/>
    <w:rsid w:val="00157F84"/>
    <w:rsid w:val="0016047B"/>
    <w:rsid w:val="001609F7"/>
    <w:rsid w:val="00160A4C"/>
    <w:rsid w:val="00160C54"/>
    <w:rsid w:val="00161628"/>
    <w:rsid w:val="00161956"/>
    <w:rsid w:val="00161B13"/>
    <w:rsid w:val="00161BC9"/>
    <w:rsid w:val="00161FF0"/>
    <w:rsid w:val="00162125"/>
    <w:rsid w:val="001621FE"/>
    <w:rsid w:val="00162913"/>
    <w:rsid w:val="00162B17"/>
    <w:rsid w:val="00163042"/>
    <w:rsid w:val="00163174"/>
    <w:rsid w:val="001631E5"/>
    <w:rsid w:val="0016340F"/>
    <w:rsid w:val="001634CB"/>
    <w:rsid w:val="00163C26"/>
    <w:rsid w:val="00163D45"/>
    <w:rsid w:val="00163EFF"/>
    <w:rsid w:val="00163F66"/>
    <w:rsid w:val="00164395"/>
    <w:rsid w:val="0016439D"/>
    <w:rsid w:val="001644F3"/>
    <w:rsid w:val="0016478E"/>
    <w:rsid w:val="0016484A"/>
    <w:rsid w:val="001648CA"/>
    <w:rsid w:val="00164976"/>
    <w:rsid w:val="00164AAA"/>
    <w:rsid w:val="00164AD6"/>
    <w:rsid w:val="00164CE6"/>
    <w:rsid w:val="00165194"/>
    <w:rsid w:val="00165D97"/>
    <w:rsid w:val="00165EB4"/>
    <w:rsid w:val="00165EC4"/>
    <w:rsid w:val="001661FB"/>
    <w:rsid w:val="00166CB4"/>
    <w:rsid w:val="00166E6C"/>
    <w:rsid w:val="00166F6D"/>
    <w:rsid w:val="00167184"/>
    <w:rsid w:val="001671A0"/>
    <w:rsid w:val="00167277"/>
    <w:rsid w:val="001673DD"/>
    <w:rsid w:val="0016758E"/>
    <w:rsid w:val="0016767F"/>
    <w:rsid w:val="00167815"/>
    <w:rsid w:val="00167ACD"/>
    <w:rsid w:val="0017022B"/>
    <w:rsid w:val="0017038F"/>
    <w:rsid w:val="001703F5"/>
    <w:rsid w:val="001705A7"/>
    <w:rsid w:val="00170A38"/>
    <w:rsid w:val="00170A7F"/>
    <w:rsid w:val="001717BD"/>
    <w:rsid w:val="0017191A"/>
    <w:rsid w:val="00171C40"/>
    <w:rsid w:val="00171E4F"/>
    <w:rsid w:val="00171E87"/>
    <w:rsid w:val="00171FF8"/>
    <w:rsid w:val="00172215"/>
    <w:rsid w:val="001723B3"/>
    <w:rsid w:val="00172D95"/>
    <w:rsid w:val="00172DEB"/>
    <w:rsid w:val="00173186"/>
    <w:rsid w:val="00173565"/>
    <w:rsid w:val="001737E8"/>
    <w:rsid w:val="00173B01"/>
    <w:rsid w:val="00173B07"/>
    <w:rsid w:val="00173EE5"/>
    <w:rsid w:val="001740BE"/>
    <w:rsid w:val="0017424D"/>
    <w:rsid w:val="001744F0"/>
    <w:rsid w:val="001748FC"/>
    <w:rsid w:val="00174DE5"/>
    <w:rsid w:val="00175182"/>
    <w:rsid w:val="001751FA"/>
    <w:rsid w:val="001752C8"/>
    <w:rsid w:val="00175463"/>
    <w:rsid w:val="00175B90"/>
    <w:rsid w:val="00175E2D"/>
    <w:rsid w:val="0017622C"/>
    <w:rsid w:val="001762D6"/>
    <w:rsid w:val="0017671F"/>
    <w:rsid w:val="001767F1"/>
    <w:rsid w:val="00176A23"/>
    <w:rsid w:val="001774A1"/>
    <w:rsid w:val="00177826"/>
    <w:rsid w:val="00177933"/>
    <w:rsid w:val="00177939"/>
    <w:rsid w:val="00177A23"/>
    <w:rsid w:val="00177CCB"/>
    <w:rsid w:val="00177D61"/>
    <w:rsid w:val="00180087"/>
    <w:rsid w:val="0018015E"/>
    <w:rsid w:val="00180554"/>
    <w:rsid w:val="00180D1F"/>
    <w:rsid w:val="00181546"/>
    <w:rsid w:val="0018162B"/>
    <w:rsid w:val="00181807"/>
    <w:rsid w:val="00181855"/>
    <w:rsid w:val="00181A68"/>
    <w:rsid w:val="00181C10"/>
    <w:rsid w:val="00181D3E"/>
    <w:rsid w:val="00181D60"/>
    <w:rsid w:val="00181D9C"/>
    <w:rsid w:val="00181E3B"/>
    <w:rsid w:val="00182479"/>
    <w:rsid w:val="0018253E"/>
    <w:rsid w:val="001826B7"/>
    <w:rsid w:val="001826F4"/>
    <w:rsid w:val="001827D1"/>
    <w:rsid w:val="00182863"/>
    <w:rsid w:val="00182A73"/>
    <w:rsid w:val="00182B2D"/>
    <w:rsid w:val="00182BEC"/>
    <w:rsid w:val="00182D67"/>
    <w:rsid w:val="00182DDA"/>
    <w:rsid w:val="00183667"/>
    <w:rsid w:val="001837FF"/>
    <w:rsid w:val="001841C4"/>
    <w:rsid w:val="00184B0E"/>
    <w:rsid w:val="00185254"/>
    <w:rsid w:val="0018539F"/>
    <w:rsid w:val="0018547E"/>
    <w:rsid w:val="00185561"/>
    <w:rsid w:val="00185AE0"/>
    <w:rsid w:val="001863B3"/>
    <w:rsid w:val="001863E5"/>
    <w:rsid w:val="0018642A"/>
    <w:rsid w:val="0018690F"/>
    <w:rsid w:val="00186CE7"/>
    <w:rsid w:val="00186ED6"/>
    <w:rsid w:val="00186F18"/>
    <w:rsid w:val="001870CD"/>
    <w:rsid w:val="00187113"/>
    <w:rsid w:val="001871EF"/>
    <w:rsid w:val="001872AE"/>
    <w:rsid w:val="0018752F"/>
    <w:rsid w:val="001876AD"/>
    <w:rsid w:val="00187707"/>
    <w:rsid w:val="001878F6"/>
    <w:rsid w:val="00187F0C"/>
    <w:rsid w:val="00190E16"/>
    <w:rsid w:val="0019108C"/>
    <w:rsid w:val="00191184"/>
    <w:rsid w:val="00191597"/>
    <w:rsid w:val="001915B8"/>
    <w:rsid w:val="00191873"/>
    <w:rsid w:val="00191DFA"/>
    <w:rsid w:val="00191FB4"/>
    <w:rsid w:val="00191FF3"/>
    <w:rsid w:val="00192075"/>
    <w:rsid w:val="001920C0"/>
    <w:rsid w:val="00192197"/>
    <w:rsid w:val="00192537"/>
    <w:rsid w:val="00192605"/>
    <w:rsid w:val="00192912"/>
    <w:rsid w:val="00192A29"/>
    <w:rsid w:val="00192C7C"/>
    <w:rsid w:val="001933C9"/>
    <w:rsid w:val="00193548"/>
    <w:rsid w:val="001935EC"/>
    <w:rsid w:val="00193838"/>
    <w:rsid w:val="00193AE9"/>
    <w:rsid w:val="00193BEC"/>
    <w:rsid w:val="0019422E"/>
    <w:rsid w:val="001945E8"/>
    <w:rsid w:val="001947E1"/>
    <w:rsid w:val="001948BC"/>
    <w:rsid w:val="00194AD8"/>
    <w:rsid w:val="00195222"/>
    <w:rsid w:val="00195344"/>
    <w:rsid w:val="00195452"/>
    <w:rsid w:val="001957BA"/>
    <w:rsid w:val="00195CD0"/>
    <w:rsid w:val="00195E91"/>
    <w:rsid w:val="00196232"/>
    <w:rsid w:val="00196C8A"/>
    <w:rsid w:val="00196D29"/>
    <w:rsid w:val="00196D4E"/>
    <w:rsid w:val="00197175"/>
    <w:rsid w:val="001972B1"/>
    <w:rsid w:val="00197533"/>
    <w:rsid w:val="001975D7"/>
    <w:rsid w:val="001975D8"/>
    <w:rsid w:val="001975E7"/>
    <w:rsid w:val="001978FB"/>
    <w:rsid w:val="001978FE"/>
    <w:rsid w:val="00197F07"/>
    <w:rsid w:val="001A00EF"/>
    <w:rsid w:val="001A012B"/>
    <w:rsid w:val="001A03EE"/>
    <w:rsid w:val="001A0796"/>
    <w:rsid w:val="001A0DD1"/>
    <w:rsid w:val="001A0F79"/>
    <w:rsid w:val="001A113B"/>
    <w:rsid w:val="001A1357"/>
    <w:rsid w:val="001A15BB"/>
    <w:rsid w:val="001A165C"/>
    <w:rsid w:val="001A178E"/>
    <w:rsid w:val="001A1AE0"/>
    <w:rsid w:val="001A20ED"/>
    <w:rsid w:val="001A220A"/>
    <w:rsid w:val="001A29E8"/>
    <w:rsid w:val="001A2C59"/>
    <w:rsid w:val="001A3145"/>
    <w:rsid w:val="001A3BAE"/>
    <w:rsid w:val="001A3F17"/>
    <w:rsid w:val="001A427B"/>
    <w:rsid w:val="001A43FA"/>
    <w:rsid w:val="001A446A"/>
    <w:rsid w:val="001A47C5"/>
    <w:rsid w:val="001A4822"/>
    <w:rsid w:val="001A4A5E"/>
    <w:rsid w:val="001A4C1D"/>
    <w:rsid w:val="001A5314"/>
    <w:rsid w:val="001A55CE"/>
    <w:rsid w:val="001A59FB"/>
    <w:rsid w:val="001A5BCE"/>
    <w:rsid w:val="001A5E9E"/>
    <w:rsid w:val="001A6354"/>
    <w:rsid w:val="001A6366"/>
    <w:rsid w:val="001A639B"/>
    <w:rsid w:val="001A6451"/>
    <w:rsid w:val="001A6719"/>
    <w:rsid w:val="001A6B81"/>
    <w:rsid w:val="001A7296"/>
    <w:rsid w:val="001A797A"/>
    <w:rsid w:val="001A7AE8"/>
    <w:rsid w:val="001A7EED"/>
    <w:rsid w:val="001B018D"/>
    <w:rsid w:val="001B0502"/>
    <w:rsid w:val="001B05DB"/>
    <w:rsid w:val="001B09AF"/>
    <w:rsid w:val="001B0CAE"/>
    <w:rsid w:val="001B0D59"/>
    <w:rsid w:val="001B0DB3"/>
    <w:rsid w:val="001B1F96"/>
    <w:rsid w:val="001B204E"/>
    <w:rsid w:val="001B2372"/>
    <w:rsid w:val="001B23A3"/>
    <w:rsid w:val="001B2D1A"/>
    <w:rsid w:val="001B2E89"/>
    <w:rsid w:val="001B2F01"/>
    <w:rsid w:val="001B2F0D"/>
    <w:rsid w:val="001B2F65"/>
    <w:rsid w:val="001B315B"/>
    <w:rsid w:val="001B3443"/>
    <w:rsid w:val="001B34CF"/>
    <w:rsid w:val="001B35DE"/>
    <w:rsid w:val="001B3682"/>
    <w:rsid w:val="001B40FB"/>
    <w:rsid w:val="001B4119"/>
    <w:rsid w:val="001B438C"/>
    <w:rsid w:val="001B4529"/>
    <w:rsid w:val="001B491C"/>
    <w:rsid w:val="001B4ACC"/>
    <w:rsid w:val="001B4C04"/>
    <w:rsid w:val="001B4CE6"/>
    <w:rsid w:val="001B4D20"/>
    <w:rsid w:val="001B4D4F"/>
    <w:rsid w:val="001B5163"/>
    <w:rsid w:val="001B5282"/>
    <w:rsid w:val="001B53A5"/>
    <w:rsid w:val="001B53B6"/>
    <w:rsid w:val="001B54B6"/>
    <w:rsid w:val="001B54E6"/>
    <w:rsid w:val="001B5639"/>
    <w:rsid w:val="001B57C5"/>
    <w:rsid w:val="001B5B18"/>
    <w:rsid w:val="001B5DA6"/>
    <w:rsid w:val="001B61ED"/>
    <w:rsid w:val="001B6AF4"/>
    <w:rsid w:val="001B6CA3"/>
    <w:rsid w:val="001B790B"/>
    <w:rsid w:val="001B79AA"/>
    <w:rsid w:val="001B7A3B"/>
    <w:rsid w:val="001B7CEC"/>
    <w:rsid w:val="001B7E01"/>
    <w:rsid w:val="001B7F84"/>
    <w:rsid w:val="001C0494"/>
    <w:rsid w:val="001C09E1"/>
    <w:rsid w:val="001C0A7C"/>
    <w:rsid w:val="001C0C45"/>
    <w:rsid w:val="001C1508"/>
    <w:rsid w:val="001C1662"/>
    <w:rsid w:val="001C1A14"/>
    <w:rsid w:val="001C1D65"/>
    <w:rsid w:val="001C25DC"/>
    <w:rsid w:val="001C2A9B"/>
    <w:rsid w:val="001C2D0A"/>
    <w:rsid w:val="001C2DC7"/>
    <w:rsid w:val="001C3197"/>
    <w:rsid w:val="001C3270"/>
    <w:rsid w:val="001C383F"/>
    <w:rsid w:val="001C3BE7"/>
    <w:rsid w:val="001C3DD6"/>
    <w:rsid w:val="001C3ED5"/>
    <w:rsid w:val="001C4227"/>
    <w:rsid w:val="001C4299"/>
    <w:rsid w:val="001C42E1"/>
    <w:rsid w:val="001C4874"/>
    <w:rsid w:val="001C49F5"/>
    <w:rsid w:val="001C524C"/>
    <w:rsid w:val="001C52E0"/>
    <w:rsid w:val="001C53CC"/>
    <w:rsid w:val="001C55A3"/>
    <w:rsid w:val="001C5932"/>
    <w:rsid w:val="001C5C35"/>
    <w:rsid w:val="001C5F15"/>
    <w:rsid w:val="001C5F94"/>
    <w:rsid w:val="001C621B"/>
    <w:rsid w:val="001C685B"/>
    <w:rsid w:val="001C6AFE"/>
    <w:rsid w:val="001C6B86"/>
    <w:rsid w:val="001C6C75"/>
    <w:rsid w:val="001C6E66"/>
    <w:rsid w:val="001C6F85"/>
    <w:rsid w:val="001C71C0"/>
    <w:rsid w:val="001C7266"/>
    <w:rsid w:val="001C7622"/>
    <w:rsid w:val="001C78C6"/>
    <w:rsid w:val="001C7DCD"/>
    <w:rsid w:val="001C7FD7"/>
    <w:rsid w:val="001C7FF6"/>
    <w:rsid w:val="001D02AB"/>
    <w:rsid w:val="001D09A0"/>
    <w:rsid w:val="001D0EA2"/>
    <w:rsid w:val="001D0EA8"/>
    <w:rsid w:val="001D0EEE"/>
    <w:rsid w:val="001D1100"/>
    <w:rsid w:val="001D1352"/>
    <w:rsid w:val="001D1391"/>
    <w:rsid w:val="001D1833"/>
    <w:rsid w:val="001D19D1"/>
    <w:rsid w:val="001D1AD2"/>
    <w:rsid w:val="001D220A"/>
    <w:rsid w:val="001D23BE"/>
    <w:rsid w:val="001D25D7"/>
    <w:rsid w:val="001D284F"/>
    <w:rsid w:val="001D2D47"/>
    <w:rsid w:val="001D34CD"/>
    <w:rsid w:val="001D360D"/>
    <w:rsid w:val="001D3ABB"/>
    <w:rsid w:val="001D3E59"/>
    <w:rsid w:val="001D3FCD"/>
    <w:rsid w:val="001D4683"/>
    <w:rsid w:val="001D481B"/>
    <w:rsid w:val="001D4A11"/>
    <w:rsid w:val="001D50B2"/>
    <w:rsid w:val="001D5213"/>
    <w:rsid w:val="001D54EC"/>
    <w:rsid w:val="001D56BF"/>
    <w:rsid w:val="001D5E77"/>
    <w:rsid w:val="001D600B"/>
    <w:rsid w:val="001D604A"/>
    <w:rsid w:val="001D62E5"/>
    <w:rsid w:val="001D68CE"/>
    <w:rsid w:val="001D69AA"/>
    <w:rsid w:val="001D6B06"/>
    <w:rsid w:val="001D6CBB"/>
    <w:rsid w:val="001D6FF5"/>
    <w:rsid w:val="001D704D"/>
    <w:rsid w:val="001D71F4"/>
    <w:rsid w:val="001D72AE"/>
    <w:rsid w:val="001D72B6"/>
    <w:rsid w:val="001D7645"/>
    <w:rsid w:val="001D76C4"/>
    <w:rsid w:val="001D78D6"/>
    <w:rsid w:val="001D7B51"/>
    <w:rsid w:val="001D7CBA"/>
    <w:rsid w:val="001D7E93"/>
    <w:rsid w:val="001D7F67"/>
    <w:rsid w:val="001E012D"/>
    <w:rsid w:val="001E075A"/>
    <w:rsid w:val="001E07DB"/>
    <w:rsid w:val="001E07FC"/>
    <w:rsid w:val="001E09BC"/>
    <w:rsid w:val="001E0BAD"/>
    <w:rsid w:val="001E0C5B"/>
    <w:rsid w:val="001E0FB1"/>
    <w:rsid w:val="001E0FF5"/>
    <w:rsid w:val="001E1117"/>
    <w:rsid w:val="001E11BC"/>
    <w:rsid w:val="001E148C"/>
    <w:rsid w:val="001E1722"/>
    <w:rsid w:val="001E1AB4"/>
    <w:rsid w:val="001E1C97"/>
    <w:rsid w:val="001E1E0C"/>
    <w:rsid w:val="001E1E86"/>
    <w:rsid w:val="001E238E"/>
    <w:rsid w:val="001E2483"/>
    <w:rsid w:val="001E25E3"/>
    <w:rsid w:val="001E28AD"/>
    <w:rsid w:val="001E2B1E"/>
    <w:rsid w:val="001E2B20"/>
    <w:rsid w:val="001E2B7C"/>
    <w:rsid w:val="001E2CFF"/>
    <w:rsid w:val="001E2F24"/>
    <w:rsid w:val="001E30D4"/>
    <w:rsid w:val="001E34DF"/>
    <w:rsid w:val="001E40C7"/>
    <w:rsid w:val="001E42FB"/>
    <w:rsid w:val="001E44C0"/>
    <w:rsid w:val="001E4B62"/>
    <w:rsid w:val="001E52EB"/>
    <w:rsid w:val="001E52F3"/>
    <w:rsid w:val="001E531A"/>
    <w:rsid w:val="001E5396"/>
    <w:rsid w:val="001E55F4"/>
    <w:rsid w:val="001E5AD3"/>
    <w:rsid w:val="001E6053"/>
    <w:rsid w:val="001E60EF"/>
    <w:rsid w:val="001E61D2"/>
    <w:rsid w:val="001E622F"/>
    <w:rsid w:val="001E68C4"/>
    <w:rsid w:val="001E69F8"/>
    <w:rsid w:val="001E6A1B"/>
    <w:rsid w:val="001E6A1F"/>
    <w:rsid w:val="001E6D26"/>
    <w:rsid w:val="001E6DFD"/>
    <w:rsid w:val="001E6E97"/>
    <w:rsid w:val="001E6FCF"/>
    <w:rsid w:val="001E71D6"/>
    <w:rsid w:val="001E740C"/>
    <w:rsid w:val="001E7645"/>
    <w:rsid w:val="001E77F9"/>
    <w:rsid w:val="001E7A5A"/>
    <w:rsid w:val="001E7C1B"/>
    <w:rsid w:val="001E7EEB"/>
    <w:rsid w:val="001F01FE"/>
    <w:rsid w:val="001F05FD"/>
    <w:rsid w:val="001F0664"/>
    <w:rsid w:val="001F093D"/>
    <w:rsid w:val="001F0C89"/>
    <w:rsid w:val="001F1235"/>
    <w:rsid w:val="001F1799"/>
    <w:rsid w:val="001F1867"/>
    <w:rsid w:val="001F1AA8"/>
    <w:rsid w:val="001F1AC1"/>
    <w:rsid w:val="001F1CB3"/>
    <w:rsid w:val="001F224F"/>
    <w:rsid w:val="001F230D"/>
    <w:rsid w:val="001F231F"/>
    <w:rsid w:val="001F3385"/>
    <w:rsid w:val="001F38B5"/>
    <w:rsid w:val="001F3972"/>
    <w:rsid w:val="001F3A4F"/>
    <w:rsid w:val="001F3C4C"/>
    <w:rsid w:val="001F3D51"/>
    <w:rsid w:val="001F3F38"/>
    <w:rsid w:val="001F3F7E"/>
    <w:rsid w:val="001F4045"/>
    <w:rsid w:val="001F4081"/>
    <w:rsid w:val="001F438D"/>
    <w:rsid w:val="001F4B1A"/>
    <w:rsid w:val="001F4C9E"/>
    <w:rsid w:val="001F4E22"/>
    <w:rsid w:val="001F52A5"/>
    <w:rsid w:val="001F5CE7"/>
    <w:rsid w:val="001F5D8A"/>
    <w:rsid w:val="001F5D95"/>
    <w:rsid w:val="001F6267"/>
    <w:rsid w:val="001F6301"/>
    <w:rsid w:val="001F656C"/>
    <w:rsid w:val="001F67EA"/>
    <w:rsid w:val="001F6CBF"/>
    <w:rsid w:val="001F7273"/>
    <w:rsid w:val="001F7361"/>
    <w:rsid w:val="001F737E"/>
    <w:rsid w:val="001F7464"/>
    <w:rsid w:val="001F7622"/>
    <w:rsid w:val="001F77DB"/>
    <w:rsid w:val="001F7FAE"/>
    <w:rsid w:val="00200148"/>
    <w:rsid w:val="00200856"/>
    <w:rsid w:val="00200994"/>
    <w:rsid w:val="00200DA7"/>
    <w:rsid w:val="002011B0"/>
    <w:rsid w:val="002013E5"/>
    <w:rsid w:val="00201561"/>
    <w:rsid w:val="00201E43"/>
    <w:rsid w:val="00202253"/>
    <w:rsid w:val="00202840"/>
    <w:rsid w:val="00202BA6"/>
    <w:rsid w:val="00202C53"/>
    <w:rsid w:val="00203181"/>
    <w:rsid w:val="00203200"/>
    <w:rsid w:val="002034B7"/>
    <w:rsid w:val="002035C1"/>
    <w:rsid w:val="002035CE"/>
    <w:rsid w:val="00203783"/>
    <w:rsid w:val="002037FE"/>
    <w:rsid w:val="0020385F"/>
    <w:rsid w:val="0020388C"/>
    <w:rsid w:val="00203A14"/>
    <w:rsid w:val="00203BE9"/>
    <w:rsid w:val="00204826"/>
    <w:rsid w:val="00204AC6"/>
    <w:rsid w:val="00205614"/>
    <w:rsid w:val="0020589A"/>
    <w:rsid w:val="002059C5"/>
    <w:rsid w:val="00205C94"/>
    <w:rsid w:val="00205ED1"/>
    <w:rsid w:val="00206287"/>
    <w:rsid w:val="00206821"/>
    <w:rsid w:val="002068A0"/>
    <w:rsid w:val="00207021"/>
    <w:rsid w:val="0020732F"/>
    <w:rsid w:val="002073BB"/>
    <w:rsid w:val="0020781C"/>
    <w:rsid w:val="00207D00"/>
    <w:rsid w:val="00210306"/>
    <w:rsid w:val="002105C1"/>
    <w:rsid w:val="002109F1"/>
    <w:rsid w:val="0021122E"/>
    <w:rsid w:val="002115F2"/>
    <w:rsid w:val="002116FD"/>
    <w:rsid w:val="00212075"/>
    <w:rsid w:val="00212431"/>
    <w:rsid w:val="0021285A"/>
    <w:rsid w:val="002129B7"/>
    <w:rsid w:val="002132CC"/>
    <w:rsid w:val="0021349B"/>
    <w:rsid w:val="00213AEF"/>
    <w:rsid w:val="00213EF5"/>
    <w:rsid w:val="002142DA"/>
    <w:rsid w:val="00214651"/>
    <w:rsid w:val="00214CFD"/>
    <w:rsid w:val="00214DF6"/>
    <w:rsid w:val="00214E38"/>
    <w:rsid w:val="00214F14"/>
    <w:rsid w:val="002150CE"/>
    <w:rsid w:val="002157CB"/>
    <w:rsid w:val="00215CCD"/>
    <w:rsid w:val="00215E6A"/>
    <w:rsid w:val="00216432"/>
    <w:rsid w:val="002166FD"/>
    <w:rsid w:val="00216A10"/>
    <w:rsid w:val="00216AA2"/>
    <w:rsid w:val="00216BF5"/>
    <w:rsid w:val="00216D7D"/>
    <w:rsid w:val="002172AF"/>
    <w:rsid w:val="002173C7"/>
    <w:rsid w:val="0021742F"/>
    <w:rsid w:val="0021743B"/>
    <w:rsid w:val="0021743D"/>
    <w:rsid w:val="00217B84"/>
    <w:rsid w:val="00217CA0"/>
    <w:rsid w:val="002203BE"/>
    <w:rsid w:val="00220637"/>
    <w:rsid w:val="002209F8"/>
    <w:rsid w:val="00220A07"/>
    <w:rsid w:val="00220AED"/>
    <w:rsid w:val="00220C9E"/>
    <w:rsid w:val="0022116C"/>
    <w:rsid w:val="00221632"/>
    <w:rsid w:val="0022183A"/>
    <w:rsid w:val="00221859"/>
    <w:rsid w:val="00221C46"/>
    <w:rsid w:val="00221E66"/>
    <w:rsid w:val="0022216E"/>
    <w:rsid w:val="00222268"/>
    <w:rsid w:val="00222819"/>
    <w:rsid w:val="002228DC"/>
    <w:rsid w:val="00222E07"/>
    <w:rsid w:val="002234A6"/>
    <w:rsid w:val="002234D6"/>
    <w:rsid w:val="0022366B"/>
    <w:rsid w:val="002237B6"/>
    <w:rsid w:val="00223B49"/>
    <w:rsid w:val="00223D5A"/>
    <w:rsid w:val="00224249"/>
    <w:rsid w:val="00224528"/>
    <w:rsid w:val="0022464C"/>
    <w:rsid w:val="00224732"/>
    <w:rsid w:val="002247AE"/>
    <w:rsid w:val="00224B12"/>
    <w:rsid w:val="00224DD4"/>
    <w:rsid w:val="00224DE5"/>
    <w:rsid w:val="00225B4B"/>
    <w:rsid w:val="00225CA7"/>
    <w:rsid w:val="00225F56"/>
    <w:rsid w:val="00226509"/>
    <w:rsid w:val="0022679B"/>
    <w:rsid w:val="00226C13"/>
    <w:rsid w:val="00226C50"/>
    <w:rsid w:val="00226ED4"/>
    <w:rsid w:val="00226F7B"/>
    <w:rsid w:val="002277DC"/>
    <w:rsid w:val="00227860"/>
    <w:rsid w:val="002278A0"/>
    <w:rsid w:val="002279B8"/>
    <w:rsid w:val="00227B17"/>
    <w:rsid w:val="00230032"/>
    <w:rsid w:val="0023003B"/>
    <w:rsid w:val="002304B6"/>
    <w:rsid w:val="002308C9"/>
    <w:rsid w:val="002309CC"/>
    <w:rsid w:val="00230E5C"/>
    <w:rsid w:val="002311E2"/>
    <w:rsid w:val="002313FE"/>
    <w:rsid w:val="00231739"/>
    <w:rsid w:val="00231ACE"/>
    <w:rsid w:val="00231BA9"/>
    <w:rsid w:val="0023209F"/>
    <w:rsid w:val="002322D5"/>
    <w:rsid w:val="002324BA"/>
    <w:rsid w:val="0023256D"/>
    <w:rsid w:val="0023340C"/>
    <w:rsid w:val="00233756"/>
    <w:rsid w:val="002338A9"/>
    <w:rsid w:val="00233ABE"/>
    <w:rsid w:val="00233C01"/>
    <w:rsid w:val="0023413C"/>
    <w:rsid w:val="0023413F"/>
    <w:rsid w:val="0023425E"/>
    <w:rsid w:val="002346F0"/>
    <w:rsid w:val="00234847"/>
    <w:rsid w:val="00234AED"/>
    <w:rsid w:val="00234ECF"/>
    <w:rsid w:val="00234FBA"/>
    <w:rsid w:val="00234FD6"/>
    <w:rsid w:val="002352A7"/>
    <w:rsid w:val="00235A98"/>
    <w:rsid w:val="00235ED2"/>
    <w:rsid w:val="0023629D"/>
    <w:rsid w:val="0023678B"/>
    <w:rsid w:val="00236B16"/>
    <w:rsid w:val="00236F2A"/>
    <w:rsid w:val="00237052"/>
    <w:rsid w:val="002370A2"/>
    <w:rsid w:val="00237255"/>
    <w:rsid w:val="0023778D"/>
    <w:rsid w:val="00237A14"/>
    <w:rsid w:val="00237C01"/>
    <w:rsid w:val="00240071"/>
    <w:rsid w:val="002407D0"/>
    <w:rsid w:val="002408BF"/>
    <w:rsid w:val="00240AE3"/>
    <w:rsid w:val="00240E11"/>
    <w:rsid w:val="00240E90"/>
    <w:rsid w:val="00240F75"/>
    <w:rsid w:val="00241556"/>
    <w:rsid w:val="002416A0"/>
    <w:rsid w:val="00241AD3"/>
    <w:rsid w:val="00241D22"/>
    <w:rsid w:val="00241D47"/>
    <w:rsid w:val="00241DA7"/>
    <w:rsid w:val="002420E4"/>
    <w:rsid w:val="00242243"/>
    <w:rsid w:val="00242414"/>
    <w:rsid w:val="002424AF"/>
    <w:rsid w:val="002425BC"/>
    <w:rsid w:val="002425FC"/>
    <w:rsid w:val="002427A7"/>
    <w:rsid w:val="002427C0"/>
    <w:rsid w:val="0024296A"/>
    <w:rsid w:val="00242BD1"/>
    <w:rsid w:val="00242C04"/>
    <w:rsid w:val="00242D32"/>
    <w:rsid w:val="00242E1C"/>
    <w:rsid w:val="00242F76"/>
    <w:rsid w:val="0024318F"/>
    <w:rsid w:val="00243199"/>
    <w:rsid w:val="0024332E"/>
    <w:rsid w:val="002434DF"/>
    <w:rsid w:val="002435B0"/>
    <w:rsid w:val="002436A8"/>
    <w:rsid w:val="002439DC"/>
    <w:rsid w:val="00243CB4"/>
    <w:rsid w:val="002441D2"/>
    <w:rsid w:val="002444FB"/>
    <w:rsid w:val="00244840"/>
    <w:rsid w:val="00244DC8"/>
    <w:rsid w:val="00244E29"/>
    <w:rsid w:val="0024521E"/>
    <w:rsid w:val="002452E5"/>
    <w:rsid w:val="00245352"/>
    <w:rsid w:val="002454F9"/>
    <w:rsid w:val="002455DA"/>
    <w:rsid w:val="0024578C"/>
    <w:rsid w:val="00245797"/>
    <w:rsid w:val="002458BA"/>
    <w:rsid w:val="00245919"/>
    <w:rsid w:val="00245B37"/>
    <w:rsid w:val="00245CE4"/>
    <w:rsid w:val="00245CE9"/>
    <w:rsid w:val="002461B4"/>
    <w:rsid w:val="002461B6"/>
    <w:rsid w:val="0024636C"/>
    <w:rsid w:val="00246813"/>
    <w:rsid w:val="00246E76"/>
    <w:rsid w:val="0024716C"/>
    <w:rsid w:val="0024758D"/>
    <w:rsid w:val="00247925"/>
    <w:rsid w:val="00247A6F"/>
    <w:rsid w:val="00250461"/>
    <w:rsid w:val="0025075E"/>
    <w:rsid w:val="00251006"/>
    <w:rsid w:val="00251478"/>
    <w:rsid w:val="0025237A"/>
    <w:rsid w:val="002524D5"/>
    <w:rsid w:val="00252649"/>
    <w:rsid w:val="002529FD"/>
    <w:rsid w:val="00252B92"/>
    <w:rsid w:val="00252E17"/>
    <w:rsid w:val="00252F94"/>
    <w:rsid w:val="002534AF"/>
    <w:rsid w:val="0025355A"/>
    <w:rsid w:val="00253771"/>
    <w:rsid w:val="00253B1D"/>
    <w:rsid w:val="00254A95"/>
    <w:rsid w:val="00254C3D"/>
    <w:rsid w:val="00254DCF"/>
    <w:rsid w:val="00254E46"/>
    <w:rsid w:val="00255153"/>
    <w:rsid w:val="0025534B"/>
    <w:rsid w:val="00255358"/>
    <w:rsid w:val="0025568B"/>
    <w:rsid w:val="00255BB7"/>
    <w:rsid w:val="00255EE3"/>
    <w:rsid w:val="0025601A"/>
    <w:rsid w:val="002560A3"/>
    <w:rsid w:val="00256319"/>
    <w:rsid w:val="00256430"/>
    <w:rsid w:val="00256856"/>
    <w:rsid w:val="00256860"/>
    <w:rsid w:val="00256B13"/>
    <w:rsid w:val="00256F1A"/>
    <w:rsid w:val="00257032"/>
    <w:rsid w:val="00257541"/>
    <w:rsid w:val="00257A39"/>
    <w:rsid w:val="00257AC4"/>
    <w:rsid w:val="00257BBE"/>
    <w:rsid w:val="00257BF7"/>
    <w:rsid w:val="00257C28"/>
    <w:rsid w:val="00257CC2"/>
    <w:rsid w:val="002603FA"/>
    <w:rsid w:val="00260835"/>
    <w:rsid w:val="00260A2F"/>
    <w:rsid w:val="00260A55"/>
    <w:rsid w:val="00260D2E"/>
    <w:rsid w:val="00260DDF"/>
    <w:rsid w:val="00261040"/>
    <w:rsid w:val="00261A59"/>
    <w:rsid w:val="00261E15"/>
    <w:rsid w:val="00261EEF"/>
    <w:rsid w:val="00262127"/>
    <w:rsid w:val="00262422"/>
    <w:rsid w:val="00262762"/>
    <w:rsid w:val="00262A1A"/>
    <w:rsid w:val="00262A87"/>
    <w:rsid w:val="00263275"/>
    <w:rsid w:val="002632A6"/>
    <w:rsid w:val="00263780"/>
    <w:rsid w:val="002638CD"/>
    <w:rsid w:val="002639D5"/>
    <w:rsid w:val="00263B4B"/>
    <w:rsid w:val="002646AB"/>
    <w:rsid w:val="002646F4"/>
    <w:rsid w:val="002647DC"/>
    <w:rsid w:val="00264937"/>
    <w:rsid w:val="00264BB1"/>
    <w:rsid w:val="00264D26"/>
    <w:rsid w:val="002652BD"/>
    <w:rsid w:val="002658EE"/>
    <w:rsid w:val="002659F0"/>
    <w:rsid w:val="00266112"/>
    <w:rsid w:val="00266B01"/>
    <w:rsid w:val="00266C73"/>
    <w:rsid w:val="00267150"/>
    <w:rsid w:val="0026731A"/>
    <w:rsid w:val="00267332"/>
    <w:rsid w:val="002675AC"/>
    <w:rsid w:val="00267642"/>
    <w:rsid w:val="0026770E"/>
    <w:rsid w:val="00267885"/>
    <w:rsid w:val="0026789D"/>
    <w:rsid w:val="00267ACF"/>
    <w:rsid w:val="00267AEA"/>
    <w:rsid w:val="002700E6"/>
    <w:rsid w:val="0027025B"/>
    <w:rsid w:val="002702F0"/>
    <w:rsid w:val="0027083A"/>
    <w:rsid w:val="00271492"/>
    <w:rsid w:val="0027187B"/>
    <w:rsid w:val="00271BFF"/>
    <w:rsid w:val="0027208F"/>
    <w:rsid w:val="002721C8"/>
    <w:rsid w:val="002721E1"/>
    <w:rsid w:val="002724A3"/>
    <w:rsid w:val="0027294B"/>
    <w:rsid w:val="0027307C"/>
    <w:rsid w:val="002734FF"/>
    <w:rsid w:val="00273A6A"/>
    <w:rsid w:val="00273B97"/>
    <w:rsid w:val="00273E69"/>
    <w:rsid w:val="00273EB4"/>
    <w:rsid w:val="00273EE1"/>
    <w:rsid w:val="00273F6F"/>
    <w:rsid w:val="0027451A"/>
    <w:rsid w:val="00274682"/>
    <w:rsid w:val="00274688"/>
    <w:rsid w:val="00275020"/>
    <w:rsid w:val="00275158"/>
    <w:rsid w:val="0027558C"/>
    <w:rsid w:val="00275831"/>
    <w:rsid w:val="00275962"/>
    <w:rsid w:val="00275C5A"/>
    <w:rsid w:val="00275E2F"/>
    <w:rsid w:val="0027611B"/>
    <w:rsid w:val="00276192"/>
    <w:rsid w:val="002769E5"/>
    <w:rsid w:val="00276C59"/>
    <w:rsid w:val="00276F12"/>
    <w:rsid w:val="00276F14"/>
    <w:rsid w:val="00277036"/>
    <w:rsid w:val="00277117"/>
    <w:rsid w:val="002779E1"/>
    <w:rsid w:val="00277AB7"/>
    <w:rsid w:val="00277AF5"/>
    <w:rsid w:val="00277B41"/>
    <w:rsid w:val="0028049E"/>
    <w:rsid w:val="00280B5A"/>
    <w:rsid w:val="00280C92"/>
    <w:rsid w:val="00281014"/>
    <w:rsid w:val="002817AC"/>
    <w:rsid w:val="00281DF2"/>
    <w:rsid w:val="00281EEB"/>
    <w:rsid w:val="00282084"/>
    <w:rsid w:val="0028242F"/>
    <w:rsid w:val="0028256F"/>
    <w:rsid w:val="0028265F"/>
    <w:rsid w:val="00282805"/>
    <w:rsid w:val="00282873"/>
    <w:rsid w:val="00282A41"/>
    <w:rsid w:val="00282D95"/>
    <w:rsid w:val="002833DB"/>
    <w:rsid w:val="002836CC"/>
    <w:rsid w:val="0028385A"/>
    <w:rsid w:val="002838D7"/>
    <w:rsid w:val="00283C3F"/>
    <w:rsid w:val="00283C53"/>
    <w:rsid w:val="00283C8E"/>
    <w:rsid w:val="00283DEB"/>
    <w:rsid w:val="00283F86"/>
    <w:rsid w:val="00283FDA"/>
    <w:rsid w:val="00284889"/>
    <w:rsid w:val="00284B5A"/>
    <w:rsid w:val="00285686"/>
    <w:rsid w:val="00285BCE"/>
    <w:rsid w:val="00285C50"/>
    <w:rsid w:val="002864AE"/>
    <w:rsid w:val="002865E7"/>
    <w:rsid w:val="0028665D"/>
    <w:rsid w:val="002869E3"/>
    <w:rsid w:val="00287038"/>
    <w:rsid w:val="00287AF0"/>
    <w:rsid w:val="00287B3F"/>
    <w:rsid w:val="00287C33"/>
    <w:rsid w:val="00287C6A"/>
    <w:rsid w:val="00287E00"/>
    <w:rsid w:val="00290B41"/>
    <w:rsid w:val="00291134"/>
    <w:rsid w:val="00291FC7"/>
    <w:rsid w:val="0029215F"/>
    <w:rsid w:val="00292AA5"/>
    <w:rsid w:val="00292DCA"/>
    <w:rsid w:val="00293233"/>
    <w:rsid w:val="0029390A"/>
    <w:rsid w:val="00294031"/>
    <w:rsid w:val="002948D7"/>
    <w:rsid w:val="00294D74"/>
    <w:rsid w:val="00294EC3"/>
    <w:rsid w:val="00295152"/>
    <w:rsid w:val="0029558B"/>
    <w:rsid w:val="00295598"/>
    <w:rsid w:val="002958C3"/>
    <w:rsid w:val="00295AFB"/>
    <w:rsid w:val="00295BB5"/>
    <w:rsid w:val="00296723"/>
    <w:rsid w:val="00296923"/>
    <w:rsid w:val="0029697E"/>
    <w:rsid w:val="00296DC6"/>
    <w:rsid w:val="002970D5"/>
    <w:rsid w:val="002974CA"/>
    <w:rsid w:val="00297763"/>
    <w:rsid w:val="00297824"/>
    <w:rsid w:val="002978F4"/>
    <w:rsid w:val="00297AB6"/>
    <w:rsid w:val="002A0506"/>
    <w:rsid w:val="002A0B48"/>
    <w:rsid w:val="002A0B81"/>
    <w:rsid w:val="002A0BBB"/>
    <w:rsid w:val="002A0DE5"/>
    <w:rsid w:val="002A109D"/>
    <w:rsid w:val="002A115D"/>
    <w:rsid w:val="002A11FA"/>
    <w:rsid w:val="002A14AB"/>
    <w:rsid w:val="002A1AEA"/>
    <w:rsid w:val="002A1F02"/>
    <w:rsid w:val="002A22FE"/>
    <w:rsid w:val="002A2985"/>
    <w:rsid w:val="002A2ADE"/>
    <w:rsid w:val="002A2CEE"/>
    <w:rsid w:val="002A2F50"/>
    <w:rsid w:val="002A2F9A"/>
    <w:rsid w:val="002A3144"/>
    <w:rsid w:val="002A3666"/>
    <w:rsid w:val="002A3859"/>
    <w:rsid w:val="002A3F34"/>
    <w:rsid w:val="002A40EC"/>
    <w:rsid w:val="002A430C"/>
    <w:rsid w:val="002A45EA"/>
    <w:rsid w:val="002A4878"/>
    <w:rsid w:val="002A4D4F"/>
    <w:rsid w:val="002A50DB"/>
    <w:rsid w:val="002A5682"/>
    <w:rsid w:val="002A5FA5"/>
    <w:rsid w:val="002A6182"/>
    <w:rsid w:val="002A64DE"/>
    <w:rsid w:val="002A654E"/>
    <w:rsid w:val="002A69B2"/>
    <w:rsid w:val="002A6A29"/>
    <w:rsid w:val="002A75FE"/>
    <w:rsid w:val="002A7943"/>
    <w:rsid w:val="002B0451"/>
    <w:rsid w:val="002B05A1"/>
    <w:rsid w:val="002B09A4"/>
    <w:rsid w:val="002B0C0C"/>
    <w:rsid w:val="002B0C3A"/>
    <w:rsid w:val="002B0CA0"/>
    <w:rsid w:val="002B0DDA"/>
    <w:rsid w:val="002B0FE4"/>
    <w:rsid w:val="002B1150"/>
    <w:rsid w:val="002B12CD"/>
    <w:rsid w:val="002B12FF"/>
    <w:rsid w:val="002B135A"/>
    <w:rsid w:val="002B16F8"/>
    <w:rsid w:val="002B1BC9"/>
    <w:rsid w:val="002B1C1F"/>
    <w:rsid w:val="002B1C82"/>
    <w:rsid w:val="002B1D3E"/>
    <w:rsid w:val="002B1F0C"/>
    <w:rsid w:val="002B2370"/>
    <w:rsid w:val="002B28BF"/>
    <w:rsid w:val="002B3254"/>
    <w:rsid w:val="002B3891"/>
    <w:rsid w:val="002B3A4D"/>
    <w:rsid w:val="002B3D55"/>
    <w:rsid w:val="002B3E61"/>
    <w:rsid w:val="002B4319"/>
    <w:rsid w:val="002B432F"/>
    <w:rsid w:val="002B4377"/>
    <w:rsid w:val="002B48D7"/>
    <w:rsid w:val="002B4C0D"/>
    <w:rsid w:val="002B4D32"/>
    <w:rsid w:val="002B4E9A"/>
    <w:rsid w:val="002B5687"/>
    <w:rsid w:val="002B58E8"/>
    <w:rsid w:val="002B5B08"/>
    <w:rsid w:val="002B5FC3"/>
    <w:rsid w:val="002B6247"/>
    <w:rsid w:val="002B62B3"/>
    <w:rsid w:val="002B6754"/>
    <w:rsid w:val="002B6ABD"/>
    <w:rsid w:val="002B6CCE"/>
    <w:rsid w:val="002B6EC5"/>
    <w:rsid w:val="002B6F95"/>
    <w:rsid w:val="002B70F5"/>
    <w:rsid w:val="002B7309"/>
    <w:rsid w:val="002B7380"/>
    <w:rsid w:val="002B7B30"/>
    <w:rsid w:val="002C004B"/>
    <w:rsid w:val="002C0D6B"/>
    <w:rsid w:val="002C132D"/>
    <w:rsid w:val="002C14FC"/>
    <w:rsid w:val="002C163B"/>
    <w:rsid w:val="002C1956"/>
    <w:rsid w:val="002C1B1C"/>
    <w:rsid w:val="002C1C9D"/>
    <w:rsid w:val="002C1CB0"/>
    <w:rsid w:val="002C21F1"/>
    <w:rsid w:val="002C2225"/>
    <w:rsid w:val="002C24D8"/>
    <w:rsid w:val="002C2510"/>
    <w:rsid w:val="002C2656"/>
    <w:rsid w:val="002C2775"/>
    <w:rsid w:val="002C27C1"/>
    <w:rsid w:val="002C2832"/>
    <w:rsid w:val="002C289A"/>
    <w:rsid w:val="002C3335"/>
    <w:rsid w:val="002C3560"/>
    <w:rsid w:val="002C36E3"/>
    <w:rsid w:val="002C37CD"/>
    <w:rsid w:val="002C39CF"/>
    <w:rsid w:val="002C3B23"/>
    <w:rsid w:val="002C3E78"/>
    <w:rsid w:val="002C4234"/>
    <w:rsid w:val="002C4400"/>
    <w:rsid w:val="002C46BC"/>
    <w:rsid w:val="002C46C3"/>
    <w:rsid w:val="002C4A1B"/>
    <w:rsid w:val="002C4FED"/>
    <w:rsid w:val="002C5099"/>
    <w:rsid w:val="002C51DB"/>
    <w:rsid w:val="002C53D4"/>
    <w:rsid w:val="002C5889"/>
    <w:rsid w:val="002C61A9"/>
    <w:rsid w:val="002C6584"/>
    <w:rsid w:val="002C65BD"/>
    <w:rsid w:val="002C6A35"/>
    <w:rsid w:val="002C6B08"/>
    <w:rsid w:val="002C6D51"/>
    <w:rsid w:val="002C71CE"/>
    <w:rsid w:val="002C730B"/>
    <w:rsid w:val="002C73E7"/>
    <w:rsid w:val="002C756F"/>
    <w:rsid w:val="002C7611"/>
    <w:rsid w:val="002C7985"/>
    <w:rsid w:val="002C79D8"/>
    <w:rsid w:val="002C7AEB"/>
    <w:rsid w:val="002D0415"/>
    <w:rsid w:val="002D08F8"/>
    <w:rsid w:val="002D0A8A"/>
    <w:rsid w:val="002D0D06"/>
    <w:rsid w:val="002D14B9"/>
    <w:rsid w:val="002D1678"/>
    <w:rsid w:val="002D2577"/>
    <w:rsid w:val="002D2590"/>
    <w:rsid w:val="002D25B6"/>
    <w:rsid w:val="002D25BC"/>
    <w:rsid w:val="002D2664"/>
    <w:rsid w:val="002D29AF"/>
    <w:rsid w:val="002D2E0A"/>
    <w:rsid w:val="002D2F81"/>
    <w:rsid w:val="002D3583"/>
    <w:rsid w:val="002D3601"/>
    <w:rsid w:val="002D41C3"/>
    <w:rsid w:val="002D42BB"/>
    <w:rsid w:val="002D43E2"/>
    <w:rsid w:val="002D4421"/>
    <w:rsid w:val="002D47E4"/>
    <w:rsid w:val="002D4909"/>
    <w:rsid w:val="002D4948"/>
    <w:rsid w:val="002D499F"/>
    <w:rsid w:val="002D50CE"/>
    <w:rsid w:val="002D51AF"/>
    <w:rsid w:val="002D577C"/>
    <w:rsid w:val="002D5790"/>
    <w:rsid w:val="002D5994"/>
    <w:rsid w:val="002D5A54"/>
    <w:rsid w:val="002D5B40"/>
    <w:rsid w:val="002D5CAD"/>
    <w:rsid w:val="002D5D64"/>
    <w:rsid w:val="002D6515"/>
    <w:rsid w:val="002D658F"/>
    <w:rsid w:val="002D65BB"/>
    <w:rsid w:val="002D66FC"/>
    <w:rsid w:val="002D6983"/>
    <w:rsid w:val="002D6D86"/>
    <w:rsid w:val="002D7044"/>
    <w:rsid w:val="002D7832"/>
    <w:rsid w:val="002D7934"/>
    <w:rsid w:val="002D7F24"/>
    <w:rsid w:val="002E01EC"/>
    <w:rsid w:val="002E0517"/>
    <w:rsid w:val="002E0AF9"/>
    <w:rsid w:val="002E1071"/>
    <w:rsid w:val="002E15B9"/>
    <w:rsid w:val="002E17CF"/>
    <w:rsid w:val="002E1C79"/>
    <w:rsid w:val="002E2158"/>
    <w:rsid w:val="002E223E"/>
    <w:rsid w:val="002E22A4"/>
    <w:rsid w:val="002E2C33"/>
    <w:rsid w:val="002E30EF"/>
    <w:rsid w:val="002E311A"/>
    <w:rsid w:val="002E3138"/>
    <w:rsid w:val="002E331C"/>
    <w:rsid w:val="002E36C8"/>
    <w:rsid w:val="002E3761"/>
    <w:rsid w:val="002E3BCA"/>
    <w:rsid w:val="002E3D2B"/>
    <w:rsid w:val="002E3EC7"/>
    <w:rsid w:val="002E44E6"/>
    <w:rsid w:val="002E486F"/>
    <w:rsid w:val="002E4F02"/>
    <w:rsid w:val="002E55C7"/>
    <w:rsid w:val="002E592F"/>
    <w:rsid w:val="002E60C3"/>
    <w:rsid w:val="002E625F"/>
    <w:rsid w:val="002E64F4"/>
    <w:rsid w:val="002E6E2E"/>
    <w:rsid w:val="002E6FB0"/>
    <w:rsid w:val="002E7722"/>
    <w:rsid w:val="002E7857"/>
    <w:rsid w:val="002E7B24"/>
    <w:rsid w:val="002E7D10"/>
    <w:rsid w:val="002E7D4F"/>
    <w:rsid w:val="002F0210"/>
    <w:rsid w:val="002F043E"/>
    <w:rsid w:val="002F0657"/>
    <w:rsid w:val="002F07BA"/>
    <w:rsid w:val="002F09CC"/>
    <w:rsid w:val="002F09DB"/>
    <w:rsid w:val="002F09E6"/>
    <w:rsid w:val="002F0B17"/>
    <w:rsid w:val="002F0B23"/>
    <w:rsid w:val="002F0B47"/>
    <w:rsid w:val="002F0C75"/>
    <w:rsid w:val="002F0DA9"/>
    <w:rsid w:val="002F1014"/>
    <w:rsid w:val="002F14A3"/>
    <w:rsid w:val="002F14E8"/>
    <w:rsid w:val="002F1521"/>
    <w:rsid w:val="002F1E3B"/>
    <w:rsid w:val="002F205A"/>
    <w:rsid w:val="002F21AE"/>
    <w:rsid w:val="002F223F"/>
    <w:rsid w:val="002F227B"/>
    <w:rsid w:val="002F2634"/>
    <w:rsid w:val="002F2A59"/>
    <w:rsid w:val="002F2D2E"/>
    <w:rsid w:val="002F2FFE"/>
    <w:rsid w:val="002F307A"/>
    <w:rsid w:val="002F3554"/>
    <w:rsid w:val="002F3648"/>
    <w:rsid w:val="002F36C3"/>
    <w:rsid w:val="002F398A"/>
    <w:rsid w:val="002F3B6E"/>
    <w:rsid w:val="002F3E55"/>
    <w:rsid w:val="002F405D"/>
    <w:rsid w:val="002F49F1"/>
    <w:rsid w:val="002F4C0C"/>
    <w:rsid w:val="002F4CC9"/>
    <w:rsid w:val="002F5513"/>
    <w:rsid w:val="002F55A0"/>
    <w:rsid w:val="002F585F"/>
    <w:rsid w:val="002F58BE"/>
    <w:rsid w:val="002F5ABA"/>
    <w:rsid w:val="002F5EF3"/>
    <w:rsid w:val="002F5F1F"/>
    <w:rsid w:val="002F5FEB"/>
    <w:rsid w:val="002F6419"/>
    <w:rsid w:val="002F643C"/>
    <w:rsid w:val="002F6738"/>
    <w:rsid w:val="002F683F"/>
    <w:rsid w:val="002F6948"/>
    <w:rsid w:val="002F69C4"/>
    <w:rsid w:val="002F69D2"/>
    <w:rsid w:val="002F6D48"/>
    <w:rsid w:val="002F6E78"/>
    <w:rsid w:val="002F71C0"/>
    <w:rsid w:val="002F747D"/>
    <w:rsid w:val="002F74E9"/>
    <w:rsid w:val="002F74F1"/>
    <w:rsid w:val="002F7567"/>
    <w:rsid w:val="002F75E9"/>
    <w:rsid w:val="002F761B"/>
    <w:rsid w:val="002F77DB"/>
    <w:rsid w:val="002F7882"/>
    <w:rsid w:val="002F7DA7"/>
    <w:rsid w:val="00300180"/>
    <w:rsid w:val="003003B7"/>
    <w:rsid w:val="00300957"/>
    <w:rsid w:val="00301017"/>
    <w:rsid w:val="00301152"/>
    <w:rsid w:val="0030155F"/>
    <w:rsid w:val="00301924"/>
    <w:rsid w:val="00302205"/>
    <w:rsid w:val="003023AD"/>
    <w:rsid w:val="00302732"/>
    <w:rsid w:val="00302848"/>
    <w:rsid w:val="00302879"/>
    <w:rsid w:val="003028D8"/>
    <w:rsid w:val="003029A2"/>
    <w:rsid w:val="00302BD6"/>
    <w:rsid w:val="00302CBC"/>
    <w:rsid w:val="00302F03"/>
    <w:rsid w:val="00303379"/>
    <w:rsid w:val="00303439"/>
    <w:rsid w:val="0030385C"/>
    <w:rsid w:val="003038A4"/>
    <w:rsid w:val="003038A6"/>
    <w:rsid w:val="003039E2"/>
    <w:rsid w:val="00303D67"/>
    <w:rsid w:val="00303F03"/>
    <w:rsid w:val="003042A8"/>
    <w:rsid w:val="0030452F"/>
    <w:rsid w:val="00305003"/>
    <w:rsid w:val="00305018"/>
    <w:rsid w:val="003053C7"/>
    <w:rsid w:val="0030587B"/>
    <w:rsid w:val="0030605C"/>
    <w:rsid w:val="0030632A"/>
    <w:rsid w:val="003066F6"/>
    <w:rsid w:val="00306B5A"/>
    <w:rsid w:val="00306CB3"/>
    <w:rsid w:val="00306D41"/>
    <w:rsid w:val="00306D98"/>
    <w:rsid w:val="003072F4"/>
    <w:rsid w:val="003072F7"/>
    <w:rsid w:val="0030739F"/>
    <w:rsid w:val="0030786C"/>
    <w:rsid w:val="0030794E"/>
    <w:rsid w:val="003079C1"/>
    <w:rsid w:val="00307C1B"/>
    <w:rsid w:val="0031031A"/>
    <w:rsid w:val="00310435"/>
    <w:rsid w:val="00310981"/>
    <w:rsid w:val="00310A31"/>
    <w:rsid w:val="00310D37"/>
    <w:rsid w:val="00310E9D"/>
    <w:rsid w:val="00311735"/>
    <w:rsid w:val="00311D9B"/>
    <w:rsid w:val="00311E7C"/>
    <w:rsid w:val="00312310"/>
    <w:rsid w:val="0031236E"/>
    <w:rsid w:val="003123A0"/>
    <w:rsid w:val="003124D9"/>
    <w:rsid w:val="00312594"/>
    <w:rsid w:val="0031290F"/>
    <w:rsid w:val="00312AFC"/>
    <w:rsid w:val="00312B14"/>
    <w:rsid w:val="00312CF5"/>
    <w:rsid w:val="00312DDC"/>
    <w:rsid w:val="003133C3"/>
    <w:rsid w:val="003134D5"/>
    <w:rsid w:val="0031354C"/>
    <w:rsid w:val="003147E4"/>
    <w:rsid w:val="0031515A"/>
    <w:rsid w:val="00315239"/>
    <w:rsid w:val="00315498"/>
    <w:rsid w:val="003158D1"/>
    <w:rsid w:val="00315B43"/>
    <w:rsid w:val="003161D8"/>
    <w:rsid w:val="0031629B"/>
    <w:rsid w:val="003162D3"/>
    <w:rsid w:val="00316474"/>
    <w:rsid w:val="00316522"/>
    <w:rsid w:val="003165F6"/>
    <w:rsid w:val="00316CD3"/>
    <w:rsid w:val="00317280"/>
    <w:rsid w:val="003173A3"/>
    <w:rsid w:val="00317CBE"/>
    <w:rsid w:val="0032001B"/>
    <w:rsid w:val="0032013F"/>
    <w:rsid w:val="00320568"/>
    <w:rsid w:val="00320A6B"/>
    <w:rsid w:val="00320F8A"/>
    <w:rsid w:val="0032126B"/>
    <w:rsid w:val="00321543"/>
    <w:rsid w:val="003215E2"/>
    <w:rsid w:val="00321FB3"/>
    <w:rsid w:val="00322107"/>
    <w:rsid w:val="00322138"/>
    <w:rsid w:val="00322161"/>
    <w:rsid w:val="00322355"/>
    <w:rsid w:val="00322835"/>
    <w:rsid w:val="00322846"/>
    <w:rsid w:val="003228DA"/>
    <w:rsid w:val="003229ED"/>
    <w:rsid w:val="00322CC5"/>
    <w:rsid w:val="003230EB"/>
    <w:rsid w:val="00323689"/>
    <w:rsid w:val="00324065"/>
    <w:rsid w:val="00324094"/>
    <w:rsid w:val="00324121"/>
    <w:rsid w:val="003246EA"/>
    <w:rsid w:val="00324775"/>
    <w:rsid w:val="00324A34"/>
    <w:rsid w:val="00324A3B"/>
    <w:rsid w:val="00324FFD"/>
    <w:rsid w:val="003253BD"/>
    <w:rsid w:val="00325554"/>
    <w:rsid w:val="003257C7"/>
    <w:rsid w:val="00325828"/>
    <w:rsid w:val="0032589D"/>
    <w:rsid w:val="00325BA5"/>
    <w:rsid w:val="00326124"/>
    <w:rsid w:val="0032627A"/>
    <w:rsid w:val="00326364"/>
    <w:rsid w:val="003267F5"/>
    <w:rsid w:val="003269D3"/>
    <w:rsid w:val="00326A2D"/>
    <w:rsid w:val="00326ACB"/>
    <w:rsid w:val="00326B6A"/>
    <w:rsid w:val="00326D08"/>
    <w:rsid w:val="00326DA7"/>
    <w:rsid w:val="00326ED0"/>
    <w:rsid w:val="00327007"/>
    <w:rsid w:val="003270E4"/>
    <w:rsid w:val="0032710B"/>
    <w:rsid w:val="00327629"/>
    <w:rsid w:val="003277DB"/>
    <w:rsid w:val="00327B96"/>
    <w:rsid w:val="00327C5C"/>
    <w:rsid w:val="00327CA3"/>
    <w:rsid w:val="00327E9D"/>
    <w:rsid w:val="003300CD"/>
    <w:rsid w:val="0033068D"/>
    <w:rsid w:val="003309F3"/>
    <w:rsid w:val="00330AC4"/>
    <w:rsid w:val="00330AC9"/>
    <w:rsid w:val="00330DAA"/>
    <w:rsid w:val="00330F5C"/>
    <w:rsid w:val="003312B0"/>
    <w:rsid w:val="0033147C"/>
    <w:rsid w:val="0033159A"/>
    <w:rsid w:val="003315EE"/>
    <w:rsid w:val="0033242F"/>
    <w:rsid w:val="003329E4"/>
    <w:rsid w:val="00332BE8"/>
    <w:rsid w:val="00332F8E"/>
    <w:rsid w:val="0033331C"/>
    <w:rsid w:val="00333387"/>
    <w:rsid w:val="003338A0"/>
    <w:rsid w:val="0033399C"/>
    <w:rsid w:val="00333D66"/>
    <w:rsid w:val="003343B2"/>
    <w:rsid w:val="0033481E"/>
    <w:rsid w:val="00334B25"/>
    <w:rsid w:val="00334CC3"/>
    <w:rsid w:val="003351E0"/>
    <w:rsid w:val="003353C0"/>
    <w:rsid w:val="00335544"/>
    <w:rsid w:val="0033576E"/>
    <w:rsid w:val="00335781"/>
    <w:rsid w:val="003358F0"/>
    <w:rsid w:val="00335FBB"/>
    <w:rsid w:val="00336097"/>
    <w:rsid w:val="00336112"/>
    <w:rsid w:val="003366C9"/>
    <w:rsid w:val="003366D1"/>
    <w:rsid w:val="00336900"/>
    <w:rsid w:val="00336903"/>
    <w:rsid w:val="00336B48"/>
    <w:rsid w:val="00336C02"/>
    <w:rsid w:val="00336C1E"/>
    <w:rsid w:val="00336C75"/>
    <w:rsid w:val="00336F1C"/>
    <w:rsid w:val="003370F6"/>
    <w:rsid w:val="003371B0"/>
    <w:rsid w:val="00337304"/>
    <w:rsid w:val="00337468"/>
    <w:rsid w:val="00337878"/>
    <w:rsid w:val="00337899"/>
    <w:rsid w:val="00337AFC"/>
    <w:rsid w:val="00337B08"/>
    <w:rsid w:val="00337B14"/>
    <w:rsid w:val="00337D32"/>
    <w:rsid w:val="00337EA0"/>
    <w:rsid w:val="003400C5"/>
    <w:rsid w:val="003405AB"/>
    <w:rsid w:val="00340D89"/>
    <w:rsid w:val="00340DF1"/>
    <w:rsid w:val="003412BF"/>
    <w:rsid w:val="00341359"/>
    <w:rsid w:val="003413AE"/>
    <w:rsid w:val="003414AC"/>
    <w:rsid w:val="003414B5"/>
    <w:rsid w:val="00341831"/>
    <w:rsid w:val="003419C0"/>
    <w:rsid w:val="00341B14"/>
    <w:rsid w:val="00341C25"/>
    <w:rsid w:val="00341DF2"/>
    <w:rsid w:val="00341F38"/>
    <w:rsid w:val="00341F40"/>
    <w:rsid w:val="00341FAD"/>
    <w:rsid w:val="003420D5"/>
    <w:rsid w:val="00342549"/>
    <w:rsid w:val="00342B34"/>
    <w:rsid w:val="00343710"/>
    <w:rsid w:val="0034373E"/>
    <w:rsid w:val="003438E5"/>
    <w:rsid w:val="00343918"/>
    <w:rsid w:val="00343921"/>
    <w:rsid w:val="00343C79"/>
    <w:rsid w:val="00343E18"/>
    <w:rsid w:val="00344381"/>
    <w:rsid w:val="003449AE"/>
    <w:rsid w:val="00344B6D"/>
    <w:rsid w:val="00344DBF"/>
    <w:rsid w:val="00344E8B"/>
    <w:rsid w:val="003451D5"/>
    <w:rsid w:val="00345419"/>
    <w:rsid w:val="00345716"/>
    <w:rsid w:val="00345A8B"/>
    <w:rsid w:val="00345C77"/>
    <w:rsid w:val="003461C9"/>
    <w:rsid w:val="0034628F"/>
    <w:rsid w:val="003467A8"/>
    <w:rsid w:val="00346C1C"/>
    <w:rsid w:val="00346C8B"/>
    <w:rsid w:val="00346CFE"/>
    <w:rsid w:val="00346D1E"/>
    <w:rsid w:val="00346E52"/>
    <w:rsid w:val="00346EDC"/>
    <w:rsid w:val="00346F77"/>
    <w:rsid w:val="00346F93"/>
    <w:rsid w:val="00347076"/>
    <w:rsid w:val="00347434"/>
    <w:rsid w:val="00347728"/>
    <w:rsid w:val="00347954"/>
    <w:rsid w:val="00347B41"/>
    <w:rsid w:val="00347DFD"/>
    <w:rsid w:val="0035026D"/>
    <w:rsid w:val="003507AD"/>
    <w:rsid w:val="003517F9"/>
    <w:rsid w:val="00351BA9"/>
    <w:rsid w:val="00351E18"/>
    <w:rsid w:val="003520A7"/>
    <w:rsid w:val="003524B9"/>
    <w:rsid w:val="003524D5"/>
    <w:rsid w:val="003526B5"/>
    <w:rsid w:val="003528DE"/>
    <w:rsid w:val="003528FC"/>
    <w:rsid w:val="00352DED"/>
    <w:rsid w:val="00353047"/>
    <w:rsid w:val="00353706"/>
    <w:rsid w:val="00353ED3"/>
    <w:rsid w:val="00354265"/>
    <w:rsid w:val="003547ED"/>
    <w:rsid w:val="00354819"/>
    <w:rsid w:val="00354CB9"/>
    <w:rsid w:val="00354F64"/>
    <w:rsid w:val="003551B9"/>
    <w:rsid w:val="00355413"/>
    <w:rsid w:val="003557D7"/>
    <w:rsid w:val="00355D0B"/>
    <w:rsid w:val="00355F6E"/>
    <w:rsid w:val="0035620E"/>
    <w:rsid w:val="00356678"/>
    <w:rsid w:val="00356773"/>
    <w:rsid w:val="00356B27"/>
    <w:rsid w:val="003575BE"/>
    <w:rsid w:val="00357959"/>
    <w:rsid w:val="00357F71"/>
    <w:rsid w:val="00357FA4"/>
    <w:rsid w:val="00360345"/>
    <w:rsid w:val="00360452"/>
    <w:rsid w:val="00360675"/>
    <w:rsid w:val="00361386"/>
    <w:rsid w:val="00361A05"/>
    <w:rsid w:val="00361C58"/>
    <w:rsid w:val="0036202C"/>
    <w:rsid w:val="003621A4"/>
    <w:rsid w:val="00362462"/>
    <w:rsid w:val="003624C4"/>
    <w:rsid w:val="003624E0"/>
    <w:rsid w:val="00362A37"/>
    <w:rsid w:val="00362E1B"/>
    <w:rsid w:val="00362EDB"/>
    <w:rsid w:val="00363017"/>
    <w:rsid w:val="00363341"/>
    <w:rsid w:val="0036381C"/>
    <w:rsid w:val="0036392E"/>
    <w:rsid w:val="00363B00"/>
    <w:rsid w:val="0036426A"/>
    <w:rsid w:val="0036431E"/>
    <w:rsid w:val="003646D3"/>
    <w:rsid w:val="0036481A"/>
    <w:rsid w:val="003650F1"/>
    <w:rsid w:val="0036535A"/>
    <w:rsid w:val="003654AC"/>
    <w:rsid w:val="003656D5"/>
    <w:rsid w:val="003662BE"/>
    <w:rsid w:val="0036641B"/>
    <w:rsid w:val="00366461"/>
    <w:rsid w:val="00366504"/>
    <w:rsid w:val="00366542"/>
    <w:rsid w:val="003665A5"/>
    <w:rsid w:val="00366A85"/>
    <w:rsid w:val="00366B6D"/>
    <w:rsid w:val="00366CD9"/>
    <w:rsid w:val="00367045"/>
    <w:rsid w:val="00367E77"/>
    <w:rsid w:val="00370B46"/>
    <w:rsid w:val="00370D67"/>
    <w:rsid w:val="003710CF"/>
    <w:rsid w:val="0037124E"/>
    <w:rsid w:val="00371824"/>
    <w:rsid w:val="00371A35"/>
    <w:rsid w:val="00371BF3"/>
    <w:rsid w:val="00371DF3"/>
    <w:rsid w:val="00371E51"/>
    <w:rsid w:val="00371EC5"/>
    <w:rsid w:val="00372304"/>
    <w:rsid w:val="0037246B"/>
    <w:rsid w:val="0037257E"/>
    <w:rsid w:val="00372627"/>
    <w:rsid w:val="0037272C"/>
    <w:rsid w:val="00372D6E"/>
    <w:rsid w:val="00373562"/>
    <w:rsid w:val="00373579"/>
    <w:rsid w:val="0037358A"/>
    <w:rsid w:val="00373B21"/>
    <w:rsid w:val="00373CF8"/>
    <w:rsid w:val="00373D13"/>
    <w:rsid w:val="00373DAD"/>
    <w:rsid w:val="003740F1"/>
    <w:rsid w:val="0037412C"/>
    <w:rsid w:val="003748FC"/>
    <w:rsid w:val="00374ADA"/>
    <w:rsid w:val="0037509E"/>
    <w:rsid w:val="003750F6"/>
    <w:rsid w:val="003754BE"/>
    <w:rsid w:val="00375590"/>
    <w:rsid w:val="003755E1"/>
    <w:rsid w:val="003756D6"/>
    <w:rsid w:val="00375859"/>
    <w:rsid w:val="003759ED"/>
    <w:rsid w:val="00375AA4"/>
    <w:rsid w:val="00375FB5"/>
    <w:rsid w:val="003760FC"/>
    <w:rsid w:val="00376137"/>
    <w:rsid w:val="00376458"/>
    <w:rsid w:val="00376559"/>
    <w:rsid w:val="003768D6"/>
    <w:rsid w:val="0037694C"/>
    <w:rsid w:val="00376BEE"/>
    <w:rsid w:val="003775D7"/>
    <w:rsid w:val="00377749"/>
    <w:rsid w:val="00377818"/>
    <w:rsid w:val="003778D0"/>
    <w:rsid w:val="00377B0A"/>
    <w:rsid w:val="00377B1D"/>
    <w:rsid w:val="00377E06"/>
    <w:rsid w:val="00377E73"/>
    <w:rsid w:val="003803C9"/>
    <w:rsid w:val="003803E5"/>
    <w:rsid w:val="0038068D"/>
    <w:rsid w:val="00380738"/>
    <w:rsid w:val="00380993"/>
    <w:rsid w:val="003809B2"/>
    <w:rsid w:val="00380EA3"/>
    <w:rsid w:val="00380F9F"/>
    <w:rsid w:val="003811F1"/>
    <w:rsid w:val="0038134B"/>
    <w:rsid w:val="003816AB"/>
    <w:rsid w:val="003817F6"/>
    <w:rsid w:val="00381922"/>
    <w:rsid w:val="00381C27"/>
    <w:rsid w:val="00381ED2"/>
    <w:rsid w:val="00381ED7"/>
    <w:rsid w:val="003820D7"/>
    <w:rsid w:val="0038242D"/>
    <w:rsid w:val="003825E0"/>
    <w:rsid w:val="00382911"/>
    <w:rsid w:val="00382B44"/>
    <w:rsid w:val="00382CFD"/>
    <w:rsid w:val="003833BB"/>
    <w:rsid w:val="0038365C"/>
    <w:rsid w:val="0038369B"/>
    <w:rsid w:val="00383B78"/>
    <w:rsid w:val="00383BCF"/>
    <w:rsid w:val="00383E89"/>
    <w:rsid w:val="00383F6C"/>
    <w:rsid w:val="003840F7"/>
    <w:rsid w:val="00384262"/>
    <w:rsid w:val="003845F1"/>
    <w:rsid w:val="003849D8"/>
    <w:rsid w:val="00384C46"/>
    <w:rsid w:val="00384CEA"/>
    <w:rsid w:val="0038515E"/>
    <w:rsid w:val="0038525F"/>
    <w:rsid w:val="003853DD"/>
    <w:rsid w:val="0038546A"/>
    <w:rsid w:val="003858BE"/>
    <w:rsid w:val="00385A9D"/>
    <w:rsid w:val="00385AD4"/>
    <w:rsid w:val="0038646E"/>
    <w:rsid w:val="003867D0"/>
    <w:rsid w:val="003869A4"/>
    <w:rsid w:val="00386D98"/>
    <w:rsid w:val="00386FB8"/>
    <w:rsid w:val="00387121"/>
    <w:rsid w:val="00387219"/>
    <w:rsid w:val="00387362"/>
    <w:rsid w:val="00387899"/>
    <w:rsid w:val="003902B1"/>
    <w:rsid w:val="00390711"/>
    <w:rsid w:val="00390963"/>
    <w:rsid w:val="00390CA6"/>
    <w:rsid w:val="00390DE0"/>
    <w:rsid w:val="003910BD"/>
    <w:rsid w:val="0039179C"/>
    <w:rsid w:val="00391C42"/>
    <w:rsid w:val="00391C6D"/>
    <w:rsid w:val="003920B7"/>
    <w:rsid w:val="00392CF9"/>
    <w:rsid w:val="00392E87"/>
    <w:rsid w:val="00393114"/>
    <w:rsid w:val="003939BD"/>
    <w:rsid w:val="00393C64"/>
    <w:rsid w:val="00394069"/>
    <w:rsid w:val="0039442E"/>
    <w:rsid w:val="00394611"/>
    <w:rsid w:val="00394641"/>
    <w:rsid w:val="0039475A"/>
    <w:rsid w:val="003947A0"/>
    <w:rsid w:val="003947E1"/>
    <w:rsid w:val="00394939"/>
    <w:rsid w:val="00394F6D"/>
    <w:rsid w:val="00395315"/>
    <w:rsid w:val="003955CD"/>
    <w:rsid w:val="00395CE0"/>
    <w:rsid w:val="00395D4C"/>
    <w:rsid w:val="003962D3"/>
    <w:rsid w:val="003962EC"/>
    <w:rsid w:val="00396516"/>
    <w:rsid w:val="0039661A"/>
    <w:rsid w:val="00396896"/>
    <w:rsid w:val="00396C1F"/>
    <w:rsid w:val="00396DCC"/>
    <w:rsid w:val="00396E89"/>
    <w:rsid w:val="00396F19"/>
    <w:rsid w:val="00396FD0"/>
    <w:rsid w:val="00396FF9"/>
    <w:rsid w:val="0039724B"/>
    <w:rsid w:val="003974A8"/>
    <w:rsid w:val="003975D0"/>
    <w:rsid w:val="00397946"/>
    <w:rsid w:val="00397DFF"/>
    <w:rsid w:val="00397E70"/>
    <w:rsid w:val="003A0A17"/>
    <w:rsid w:val="003A13F1"/>
    <w:rsid w:val="003A1757"/>
    <w:rsid w:val="003A1A7A"/>
    <w:rsid w:val="003A1ECE"/>
    <w:rsid w:val="003A2139"/>
    <w:rsid w:val="003A2200"/>
    <w:rsid w:val="003A2206"/>
    <w:rsid w:val="003A2392"/>
    <w:rsid w:val="003A244C"/>
    <w:rsid w:val="003A2534"/>
    <w:rsid w:val="003A2553"/>
    <w:rsid w:val="003A2831"/>
    <w:rsid w:val="003A2D12"/>
    <w:rsid w:val="003A2F91"/>
    <w:rsid w:val="003A3628"/>
    <w:rsid w:val="003A370F"/>
    <w:rsid w:val="003A3B60"/>
    <w:rsid w:val="003A3CB6"/>
    <w:rsid w:val="003A3E1B"/>
    <w:rsid w:val="003A3E48"/>
    <w:rsid w:val="003A3ED1"/>
    <w:rsid w:val="003A44DB"/>
    <w:rsid w:val="003A44FF"/>
    <w:rsid w:val="003A4577"/>
    <w:rsid w:val="003A4647"/>
    <w:rsid w:val="003A4C14"/>
    <w:rsid w:val="003A4DD6"/>
    <w:rsid w:val="003A4E87"/>
    <w:rsid w:val="003A5120"/>
    <w:rsid w:val="003A532C"/>
    <w:rsid w:val="003A577C"/>
    <w:rsid w:val="003A5881"/>
    <w:rsid w:val="003A5BE3"/>
    <w:rsid w:val="003A5C19"/>
    <w:rsid w:val="003A5E38"/>
    <w:rsid w:val="003A5EE9"/>
    <w:rsid w:val="003A61BC"/>
    <w:rsid w:val="003A63A3"/>
    <w:rsid w:val="003A6A3A"/>
    <w:rsid w:val="003A6B2E"/>
    <w:rsid w:val="003A6C81"/>
    <w:rsid w:val="003A749F"/>
    <w:rsid w:val="003B0E92"/>
    <w:rsid w:val="003B1135"/>
    <w:rsid w:val="003B1270"/>
    <w:rsid w:val="003B13D1"/>
    <w:rsid w:val="003B1927"/>
    <w:rsid w:val="003B1A48"/>
    <w:rsid w:val="003B1A88"/>
    <w:rsid w:val="003B1D5C"/>
    <w:rsid w:val="003B1D9D"/>
    <w:rsid w:val="003B1E63"/>
    <w:rsid w:val="003B21FC"/>
    <w:rsid w:val="003B22AB"/>
    <w:rsid w:val="003B25A8"/>
    <w:rsid w:val="003B27A7"/>
    <w:rsid w:val="003B28B9"/>
    <w:rsid w:val="003B2F2A"/>
    <w:rsid w:val="003B3142"/>
    <w:rsid w:val="003B35D4"/>
    <w:rsid w:val="003B37E3"/>
    <w:rsid w:val="003B38ED"/>
    <w:rsid w:val="003B3971"/>
    <w:rsid w:val="003B4027"/>
    <w:rsid w:val="003B402D"/>
    <w:rsid w:val="003B40AA"/>
    <w:rsid w:val="003B4158"/>
    <w:rsid w:val="003B4509"/>
    <w:rsid w:val="003B469F"/>
    <w:rsid w:val="003B4999"/>
    <w:rsid w:val="003B49D4"/>
    <w:rsid w:val="003B4CC8"/>
    <w:rsid w:val="003B4F27"/>
    <w:rsid w:val="003B50AE"/>
    <w:rsid w:val="003B52A2"/>
    <w:rsid w:val="003B52DE"/>
    <w:rsid w:val="003B5421"/>
    <w:rsid w:val="003B54DB"/>
    <w:rsid w:val="003B5596"/>
    <w:rsid w:val="003B55D1"/>
    <w:rsid w:val="003B59FD"/>
    <w:rsid w:val="003B5B61"/>
    <w:rsid w:val="003B5FC0"/>
    <w:rsid w:val="003B6382"/>
    <w:rsid w:val="003B69E1"/>
    <w:rsid w:val="003B6B84"/>
    <w:rsid w:val="003B6DC7"/>
    <w:rsid w:val="003B6F76"/>
    <w:rsid w:val="003B70A2"/>
    <w:rsid w:val="003C0257"/>
    <w:rsid w:val="003C0347"/>
    <w:rsid w:val="003C073C"/>
    <w:rsid w:val="003C08BB"/>
    <w:rsid w:val="003C097D"/>
    <w:rsid w:val="003C0999"/>
    <w:rsid w:val="003C0A6E"/>
    <w:rsid w:val="003C0B65"/>
    <w:rsid w:val="003C1053"/>
    <w:rsid w:val="003C1626"/>
    <w:rsid w:val="003C1654"/>
    <w:rsid w:val="003C1719"/>
    <w:rsid w:val="003C172C"/>
    <w:rsid w:val="003C1A4B"/>
    <w:rsid w:val="003C1AA5"/>
    <w:rsid w:val="003C22CB"/>
    <w:rsid w:val="003C236A"/>
    <w:rsid w:val="003C2373"/>
    <w:rsid w:val="003C254A"/>
    <w:rsid w:val="003C257F"/>
    <w:rsid w:val="003C2A11"/>
    <w:rsid w:val="003C2A6A"/>
    <w:rsid w:val="003C2E02"/>
    <w:rsid w:val="003C3049"/>
    <w:rsid w:val="003C4395"/>
    <w:rsid w:val="003C4554"/>
    <w:rsid w:val="003C4769"/>
    <w:rsid w:val="003C4902"/>
    <w:rsid w:val="003C5470"/>
    <w:rsid w:val="003C5532"/>
    <w:rsid w:val="003C5542"/>
    <w:rsid w:val="003C55FA"/>
    <w:rsid w:val="003C58C6"/>
    <w:rsid w:val="003C58CA"/>
    <w:rsid w:val="003C5D01"/>
    <w:rsid w:val="003C5F17"/>
    <w:rsid w:val="003C661F"/>
    <w:rsid w:val="003C67B1"/>
    <w:rsid w:val="003C698E"/>
    <w:rsid w:val="003C6BDD"/>
    <w:rsid w:val="003C6BDE"/>
    <w:rsid w:val="003C6F45"/>
    <w:rsid w:val="003C71E4"/>
    <w:rsid w:val="003C7662"/>
    <w:rsid w:val="003C7C15"/>
    <w:rsid w:val="003C7D19"/>
    <w:rsid w:val="003C7D2F"/>
    <w:rsid w:val="003D0B39"/>
    <w:rsid w:val="003D0BAB"/>
    <w:rsid w:val="003D0C5A"/>
    <w:rsid w:val="003D0EF7"/>
    <w:rsid w:val="003D1085"/>
    <w:rsid w:val="003D1361"/>
    <w:rsid w:val="003D1828"/>
    <w:rsid w:val="003D1CDA"/>
    <w:rsid w:val="003D1DE4"/>
    <w:rsid w:val="003D1E9A"/>
    <w:rsid w:val="003D2037"/>
    <w:rsid w:val="003D218D"/>
    <w:rsid w:val="003D2344"/>
    <w:rsid w:val="003D2422"/>
    <w:rsid w:val="003D25D5"/>
    <w:rsid w:val="003D26AD"/>
    <w:rsid w:val="003D2746"/>
    <w:rsid w:val="003D27C8"/>
    <w:rsid w:val="003D2BE9"/>
    <w:rsid w:val="003D2C01"/>
    <w:rsid w:val="003D2E37"/>
    <w:rsid w:val="003D37E1"/>
    <w:rsid w:val="003D39A1"/>
    <w:rsid w:val="003D3ADE"/>
    <w:rsid w:val="003D3B33"/>
    <w:rsid w:val="003D3CB2"/>
    <w:rsid w:val="003D3DA8"/>
    <w:rsid w:val="003D3FBF"/>
    <w:rsid w:val="003D3FC8"/>
    <w:rsid w:val="003D441F"/>
    <w:rsid w:val="003D4888"/>
    <w:rsid w:val="003D4954"/>
    <w:rsid w:val="003D4A30"/>
    <w:rsid w:val="003D4DB1"/>
    <w:rsid w:val="003D4EAD"/>
    <w:rsid w:val="003D57A8"/>
    <w:rsid w:val="003D5939"/>
    <w:rsid w:val="003D5E0F"/>
    <w:rsid w:val="003D6CD9"/>
    <w:rsid w:val="003D7082"/>
    <w:rsid w:val="003D7261"/>
    <w:rsid w:val="003D7452"/>
    <w:rsid w:val="003D77C7"/>
    <w:rsid w:val="003D781F"/>
    <w:rsid w:val="003D79BB"/>
    <w:rsid w:val="003D7C98"/>
    <w:rsid w:val="003D7CC0"/>
    <w:rsid w:val="003D7D9D"/>
    <w:rsid w:val="003D7E51"/>
    <w:rsid w:val="003E019A"/>
    <w:rsid w:val="003E047A"/>
    <w:rsid w:val="003E0543"/>
    <w:rsid w:val="003E0696"/>
    <w:rsid w:val="003E098B"/>
    <w:rsid w:val="003E0A5C"/>
    <w:rsid w:val="003E0B27"/>
    <w:rsid w:val="003E0D45"/>
    <w:rsid w:val="003E0F49"/>
    <w:rsid w:val="003E0FFE"/>
    <w:rsid w:val="003E1926"/>
    <w:rsid w:val="003E1965"/>
    <w:rsid w:val="003E1CCF"/>
    <w:rsid w:val="003E208D"/>
    <w:rsid w:val="003E265E"/>
    <w:rsid w:val="003E2DBB"/>
    <w:rsid w:val="003E3131"/>
    <w:rsid w:val="003E325F"/>
    <w:rsid w:val="003E333B"/>
    <w:rsid w:val="003E33CC"/>
    <w:rsid w:val="003E3701"/>
    <w:rsid w:val="003E40B6"/>
    <w:rsid w:val="003E42E6"/>
    <w:rsid w:val="003E4409"/>
    <w:rsid w:val="003E45BB"/>
    <w:rsid w:val="003E545D"/>
    <w:rsid w:val="003E5603"/>
    <w:rsid w:val="003E5AA0"/>
    <w:rsid w:val="003E5CA9"/>
    <w:rsid w:val="003E5F3F"/>
    <w:rsid w:val="003E61A5"/>
    <w:rsid w:val="003E623B"/>
    <w:rsid w:val="003E6A9F"/>
    <w:rsid w:val="003E6B36"/>
    <w:rsid w:val="003E6C96"/>
    <w:rsid w:val="003E7072"/>
    <w:rsid w:val="003E71FF"/>
    <w:rsid w:val="003E749E"/>
    <w:rsid w:val="003E756B"/>
    <w:rsid w:val="003E764F"/>
    <w:rsid w:val="003E7843"/>
    <w:rsid w:val="003E784B"/>
    <w:rsid w:val="003E7895"/>
    <w:rsid w:val="003E798D"/>
    <w:rsid w:val="003E7AAF"/>
    <w:rsid w:val="003E7AFE"/>
    <w:rsid w:val="003E7E8C"/>
    <w:rsid w:val="003F026B"/>
    <w:rsid w:val="003F0793"/>
    <w:rsid w:val="003F0CB4"/>
    <w:rsid w:val="003F0E30"/>
    <w:rsid w:val="003F1219"/>
    <w:rsid w:val="003F136E"/>
    <w:rsid w:val="003F1768"/>
    <w:rsid w:val="003F21CB"/>
    <w:rsid w:val="003F23C0"/>
    <w:rsid w:val="003F268F"/>
    <w:rsid w:val="003F2743"/>
    <w:rsid w:val="003F2797"/>
    <w:rsid w:val="003F288D"/>
    <w:rsid w:val="003F2ECC"/>
    <w:rsid w:val="003F2F28"/>
    <w:rsid w:val="003F2FDA"/>
    <w:rsid w:val="003F34F4"/>
    <w:rsid w:val="003F367C"/>
    <w:rsid w:val="003F367F"/>
    <w:rsid w:val="003F39E5"/>
    <w:rsid w:val="003F3A15"/>
    <w:rsid w:val="003F3D7D"/>
    <w:rsid w:val="003F4156"/>
    <w:rsid w:val="003F41E5"/>
    <w:rsid w:val="003F4471"/>
    <w:rsid w:val="003F4768"/>
    <w:rsid w:val="003F4FD9"/>
    <w:rsid w:val="003F51B4"/>
    <w:rsid w:val="003F5347"/>
    <w:rsid w:val="003F586B"/>
    <w:rsid w:val="003F5ADF"/>
    <w:rsid w:val="003F60A6"/>
    <w:rsid w:val="003F63B9"/>
    <w:rsid w:val="003F6E99"/>
    <w:rsid w:val="003F6F8C"/>
    <w:rsid w:val="003F7217"/>
    <w:rsid w:val="003F72CE"/>
    <w:rsid w:val="003F73AE"/>
    <w:rsid w:val="003F7471"/>
    <w:rsid w:val="003F7BC5"/>
    <w:rsid w:val="003F7F43"/>
    <w:rsid w:val="00400020"/>
    <w:rsid w:val="0040014A"/>
    <w:rsid w:val="0040071C"/>
    <w:rsid w:val="004007D7"/>
    <w:rsid w:val="00400AD6"/>
    <w:rsid w:val="00400B29"/>
    <w:rsid w:val="00400B43"/>
    <w:rsid w:val="00400B6E"/>
    <w:rsid w:val="00401847"/>
    <w:rsid w:val="00401B23"/>
    <w:rsid w:val="00401C25"/>
    <w:rsid w:val="00401D50"/>
    <w:rsid w:val="004021C6"/>
    <w:rsid w:val="00402402"/>
    <w:rsid w:val="004025A8"/>
    <w:rsid w:val="00402812"/>
    <w:rsid w:val="00402C8C"/>
    <w:rsid w:val="00402ED4"/>
    <w:rsid w:val="00402EEB"/>
    <w:rsid w:val="004033CE"/>
    <w:rsid w:val="00403C53"/>
    <w:rsid w:val="00403D48"/>
    <w:rsid w:val="0040471B"/>
    <w:rsid w:val="004047CC"/>
    <w:rsid w:val="00404A48"/>
    <w:rsid w:val="0040504B"/>
    <w:rsid w:val="0040595D"/>
    <w:rsid w:val="004059F4"/>
    <w:rsid w:val="00405A0A"/>
    <w:rsid w:val="00405FEE"/>
    <w:rsid w:val="004064CA"/>
    <w:rsid w:val="00406AA1"/>
    <w:rsid w:val="00407042"/>
    <w:rsid w:val="00407239"/>
    <w:rsid w:val="00407724"/>
    <w:rsid w:val="004078E0"/>
    <w:rsid w:val="00407A96"/>
    <w:rsid w:val="00407BAA"/>
    <w:rsid w:val="00407FE5"/>
    <w:rsid w:val="0041015C"/>
    <w:rsid w:val="004101B0"/>
    <w:rsid w:val="004101D2"/>
    <w:rsid w:val="00410326"/>
    <w:rsid w:val="00410708"/>
    <w:rsid w:val="00410A07"/>
    <w:rsid w:val="00410AEF"/>
    <w:rsid w:val="00410EC7"/>
    <w:rsid w:val="0041132B"/>
    <w:rsid w:val="00411AB2"/>
    <w:rsid w:val="00411B39"/>
    <w:rsid w:val="00411C5D"/>
    <w:rsid w:val="00411D66"/>
    <w:rsid w:val="00411FBA"/>
    <w:rsid w:val="004124DE"/>
    <w:rsid w:val="004127A7"/>
    <w:rsid w:val="00412A09"/>
    <w:rsid w:val="00412C3F"/>
    <w:rsid w:val="00412D66"/>
    <w:rsid w:val="00412FDD"/>
    <w:rsid w:val="0041317C"/>
    <w:rsid w:val="0041326F"/>
    <w:rsid w:val="0041339F"/>
    <w:rsid w:val="00413760"/>
    <w:rsid w:val="00413A1E"/>
    <w:rsid w:val="0041406B"/>
    <w:rsid w:val="0041433F"/>
    <w:rsid w:val="00414476"/>
    <w:rsid w:val="00414C2E"/>
    <w:rsid w:val="004151CF"/>
    <w:rsid w:val="00415206"/>
    <w:rsid w:val="004154AD"/>
    <w:rsid w:val="004154E1"/>
    <w:rsid w:val="004156BB"/>
    <w:rsid w:val="0041581A"/>
    <w:rsid w:val="00415D10"/>
    <w:rsid w:val="00415EDD"/>
    <w:rsid w:val="00416009"/>
    <w:rsid w:val="00416364"/>
    <w:rsid w:val="00416457"/>
    <w:rsid w:val="0041649D"/>
    <w:rsid w:val="00416629"/>
    <w:rsid w:val="004169E4"/>
    <w:rsid w:val="00416B6E"/>
    <w:rsid w:val="00416E15"/>
    <w:rsid w:val="004174C9"/>
    <w:rsid w:val="004175B0"/>
    <w:rsid w:val="0041762D"/>
    <w:rsid w:val="00417822"/>
    <w:rsid w:val="00417E37"/>
    <w:rsid w:val="004202FE"/>
    <w:rsid w:val="00420301"/>
    <w:rsid w:val="0042047F"/>
    <w:rsid w:val="00420558"/>
    <w:rsid w:val="004207B5"/>
    <w:rsid w:val="00420AA6"/>
    <w:rsid w:val="00420B9F"/>
    <w:rsid w:val="00420DFF"/>
    <w:rsid w:val="00421015"/>
    <w:rsid w:val="0042192C"/>
    <w:rsid w:val="00421A38"/>
    <w:rsid w:val="00422260"/>
    <w:rsid w:val="00422422"/>
    <w:rsid w:val="00422824"/>
    <w:rsid w:val="00422CEA"/>
    <w:rsid w:val="004235C9"/>
    <w:rsid w:val="00423DE2"/>
    <w:rsid w:val="00423E31"/>
    <w:rsid w:val="0042413F"/>
    <w:rsid w:val="0042416E"/>
    <w:rsid w:val="00424249"/>
    <w:rsid w:val="004243BC"/>
    <w:rsid w:val="0042440C"/>
    <w:rsid w:val="0042463C"/>
    <w:rsid w:val="004247DF"/>
    <w:rsid w:val="00424A72"/>
    <w:rsid w:val="00424C49"/>
    <w:rsid w:val="00424F99"/>
    <w:rsid w:val="0042520B"/>
    <w:rsid w:val="00425452"/>
    <w:rsid w:val="00425455"/>
    <w:rsid w:val="00425578"/>
    <w:rsid w:val="00425601"/>
    <w:rsid w:val="004257E4"/>
    <w:rsid w:val="00425A4A"/>
    <w:rsid w:val="00425E7A"/>
    <w:rsid w:val="00426B1E"/>
    <w:rsid w:val="00426EC6"/>
    <w:rsid w:val="00427548"/>
    <w:rsid w:val="00427609"/>
    <w:rsid w:val="004276CF"/>
    <w:rsid w:val="00427715"/>
    <w:rsid w:val="0043055C"/>
    <w:rsid w:val="004305D0"/>
    <w:rsid w:val="004305FC"/>
    <w:rsid w:val="004306B5"/>
    <w:rsid w:val="004308BE"/>
    <w:rsid w:val="004309F6"/>
    <w:rsid w:val="004319F8"/>
    <w:rsid w:val="00431B56"/>
    <w:rsid w:val="00431DF7"/>
    <w:rsid w:val="00431E55"/>
    <w:rsid w:val="00431EC2"/>
    <w:rsid w:val="004321F6"/>
    <w:rsid w:val="0043228D"/>
    <w:rsid w:val="00432507"/>
    <w:rsid w:val="00432635"/>
    <w:rsid w:val="00432793"/>
    <w:rsid w:val="00432EC3"/>
    <w:rsid w:val="00432FDB"/>
    <w:rsid w:val="00433044"/>
    <w:rsid w:val="0043347F"/>
    <w:rsid w:val="00433764"/>
    <w:rsid w:val="00433B47"/>
    <w:rsid w:val="00433BA3"/>
    <w:rsid w:val="00433FA3"/>
    <w:rsid w:val="00434011"/>
    <w:rsid w:val="00434088"/>
    <w:rsid w:val="00434245"/>
    <w:rsid w:val="00434B72"/>
    <w:rsid w:val="00434EF6"/>
    <w:rsid w:val="00435138"/>
    <w:rsid w:val="004351E1"/>
    <w:rsid w:val="00435367"/>
    <w:rsid w:val="00435CB7"/>
    <w:rsid w:val="00435EB2"/>
    <w:rsid w:val="00435EC3"/>
    <w:rsid w:val="00435EDD"/>
    <w:rsid w:val="0043616F"/>
    <w:rsid w:val="0043669F"/>
    <w:rsid w:val="004368B7"/>
    <w:rsid w:val="004370BD"/>
    <w:rsid w:val="00437116"/>
    <w:rsid w:val="004375B9"/>
    <w:rsid w:val="00437ED7"/>
    <w:rsid w:val="00440300"/>
    <w:rsid w:val="00440361"/>
    <w:rsid w:val="004403BA"/>
    <w:rsid w:val="004409EE"/>
    <w:rsid w:val="00440AB2"/>
    <w:rsid w:val="00440B21"/>
    <w:rsid w:val="00440C1D"/>
    <w:rsid w:val="00441002"/>
    <w:rsid w:val="0044104B"/>
    <w:rsid w:val="0044134C"/>
    <w:rsid w:val="00441B33"/>
    <w:rsid w:val="00441B72"/>
    <w:rsid w:val="00442054"/>
    <w:rsid w:val="004420B2"/>
    <w:rsid w:val="00442231"/>
    <w:rsid w:val="00442357"/>
    <w:rsid w:val="00442438"/>
    <w:rsid w:val="004428D0"/>
    <w:rsid w:val="00442DFE"/>
    <w:rsid w:val="004430F1"/>
    <w:rsid w:val="004437FC"/>
    <w:rsid w:val="00443E62"/>
    <w:rsid w:val="00443E6D"/>
    <w:rsid w:val="00443FC4"/>
    <w:rsid w:val="00444185"/>
    <w:rsid w:val="0044433A"/>
    <w:rsid w:val="004443A7"/>
    <w:rsid w:val="00444412"/>
    <w:rsid w:val="0044442C"/>
    <w:rsid w:val="0044446F"/>
    <w:rsid w:val="00444505"/>
    <w:rsid w:val="0044474C"/>
    <w:rsid w:val="004447DE"/>
    <w:rsid w:val="00444960"/>
    <w:rsid w:val="00444F7F"/>
    <w:rsid w:val="004452EA"/>
    <w:rsid w:val="0044549C"/>
    <w:rsid w:val="00445727"/>
    <w:rsid w:val="00445861"/>
    <w:rsid w:val="00445890"/>
    <w:rsid w:val="00445941"/>
    <w:rsid w:val="0044596D"/>
    <w:rsid w:val="00445EDB"/>
    <w:rsid w:val="0044618E"/>
    <w:rsid w:val="00446209"/>
    <w:rsid w:val="0044629A"/>
    <w:rsid w:val="004464EB"/>
    <w:rsid w:val="0044675D"/>
    <w:rsid w:val="004467A4"/>
    <w:rsid w:val="00446947"/>
    <w:rsid w:val="00446A1E"/>
    <w:rsid w:val="00446CC3"/>
    <w:rsid w:val="00447380"/>
    <w:rsid w:val="00447649"/>
    <w:rsid w:val="00447A10"/>
    <w:rsid w:val="00447B51"/>
    <w:rsid w:val="00447C5F"/>
    <w:rsid w:val="00447D26"/>
    <w:rsid w:val="00447DEF"/>
    <w:rsid w:val="00447DFC"/>
    <w:rsid w:val="004506D0"/>
    <w:rsid w:val="00450838"/>
    <w:rsid w:val="004508E9"/>
    <w:rsid w:val="00451165"/>
    <w:rsid w:val="004518B2"/>
    <w:rsid w:val="00451B8F"/>
    <w:rsid w:val="00451D4E"/>
    <w:rsid w:val="00451F70"/>
    <w:rsid w:val="0045204F"/>
    <w:rsid w:val="00452138"/>
    <w:rsid w:val="004521BC"/>
    <w:rsid w:val="004524F0"/>
    <w:rsid w:val="00452745"/>
    <w:rsid w:val="00452877"/>
    <w:rsid w:val="00452E7C"/>
    <w:rsid w:val="00453099"/>
    <w:rsid w:val="00453201"/>
    <w:rsid w:val="0045337C"/>
    <w:rsid w:val="00453B89"/>
    <w:rsid w:val="00453C83"/>
    <w:rsid w:val="00453E92"/>
    <w:rsid w:val="00454110"/>
    <w:rsid w:val="00454C43"/>
    <w:rsid w:val="00454DA4"/>
    <w:rsid w:val="00454DB7"/>
    <w:rsid w:val="004550E1"/>
    <w:rsid w:val="004551D8"/>
    <w:rsid w:val="00455A1E"/>
    <w:rsid w:val="00455D41"/>
    <w:rsid w:val="00455D45"/>
    <w:rsid w:val="004566D0"/>
    <w:rsid w:val="004568BD"/>
    <w:rsid w:val="00456B5C"/>
    <w:rsid w:val="00456C1A"/>
    <w:rsid w:val="00456E50"/>
    <w:rsid w:val="00457007"/>
    <w:rsid w:val="00457126"/>
    <w:rsid w:val="00457583"/>
    <w:rsid w:val="00457782"/>
    <w:rsid w:val="00457975"/>
    <w:rsid w:val="00457EE1"/>
    <w:rsid w:val="00460151"/>
    <w:rsid w:val="00460260"/>
    <w:rsid w:val="0046074C"/>
    <w:rsid w:val="00460BF2"/>
    <w:rsid w:val="00460E46"/>
    <w:rsid w:val="00460F5E"/>
    <w:rsid w:val="00461163"/>
    <w:rsid w:val="004619F5"/>
    <w:rsid w:val="00461EC4"/>
    <w:rsid w:val="004627DC"/>
    <w:rsid w:val="00462AB5"/>
    <w:rsid w:val="00462BB6"/>
    <w:rsid w:val="00462E65"/>
    <w:rsid w:val="00462FDA"/>
    <w:rsid w:val="00462FF8"/>
    <w:rsid w:val="0046325E"/>
    <w:rsid w:val="00463B53"/>
    <w:rsid w:val="00464172"/>
    <w:rsid w:val="00464520"/>
    <w:rsid w:val="00464595"/>
    <w:rsid w:val="00464651"/>
    <w:rsid w:val="004646FE"/>
    <w:rsid w:val="0046538E"/>
    <w:rsid w:val="00465755"/>
    <w:rsid w:val="004658B5"/>
    <w:rsid w:val="00465CFA"/>
    <w:rsid w:val="00465E02"/>
    <w:rsid w:val="00465E73"/>
    <w:rsid w:val="00467741"/>
    <w:rsid w:val="0046785E"/>
    <w:rsid w:val="00467BAD"/>
    <w:rsid w:val="00470639"/>
    <w:rsid w:val="0047063D"/>
    <w:rsid w:val="00470644"/>
    <w:rsid w:val="004706A2"/>
    <w:rsid w:val="00470887"/>
    <w:rsid w:val="00470A12"/>
    <w:rsid w:val="00470CB7"/>
    <w:rsid w:val="00470FE1"/>
    <w:rsid w:val="00471718"/>
    <w:rsid w:val="00471734"/>
    <w:rsid w:val="00471D91"/>
    <w:rsid w:val="00471DE3"/>
    <w:rsid w:val="00471EA5"/>
    <w:rsid w:val="00472005"/>
    <w:rsid w:val="004721F7"/>
    <w:rsid w:val="0047261E"/>
    <w:rsid w:val="00472A79"/>
    <w:rsid w:val="004731CD"/>
    <w:rsid w:val="00473532"/>
    <w:rsid w:val="00473695"/>
    <w:rsid w:val="00473E85"/>
    <w:rsid w:val="00473EAA"/>
    <w:rsid w:val="00473F19"/>
    <w:rsid w:val="00473F58"/>
    <w:rsid w:val="004742B5"/>
    <w:rsid w:val="00474546"/>
    <w:rsid w:val="0047481F"/>
    <w:rsid w:val="00474B11"/>
    <w:rsid w:val="00474B5C"/>
    <w:rsid w:val="00474CDF"/>
    <w:rsid w:val="00474EAB"/>
    <w:rsid w:val="00475004"/>
    <w:rsid w:val="004752D8"/>
    <w:rsid w:val="00475967"/>
    <w:rsid w:val="00475A7E"/>
    <w:rsid w:val="00475AF4"/>
    <w:rsid w:val="00475C9D"/>
    <w:rsid w:val="00475D06"/>
    <w:rsid w:val="00475D8F"/>
    <w:rsid w:val="00475DDA"/>
    <w:rsid w:val="00475E22"/>
    <w:rsid w:val="00475FE9"/>
    <w:rsid w:val="00476037"/>
    <w:rsid w:val="004761F7"/>
    <w:rsid w:val="00476329"/>
    <w:rsid w:val="00476606"/>
    <w:rsid w:val="00476962"/>
    <w:rsid w:val="00476A48"/>
    <w:rsid w:val="00476EFE"/>
    <w:rsid w:val="00476FB1"/>
    <w:rsid w:val="00477570"/>
    <w:rsid w:val="00477653"/>
    <w:rsid w:val="004778ED"/>
    <w:rsid w:val="00477D09"/>
    <w:rsid w:val="004800B5"/>
    <w:rsid w:val="004801CA"/>
    <w:rsid w:val="00480450"/>
    <w:rsid w:val="0048088E"/>
    <w:rsid w:val="00480A9E"/>
    <w:rsid w:val="00480F2B"/>
    <w:rsid w:val="00481060"/>
    <w:rsid w:val="004816B3"/>
    <w:rsid w:val="004816DB"/>
    <w:rsid w:val="00481A54"/>
    <w:rsid w:val="00481B32"/>
    <w:rsid w:val="00481CFD"/>
    <w:rsid w:val="00482410"/>
    <w:rsid w:val="004824EB"/>
    <w:rsid w:val="00482720"/>
    <w:rsid w:val="0048281B"/>
    <w:rsid w:val="00482D22"/>
    <w:rsid w:val="00482EAA"/>
    <w:rsid w:val="00482F72"/>
    <w:rsid w:val="004835E7"/>
    <w:rsid w:val="004837FD"/>
    <w:rsid w:val="004840B1"/>
    <w:rsid w:val="004841D7"/>
    <w:rsid w:val="00484A4A"/>
    <w:rsid w:val="00484D0B"/>
    <w:rsid w:val="00484DAC"/>
    <w:rsid w:val="00484E3B"/>
    <w:rsid w:val="0048522E"/>
    <w:rsid w:val="004853AE"/>
    <w:rsid w:val="004854E0"/>
    <w:rsid w:val="00485890"/>
    <w:rsid w:val="004859E1"/>
    <w:rsid w:val="00486246"/>
    <w:rsid w:val="0048648A"/>
    <w:rsid w:val="00486745"/>
    <w:rsid w:val="004867E2"/>
    <w:rsid w:val="004879B9"/>
    <w:rsid w:val="00487F88"/>
    <w:rsid w:val="0049031D"/>
    <w:rsid w:val="00490417"/>
    <w:rsid w:val="00490B17"/>
    <w:rsid w:val="00490D3C"/>
    <w:rsid w:val="0049108C"/>
    <w:rsid w:val="004910B3"/>
    <w:rsid w:val="004916B0"/>
    <w:rsid w:val="00491B3A"/>
    <w:rsid w:val="00491C15"/>
    <w:rsid w:val="00491E4E"/>
    <w:rsid w:val="00492115"/>
    <w:rsid w:val="004923EF"/>
    <w:rsid w:val="00492535"/>
    <w:rsid w:val="00492CFD"/>
    <w:rsid w:val="00493010"/>
    <w:rsid w:val="0049303E"/>
    <w:rsid w:val="00493391"/>
    <w:rsid w:val="00493604"/>
    <w:rsid w:val="00493AF2"/>
    <w:rsid w:val="00493BA8"/>
    <w:rsid w:val="00493ECD"/>
    <w:rsid w:val="0049400E"/>
    <w:rsid w:val="00494207"/>
    <w:rsid w:val="0049431B"/>
    <w:rsid w:val="0049450A"/>
    <w:rsid w:val="00494532"/>
    <w:rsid w:val="00494B7F"/>
    <w:rsid w:val="00494D83"/>
    <w:rsid w:val="00494DD5"/>
    <w:rsid w:val="00494E5D"/>
    <w:rsid w:val="00494F77"/>
    <w:rsid w:val="00495833"/>
    <w:rsid w:val="00495902"/>
    <w:rsid w:val="00495967"/>
    <w:rsid w:val="00495C41"/>
    <w:rsid w:val="00496070"/>
    <w:rsid w:val="00496115"/>
    <w:rsid w:val="004962D2"/>
    <w:rsid w:val="0049674B"/>
    <w:rsid w:val="00496C3A"/>
    <w:rsid w:val="004970DF"/>
    <w:rsid w:val="004972A6"/>
    <w:rsid w:val="004977C8"/>
    <w:rsid w:val="004977E0"/>
    <w:rsid w:val="00497943"/>
    <w:rsid w:val="00497B87"/>
    <w:rsid w:val="0049859F"/>
    <w:rsid w:val="004A02F0"/>
    <w:rsid w:val="004A08EC"/>
    <w:rsid w:val="004A0DA1"/>
    <w:rsid w:val="004A0DCE"/>
    <w:rsid w:val="004A10F7"/>
    <w:rsid w:val="004A10F9"/>
    <w:rsid w:val="004A11FD"/>
    <w:rsid w:val="004A12E6"/>
    <w:rsid w:val="004A13D6"/>
    <w:rsid w:val="004A19E9"/>
    <w:rsid w:val="004A1EDB"/>
    <w:rsid w:val="004A27D8"/>
    <w:rsid w:val="004A2803"/>
    <w:rsid w:val="004A2A5A"/>
    <w:rsid w:val="004A2A8B"/>
    <w:rsid w:val="004A2C9B"/>
    <w:rsid w:val="004A332E"/>
    <w:rsid w:val="004A3551"/>
    <w:rsid w:val="004A35C4"/>
    <w:rsid w:val="004A39C7"/>
    <w:rsid w:val="004A3A51"/>
    <w:rsid w:val="004A3DFD"/>
    <w:rsid w:val="004A4B76"/>
    <w:rsid w:val="004A506B"/>
    <w:rsid w:val="004A5141"/>
    <w:rsid w:val="004A514A"/>
    <w:rsid w:val="004A5252"/>
    <w:rsid w:val="004A52E9"/>
    <w:rsid w:val="004A537D"/>
    <w:rsid w:val="004A5537"/>
    <w:rsid w:val="004A5CEE"/>
    <w:rsid w:val="004A6040"/>
    <w:rsid w:val="004A62E5"/>
    <w:rsid w:val="004A6597"/>
    <w:rsid w:val="004A6CBF"/>
    <w:rsid w:val="004A6F8F"/>
    <w:rsid w:val="004A782E"/>
    <w:rsid w:val="004A7848"/>
    <w:rsid w:val="004A78E7"/>
    <w:rsid w:val="004A793B"/>
    <w:rsid w:val="004A7A5C"/>
    <w:rsid w:val="004A7C57"/>
    <w:rsid w:val="004A7C7C"/>
    <w:rsid w:val="004B00D3"/>
    <w:rsid w:val="004B043A"/>
    <w:rsid w:val="004B06B3"/>
    <w:rsid w:val="004B0715"/>
    <w:rsid w:val="004B088B"/>
    <w:rsid w:val="004B09AC"/>
    <w:rsid w:val="004B10CD"/>
    <w:rsid w:val="004B13E1"/>
    <w:rsid w:val="004B1650"/>
    <w:rsid w:val="004B1B6A"/>
    <w:rsid w:val="004B1CB4"/>
    <w:rsid w:val="004B1D5C"/>
    <w:rsid w:val="004B2436"/>
    <w:rsid w:val="004B27E3"/>
    <w:rsid w:val="004B29D7"/>
    <w:rsid w:val="004B2C0E"/>
    <w:rsid w:val="004B2D40"/>
    <w:rsid w:val="004B2F18"/>
    <w:rsid w:val="004B2FCD"/>
    <w:rsid w:val="004B3770"/>
    <w:rsid w:val="004B3B91"/>
    <w:rsid w:val="004B3C0E"/>
    <w:rsid w:val="004B3DDB"/>
    <w:rsid w:val="004B406B"/>
    <w:rsid w:val="004B4203"/>
    <w:rsid w:val="004B44FD"/>
    <w:rsid w:val="004B4973"/>
    <w:rsid w:val="004B499C"/>
    <w:rsid w:val="004B5038"/>
    <w:rsid w:val="004B52B3"/>
    <w:rsid w:val="004B531D"/>
    <w:rsid w:val="004B5704"/>
    <w:rsid w:val="004B57CF"/>
    <w:rsid w:val="004B5A5E"/>
    <w:rsid w:val="004B5A96"/>
    <w:rsid w:val="004B5BCD"/>
    <w:rsid w:val="004B5CFC"/>
    <w:rsid w:val="004B64CE"/>
    <w:rsid w:val="004B668C"/>
    <w:rsid w:val="004B694B"/>
    <w:rsid w:val="004B69D6"/>
    <w:rsid w:val="004B6D12"/>
    <w:rsid w:val="004B6DFC"/>
    <w:rsid w:val="004B6F43"/>
    <w:rsid w:val="004B6F79"/>
    <w:rsid w:val="004B7279"/>
    <w:rsid w:val="004B74BC"/>
    <w:rsid w:val="004B74E7"/>
    <w:rsid w:val="004B75DB"/>
    <w:rsid w:val="004B76AB"/>
    <w:rsid w:val="004B774D"/>
    <w:rsid w:val="004B7D30"/>
    <w:rsid w:val="004C001D"/>
    <w:rsid w:val="004C04A4"/>
    <w:rsid w:val="004C06DA"/>
    <w:rsid w:val="004C06E4"/>
    <w:rsid w:val="004C10F6"/>
    <w:rsid w:val="004C16F3"/>
    <w:rsid w:val="004C1A84"/>
    <w:rsid w:val="004C1BB4"/>
    <w:rsid w:val="004C2006"/>
    <w:rsid w:val="004C215D"/>
    <w:rsid w:val="004C24E7"/>
    <w:rsid w:val="004C25E6"/>
    <w:rsid w:val="004C2673"/>
    <w:rsid w:val="004C27C2"/>
    <w:rsid w:val="004C2AC2"/>
    <w:rsid w:val="004C2B38"/>
    <w:rsid w:val="004C3348"/>
    <w:rsid w:val="004C364F"/>
    <w:rsid w:val="004C373A"/>
    <w:rsid w:val="004C3B02"/>
    <w:rsid w:val="004C3C00"/>
    <w:rsid w:val="004C3C16"/>
    <w:rsid w:val="004C4180"/>
    <w:rsid w:val="004C41D0"/>
    <w:rsid w:val="004C4AED"/>
    <w:rsid w:val="004C4C4D"/>
    <w:rsid w:val="004C4C4E"/>
    <w:rsid w:val="004C51DA"/>
    <w:rsid w:val="004C538A"/>
    <w:rsid w:val="004C545C"/>
    <w:rsid w:val="004C5481"/>
    <w:rsid w:val="004C55C3"/>
    <w:rsid w:val="004C55DA"/>
    <w:rsid w:val="004C57AC"/>
    <w:rsid w:val="004C5BEE"/>
    <w:rsid w:val="004C6191"/>
    <w:rsid w:val="004C6A94"/>
    <w:rsid w:val="004C6C65"/>
    <w:rsid w:val="004C6E08"/>
    <w:rsid w:val="004C7236"/>
    <w:rsid w:val="004C73B6"/>
    <w:rsid w:val="004C73E3"/>
    <w:rsid w:val="004C7624"/>
    <w:rsid w:val="004C78F1"/>
    <w:rsid w:val="004C7B8F"/>
    <w:rsid w:val="004D050D"/>
    <w:rsid w:val="004D05A9"/>
    <w:rsid w:val="004D0B3C"/>
    <w:rsid w:val="004D0B92"/>
    <w:rsid w:val="004D0CD1"/>
    <w:rsid w:val="004D0D10"/>
    <w:rsid w:val="004D1167"/>
    <w:rsid w:val="004D14B2"/>
    <w:rsid w:val="004D19D0"/>
    <w:rsid w:val="004D1EFF"/>
    <w:rsid w:val="004D28CE"/>
    <w:rsid w:val="004D28D3"/>
    <w:rsid w:val="004D2C2D"/>
    <w:rsid w:val="004D2D42"/>
    <w:rsid w:val="004D2DE1"/>
    <w:rsid w:val="004D2FF7"/>
    <w:rsid w:val="004D344B"/>
    <w:rsid w:val="004D3F16"/>
    <w:rsid w:val="004D423E"/>
    <w:rsid w:val="004D49CE"/>
    <w:rsid w:val="004D4B6E"/>
    <w:rsid w:val="004D4D77"/>
    <w:rsid w:val="004D5119"/>
    <w:rsid w:val="004D54FA"/>
    <w:rsid w:val="004D559B"/>
    <w:rsid w:val="004D56E4"/>
    <w:rsid w:val="004D575E"/>
    <w:rsid w:val="004D63BB"/>
    <w:rsid w:val="004D66F3"/>
    <w:rsid w:val="004D69B5"/>
    <w:rsid w:val="004D6B4C"/>
    <w:rsid w:val="004D6BCF"/>
    <w:rsid w:val="004D6DCA"/>
    <w:rsid w:val="004D71FA"/>
    <w:rsid w:val="004D71FC"/>
    <w:rsid w:val="004D7224"/>
    <w:rsid w:val="004D7227"/>
    <w:rsid w:val="004D77DC"/>
    <w:rsid w:val="004D79E1"/>
    <w:rsid w:val="004D7A93"/>
    <w:rsid w:val="004D7B5E"/>
    <w:rsid w:val="004D7D0D"/>
    <w:rsid w:val="004D7FF7"/>
    <w:rsid w:val="004E0520"/>
    <w:rsid w:val="004E05B5"/>
    <w:rsid w:val="004E0657"/>
    <w:rsid w:val="004E0792"/>
    <w:rsid w:val="004E08FC"/>
    <w:rsid w:val="004E0A8A"/>
    <w:rsid w:val="004E0E7F"/>
    <w:rsid w:val="004E0EB8"/>
    <w:rsid w:val="004E1369"/>
    <w:rsid w:val="004E1806"/>
    <w:rsid w:val="004E18E9"/>
    <w:rsid w:val="004E1AA8"/>
    <w:rsid w:val="004E1AED"/>
    <w:rsid w:val="004E1C05"/>
    <w:rsid w:val="004E1DC9"/>
    <w:rsid w:val="004E21FF"/>
    <w:rsid w:val="004E2427"/>
    <w:rsid w:val="004E2490"/>
    <w:rsid w:val="004E252C"/>
    <w:rsid w:val="004E2982"/>
    <w:rsid w:val="004E2ADC"/>
    <w:rsid w:val="004E3026"/>
    <w:rsid w:val="004E329A"/>
    <w:rsid w:val="004E33BF"/>
    <w:rsid w:val="004E396B"/>
    <w:rsid w:val="004E3E39"/>
    <w:rsid w:val="004E3FD8"/>
    <w:rsid w:val="004E3FEC"/>
    <w:rsid w:val="004E420C"/>
    <w:rsid w:val="004E43B2"/>
    <w:rsid w:val="004E4407"/>
    <w:rsid w:val="004E4AD9"/>
    <w:rsid w:val="004E4DF9"/>
    <w:rsid w:val="004E4F8D"/>
    <w:rsid w:val="004E5209"/>
    <w:rsid w:val="004E5347"/>
    <w:rsid w:val="004E5458"/>
    <w:rsid w:val="004E5639"/>
    <w:rsid w:val="004E572B"/>
    <w:rsid w:val="004E5A03"/>
    <w:rsid w:val="004E5EF6"/>
    <w:rsid w:val="004E61CB"/>
    <w:rsid w:val="004E6363"/>
    <w:rsid w:val="004E6476"/>
    <w:rsid w:val="004E6921"/>
    <w:rsid w:val="004E6A99"/>
    <w:rsid w:val="004E6E27"/>
    <w:rsid w:val="004E6FFC"/>
    <w:rsid w:val="004E77D7"/>
    <w:rsid w:val="004E785D"/>
    <w:rsid w:val="004E7CFC"/>
    <w:rsid w:val="004E7CFD"/>
    <w:rsid w:val="004E7E4B"/>
    <w:rsid w:val="004F0254"/>
    <w:rsid w:val="004F0258"/>
    <w:rsid w:val="004F0909"/>
    <w:rsid w:val="004F0E69"/>
    <w:rsid w:val="004F130E"/>
    <w:rsid w:val="004F1367"/>
    <w:rsid w:val="004F14DC"/>
    <w:rsid w:val="004F172F"/>
    <w:rsid w:val="004F198D"/>
    <w:rsid w:val="004F1D02"/>
    <w:rsid w:val="004F262B"/>
    <w:rsid w:val="004F2679"/>
    <w:rsid w:val="004F2715"/>
    <w:rsid w:val="004F2C70"/>
    <w:rsid w:val="004F2EE3"/>
    <w:rsid w:val="004F2F21"/>
    <w:rsid w:val="004F30BF"/>
    <w:rsid w:val="004F325A"/>
    <w:rsid w:val="004F3619"/>
    <w:rsid w:val="004F3B6B"/>
    <w:rsid w:val="004F3D57"/>
    <w:rsid w:val="004F3DE5"/>
    <w:rsid w:val="004F4156"/>
    <w:rsid w:val="004F4179"/>
    <w:rsid w:val="004F44FA"/>
    <w:rsid w:val="004F479F"/>
    <w:rsid w:val="004F483D"/>
    <w:rsid w:val="004F4978"/>
    <w:rsid w:val="004F5044"/>
    <w:rsid w:val="004F5072"/>
    <w:rsid w:val="004F50AE"/>
    <w:rsid w:val="004F52E9"/>
    <w:rsid w:val="004F546B"/>
    <w:rsid w:val="004F55A2"/>
    <w:rsid w:val="004F55CA"/>
    <w:rsid w:val="004F57C7"/>
    <w:rsid w:val="004F58F1"/>
    <w:rsid w:val="004F59A8"/>
    <w:rsid w:val="004F5B5B"/>
    <w:rsid w:val="004F6913"/>
    <w:rsid w:val="004F7828"/>
    <w:rsid w:val="004F7865"/>
    <w:rsid w:val="004F7C3D"/>
    <w:rsid w:val="004F7CF4"/>
    <w:rsid w:val="004F7D18"/>
    <w:rsid w:val="0050000B"/>
    <w:rsid w:val="0050020D"/>
    <w:rsid w:val="0050063F"/>
    <w:rsid w:val="005006A3"/>
    <w:rsid w:val="00500A50"/>
    <w:rsid w:val="00500EA1"/>
    <w:rsid w:val="005016EA"/>
    <w:rsid w:val="0050174E"/>
    <w:rsid w:val="00501854"/>
    <w:rsid w:val="00501DDE"/>
    <w:rsid w:val="0050219B"/>
    <w:rsid w:val="00502793"/>
    <w:rsid w:val="00502883"/>
    <w:rsid w:val="00502A3A"/>
    <w:rsid w:val="00502A78"/>
    <w:rsid w:val="00502C30"/>
    <w:rsid w:val="00503403"/>
    <w:rsid w:val="005035F9"/>
    <w:rsid w:val="00503646"/>
    <w:rsid w:val="00503D82"/>
    <w:rsid w:val="00503E0C"/>
    <w:rsid w:val="00503F17"/>
    <w:rsid w:val="00503F3A"/>
    <w:rsid w:val="00503F86"/>
    <w:rsid w:val="00504009"/>
    <w:rsid w:val="00504207"/>
    <w:rsid w:val="005046F4"/>
    <w:rsid w:val="00504874"/>
    <w:rsid w:val="005048FC"/>
    <w:rsid w:val="00504B30"/>
    <w:rsid w:val="00504B8E"/>
    <w:rsid w:val="00504E28"/>
    <w:rsid w:val="0050581A"/>
    <w:rsid w:val="0050587F"/>
    <w:rsid w:val="00505F57"/>
    <w:rsid w:val="00505F94"/>
    <w:rsid w:val="005061FA"/>
    <w:rsid w:val="00506347"/>
    <w:rsid w:val="005064AA"/>
    <w:rsid w:val="005065D6"/>
    <w:rsid w:val="005068B2"/>
    <w:rsid w:val="00506928"/>
    <w:rsid w:val="00506BFC"/>
    <w:rsid w:val="00506CCE"/>
    <w:rsid w:val="0050705D"/>
    <w:rsid w:val="005071D6"/>
    <w:rsid w:val="00507683"/>
    <w:rsid w:val="005077EF"/>
    <w:rsid w:val="0050796A"/>
    <w:rsid w:val="00507C0B"/>
    <w:rsid w:val="00507E97"/>
    <w:rsid w:val="00507E9D"/>
    <w:rsid w:val="00510016"/>
    <w:rsid w:val="00510F52"/>
    <w:rsid w:val="005116BE"/>
    <w:rsid w:val="0051170D"/>
    <w:rsid w:val="005119D9"/>
    <w:rsid w:val="00511AD5"/>
    <w:rsid w:val="00511DC7"/>
    <w:rsid w:val="00512091"/>
    <w:rsid w:val="005120D6"/>
    <w:rsid w:val="0051267B"/>
    <w:rsid w:val="005126A5"/>
    <w:rsid w:val="005128F0"/>
    <w:rsid w:val="00512A46"/>
    <w:rsid w:val="00512E0A"/>
    <w:rsid w:val="005130A3"/>
    <w:rsid w:val="005138B7"/>
    <w:rsid w:val="00513F97"/>
    <w:rsid w:val="005142C5"/>
    <w:rsid w:val="005142FE"/>
    <w:rsid w:val="00514AFC"/>
    <w:rsid w:val="00514B79"/>
    <w:rsid w:val="00514C96"/>
    <w:rsid w:val="0051501B"/>
    <w:rsid w:val="005152B5"/>
    <w:rsid w:val="005157A2"/>
    <w:rsid w:val="005157E3"/>
    <w:rsid w:val="00515886"/>
    <w:rsid w:val="00515BD6"/>
    <w:rsid w:val="00515EAD"/>
    <w:rsid w:val="00516212"/>
    <w:rsid w:val="005164E4"/>
    <w:rsid w:val="00516A2C"/>
    <w:rsid w:val="00516BA3"/>
    <w:rsid w:val="00516C61"/>
    <w:rsid w:val="00516D6C"/>
    <w:rsid w:val="00517394"/>
    <w:rsid w:val="0051760F"/>
    <w:rsid w:val="00517742"/>
    <w:rsid w:val="00517885"/>
    <w:rsid w:val="00517907"/>
    <w:rsid w:val="00520414"/>
    <w:rsid w:val="00520B79"/>
    <w:rsid w:val="00520EC5"/>
    <w:rsid w:val="00520F3E"/>
    <w:rsid w:val="00521108"/>
    <w:rsid w:val="0052123C"/>
    <w:rsid w:val="00521319"/>
    <w:rsid w:val="00521E66"/>
    <w:rsid w:val="00521E8C"/>
    <w:rsid w:val="00522322"/>
    <w:rsid w:val="0052297F"/>
    <w:rsid w:val="00522BC8"/>
    <w:rsid w:val="00522E8D"/>
    <w:rsid w:val="005232C0"/>
    <w:rsid w:val="00523357"/>
    <w:rsid w:val="0052346C"/>
    <w:rsid w:val="00523A00"/>
    <w:rsid w:val="00523C28"/>
    <w:rsid w:val="00523F01"/>
    <w:rsid w:val="00524339"/>
    <w:rsid w:val="00524520"/>
    <w:rsid w:val="0052482D"/>
    <w:rsid w:val="00524D2E"/>
    <w:rsid w:val="00524E44"/>
    <w:rsid w:val="00525481"/>
    <w:rsid w:val="00525BDC"/>
    <w:rsid w:val="00525D46"/>
    <w:rsid w:val="00526269"/>
    <w:rsid w:val="005263B6"/>
    <w:rsid w:val="005273B3"/>
    <w:rsid w:val="00527587"/>
    <w:rsid w:val="00527A82"/>
    <w:rsid w:val="00530372"/>
    <w:rsid w:val="00530647"/>
    <w:rsid w:val="0053087C"/>
    <w:rsid w:val="00530894"/>
    <w:rsid w:val="00530ABC"/>
    <w:rsid w:val="00530DC3"/>
    <w:rsid w:val="00530FD7"/>
    <w:rsid w:val="00531337"/>
    <w:rsid w:val="005314CF"/>
    <w:rsid w:val="0053150C"/>
    <w:rsid w:val="0053155E"/>
    <w:rsid w:val="0053176B"/>
    <w:rsid w:val="005318F2"/>
    <w:rsid w:val="00531C41"/>
    <w:rsid w:val="0053211F"/>
    <w:rsid w:val="0053219C"/>
    <w:rsid w:val="00532836"/>
    <w:rsid w:val="00532A79"/>
    <w:rsid w:val="00532C5C"/>
    <w:rsid w:val="00532EE9"/>
    <w:rsid w:val="00533208"/>
    <w:rsid w:val="00533B3C"/>
    <w:rsid w:val="00533DAD"/>
    <w:rsid w:val="00533EDD"/>
    <w:rsid w:val="00533FD7"/>
    <w:rsid w:val="0053402F"/>
    <w:rsid w:val="005341B3"/>
    <w:rsid w:val="00534363"/>
    <w:rsid w:val="00534682"/>
    <w:rsid w:val="00534B5D"/>
    <w:rsid w:val="00534C5C"/>
    <w:rsid w:val="00535044"/>
    <w:rsid w:val="00535756"/>
    <w:rsid w:val="00536031"/>
    <w:rsid w:val="0053643D"/>
    <w:rsid w:val="00536A19"/>
    <w:rsid w:val="00536BD7"/>
    <w:rsid w:val="00536F42"/>
    <w:rsid w:val="0053702A"/>
    <w:rsid w:val="00537182"/>
    <w:rsid w:val="0053719B"/>
    <w:rsid w:val="00537B6C"/>
    <w:rsid w:val="00537D7C"/>
    <w:rsid w:val="00537ED6"/>
    <w:rsid w:val="00537EF8"/>
    <w:rsid w:val="005400D4"/>
    <w:rsid w:val="0054063A"/>
    <w:rsid w:val="00540765"/>
    <w:rsid w:val="0054097E"/>
    <w:rsid w:val="00540CEA"/>
    <w:rsid w:val="00540D29"/>
    <w:rsid w:val="00540E4D"/>
    <w:rsid w:val="00540F53"/>
    <w:rsid w:val="005413BA"/>
    <w:rsid w:val="00541690"/>
    <w:rsid w:val="005416BA"/>
    <w:rsid w:val="0054191E"/>
    <w:rsid w:val="00541ABB"/>
    <w:rsid w:val="00541BA2"/>
    <w:rsid w:val="00541BD7"/>
    <w:rsid w:val="00541BE1"/>
    <w:rsid w:val="00541D65"/>
    <w:rsid w:val="00541EDD"/>
    <w:rsid w:val="00542003"/>
    <w:rsid w:val="0054215A"/>
    <w:rsid w:val="005422DF"/>
    <w:rsid w:val="00542743"/>
    <w:rsid w:val="005427BF"/>
    <w:rsid w:val="00542C2D"/>
    <w:rsid w:val="0054334B"/>
    <w:rsid w:val="00543484"/>
    <w:rsid w:val="00543656"/>
    <w:rsid w:val="0054391C"/>
    <w:rsid w:val="00543ECD"/>
    <w:rsid w:val="0054424A"/>
    <w:rsid w:val="005444ED"/>
    <w:rsid w:val="005445ED"/>
    <w:rsid w:val="00544702"/>
    <w:rsid w:val="00544AC9"/>
    <w:rsid w:val="00544E1D"/>
    <w:rsid w:val="00544F7E"/>
    <w:rsid w:val="0054518D"/>
    <w:rsid w:val="0054575F"/>
    <w:rsid w:val="00545933"/>
    <w:rsid w:val="00545B46"/>
    <w:rsid w:val="00545F53"/>
    <w:rsid w:val="00546116"/>
    <w:rsid w:val="005461E4"/>
    <w:rsid w:val="0054666F"/>
    <w:rsid w:val="00546AC8"/>
    <w:rsid w:val="00546CAB"/>
    <w:rsid w:val="00546E62"/>
    <w:rsid w:val="005474E6"/>
    <w:rsid w:val="005478BD"/>
    <w:rsid w:val="005478DA"/>
    <w:rsid w:val="005479E3"/>
    <w:rsid w:val="00547A7C"/>
    <w:rsid w:val="00547CE1"/>
    <w:rsid w:val="00547F57"/>
    <w:rsid w:val="0055003C"/>
    <w:rsid w:val="0055035B"/>
    <w:rsid w:val="0055035F"/>
    <w:rsid w:val="00550533"/>
    <w:rsid w:val="00550B68"/>
    <w:rsid w:val="00550BDB"/>
    <w:rsid w:val="00550EC9"/>
    <w:rsid w:val="00551260"/>
    <w:rsid w:val="00551443"/>
    <w:rsid w:val="0055183F"/>
    <w:rsid w:val="00551985"/>
    <w:rsid w:val="00551EF2"/>
    <w:rsid w:val="005520AD"/>
    <w:rsid w:val="005526A0"/>
    <w:rsid w:val="00552796"/>
    <w:rsid w:val="005528BC"/>
    <w:rsid w:val="005529D4"/>
    <w:rsid w:val="00552AAE"/>
    <w:rsid w:val="00552BD3"/>
    <w:rsid w:val="00552E93"/>
    <w:rsid w:val="00552F74"/>
    <w:rsid w:val="00553126"/>
    <w:rsid w:val="0055312C"/>
    <w:rsid w:val="005532A0"/>
    <w:rsid w:val="00553747"/>
    <w:rsid w:val="00553BB0"/>
    <w:rsid w:val="00553F40"/>
    <w:rsid w:val="0055443B"/>
    <w:rsid w:val="00554462"/>
    <w:rsid w:val="0055487C"/>
    <w:rsid w:val="005549B5"/>
    <w:rsid w:val="00554BE0"/>
    <w:rsid w:val="00555109"/>
    <w:rsid w:val="005553DC"/>
    <w:rsid w:val="0055563E"/>
    <w:rsid w:val="005556EB"/>
    <w:rsid w:val="00555A00"/>
    <w:rsid w:val="00555C96"/>
    <w:rsid w:val="00555CFE"/>
    <w:rsid w:val="00555F54"/>
    <w:rsid w:val="00556213"/>
    <w:rsid w:val="005564FE"/>
    <w:rsid w:val="00556575"/>
    <w:rsid w:val="00556822"/>
    <w:rsid w:val="00556B35"/>
    <w:rsid w:val="00556C54"/>
    <w:rsid w:val="00556E01"/>
    <w:rsid w:val="0055741A"/>
    <w:rsid w:val="00557EA3"/>
    <w:rsid w:val="00557F3A"/>
    <w:rsid w:val="00560253"/>
    <w:rsid w:val="0056068E"/>
    <w:rsid w:val="00560AEB"/>
    <w:rsid w:val="00560F67"/>
    <w:rsid w:val="00560FB7"/>
    <w:rsid w:val="005611B7"/>
    <w:rsid w:val="005613FE"/>
    <w:rsid w:val="005615BB"/>
    <w:rsid w:val="005616C7"/>
    <w:rsid w:val="00561797"/>
    <w:rsid w:val="005617C9"/>
    <w:rsid w:val="005618D4"/>
    <w:rsid w:val="005618F7"/>
    <w:rsid w:val="0056194A"/>
    <w:rsid w:val="00561D16"/>
    <w:rsid w:val="0056217B"/>
    <w:rsid w:val="00562829"/>
    <w:rsid w:val="00562AF8"/>
    <w:rsid w:val="00562FB3"/>
    <w:rsid w:val="00563255"/>
    <w:rsid w:val="005634C6"/>
    <w:rsid w:val="0056382B"/>
    <w:rsid w:val="005639E1"/>
    <w:rsid w:val="00563DE4"/>
    <w:rsid w:val="0056418C"/>
    <w:rsid w:val="00564867"/>
    <w:rsid w:val="00564956"/>
    <w:rsid w:val="00564F35"/>
    <w:rsid w:val="00564F36"/>
    <w:rsid w:val="005657B1"/>
    <w:rsid w:val="0056586D"/>
    <w:rsid w:val="005658E7"/>
    <w:rsid w:val="00565924"/>
    <w:rsid w:val="00565C79"/>
    <w:rsid w:val="00565CDF"/>
    <w:rsid w:val="00565DE9"/>
    <w:rsid w:val="00565DF0"/>
    <w:rsid w:val="0056642F"/>
    <w:rsid w:val="005666C0"/>
    <w:rsid w:val="0056696F"/>
    <w:rsid w:val="00566B62"/>
    <w:rsid w:val="00566D9F"/>
    <w:rsid w:val="0056708E"/>
    <w:rsid w:val="00567153"/>
    <w:rsid w:val="005676DF"/>
    <w:rsid w:val="00567743"/>
    <w:rsid w:val="00567938"/>
    <w:rsid w:val="00567D31"/>
    <w:rsid w:val="00570063"/>
    <w:rsid w:val="005701BF"/>
    <w:rsid w:val="00570930"/>
    <w:rsid w:val="00570AAD"/>
    <w:rsid w:val="00570DB4"/>
    <w:rsid w:val="0057101C"/>
    <w:rsid w:val="0057111C"/>
    <w:rsid w:val="005711B6"/>
    <w:rsid w:val="005718B0"/>
    <w:rsid w:val="005718E6"/>
    <w:rsid w:val="00571A3F"/>
    <w:rsid w:val="00571B2B"/>
    <w:rsid w:val="00571B6E"/>
    <w:rsid w:val="00571F83"/>
    <w:rsid w:val="005720FB"/>
    <w:rsid w:val="005721E4"/>
    <w:rsid w:val="00572269"/>
    <w:rsid w:val="0057244A"/>
    <w:rsid w:val="00572897"/>
    <w:rsid w:val="00572A87"/>
    <w:rsid w:val="00572F26"/>
    <w:rsid w:val="005731BA"/>
    <w:rsid w:val="0057375E"/>
    <w:rsid w:val="005739C2"/>
    <w:rsid w:val="00574131"/>
    <w:rsid w:val="005746D1"/>
    <w:rsid w:val="00574BAF"/>
    <w:rsid w:val="00574D39"/>
    <w:rsid w:val="005750C5"/>
    <w:rsid w:val="005752DE"/>
    <w:rsid w:val="005752FC"/>
    <w:rsid w:val="00575634"/>
    <w:rsid w:val="005756A3"/>
    <w:rsid w:val="0057593A"/>
    <w:rsid w:val="00575D60"/>
    <w:rsid w:val="00575D8D"/>
    <w:rsid w:val="00575FFC"/>
    <w:rsid w:val="005761DD"/>
    <w:rsid w:val="0057645E"/>
    <w:rsid w:val="00576707"/>
    <w:rsid w:val="00576724"/>
    <w:rsid w:val="00576972"/>
    <w:rsid w:val="005769A6"/>
    <w:rsid w:val="00576E59"/>
    <w:rsid w:val="00576F10"/>
    <w:rsid w:val="00577248"/>
    <w:rsid w:val="0057724F"/>
    <w:rsid w:val="005805A3"/>
    <w:rsid w:val="00580745"/>
    <w:rsid w:val="00580BDC"/>
    <w:rsid w:val="0058109F"/>
    <w:rsid w:val="005812C9"/>
    <w:rsid w:val="00581676"/>
    <w:rsid w:val="00582CD1"/>
    <w:rsid w:val="00582FD3"/>
    <w:rsid w:val="0058327B"/>
    <w:rsid w:val="00583283"/>
    <w:rsid w:val="0058329C"/>
    <w:rsid w:val="00583699"/>
    <w:rsid w:val="005838DF"/>
    <w:rsid w:val="00583914"/>
    <w:rsid w:val="00583C20"/>
    <w:rsid w:val="00583DEE"/>
    <w:rsid w:val="00583F90"/>
    <w:rsid w:val="005841F2"/>
    <w:rsid w:val="00584698"/>
    <w:rsid w:val="005848AB"/>
    <w:rsid w:val="00584A6D"/>
    <w:rsid w:val="00584F4D"/>
    <w:rsid w:val="00585348"/>
    <w:rsid w:val="00585477"/>
    <w:rsid w:val="0058579C"/>
    <w:rsid w:val="00585986"/>
    <w:rsid w:val="00585B28"/>
    <w:rsid w:val="00585CDD"/>
    <w:rsid w:val="00585F85"/>
    <w:rsid w:val="005862EF"/>
    <w:rsid w:val="00586465"/>
    <w:rsid w:val="005867FD"/>
    <w:rsid w:val="00586BAC"/>
    <w:rsid w:val="00587058"/>
    <w:rsid w:val="0058716F"/>
    <w:rsid w:val="005873D9"/>
    <w:rsid w:val="0058743F"/>
    <w:rsid w:val="005900AA"/>
    <w:rsid w:val="005902C3"/>
    <w:rsid w:val="005902D6"/>
    <w:rsid w:val="00590913"/>
    <w:rsid w:val="0059095A"/>
    <w:rsid w:val="00590D73"/>
    <w:rsid w:val="00591831"/>
    <w:rsid w:val="00591957"/>
    <w:rsid w:val="00591A32"/>
    <w:rsid w:val="0059229C"/>
    <w:rsid w:val="00592C18"/>
    <w:rsid w:val="00593158"/>
    <w:rsid w:val="005936E5"/>
    <w:rsid w:val="00593817"/>
    <w:rsid w:val="00593964"/>
    <w:rsid w:val="00593C08"/>
    <w:rsid w:val="00593CAD"/>
    <w:rsid w:val="00593DAF"/>
    <w:rsid w:val="00593EF4"/>
    <w:rsid w:val="005940FE"/>
    <w:rsid w:val="005944F6"/>
    <w:rsid w:val="00594666"/>
    <w:rsid w:val="005946BF"/>
    <w:rsid w:val="005947E2"/>
    <w:rsid w:val="00594B74"/>
    <w:rsid w:val="0059523E"/>
    <w:rsid w:val="0059551C"/>
    <w:rsid w:val="0059581E"/>
    <w:rsid w:val="00596010"/>
    <w:rsid w:val="005960F2"/>
    <w:rsid w:val="00596206"/>
    <w:rsid w:val="005964E3"/>
    <w:rsid w:val="0059735F"/>
    <w:rsid w:val="00597807"/>
    <w:rsid w:val="00597993"/>
    <w:rsid w:val="00597BF9"/>
    <w:rsid w:val="005A0076"/>
    <w:rsid w:val="005A02F2"/>
    <w:rsid w:val="005A040F"/>
    <w:rsid w:val="005A08A2"/>
    <w:rsid w:val="005A0C11"/>
    <w:rsid w:val="005A1260"/>
    <w:rsid w:val="005A1293"/>
    <w:rsid w:val="005A1DB3"/>
    <w:rsid w:val="005A1F30"/>
    <w:rsid w:val="005A282F"/>
    <w:rsid w:val="005A2936"/>
    <w:rsid w:val="005A2B21"/>
    <w:rsid w:val="005A2B40"/>
    <w:rsid w:val="005A2DEA"/>
    <w:rsid w:val="005A2EF5"/>
    <w:rsid w:val="005A309A"/>
    <w:rsid w:val="005A33BA"/>
    <w:rsid w:val="005A373D"/>
    <w:rsid w:val="005A47A6"/>
    <w:rsid w:val="005A49C1"/>
    <w:rsid w:val="005A5257"/>
    <w:rsid w:val="005A528F"/>
    <w:rsid w:val="005A57FD"/>
    <w:rsid w:val="005A58C7"/>
    <w:rsid w:val="005A61DA"/>
    <w:rsid w:val="005A623F"/>
    <w:rsid w:val="005A63BB"/>
    <w:rsid w:val="005A66A6"/>
    <w:rsid w:val="005A6C41"/>
    <w:rsid w:val="005A6EA6"/>
    <w:rsid w:val="005A6FBD"/>
    <w:rsid w:val="005A7237"/>
    <w:rsid w:val="005A72E8"/>
    <w:rsid w:val="005A796C"/>
    <w:rsid w:val="005B022D"/>
    <w:rsid w:val="005B0297"/>
    <w:rsid w:val="005B06A5"/>
    <w:rsid w:val="005B079E"/>
    <w:rsid w:val="005B0B58"/>
    <w:rsid w:val="005B165D"/>
    <w:rsid w:val="005B1825"/>
    <w:rsid w:val="005B190F"/>
    <w:rsid w:val="005B1E31"/>
    <w:rsid w:val="005B1F92"/>
    <w:rsid w:val="005B2463"/>
    <w:rsid w:val="005B285F"/>
    <w:rsid w:val="005B2A0E"/>
    <w:rsid w:val="005B2D46"/>
    <w:rsid w:val="005B30EE"/>
    <w:rsid w:val="005B3561"/>
    <w:rsid w:val="005B3B75"/>
    <w:rsid w:val="005B3B8E"/>
    <w:rsid w:val="005B41A7"/>
    <w:rsid w:val="005B4931"/>
    <w:rsid w:val="005B4CEC"/>
    <w:rsid w:val="005B4E53"/>
    <w:rsid w:val="005B52AC"/>
    <w:rsid w:val="005B5622"/>
    <w:rsid w:val="005B5857"/>
    <w:rsid w:val="005B5B0C"/>
    <w:rsid w:val="005B64CE"/>
    <w:rsid w:val="005B669C"/>
    <w:rsid w:val="005B671D"/>
    <w:rsid w:val="005B6F1D"/>
    <w:rsid w:val="005B706D"/>
    <w:rsid w:val="005B71B2"/>
    <w:rsid w:val="005B72A3"/>
    <w:rsid w:val="005B7468"/>
    <w:rsid w:val="005B7558"/>
    <w:rsid w:val="005B7595"/>
    <w:rsid w:val="005B7855"/>
    <w:rsid w:val="005B7923"/>
    <w:rsid w:val="005B7BF2"/>
    <w:rsid w:val="005B7C68"/>
    <w:rsid w:val="005B7D31"/>
    <w:rsid w:val="005B7E48"/>
    <w:rsid w:val="005C0618"/>
    <w:rsid w:val="005C06F1"/>
    <w:rsid w:val="005C0A47"/>
    <w:rsid w:val="005C0AAA"/>
    <w:rsid w:val="005C0BA9"/>
    <w:rsid w:val="005C1245"/>
    <w:rsid w:val="005C174B"/>
    <w:rsid w:val="005C1756"/>
    <w:rsid w:val="005C19C4"/>
    <w:rsid w:val="005C1B83"/>
    <w:rsid w:val="005C1EBC"/>
    <w:rsid w:val="005C1FDD"/>
    <w:rsid w:val="005C220E"/>
    <w:rsid w:val="005C24F3"/>
    <w:rsid w:val="005C25FF"/>
    <w:rsid w:val="005C2906"/>
    <w:rsid w:val="005C2948"/>
    <w:rsid w:val="005C2AD9"/>
    <w:rsid w:val="005C2CBC"/>
    <w:rsid w:val="005C2D55"/>
    <w:rsid w:val="005C2E17"/>
    <w:rsid w:val="005C2F74"/>
    <w:rsid w:val="005C30D8"/>
    <w:rsid w:val="005C31B8"/>
    <w:rsid w:val="005C346B"/>
    <w:rsid w:val="005C3652"/>
    <w:rsid w:val="005C4C1E"/>
    <w:rsid w:val="005C4C3C"/>
    <w:rsid w:val="005C5709"/>
    <w:rsid w:val="005C5786"/>
    <w:rsid w:val="005C58C1"/>
    <w:rsid w:val="005C592A"/>
    <w:rsid w:val="005C59D2"/>
    <w:rsid w:val="005C5ABC"/>
    <w:rsid w:val="005C5B21"/>
    <w:rsid w:val="005C5FAC"/>
    <w:rsid w:val="005C62A7"/>
    <w:rsid w:val="005C6723"/>
    <w:rsid w:val="005C699E"/>
    <w:rsid w:val="005C7138"/>
    <w:rsid w:val="005C729C"/>
    <w:rsid w:val="005C7747"/>
    <w:rsid w:val="005C7E04"/>
    <w:rsid w:val="005D0019"/>
    <w:rsid w:val="005D044D"/>
    <w:rsid w:val="005D086D"/>
    <w:rsid w:val="005D0A65"/>
    <w:rsid w:val="005D0ABD"/>
    <w:rsid w:val="005D0B8B"/>
    <w:rsid w:val="005D108D"/>
    <w:rsid w:val="005D1130"/>
    <w:rsid w:val="005D1443"/>
    <w:rsid w:val="005D1491"/>
    <w:rsid w:val="005D18AD"/>
    <w:rsid w:val="005D1AC4"/>
    <w:rsid w:val="005D1D2B"/>
    <w:rsid w:val="005D21F9"/>
    <w:rsid w:val="005D26B4"/>
    <w:rsid w:val="005D2A53"/>
    <w:rsid w:val="005D2C51"/>
    <w:rsid w:val="005D2DCB"/>
    <w:rsid w:val="005D30CA"/>
    <w:rsid w:val="005D39FD"/>
    <w:rsid w:val="005D3A12"/>
    <w:rsid w:val="005D3B8D"/>
    <w:rsid w:val="005D3E7F"/>
    <w:rsid w:val="005D3E99"/>
    <w:rsid w:val="005D40FE"/>
    <w:rsid w:val="005D4272"/>
    <w:rsid w:val="005D42B3"/>
    <w:rsid w:val="005D4359"/>
    <w:rsid w:val="005D45D2"/>
    <w:rsid w:val="005D4838"/>
    <w:rsid w:val="005D485F"/>
    <w:rsid w:val="005D4B9E"/>
    <w:rsid w:val="005D52B3"/>
    <w:rsid w:val="005D558E"/>
    <w:rsid w:val="005D60BF"/>
    <w:rsid w:val="005D61C8"/>
    <w:rsid w:val="005D631C"/>
    <w:rsid w:val="005D63D9"/>
    <w:rsid w:val="005D68E3"/>
    <w:rsid w:val="005D6967"/>
    <w:rsid w:val="005D6D20"/>
    <w:rsid w:val="005D6ED3"/>
    <w:rsid w:val="005D79D2"/>
    <w:rsid w:val="005E00E8"/>
    <w:rsid w:val="005E013F"/>
    <w:rsid w:val="005E03C8"/>
    <w:rsid w:val="005E05E2"/>
    <w:rsid w:val="005E07D8"/>
    <w:rsid w:val="005E0F50"/>
    <w:rsid w:val="005E1599"/>
    <w:rsid w:val="005E15E8"/>
    <w:rsid w:val="005E1995"/>
    <w:rsid w:val="005E1C01"/>
    <w:rsid w:val="005E2018"/>
    <w:rsid w:val="005E2357"/>
    <w:rsid w:val="005E24AF"/>
    <w:rsid w:val="005E272A"/>
    <w:rsid w:val="005E2E39"/>
    <w:rsid w:val="005E305B"/>
    <w:rsid w:val="005E3136"/>
    <w:rsid w:val="005E3177"/>
    <w:rsid w:val="005E326D"/>
    <w:rsid w:val="005E33CB"/>
    <w:rsid w:val="005E33FA"/>
    <w:rsid w:val="005E35DE"/>
    <w:rsid w:val="005E3E2C"/>
    <w:rsid w:val="005E436D"/>
    <w:rsid w:val="005E46A5"/>
    <w:rsid w:val="005E4723"/>
    <w:rsid w:val="005E49DA"/>
    <w:rsid w:val="005E49E6"/>
    <w:rsid w:val="005E51C4"/>
    <w:rsid w:val="005E5260"/>
    <w:rsid w:val="005E5480"/>
    <w:rsid w:val="005E5AFB"/>
    <w:rsid w:val="005E5B89"/>
    <w:rsid w:val="005E5EAF"/>
    <w:rsid w:val="005E62AB"/>
    <w:rsid w:val="005E640D"/>
    <w:rsid w:val="005E65E9"/>
    <w:rsid w:val="005E667C"/>
    <w:rsid w:val="005E682A"/>
    <w:rsid w:val="005E68C4"/>
    <w:rsid w:val="005E6CBC"/>
    <w:rsid w:val="005E6DCD"/>
    <w:rsid w:val="005E72FF"/>
    <w:rsid w:val="005E73C0"/>
    <w:rsid w:val="005E7503"/>
    <w:rsid w:val="005E7B24"/>
    <w:rsid w:val="005E7F33"/>
    <w:rsid w:val="005F00BE"/>
    <w:rsid w:val="005F0288"/>
    <w:rsid w:val="005F0372"/>
    <w:rsid w:val="005F03E5"/>
    <w:rsid w:val="005F07ED"/>
    <w:rsid w:val="005F113F"/>
    <w:rsid w:val="005F1424"/>
    <w:rsid w:val="005F15E3"/>
    <w:rsid w:val="005F169A"/>
    <w:rsid w:val="005F1778"/>
    <w:rsid w:val="005F18B3"/>
    <w:rsid w:val="005F1C7C"/>
    <w:rsid w:val="005F1DDE"/>
    <w:rsid w:val="005F1F22"/>
    <w:rsid w:val="005F1F77"/>
    <w:rsid w:val="005F2295"/>
    <w:rsid w:val="005F2322"/>
    <w:rsid w:val="005F24B1"/>
    <w:rsid w:val="005F25E6"/>
    <w:rsid w:val="005F2706"/>
    <w:rsid w:val="005F2A0C"/>
    <w:rsid w:val="005F2E5B"/>
    <w:rsid w:val="005F342D"/>
    <w:rsid w:val="005F3550"/>
    <w:rsid w:val="005F3948"/>
    <w:rsid w:val="005F39A8"/>
    <w:rsid w:val="005F39AA"/>
    <w:rsid w:val="005F3C34"/>
    <w:rsid w:val="005F3CC2"/>
    <w:rsid w:val="005F3F29"/>
    <w:rsid w:val="005F4328"/>
    <w:rsid w:val="005F460C"/>
    <w:rsid w:val="005F4A50"/>
    <w:rsid w:val="005F4B20"/>
    <w:rsid w:val="005F51A8"/>
    <w:rsid w:val="005F539A"/>
    <w:rsid w:val="005F5546"/>
    <w:rsid w:val="005F55C2"/>
    <w:rsid w:val="005F5E4C"/>
    <w:rsid w:val="005F6487"/>
    <w:rsid w:val="005F655C"/>
    <w:rsid w:val="005F66EA"/>
    <w:rsid w:val="005F6A8F"/>
    <w:rsid w:val="005F6B20"/>
    <w:rsid w:val="005F6BB7"/>
    <w:rsid w:val="005F6C71"/>
    <w:rsid w:val="005F7588"/>
    <w:rsid w:val="005F7807"/>
    <w:rsid w:val="005F7D06"/>
    <w:rsid w:val="006001F3"/>
    <w:rsid w:val="006002E6"/>
    <w:rsid w:val="0060039F"/>
    <w:rsid w:val="00600669"/>
    <w:rsid w:val="0060066D"/>
    <w:rsid w:val="006006AF"/>
    <w:rsid w:val="006006C1"/>
    <w:rsid w:val="00600817"/>
    <w:rsid w:val="00600E28"/>
    <w:rsid w:val="00600E53"/>
    <w:rsid w:val="006010FD"/>
    <w:rsid w:val="0060124B"/>
    <w:rsid w:val="0060146B"/>
    <w:rsid w:val="00601515"/>
    <w:rsid w:val="00601773"/>
    <w:rsid w:val="00601C3A"/>
    <w:rsid w:val="00602003"/>
    <w:rsid w:val="00602087"/>
    <w:rsid w:val="006021AA"/>
    <w:rsid w:val="006025B6"/>
    <w:rsid w:val="006026A1"/>
    <w:rsid w:val="006028D3"/>
    <w:rsid w:val="00603689"/>
    <w:rsid w:val="006038B8"/>
    <w:rsid w:val="006039E0"/>
    <w:rsid w:val="00603DB9"/>
    <w:rsid w:val="006042AB"/>
    <w:rsid w:val="00604DF7"/>
    <w:rsid w:val="00604F8B"/>
    <w:rsid w:val="00605A9C"/>
    <w:rsid w:val="00605B13"/>
    <w:rsid w:val="00605B65"/>
    <w:rsid w:val="00605C4F"/>
    <w:rsid w:val="00606077"/>
    <w:rsid w:val="00606121"/>
    <w:rsid w:val="00606217"/>
    <w:rsid w:val="006062E8"/>
    <w:rsid w:val="00606BAD"/>
    <w:rsid w:val="00606FBA"/>
    <w:rsid w:val="0060700D"/>
    <w:rsid w:val="00607024"/>
    <w:rsid w:val="00607288"/>
    <w:rsid w:val="00607669"/>
    <w:rsid w:val="006076F4"/>
    <w:rsid w:val="00607AFD"/>
    <w:rsid w:val="006100ED"/>
    <w:rsid w:val="0061013F"/>
    <w:rsid w:val="00610ADD"/>
    <w:rsid w:val="00610AF2"/>
    <w:rsid w:val="00610F11"/>
    <w:rsid w:val="0061115D"/>
    <w:rsid w:val="0061149A"/>
    <w:rsid w:val="006114E4"/>
    <w:rsid w:val="0061192A"/>
    <w:rsid w:val="00611951"/>
    <w:rsid w:val="006119D7"/>
    <w:rsid w:val="00611B12"/>
    <w:rsid w:val="00611E07"/>
    <w:rsid w:val="00611FA9"/>
    <w:rsid w:val="00611FF3"/>
    <w:rsid w:val="00612221"/>
    <w:rsid w:val="0061235C"/>
    <w:rsid w:val="00612558"/>
    <w:rsid w:val="00612604"/>
    <w:rsid w:val="006127FA"/>
    <w:rsid w:val="00612C8A"/>
    <w:rsid w:val="00612F97"/>
    <w:rsid w:val="0061345D"/>
    <w:rsid w:val="006137E9"/>
    <w:rsid w:val="00613890"/>
    <w:rsid w:val="00613B48"/>
    <w:rsid w:val="00613C86"/>
    <w:rsid w:val="00613EBB"/>
    <w:rsid w:val="00613F39"/>
    <w:rsid w:val="00613F4E"/>
    <w:rsid w:val="00614069"/>
    <w:rsid w:val="006140A5"/>
    <w:rsid w:val="006144B8"/>
    <w:rsid w:val="00615145"/>
    <w:rsid w:val="006153A4"/>
    <w:rsid w:val="0061549B"/>
    <w:rsid w:val="00615670"/>
    <w:rsid w:val="00615718"/>
    <w:rsid w:val="00615E18"/>
    <w:rsid w:val="0061605B"/>
    <w:rsid w:val="006162E6"/>
    <w:rsid w:val="00616626"/>
    <w:rsid w:val="00616802"/>
    <w:rsid w:val="00616ABD"/>
    <w:rsid w:val="0061706D"/>
    <w:rsid w:val="006177AC"/>
    <w:rsid w:val="00617D48"/>
    <w:rsid w:val="00617E12"/>
    <w:rsid w:val="00617EB0"/>
    <w:rsid w:val="00620342"/>
    <w:rsid w:val="00620BA3"/>
    <w:rsid w:val="00620C25"/>
    <w:rsid w:val="00620F2F"/>
    <w:rsid w:val="00621284"/>
    <w:rsid w:val="00621477"/>
    <w:rsid w:val="00621611"/>
    <w:rsid w:val="0062198B"/>
    <w:rsid w:val="006219D8"/>
    <w:rsid w:val="00621A6A"/>
    <w:rsid w:val="00621ADA"/>
    <w:rsid w:val="00621E44"/>
    <w:rsid w:val="00621FE3"/>
    <w:rsid w:val="00622083"/>
    <w:rsid w:val="006221B2"/>
    <w:rsid w:val="0062221D"/>
    <w:rsid w:val="0062240C"/>
    <w:rsid w:val="006226E0"/>
    <w:rsid w:val="00622AED"/>
    <w:rsid w:val="00622FC2"/>
    <w:rsid w:val="006232AA"/>
    <w:rsid w:val="006235CD"/>
    <w:rsid w:val="006237E8"/>
    <w:rsid w:val="00623999"/>
    <w:rsid w:val="00623BDE"/>
    <w:rsid w:val="00623E7F"/>
    <w:rsid w:val="00623F7B"/>
    <w:rsid w:val="00624074"/>
    <w:rsid w:val="0062414C"/>
    <w:rsid w:val="006242C5"/>
    <w:rsid w:val="00624375"/>
    <w:rsid w:val="006248C6"/>
    <w:rsid w:val="00624AA4"/>
    <w:rsid w:val="00624BD4"/>
    <w:rsid w:val="00624CF2"/>
    <w:rsid w:val="00624E72"/>
    <w:rsid w:val="00624E88"/>
    <w:rsid w:val="00624F6B"/>
    <w:rsid w:val="006251C9"/>
    <w:rsid w:val="0062533E"/>
    <w:rsid w:val="006254E3"/>
    <w:rsid w:val="00625544"/>
    <w:rsid w:val="0062567B"/>
    <w:rsid w:val="006257C3"/>
    <w:rsid w:val="00625E89"/>
    <w:rsid w:val="00625FA6"/>
    <w:rsid w:val="00626192"/>
    <w:rsid w:val="006262C9"/>
    <w:rsid w:val="00626791"/>
    <w:rsid w:val="00626928"/>
    <w:rsid w:val="00626AA3"/>
    <w:rsid w:val="00626D7D"/>
    <w:rsid w:val="00626DB2"/>
    <w:rsid w:val="00627522"/>
    <w:rsid w:val="00627755"/>
    <w:rsid w:val="00627940"/>
    <w:rsid w:val="00627991"/>
    <w:rsid w:val="00627E17"/>
    <w:rsid w:val="00627EEF"/>
    <w:rsid w:val="00627F83"/>
    <w:rsid w:val="00627FB9"/>
    <w:rsid w:val="00630295"/>
    <w:rsid w:val="006303CF"/>
    <w:rsid w:val="006312E8"/>
    <w:rsid w:val="00631492"/>
    <w:rsid w:val="0063158F"/>
    <w:rsid w:val="006316C5"/>
    <w:rsid w:val="006317C8"/>
    <w:rsid w:val="006319B9"/>
    <w:rsid w:val="00631ABC"/>
    <w:rsid w:val="00631B9B"/>
    <w:rsid w:val="00631C70"/>
    <w:rsid w:val="00631D6B"/>
    <w:rsid w:val="00631EA8"/>
    <w:rsid w:val="00632183"/>
    <w:rsid w:val="0063237A"/>
    <w:rsid w:val="00632C18"/>
    <w:rsid w:val="006330A1"/>
    <w:rsid w:val="00633185"/>
    <w:rsid w:val="00633227"/>
    <w:rsid w:val="00633EF0"/>
    <w:rsid w:val="00634361"/>
    <w:rsid w:val="0063479F"/>
    <w:rsid w:val="00634D5D"/>
    <w:rsid w:val="00634E03"/>
    <w:rsid w:val="006353F0"/>
    <w:rsid w:val="006356AE"/>
    <w:rsid w:val="006356BA"/>
    <w:rsid w:val="00635798"/>
    <w:rsid w:val="0063579A"/>
    <w:rsid w:val="006357B5"/>
    <w:rsid w:val="00635921"/>
    <w:rsid w:val="00635BAF"/>
    <w:rsid w:val="00635D4D"/>
    <w:rsid w:val="00635DF5"/>
    <w:rsid w:val="00635F5D"/>
    <w:rsid w:val="00636407"/>
    <w:rsid w:val="006364A1"/>
    <w:rsid w:val="0063678E"/>
    <w:rsid w:val="00636907"/>
    <w:rsid w:val="00636F07"/>
    <w:rsid w:val="00636FD6"/>
    <w:rsid w:val="00637BFD"/>
    <w:rsid w:val="00637C5C"/>
    <w:rsid w:val="00640178"/>
    <w:rsid w:val="00640186"/>
    <w:rsid w:val="00640692"/>
    <w:rsid w:val="00640726"/>
    <w:rsid w:val="00640853"/>
    <w:rsid w:val="00640CF2"/>
    <w:rsid w:val="00640ED5"/>
    <w:rsid w:val="00641039"/>
    <w:rsid w:val="006410BF"/>
    <w:rsid w:val="00641C4E"/>
    <w:rsid w:val="00641DCE"/>
    <w:rsid w:val="00641FB3"/>
    <w:rsid w:val="00642587"/>
    <w:rsid w:val="006429C3"/>
    <w:rsid w:val="00642A8B"/>
    <w:rsid w:val="00642E0A"/>
    <w:rsid w:val="00642F9E"/>
    <w:rsid w:val="0064323B"/>
    <w:rsid w:val="00643866"/>
    <w:rsid w:val="00643917"/>
    <w:rsid w:val="00643C22"/>
    <w:rsid w:val="0064434C"/>
    <w:rsid w:val="00644A51"/>
    <w:rsid w:val="00644D87"/>
    <w:rsid w:val="006452BC"/>
    <w:rsid w:val="006454AA"/>
    <w:rsid w:val="006455AE"/>
    <w:rsid w:val="006459FF"/>
    <w:rsid w:val="00645F11"/>
    <w:rsid w:val="00645FB8"/>
    <w:rsid w:val="006464B9"/>
    <w:rsid w:val="00646646"/>
    <w:rsid w:val="0064700A"/>
    <w:rsid w:val="006471CC"/>
    <w:rsid w:val="0064723C"/>
    <w:rsid w:val="006472FE"/>
    <w:rsid w:val="0064734D"/>
    <w:rsid w:val="006476C3"/>
    <w:rsid w:val="0064782A"/>
    <w:rsid w:val="00647A29"/>
    <w:rsid w:val="00647A3C"/>
    <w:rsid w:val="00647CF4"/>
    <w:rsid w:val="0065009A"/>
    <w:rsid w:val="0065023E"/>
    <w:rsid w:val="00650547"/>
    <w:rsid w:val="006505CC"/>
    <w:rsid w:val="0065079F"/>
    <w:rsid w:val="00650C05"/>
    <w:rsid w:val="00650D1D"/>
    <w:rsid w:val="006511ED"/>
    <w:rsid w:val="006514FC"/>
    <w:rsid w:val="00651C73"/>
    <w:rsid w:val="006521D2"/>
    <w:rsid w:val="006523D2"/>
    <w:rsid w:val="00652440"/>
    <w:rsid w:val="00652A28"/>
    <w:rsid w:val="00652CF1"/>
    <w:rsid w:val="00652D42"/>
    <w:rsid w:val="0065379F"/>
    <w:rsid w:val="006538D3"/>
    <w:rsid w:val="00653953"/>
    <w:rsid w:val="00653C45"/>
    <w:rsid w:val="00653CB7"/>
    <w:rsid w:val="006541C4"/>
    <w:rsid w:val="00654399"/>
    <w:rsid w:val="00654754"/>
    <w:rsid w:val="0065495E"/>
    <w:rsid w:val="006549E6"/>
    <w:rsid w:val="00654B84"/>
    <w:rsid w:val="00654C8E"/>
    <w:rsid w:val="00654EB7"/>
    <w:rsid w:val="0065517E"/>
    <w:rsid w:val="006554B4"/>
    <w:rsid w:val="00655679"/>
    <w:rsid w:val="00655CEB"/>
    <w:rsid w:val="00656095"/>
    <w:rsid w:val="00656188"/>
    <w:rsid w:val="00656635"/>
    <w:rsid w:val="00656728"/>
    <w:rsid w:val="0065699D"/>
    <w:rsid w:val="00656B3A"/>
    <w:rsid w:val="00656B5C"/>
    <w:rsid w:val="00656CD2"/>
    <w:rsid w:val="00656EED"/>
    <w:rsid w:val="00656F6D"/>
    <w:rsid w:val="0065715A"/>
    <w:rsid w:val="00657727"/>
    <w:rsid w:val="00657B93"/>
    <w:rsid w:val="006603B8"/>
    <w:rsid w:val="00660BD6"/>
    <w:rsid w:val="006610F1"/>
    <w:rsid w:val="0066121A"/>
    <w:rsid w:val="00661C6B"/>
    <w:rsid w:val="0066253F"/>
    <w:rsid w:val="00662848"/>
    <w:rsid w:val="00662AEA"/>
    <w:rsid w:val="00662D3E"/>
    <w:rsid w:val="00662ECD"/>
    <w:rsid w:val="0066325E"/>
    <w:rsid w:val="006636A7"/>
    <w:rsid w:val="006637EB"/>
    <w:rsid w:val="00663856"/>
    <w:rsid w:val="006639BC"/>
    <w:rsid w:val="00663AA5"/>
    <w:rsid w:val="00663CAE"/>
    <w:rsid w:val="0066430D"/>
    <w:rsid w:val="006643EF"/>
    <w:rsid w:val="0066456E"/>
    <w:rsid w:val="0066472F"/>
    <w:rsid w:val="00664A22"/>
    <w:rsid w:val="00664B24"/>
    <w:rsid w:val="00664DA3"/>
    <w:rsid w:val="00665670"/>
    <w:rsid w:val="00665A16"/>
    <w:rsid w:val="00665AA0"/>
    <w:rsid w:val="00665F08"/>
    <w:rsid w:val="00666169"/>
    <w:rsid w:val="00666D99"/>
    <w:rsid w:val="0066702E"/>
    <w:rsid w:val="006673CC"/>
    <w:rsid w:val="006673FD"/>
    <w:rsid w:val="0066749A"/>
    <w:rsid w:val="00667706"/>
    <w:rsid w:val="00667783"/>
    <w:rsid w:val="00667BE3"/>
    <w:rsid w:val="006703F1"/>
    <w:rsid w:val="006705B1"/>
    <w:rsid w:val="006708DB"/>
    <w:rsid w:val="006709B8"/>
    <w:rsid w:val="00670A54"/>
    <w:rsid w:val="00671004"/>
    <w:rsid w:val="00671298"/>
    <w:rsid w:val="0067162A"/>
    <w:rsid w:val="00671720"/>
    <w:rsid w:val="006717C5"/>
    <w:rsid w:val="00671D0A"/>
    <w:rsid w:val="00672362"/>
    <w:rsid w:val="00672646"/>
    <w:rsid w:val="00672682"/>
    <w:rsid w:val="00672C29"/>
    <w:rsid w:val="00672F04"/>
    <w:rsid w:val="006731BD"/>
    <w:rsid w:val="00673250"/>
    <w:rsid w:val="006735D9"/>
    <w:rsid w:val="00673713"/>
    <w:rsid w:val="00673826"/>
    <w:rsid w:val="00673939"/>
    <w:rsid w:val="00673D6E"/>
    <w:rsid w:val="00674680"/>
    <w:rsid w:val="00674790"/>
    <w:rsid w:val="006748A5"/>
    <w:rsid w:val="00674E42"/>
    <w:rsid w:val="00674F85"/>
    <w:rsid w:val="00674FCF"/>
    <w:rsid w:val="006755B7"/>
    <w:rsid w:val="00675C91"/>
    <w:rsid w:val="00675CA2"/>
    <w:rsid w:val="00675F01"/>
    <w:rsid w:val="006761F7"/>
    <w:rsid w:val="00676296"/>
    <w:rsid w:val="006762AE"/>
    <w:rsid w:val="00676563"/>
    <w:rsid w:val="00676890"/>
    <w:rsid w:val="00676A52"/>
    <w:rsid w:val="00676AB4"/>
    <w:rsid w:val="00676B5A"/>
    <w:rsid w:val="00677416"/>
    <w:rsid w:val="00677730"/>
    <w:rsid w:val="006777FC"/>
    <w:rsid w:val="00680386"/>
    <w:rsid w:val="0068061D"/>
    <w:rsid w:val="00680E5B"/>
    <w:rsid w:val="006811BB"/>
    <w:rsid w:val="00681386"/>
    <w:rsid w:val="006813F8"/>
    <w:rsid w:val="00681676"/>
    <w:rsid w:val="0068170D"/>
    <w:rsid w:val="00681A6F"/>
    <w:rsid w:val="00681AB9"/>
    <w:rsid w:val="00682112"/>
    <w:rsid w:val="00682410"/>
    <w:rsid w:val="00682521"/>
    <w:rsid w:val="00682571"/>
    <w:rsid w:val="0068268F"/>
    <w:rsid w:val="00682787"/>
    <w:rsid w:val="0068293F"/>
    <w:rsid w:val="00682BA6"/>
    <w:rsid w:val="00682C09"/>
    <w:rsid w:val="0068370E"/>
    <w:rsid w:val="006837A8"/>
    <w:rsid w:val="00683949"/>
    <w:rsid w:val="006847B0"/>
    <w:rsid w:val="0068516E"/>
    <w:rsid w:val="0068534B"/>
    <w:rsid w:val="00685391"/>
    <w:rsid w:val="006857F5"/>
    <w:rsid w:val="00685B57"/>
    <w:rsid w:val="00685D5C"/>
    <w:rsid w:val="0068662F"/>
    <w:rsid w:val="00686957"/>
    <w:rsid w:val="006872BA"/>
    <w:rsid w:val="006877F3"/>
    <w:rsid w:val="00687979"/>
    <w:rsid w:val="00687C6E"/>
    <w:rsid w:val="006901C2"/>
    <w:rsid w:val="006902C2"/>
    <w:rsid w:val="0069031D"/>
    <w:rsid w:val="00690503"/>
    <w:rsid w:val="00690795"/>
    <w:rsid w:val="006909B4"/>
    <w:rsid w:val="00691312"/>
    <w:rsid w:val="00691648"/>
    <w:rsid w:val="006917D7"/>
    <w:rsid w:val="0069280D"/>
    <w:rsid w:val="006928B1"/>
    <w:rsid w:val="00692A05"/>
    <w:rsid w:val="00692B21"/>
    <w:rsid w:val="00692E3B"/>
    <w:rsid w:val="00693015"/>
    <w:rsid w:val="006934FB"/>
    <w:rsid w:val="00693590"/>
    <w:rsid w:val="0069434C"/>
    <w:rsid w:val="0069441E"/>
    <w:rsid w:val="006945EF"/>
    <w:rsid w:val="0069472E"/>
    <w:rsid w:val="00694C8D"/>
    <w:rsid w:val="00694D66"/>
    <w:rsid w:val="00694E0A"/>
    <w:rsid w:val="00694E40"/>
    <w:rsid w:val="00694F44"/>
    <w:rsid w:val="0069534E"/>
    <w:rsid w:val="00695490"/>
    <w:rsid w:val="00695957"/>
    <w:rsid w:val="00696151"/>
    <w:rsid w:val="006963AD"/>
    <w:rsid w:val="006963DD"/>
    <w:rsid w:val="0069687A"/>
    <w:rsid w:val="00696EF9"/>
    <w:rsid w:val="00696F51"/>
    <w:rsid w:val="006971A1"/>
    <w:rsid w:val="006972DB"/>
    <w:rsid w:val="0069732A"/>
    <w:rsid w:val="0069762F"/>
    <w:rsid w:val="006977A5"/>
    <w:rsid w:val="006979A5"/>
    <w:rsid w:val="006979AF"/>
    <w:rsid w:val="006A016F"/>
    <w:rsid w:val="006A0465"/>
    <w:rsid w:val="006A052D"/>
    <w:rsid w:val="006A06F8"/>
    <w:rsid w:val="006A0CDB"/>
    <w:rsid w:val="006A0DF7"/>
    <w:rsid w:val="006A0F0E"/>
    <w:rsid w:val="006A14C8"/>
    <w:rsid w:val="006A17C3"/>
    <w:rsid w:val="006A2466"/>
    <w:rsid w:val="006A276F"/>
    <w:rsid w:val="006A2774"/>
    <w:rsid w:val="006A27D6"/>
    <w:rsid w:val="006A2DBC"/>
    <w:rsid w:val="006A30A4"/>
    <w:rsid w:val="006A31FE"/>
    <w:rsid w:val="006A3247"/>
    <w:rsid w:val="006A34AC"/>
    <w:rsid w:val="006A38B6"/>
    <w:rsid w:val="006A3A6D"/>
    <w:rsid w:val="006A3C11"/>
    <w:rsid w:val="006A4321"/>
    <w:rsid w:val="006A43D9"/>
    <w:rsid w:val="006A4820"/>
    <w:rsid w:val="006A48A9"/>
    <w:rsid w:val="006A496D"/>
    <w:rsid w:val="006A4EAE"/>
    <w:rsid w:val="006A52AA"/>
    <w:rsid w:val="006A5394"/>
    <w:rsid w:val="006A56C2"/>
    <w:rsid w:val="006A6189"/>
    <w:rsid w:val="006A6B99"/>
    <w:rsid w:val="006A6D69"/>
    <w:rsid w:val="006A6F90"/>
    <w:rsid w:val="006A7325"/>
    <w:rsid w:val="006A73F8"/>
    <w:rsid w:val="006A78A3"/>
    <w:rsid w:val="006A7E5F"/>
    <w:rsid w:val="006B0191"/>
    <w:rsid w:val="006B0433"/>
    <w:rsid w:val="006B05DC"/>
    <w:rsid w:val="006B0B24"/>
    <w:rsid w:val="006B0BAE"/>
    <w:rsid w:val="006B0C4C"/>
    <w:rsid w:val="006B1136"/>
    <w:rsid w:val="006B1186"/>
    <w:rsid w:val="006B1413"/>
    <w:rsid w:val="006B1D4B"/>
    <w:rsid w:val="006B2384"/>
    <w:rsid w:val="006B261B"/>
    <w:rsid w:val="006B28BC"/>
    <w:rsid w:val="006B297B"/>
    <w:rsid w:val="006B2C90"/>
    <w:rsid w:val="006B2E70"/>
    <w:rsid w:val="006B31C4"/>
    <w:rsid w:val="006B33D1"/>
    <w:rsid w:val="006B35E6"/>
    <w:rsid w:val="006B3619"/>
    <w:rsid w:val="006B4026"/>
    <w:rsid w:val="006B40AB"/>
    <w:rsid w:val="006B42C9"/>
    <w:rsid w:val="006B4583"/>
    <w:rsid w:val="006B465A"/>
    <w:rsid w:val="006B4BB9"/>
    <w:rsid w:val="006B4DA4"/>
    <w:rsid w:val="006B4E78"/>
    <w:rsid w:val="006B4FF3"/>
    <w:rsid w:val="006B52CE"/>
    <w:rsid w:val="006B55D0"/>
    <w:rsid w:val="006B5700"/>
    <w:rsid w:val="006B5892"/>
    <w:rsid w:val="006B59E6"/>
    <w:rsid w:val="006B5AED"/>
    <w:rsid w:val="006B5BB1"/>
    <w:rsid w:val="006B60D7"/>
    <w:rsid w:val="006B6451"/>
    <w:rsid w:val="006B6DD0"/>
    <w:rsid w:val="006B6EC9"/>
    <w:rsid w:val="006B708D"/>
    <w:rsid w:val="006B71F9"/>
    <w:rsid w:val="006B7238"/>
    <w:rsid w:val="006B7927"/>
    <w:rsid w:val="006C023B"/>
    <w:rsid w:val="006C0282"/>
    <w:rsid w:val="006C029B"/>
    <w:rsid w:val="006C02A0"/>
    <w:rsid w:val="006C0399"/>
    <w:rsid w:val="006C0424"/>
    <w:rsid w:val="006C05B5"/>
    <w:rsid w:val="006C0630"/>
    <w:rsid w:val="006C08E4"/>
    <w:rsid w:val="006C0D34"/>
    <w:rsid w:val="006C0F76"/>
    <w:rsid w:val="006C1025"/>
    <w:rsid w:val="006C12D8"/>
    <w:rsid w:val="006C138A"/>
    <w:rsid w:val="006C17E0"/>
    <w:rsid w:val="006C183D"/>
    <w:rsid w:val="006C1D63"/>
    <w:rsid w:val="006C2393"/>
    <w:rsid w:val="006C252A"/>
    <w:rsid w:val="006C2987"/>
    <w:rsid w:val="006C2A8E"/>
    <w:rsid w:val="006C2EE6"/>
    <w:rsid w:val="006C2F79"/>
    <w:rsid w:val="006C3149"/>
    <w:rsid w:val="006C3255"/>
    <w:rsid w:val="006C326D"/>
    <w:rsid w:val="006C3354"/>
    <w:rsid w:val="006C33F6"/>
    <w:rsid w:val="006C34F7"/>
    <w:rsid w:val="006C378D"/>
    <w:rsid w:val="006C3F26"/>
    <w:rsid w:val="006C408B"/>
    <w:rsid w:val="006C4112"/>
    <w:rsid w:val="006C461A"/>
    <w:rsid w:val="006C47D3"/>
    <w:rsid w:val="006C4F33"/>
    <w:rsid w:val="006C5077"/>
    <w:rsid w:val="006C55D2"/>
    <w:rsid w:val="006C5D7B"/>
    <w:rsid w:val="006C616E"/>
    <w:rsid w:val="006C664C"/>
    <w:rsid w:val="006C66E2"/>
    <w:rsid w:val="006C685A"/>
    <w:rsid w:val="006C69F0"/>
    <w:rsid w:val="006C6B69"/>
    <w:rsid w:val="006C6D3B"/>
    <w:rsid w:val="006C6FDF"/>
    <w:rsid w:val="006C717A"/>
    <w:rsid w:val="006C71BB"/>
    <w:rsid w:val="006C77F0"/>
    <w:rsid w:val="006C785E"/>
    <w:rsid w:val="006C7A66"/>
    <w:rsid w:val="006D032E"/>
    <w:rsid w:val="006D0A05"/>
    <w:rsid w:val="006D0B96"/>
    <w:rsid w:val="006D0D17"/>
    <w:rsid w:val="006D11B8"/>
    <w:rsid w:val="006D12DE"/>
    <w:rsid w:val="006D1399"/>
    <w:rsid w:val="006D17E9"/>
    <w:rsid w:val="006D1D11"/>
    <w:rsid w:val="006D291B"/>
    <w:rsid w:val="006D34D3"/>
    <w:rsid w:val="006D35BB"/>
    <w:rsid w:val="006D3602"/>
    <w:rsid w:val="006D3B25"/>
    <w:rsid w:val="006D3C7D"/>
    <w:rsid w:val="006D3E07"/>
    <w:rsid w:val="006D44F2"/>
    <w:rsid w:val="006D4635"/>
    <w:rsid w:val="006D4659"/>
    <w:rsid w:val="006D4A63"/>
    <w:rsid w:val="006D4E42"/>
    <w:rsid w:val="006D4E9D"/>
    <w:rsid w:val="006D5721"/>
    <w:rsid w:val="006D5943"/>
    <w:rsid w:val="006D599B"/>
    <w:rsid w:val="006D5D5F"/>
    <w:rsid w:val="006D679F"/>
    <w:rsid w:val="006D68FB"/>
    <w:rsid w:val="006D6A01"/>
    <w:rsid w:val="006D6B72"/>
    <w:rsid w:val="006D6E3C"/>
    <w:rsid w:val="006D6FD8"/>
    <w:rsid w:val="006D7C56"/>
    <w:rsid w:val="006D7D6D"/>
    <w:rsid w:val="006D7DFA"/>
    <w:rsid w:val="006E00EA"/>
    <w:rsid w:val="006E053E"/>
    <w:rsid w:val="006E05BE"/>
    <w:rsid w:val="006E0822"/>
    <w:rsid w:val="006E08CF"/>
    <w:rsid w:val="006E0B26"/>
    <w:rsid w:val="006E0B95"/>
    <w:rsid w:val="006E0FA5"/>
    <w:rsid w:val="006E102E"/>
    <w:rsid w:val="006E12C8"/>
    <w:rsid w:val="006E14BC"/>
    <w:rsid w:val="006E1517"/>
    <w:rsid w:val="006E1830"/>
    <w:rsid w:val="006E19EE"/>
    <w:rsid w:val="006E1CF7"/>
    <w:rsid w:val="006E1E1B"/>
    <w:rsid w:val="006E21AB"/>
    <w:rsid w:val="006E2868"/>
    <w:rsid w:val="006E2901"/>
    <w:rsid w:val="006E2E76"/>
    <w:rsid w:val="006E2E94"/>
    <w:rsid w:val="006E3067"/>
    <w:rsid w:val="006E31D3"/>
    <w:rsid w:val="006E3752"/>
    <w:rsid w:val="006E3F6D"/>
    <w:rsid w:val="006E46A0"/>
    <w:rsid w:val="006E484B"/>
    <w:rsid w:val="006E4BDA"/>
    <w:rsid w:val="006E4F2D"/>
    <w:rsid w:val="006E547C"/>
    <w:rsid w:val="006E578E"/>
    <w:rsid w:val="006E59E1"/>
    <w:rsid w:val="006E5EBA"/>
    <w:rsid w:val="006E616C"/>
    <w:rsid w:val="006E6634"/>
    <w:rsid w:val="006E6765"/>
    <w:rsid w:val="006E6B7C"/>
    <w:rsid w:val="006E6E8D"/>
    <w:rsid w:val="006E7105"/>
    <w:rsid w:val="006E72A8"/>
    <w:rsid w:val="006E798E"/>
    <w:rsid w:val="006F0147"/>
    <w:rsid w:val="006F0576"/>
    <w:rsid w:val="006F0C29"/>
    <w:rsid w:val="006F0C4B"/>
    <w:rsid w:val="006F0E95"/>
    <w:rsid w:val="006F1387"/>
    <w:rsid w:val="006F14EE"/>
    <w:rsid w:val="006F1674"/>
    <w:rsid w:val="006F16C0"/>
    <w:rsid w:val="006F1BC0"/>
    <w:rsid w:val="006F1E1C"/>
    <w:rsid w:val="006F245D"/>
    <w:rsid w:val="006F292C"/>
    <w:rsid w:val="006F2E64"/>
    <w:rsid w:val="006F306C"/>
    <w:rsid w:val="006F309B"/>
    <w:rsid w:val="006F33E6"/>
    <w:rsid w:val="006F372E"/>
    <w:rsid w:val="006F37E7"/>
    <w:rsid w:val="006F37EB"/>
    <w:rsid w:val="006F3865"/>
    <w:rsid w:val="006F38DF"/>
    <w:rsid w:val="006F38E1"/>
    <w:rsid w:val="006F3955"/>
    <w:rsid w:val="006F39AC"/>
    <w:rsid w:val="006F434A"/>
    <w:rsid w:val="006F49D1"/>
    <w:rsid w:val="006F4B19"/>
    <w:rsid w:val="006F4C0F"/>
    <w:rsid w:val="006F4DB3"/>
    <w:rsid w:val="006F4E14"/>
    <w:rsid w:val="006F559A"/>
    <w:rsid w:val="006F581D"/>
    <w:rsid w:val="006F59D4"/>
    <w:rsid w:val="006F5A2B"/>
    <w:rsid w:val="006F5EF2"/>
    <w:rsid w:val="006F5FCF"/>
    <w:rsid w:val="006F601A"/>
    <w:rsid w:val="006F61F4"/>
    <w:rsid w:val="006F6284"/>
    <w:rsid w:val="006F63A5"/>
    <w:rsid w:val="006F6426"/>
    <w:rsid w:val="006F7298"/>
    <w:rsid w:val="006F7414"/>
    <w:rsid w:val="006F76CC"/>
    <w:rsid w:val="006F795A"/>
    <w:rsid w:val="006F7B57"/>
    <w:rsid w:val="006F7BAE"/>
    <w:rsid w:val="006F7F4A"/>
    <w:rsid w:val="006F7F86"/>
    <w:rsid w:val="00700711"/>
    <w:rsid w:val="007007B0"/>
    <w:rsid w:val="0070097D"/>
    <w:rsid w:val="00700BBE"/>
    <w:rsid w:val="00700DD0"/>
    <w:rsid w:val="00700EC6"/>
    <w:rsid w:val="00700F2D"/>
    <w:rsid w:val="007010BB"/>
    <w:rsid w:val="0070142B"/>
    <w:rsid w:val="00701679"/>
    <w:rsid w:val="00701AD3"/>
    <w:rsid w:val="00701FCB"/>
    <w:rsid w:val="007023D9"/>
    <w:rsid w:val="007025E6"/>
    <w:rsid w:val="0070276E"/>
    <w:rsid w:val="00702F8F"/>
    <w:rsid w:val="007031A9"/>
    <w:rsid w:val="0070344E"/>
    <w:rsid w:val="0070417E"/>
    <w:rsid w:val="007043D4"/>
    <w:rsid w:val="00704957"/>
    <w:rsid w:val="00704C72"/>
    <w:rsid w:val="00705112"/>
    <w:rsid w:val="00705511"/>
    <w:rsid w:val="00705A78"/>
    <w:rsid w:val="00705B80"/>
    <w:rsid w:val="00705D46"/>
    <w:rsid w:val="00705DB5"/>
    <w:rsid w:val="00705FB7"/>
    <w:rsid w:val="00705FB8"/>
    <w:rsid w:val="00706095"/>
    <w:rsid w:val="007062C6"/>
    <w:rsid w:val="00706789"/>
    <w:rsid w:val="007067DF"/>
    <w:rsid w:val="00706986"/>
    <w:rsid w:val="00706F3C"/>
    <w:rsid w:val="0070742E"/>
    <w:rsid w:val="00707993"/>
    <w:rsid w:val="007079FC"/>
    <w:rsid w:val="00707C7E"/>
    <w:rsid w:val="00707E3C"/>
    <w:rsid w:val="00707FA7"/>
    <w:rsid w:val="00710360"/>
    <w:rsid w:val="00710A11"/>
    <w:rsid w:val="00710D10"/>
    <w:rsid w:val="0071103E"/>
    <w:rsid w:val="0071106F"/>
    <w:rsid w:val="007110C0"/>
    <w:rsid w:val="007111B3"/>
    <w:rsid w:val="00711332"/>
    <w:rsid w:val="007114E2"/>
    <w:rsid w:val="00711668"/>
    <w:rsid w:val="007117D5"/>
    <w:rsid w:val="00711896"/>
    <w:rsid w:val="00711A36"/>
    <w:rsid w:val="00711C27"/>
    <w:rsid w:val="00711C28"/>
    <w:rsid w:val="0071202E"/>
    <w:rsid w:val="00712343"/>
    <w:rsid w:val="00712538"/>
    <w:rsid w:val="007125D3"/>
    <w:rsid w:val="007132D6"/>
    <w:rsid w:val="00713519"/>
    <w:rsid w:val="0071351A"/>
    <w:rsid w:val="00713C3B"/>
    <w:rsid w:val="00713EAB"/>
    <w:rsid w:val="00714457"/>
    <w:rsid w:val="007146BE"/>
    <w:rsid w:val="00714C26"/>
    <w:rsid w:val="00714E47"/>
    <w:rsid w:val="0071529C"/>
    <w:rsid w:val="0071547E"/>
    <w:rsid w:val="007154D1"/>
    <w:rsid w:val="00715585"/>
    <w:rsid w:val="007157C1"/>
    <w:rsid w:val="00715922"/>
    <w:rsid w:val="00715AFB"/>
    <w:rsid w:val="00715D49"/>
    <w:rsid w:val="00715D51"/>
    <w:rsid w:val="00715DC7"/>
    <w:rsid w:val="00716136"/>
    <w:rsid w:val="00716146"/>
    <w:rsid w:val="007161EE"/>
    <w:rsid w:val="00716695"/>
    <w:rsid w:val="00716948"/>
    <w:rsid w:val="00716C06"/>
    <w:rsid w:val="00716FA9"/>
    <w:rsid w:val="007170DA"/>
    <w:rsid w:val="00717136"/>
    <w:rsid w:val="007172AD"/>
    <w:rsid w:val="007173C5"/>
    <w:rsid w:val="00717546"/>
    <w:rsid w:val="0071775D"/>
    <w:rsid w:val="00717D52"/>
    <w:rsid w:val="007202B5"/>
    <w:rsid w:val="007204C3"/>
    <w:rsid w:val="00720801"/>
    <w:rsid w:val="00720CC4"/>
    <w:rsid w:val="00720E0B"/>
    <w:rsid w:val="007212E4"/>
    <w:rsid w:val="0072164A"/>
    <w:rsid w:val="00721910"/>
    <w:rsid w:val="00721B04"/>
    <w:rsid w:val="00721CE6"/>
    <w:rsid w:val="007223E4"/>
    <w:rsid w:val="00722548"/>
    <w:rsid w:val="00722758"/>
    <w:rsid w:val="00722912"/>
    <w:rsid w:val="00722B1B"/>
    <w:rsid w:val="00722F84"/>
    <w:rsid w:val="0072336D"/>
    <w:rsid w:val="007235A5"/>
    <w:rsid w:val="007235FB"/>
    <w:rsid w:val="0072386D"/>
    <w:rsid w:val="007238FC"/>
    <w:rsid w:val="007239B1"/>
    <w:rsid w:val="00723BB0"/>
    <w:rsid w:val="00723CDE"/>
    <w:rsid w:val="00723EC8"/>
    <w:rsid w:val="00723EE5"/>
    <w:rsid w:val="00723FC2"/>
    <w:rsid w:val="00723FC9"/>
    <w:rsid w:val="00724077"/>
    <w:rsid w:val="0072416F"/>
    <w:rsid w:val="007242EE"/>
    <w:rsid w:val="0072445D"/>
    <w:rsid w:val="007249DD"/>
    <w:rsid w:val="00724A9F"/>
    <w:rsid w:val="00724BBC"/>
    <w:rsid w:val="00724DB6"/>
    <w:rsid w:val="00725645"/>
    <w:rsid w:val="007258B1"/>
    <w:rsid w:val="00725F93"/>
    <w:rsid w:val="007265F6"/>
    <w:rsid w:val="00726BAD"/>
    <w:rsid w:val="00726BFF"/>
    <w:rsid w:val="00726D7A"/>
    <w:rsid w:val="007272A3"/>
    <w:rsid w:val="007273AC"/>
    <w:rsid w:val="00727B5E"/>
    <w:rsid w:val="00727C94"/>
    <w:rsid w:val="00727D7B"/>
    <w:rsid w:val="00727E2C"/>
    <w:rsid w:val="007300EC"/>
    <w:rsid w:val="0073094B"/>
    <w:rsid w:val="00730B6E"/>
    <w:rsid w:val="00730F88"/>
    <w:rsid w:val="00730FD5"/>
    <w:rsid w:val="00731458"/>
    <w:rsid w:val="00731B0A"/>
    <w:rsid w:val="00731C4E"/>
    <w:rsid w:val="00731D1D"/>
    <w:rsid w:val="00731EAE"/>
    <w:rsid w:val="00731FC3"/>
    <w:rsid w:val="0073229D"/>
    <w:rsid w:val="007322D0"/>
    <w:rsid w:val="007326C1"/>
    <w:rsid w:val="00732700"/>
    <w:rsid w:val="00732AB1"/>
    <w:rsid w:val="00732B44"/>
    <w:rsid w:val="00732C6E"/>
    <w:rsid w:val="00732E5D"/>
    <w:rsid w:val="00733073"/>
    <w:rsid w:val="0073307C"/>
    <w:rsid w:val="007332C2"/>
    <w:rsid w:val="00733535"/>
    <w:rsid w:val="00733955"/>
    <w:rsid w:val="00733B2E"/>
    <w:rsid w:val="00733C20"/>
    <w:rsid w:val="00733E19"/>
    <w:rsid w:val="00734347"/>
    <w:rsid w:val="007344DF"/>
    <w:rsid w:val="00734A94"/>
    <w:rsid w:val="00734DF6"/>
    <w:rsid w:val="00735033"/>
    <w:rsid w:val="0073506F"/>
    <w:rsid w:val="00735290"/>
    <w:rsid w:val="00735308"/>
    <w:rsid w:val="00735328"/>
    <w:rsid w:val="007353E6"/>
    <w:rsid w:val="007355B1"/>
    <w:rsid w:val="007355B3"/>
    <w:rsid w:val="007356B5"/>
    <w:rsid w:val="00735CF1"/>
    <w:rsid w:val="00736364"/>
    <w:rsid w:val="00736483"/>
    <w:rsid w:val="007364BD"/>
    <w:rsid w:val="007366FB"/>
    <w:rsid w:val="0073685B"/>
    <w:rsid w:val="007369E6"/>
    <w:rsid w:val="00736B1D"/>
    <w:rsid w:val="00737171"/>
    <w:rsid w:val="007372D3"/>
    <w:rsid w:val="007375ED"/>
    <w:rsid w:val="0073776D"/>
    <w:rsid w:val="00737BF4"/>
    <w:rsid w:val="00737FA7"/>
    <w:rsid w:val="00740112"/>
    <w:rsid w:val="0074030D"/>
    <w:rsid w:val="0074031A"/>
    <w:rsid w:val="00740455"/>
    <w:rsid w:val="0074066C"/>
    <w:rsid w:val="0074073C"/>
    <w:rsid w:val="00740B0A"/>
    <w:rsid w:val="00740F63"/>
    <w:rsid w:val="0074103E"/>
    <w:rsid w:val="007415D7"/>
    <w:rsid w:val="007419BB"/>
    <w:rsid w:val="00741B87"/>
    <w:rsid w:val="007422ED"/>
    <w:rsid w:val="00742654"/>
    <w:rsid w:val="00742856"/>
    <w:rsid w:val="00742A4E"/>
    <w:rsid w:val="00742D51"/>
    <w:rsid w:val="00743167"/>
    <w:rsid w:val="00743543"/>
    <w:rsid w:val="00743647"/>
    <w:rsid w:val="00743AE1"/>
    <w:rsid w:val="00744461"/>
    <w:rsid w:val="0074498F"/>
    <w:rsid w:val="007449BF"/>
    <w:rsid w:val="00744CAF"/>
    <w:rsid w:val="00744EFC"/>
    <w:rsid w:val="007451A0"/>
    <w:rsid w:val="00745472"/>
    <w:rsid w:val="00745697"/>
    <w:rsid w:val="007457C3"/>
    <w:rsid w:val="00745AF9"/>
    <w:rsid w:val="00745E37"/>
    <w:rsid w:val="00746228"/>
    <w:rsid w:val="0074639C"/>
    <w:rsid w:val="007463FE"/>
    <w:rsid w:val="00746965"/>
    <w:rsid w:val="00746BC0"/>
    <w:rsid w:val="00746EBB"/>
    <w:rsid w:val="00746EE7"/>
    <w:rsid w:val="00747A3D"/>
    <w:rsid w:val="00750127"/>
    <w:rsid w:val="0075021B"/>
    <w:rsid w:val="00750691"/>
    <w:rsid w:val="007506F1"/>
    <w:rsid w:val="00750E99"/>
    <w:rsid w:val="007510B4"/>
    <w:rsid w:val="00751660"/>
    <w:rsid w:val="00751CB4"/>
    <w:rsid w:val="00752142"/>
    <w:rsid w:val="007521EC"/>
    <w:rsid w:val="00752328"/>
    <w:rsid w:val="007523F9"/>
    <w:rsid w:val="007526DF"/>
    <w:rsid w:val="007528C7"/>
    <w:rsid w:val="007528EC"/>
    <w:rsid w:val="00752A0D"/>
    <w:rsid w:val="00752A55"/>
    <w:rsid w:val="00752DB4"/>
    <w:rsid w:val="00752F28"/>
    <w:rsid w:val="00752FBE"/>
    <w:rsid w:val="007531C3"/>
    <w:rsid w:val="0075357E"/>
    <w:rsid w:val="00753833"/>
    <w:rsid w:val="00753896"/>
    <w:rsid w:val="00753B29"/>
    <w:rsid w:val="00753DDD"/>
    <w:rsid w:val="00753FF2"/>
    <w:rsid w:val="007541D8"/>
    <w:rsid w:val="00754654"/>
    <w:rsid w:val="00755329"/>
    <w:rsid w:val="0075581C"/>
    <w:rsid w:val="00755F5F"/>
    <w:rsid w:val="00755FF4"/>
    <w:rsid w:val="00756243"/>
    <w:rsid w:val="0075648A"/>
    <w:rsid w:val="007565CF"/>
    <w:rsid w:val="007565D6"/>
    <w:rsid w:val="00756A0A"/>
    <w:rsid w:val="00756FC4"/>
    <w:rsid w:val="0075703D"/>
    <w:rsid w:val="00757099"/>
    <w:rsid w:val="007571BB"/>
    <w:rsid w:val="00757224"/>
    <w:rsid w:val="007572DC"/>
    <w:rsid w:val="007573E8"/>
    <w:rsid w:val="00757503"/>
    <w:rsid w:val="00757C04"/>
    <w:rsid w:val="00757FEA"/>
    <w:rsid w:val="007603A3"/>
    <w:rsid w:val="007603E6"/>
    <w:rsid w:val="00760444"/>
    <w:rsid w:val="00760C4E"/>
    <w:rsid w:val="00760D02"/>
    <w:rsid w:val="00760F9E"/>
    <w:rsid w:val="007613E7"/>
    <w:rsid w:val="007616E6"/>
    <w:rsid w:val="00761D78"/>
    <w:rsid w:val="00761FCA"/>
    <w:rsid w:val="0076242C"/>
    <w:rsid w:val="007627BE"/>
    <w:rsid w:val="0076281A"/>
    <w:rsid w:val="00762AA2"/>
    <w:rsid w:val="00762D75"/>
    <w:rsid w:val="00763202"/>
    <w:rsid w:val="0076340F"/>
    <w:rsid w:val="0076368D"/>
    <w:rsid w:val="007638D0"/>
    <w:rsid w:val="0076390B"/>
    <w:rsid w:val="007639B4"/>
    <w:rsid w:val="007639F4"/>
    <w:rsid w:val="00763C88"/>
    <w:rsid w:val="00763F3F"/>
    <w:rsid w:val="00764186"/>
    <w:rsid w:val="007645DF"/>
    <w:rsid w:val="0076462B"/>
    <w:rsid w:val="00764F03"/>
    <w:rsid w:val="00765651"/>
    <w:rsid w:val="0076590F"/>
    <w:rsid w:val="00765B1A"/>
    <w:rsid w:val="00765B7D"/>
    <w:rsid w:val="00765C02"/>
    <w:rsid w:val="00765DC1"/>
    <w:rsid w:val="00765F78"/>
    <w:rsid w:val="0076674A"/>
    <w:rsid w:val="007668DE"/>
    <w:rsid w:val="00766B6D"/>
    <w:rsid w:val="00766BA9"/>
    <w:rsid w:val="00766E4D"/>
    <w:rsid w:val="0076700C"/>
    <w:rsid w:val="00767049"/>
    <w:rsid w:val="007676A0"/>
    <w:rsid w:val="00767B39"/>
    <w:rsid w:val="00767E6B"/>
    <w:rsid w:val="00767F67"/>
    <w:rsid w:val="00770498"/>
    <w:rsid w:val="007708ED"/>
    <w:rsid w:val="00770903"/>
    <w:rsid w:val="00770967"/>
    <w:rsid w:val="007709AB"/>
    <w:rsid w:val="00770A99"/>
    <w:rsid w:val="00770AED"/>
    <w:rsid w:val="00770F75"/>
    <w:rsid w:val="0077167B"/>
    <w:rsid w:val="0077168C"/>
    <w:rsid w:val="00771846"/>
    <w:rsid w:val="0077221F"/>
    <w:rsid w:val="00772AAF"/>
    <w:rsid w:val="00772ABA"/>
    <w:rsid w:val="00772BC6"/>
    <w:rsid w:val="00772F5A"/>
    <w:rsid w:val="0077306A"/>
    <w:rsid w:val="007730C4"/>
    <w:rsid w:val="0077425F"/>
    <w:rsid w:val="007745F4"/>
    <w:rsid w:val="007748B9"/>
    <w:rsid w:val="00774A72"/>
    <w:rsid w:val="00775017"/>
    <w:rsid w:val="00775668"/>
    <w:rsid w:val="007757DA"/>
    <w:rsid w:val="00775AC0"/>
    <w:rsid w:val="00775E04"/>
    <w:rsid w:val="00775E4F"/>
    <w:rsid w:val="00776117"/>
    <w:rsid w:val="00776A29"/>
    <w:rsid w:val="00776D10"/>
    <w:rsid w:val="00777335"/>
    <w:rsid w:val="00777704"/>
    <w:rsid w:val="00777D2F"/>
    <w:rsid w:val="00777DAC"/>
    <w:rsid w:val="00777F27"/>
    <w:rsid w:val="00777F37"/>
    <w:rsid w:val="007800AB"/>
    <w:rsid w:val="0078081D"/>
    <w:rsid w:val="0078114E"/>
    <w:rsid w:val="007812B4"/>
    <w:rsid w:val="0078155A"/>
    <w:rsid w:val="0078187C"/>
    <w:rsid w:val="007819B6"/>
    <w:rsid w:val="007821EB"/>
    <w:rsid w:val="007822DC"/>
    <w:rsid w:val="00782412"/>
    <w:rsid w:val="007827DB"/>
    <w:rsid w:val="00782B12"/>
    <w:rsid w:val="00782DCA"/>
    <w:rsid w:val="007830BC"/>
    <w:rsid w:val="00783A3A"/>
    <w:rsid w:val="00783D2E"/>
    <w:rsid w:val="007843C3"/>
    <w:rsid w:val="007843F2"/>
    <w:rsid w:val="0078451D"/>
    <w:rsid w:val="007846FA"/>
    <w:rsid w:val="00784963"/>
    <w:rsid w:val="00784A9C"/>
    <w:rsid w:val="00784D6A"/>
    <w:rsid w:val="00784E54"/>
    <w:rsid w:val="00784E86"/>
    <w:rsid w:val="00784FC9"/>
    <w:rsid w:val="007850AF"/>
    <w:rsid w:val="0078542A"/>
    <w:rsid w:val="007856A6"/>
    <w:rsid w:val="00785A9F"/>
    <w:rsid w:val="00785B9B"/>
    <w:rsid w:val="00785BEF"/>
    <w:rsid w:val="00785E58"/>
    <w:rsid w:val="00785F37"/>
    <w:rsid w:val="00786ADB"/>
    <w:rsid w:val="00786CC8"/>
    <w:rsid w:val="00787180"/>
    <w:rsid w:val="0078724B"/>
    <w:rsid w:val="0078733B"/>
    <w:rsid w:val="00787443"/>
    <w:rsid w:val="00787973"/>
    <w:rsid w:val="007879A2"/>
    <w:rsid w:val="00787FBA"/>
    <w:rsid w:val="00790367"/>
    <w:rsid w:val="007903AA"/>
    <w:rsid w:val="00790436"/>
    <w:rsid w:val="007908D6"/>
    <w:rsid w:val="007911AA"/>
    <w:rsid w:val="00791516"/>
    <w:rsid w:val="0079151B"/>
    <w:rsid w:val="00791A65"/>
    <w:rsid w:val="00791C90"/>
    <w:rsid w:val="00791D55"/>
    <w:rsid w:val="00791EB6"/>
    <w:rsid w:val="00791FCC"/>
    <w:rsid w:val="0079208D"/>
    <w:rsid w:val="007923C9"/>
    <w:rsid w:val="00792470"/>
    <w:rsid w:val="0079247B"/>
    <w:rsid w:val="007925DF"/>
    <w:rsid w:val="007929FE"/>
    <w:rsid w:val="00793065"/>
    <w:rsid w:val="0079349B"/>
    <w:rsid w:val="00793587"/>
    <w:rsid w:val="0079385D"/>
    <w:rsid w:val="00793BD4"/>
    <w:rsid w:val="00793C5E"/>
    <w:rsid w:val="007941E1"/>
    <w:rsid w:val="00794255"/>
    <w:rsid w:val="007942FE"/>
    <w:rsid w:val="0079451C"/>
    <w:rsid w:val="007945F6"/>
    <w:rsid w:val="0079476F"/>
    <w:rsid w:val="00794DF8"/>
    <w:rsid w:val="007950B7"/>
    <w:rsid w:val="007953DA"/>
    <w:rsid w:val="00795D3D"/>
    <w:rsid w:val="00795ECC"/>
    <w:rsid w:val="00796087"/>
    <w:rsid w:val="00796323"/>
    <w:rsid w:val="00796921"/>
    <w:rsid w:val="007969A9"/>
    <w:rsid w:val="00796B10"/>
    <w:rsid w:val="00796C6E"/>
    <w:rsid w:val="00796D74"/>
    <w:rsid w:val="0079722D"/>
    <w:rsid w:val="00797681"/>
    <w:rsid w:val="0079769F"/>
    <w:rsid w:val="00797D3C"/>
    <w:rsid w:val="00797E08"/>
    <w:rsid w:val="007A04F8"/>
    <w:rsid w:val="007A08AA"/>
    <w:rsid w:val="007A08CD"/>
    <w:rsid w:val="007A0A12"/>
    <w:rsid w:val="007A0B11"/>
    <w:rsid w:val="007A0CBE"/>
    <w:rsid w:val="007A0DD9"/>
    <w:rsid w:val="007A10EA"/>
    <w:rsid w:val="007A11A6"/>
    <w:rsid w:val="007A11BE"/>
    <w:rsid w:val="007A1221"/>
    <w:rsid w:val="007A132D"/>
    <w:rsid w:val="007A1345"/>
    <w:rsid w:val="007A13B9"/>
    <w:rsid w:val="007A1541"/>
    <w:rsid w:val="007A1E69"/>
    <w:rsid w:val="007A1FC7"/>
    <w:rsid w:val="007A23C6"/>
    <w:rsid w:val="007A2611"/>
    <w:rsid w:val="007A26CD"/>
    <w:rsid w:val="007A2809"/>
    <w:rsid w:val="007A2AA3"/>
    <w:rsid w:val="007A2CB3"/>
    <w:rsid w:val="007A2D9C"/>
    <w:rsid w:val="007A2DDB"/>
    <w:rsid w:val="007A3085"/>
    <w:rsid w:val="007A35AB"/>
    <w:rsid w:val="007A38F1"/>
    <w:rsid w:val="007A3AFB"/>
    <w:rsid w:val="007A3FA7"/>
    <w:rsid w:val="007A444A"/>
    <w:rsid w:val="007A450F"/>
    <w:rsid w:val="007A4651"/>
    <w:rsid w:val="007A4962"/>
    <w:rsid w:val="007A50FE"/>
    <w:rsid w:val="007A5313"/>
    <w:rsid w:val="007A580D"/>
    <w:rsid w:val="007A5994"/>
    <w:rsid w:val="007A5CE2"/>
    <w:rsid w:val="007A61B2"/>
    <w:rsid w:val="007A6485"/>
    <w:rsid w:val="007A656D"/>
    <w:rsid w:val="007A6571"/>
    <w:rsid w:val="007A6590"/>
    <w:rsid w:val="007A6AD4"/>
    <w:rsid w:val="007A6CA9"/>
    <w:rsid w:val="007A6D23"/>
    <w:rsid w:val="007A6E3B"/>
    <w:rsid w:val="007A70BA"/>
    <w:rsid w:val="007A732C"/>
    <w:rsid w:val="007A7593"/>
    <w:rsid w:val="007A7822"/>
    <w:rsid w:val="007A7B53"/>
    <w:rsid w:val="007A7E24"/>
    <w:rsid w:val="007B0461"/>
    <w:rsid w:val="007B0853"/>
    <w:rsid w:val="007B085E"/>
    <w:rsid w:val="007B0950"/>
    <w:rsid w:val="007B0A69"/>
    <w:rsid w:val="007B0D68"/>
    <w:rsid w:val="007B0F91"/>
    <w:rsid w:val="007B1028"/>
    <w:rsid w:val="007B1365"/>
    <w:rsid w:val="007B1371"/>
    <w:rsid w:val="007B1443"/>
    <w:rsid w:val="007B150A"/>
    <w:rsid w:val="007B199D"/>
    <w:rsid w:val="007B1A7A"/>
    <w:rsid w:val="007B1C84"/>
    <w:rsid w:val="007B1C8F"/>
    <w:rsid w:val="007B1DEB"/>
    <w:rsid w:val="007B2275"/>
    <w:rsid w:val="007B24DA"/>
    <w:rsid w:val="007B251D"/>
    <w:rsid w:val="007B2628"/>
    <w:rsid w:val="007B27E4"/>
    <w:rsid w:val="007B2A51"/>
    <w:rsid w:val="007B2E6B"/>
    <w:rsid w:val="007B2F99"/>
    <w:rsid w:val="007B3189"/>
    <w:rsid w:val="007B3533"/>
    <w:rsid w:val="007B38C2"/>
    <w:rsid w:val="007B390C"/>
    <w:rsid w:val="007B3BD9"/>
    <w:rsid w:val="007B4C79"/>
    <w:rsid w:val="007B4F58"/>
    <w:rsid w:val="007B528D"/>
    <w:rsid w:val="007B55A7"/>
    <w:rsid w:val="007B5A69"/>
    <w:rsid w:val="007B5AB5"/>
    <w:rsid w:val="007B5D9D"/>
    <w:rsid w:val="007B5E2D"/>
    <w:rsid w:val="007B5E53"/>
    <w:rsid w:val="007B5F35"/>
    <w:rsid w:val="007B5F7D"/>
    <w:rsid w:val="007B6206"/>
    <w:rsid w:val="007B63CA"/>
    <w:rsid w:val="007B64CD"/>
    <w:rsid w:val="007B6CE1"/>
    <w:rsid w:val="007B6D0E"/>
    <w:rsid w:val="007B77D1"/>
    <w:rsid w:val="007B77EC"/>
    <w:rsid w:val="007B794E"/>
    <w:rsid w:val="007B79E1"/>
    <w:rsid w:val="007B7BA8"/>
    <w:rsid w:val="007B7CAC"/>
    <w:rsid w:val="007B7EAA"/>
    <w:rsid w:val="007B7FA5"/>
    <w:rsid w:val="007C07C7"/>
    <w:rsid w:val="007C0B02"/>
    <w:rsid w:val="007C0C55"/>
    <w:rsid w:val="007C1519"/>
    <w:rsid w:val="007C1B5D"/>
    <w:rsid w:val="007C1CD9"/>
    <w:rsid w:val="007C1ECC"/>
    <w:rsid w:val="007C2056"/>
    <w:rsid w:val="007C21BC"/>
    <w:rsid w:val="007C2281"/>
    <w:rsid w:val="007C3119"/>
    <w:rsid w:val="007C32EF"/>
    <w:rsid w:val="007C361D"/>
    <w:rsid w:val="007C3D45"/>
    <w:rsid w:val="007C40D1"/>
    <w:rsid w:val="007C40DC"/>
    <w:rsid w:val="007C413A"/>
    <w:rsid w:val="007C44B3"/>
    <w:rsid w:val="007C459C"/>
    <w:rsid w:val="007C464E"/>
    <w:rsid w:val="007C482B"/>
    <w:rsid w:val="007C48CF"/>
    <w:rsid w:val="007C4B84"/>
    <w:rsid w:val="007C4E21"/>
    <w:rsid w:val="007C5134"/>
    <w:rsid w:val="007C519F"/>
    <w:rsid w:val="007C58A1"/>
    <w:rsid w:val="007C5D45"/>
    <w:rsid w:val="007C6552"/>
    <w:rsid w:val="007C68AD"/>
    <w:rsid w:val="007C6C28"/>
    <w:rsid w:val="007C6ED4"/>
    <w:rsid w:val="007C70FF"/>
    <w:rsid w:val="007C73CB"/>
    <w:rsid w:val="007C7A47"/>
    <w:rsid w:val="007C7C25"/>
    <w:rsid w:val="007D004F"/>
    <w:rsid w:val="007D0346"/>
    <w:rsid w:val="007D035F"/>
    <w:rsid w:val="007D04AC"/>
    <w:rsid w:val="007D04E5"/>
    <w:rsid w:val="007D06B2"/>
    <w:rsid w:val="007D06DB"/>
    <w:rsid w:val="007D0B38"/>
    <w:rsid w:val="007D137D"/>
    <w:rsid w:val="007D1470"/>
    <w:rsid w:val="007D19B0"/>
    <w:rsid w:val="007D1B26"/>
    <w:rsid w:val="007D1B3E"/>
    <w:rsid w:val="007D1C58"/>
    <w:rsid w:val="007D1E89"/>
    <w:rsid w:val="007D1F31"/>
    <w:rsid w:val="007D1FAA"/>
    <w:rsid w:val="007D23E3"/>
    <w:rsid w:val="007D2B1D"/>
    <w:rsid w:val="007D2B4D"/>
    <w:rsid w:val="007D2BAF"/>
    <w:rsid w:val="007D2DD4"/>
    <w:rsid w:val="007D321C"/>
    <w:rsid w:val="007D3820"/>
    <w:rsid w:val="007D4139"/>
    <w:rsid w:val="007D431E"/>
    <w:rsid w:val="007D4921"/>
    <w:rsid w:val="007D4BD5"/>
    <w:rsid w:val="007D4BEC"/>
    <w:rsid w:val="007D5102"/>
    <w:rsid w:val="007D512E"/>
    <w:rsid w:val="007D5284"/>
    <w:rsid w:val="007D5304"/>
    <w:rsid w:val="007D5440"/>
    <w:rsid w:val="007D5860"/>
    <w:rsid w:val="007D6045"/>
    <w:rsid w:val="007D63A9"/>
    <w:rsid w:val="007D649B"/>
    <w:rsid w:val="007D6735"/>
    <w:rsid w:val="007D69EB"/>
    <w:rsid w:val="007D7494"/>
    <w:rsid w:val="007D77B4"/>
    <w:rsid w:val="007D7AD7"/>
    <w:rsid w:val="007D7D02"/>
    <w:rsid w:val="007E044E"/>
    <w:rsid w:val="007E083B"/>
    <w:rsid w:val="007E128F"/>
    <w:rsid w:val="007E12C6"/>
    <w:rsid w:val="007E13C6"/>
    <w:rsid w:val="007E14FA"/>
    <w:rsid w:val="007E1881"/>
    <w:rsid w:val="007E189F"/>
    <w:rsid w:val="007E19BA"/>
    <w:rsid w:val="007E1A90"/>
    <w:rsid w:val="007E1B7F"/>
    <w:rsid w:val="007E1ED5"/>
    <w:rsid w:val="007E224F"/>
    <w:rsid w:val="007E271B"/>
    <w:rsid w:val="007E2BED"/>
    <w:rsid w:val="007E2D08"/>
    <w:rsid w:val="007E2E67"/>
    <w:rsid w:val="007E3505"/>
    <w:rsid w:val="007E3776"/>
    <w:rsid w:val="007E3D16"/>
    <w:rsid w:val="007E4622"/>
    <w:rsid w:val="007E49BA"/>
    <w:rsid w:val="007E5327"/>
    <w:rsid w:val="007E5648"/>
    <w:rsid w:val="007E5721"/>
    <w:rsid w:val="007E5992"/>
    <w:rsid w:val="007E5A1C"/>
    <w:rsid w:val="007E5A51"/>
    <w:rsid w:val="007E5BB3"/>
    <w:rsid w:val="007E6065"/>
    <w:rsid w:val="007E6074"/>
    <w:rsid w:val="007E6360"/>
    <w:rsid w:val="007E686E"/>
    <w:rsid w:val="007E6AFC"/>
    <w:rsid w:val="007E6E4C"/>
    <w:rsid w:val="007E6EA9"/>
    <w:rsid w:val="007E7435"/>
    <w:rsid w:val="007E766B"/>
    <w:rsid w:val="007E797D"/>
    <w:rsid w:val="007E7ABA"/>
    <w:rsid w:val="007E7B95"/>
    <w:rsid w:val="007E7BC3"/>
    <w:rsid w:val="007E7F4A"/>
    <w:rsid w:val="007F02FD"/>
    <w:rsid w:val="007F0368"/>
    <w:rsid w:val="007F0400"/>
    <w:rsid w:val="007F0409"/>
    <w:rsid w:val="007F070C"/>
    <w:rsid w:val="007F0943"/>
    <w:rsid w:val="007F0BD5"/>
    <w:rsid w:val="007F1017"/>
    <w:rsid w:val="007F10A1"/>
    <w:rsid w:val="007F1843"/>
    <w:rsid w:val="007F19B8"/>
    <w:rsid w:val="007F1C9D"/>
    <w:rsid w:val="007F2114"/>
    <w:rsid w:val="007F2468"/>
    <w:rsid w:val="007F24D7"/>
    <w:rsid w:val="007F2680"/>
    <w:rsid w:val="007F343E"/>
    <w:rsid w:val="007F3638"/>
    <w:rsid w:val="007F37C1"/>
    <w:rsid w:val="007F395E"/>
    <w:rsid w:val="007F3A52"/>
    <w:rsid w:val="007F3DF7"/>
    <w:rsid w:val="007F42F6"/>
    <w:rsid w:val="007F43BF"/>
    <w:rsid w:val="007F441F"/>
    <w:rsid w:val="007F4A3F"/>
    <w:rsid w:val="007F4A61"/>
    <w:rsid w:val="007F4F39"/>
    <w:rsid w:val="007F5255"/>
    <w:rsid w:val="007F537C"/>
    <w:rsid w:val="007F56CC"/>
    <w:rsid w:val="007F58E3"/>
    <w:rsid w:val="007F5BCB"/>
    <w:rsid w:val="007F5C57"/>
    <w:rsid w:val="007F5F18"/>
    <w:rsid w:val="007F5F51"/>
    <w:rsid w:val="007F6169"/>
    <w:rsid w:val="007F61C2"/>
    <w:rsid w:val="007F63EF"/>
    <w:rsid w:val="007F65C3"/>
    <w:rsid w:val="007F6937"/>
    <w:rsid w:val="007F6CFA"/>
    <w:rsid w:val="007F6D31"/>
    <w:rsid w:val="007F7524"/>
    <w:rsid w:val="007F768E"/>
    <w:rsid w:val="007F77AF"/>
    <w:rsid w:val="007F7A70"/>
    <w:rsid w:val="007F7B5B"/>
    <w:rsid w:val="007F7C1F"/>
    <w:rsid w:val="007F7C69"/>
    <w:rsid w:val="007F7CF0"/>
    <w:rsid w:val="00800074"/>
    <w:rsid w:val="00800595"/>
    <w:rsid w:val="00800B46"/>
    <w:rsid w:val="008015B4"/>
    <w:rsid w:val="00801839"/>
    <w:rsid w:val="008023E3"/>
    <w:rsid w:val="008024FD"/>
    <w:rsid w:val="00802FB1"/>
    <w:rsid w:val="0080363D"/>
    <w:rsid w:val="00803BBC"/>
    <w:rsid w:val="00803C7F"/>
    <w:rsid w:val="00803F58"/>
    <w:rsid w:val="0080405C"/>
    <w:rsid w:val="008043DA"/>
    <w:rsid w:val="008047AE"/>
    <w:rsid w:val="00804A10"/>
    <w:rsid w:val="00805142"/>
    <w:rsid w:val="008052A0"/>
    <w:rsid w:val="008052C1"/>
    <w:rsid w:val="008054E3"/>
    <w:rsid w:val="0080566B"/>
    <w:rsid w:val="008058C8"/>
    <w:rsid w:val="00805BEF"/>
    <w:rsid w:val="00805CC1"/>
    <w:rsid w:val="00805DF8"/>
    <w:rsid w:val="00805E4B"/>
    <w:rsid w:val="00805F49"/>
    <w:rsid w:val="00805F73"/>
    <w:rsid w:val="00805FCE"/>
    <w:rsid w:val="008064F2"/>
    <w:rsid w:val="008066A4"/>
    <w:rsid w:val="0080728C"/>
    <w:rsid w:val="00807A24"/>
    <w:rsid w:val="00807A8B"/>
    <w:rsid w:val="00807B05"/>
    <w:rsid w:val="00810187"/>
    <w:rsid w:val="00810469"/>
    <w:rsid w:val="00810928"/>
    <w:rsid w:val="008112A6"/>
    <w:rsid w:val="00811383"/>
    <w:rsid w:val="00811B5F"/>
    <w:rsid w:val="00811F84"/>
    <w:rsid w:val="00812149"/>
    <w:rsid w:val="008125C1"/>
    <w:rsid w:val="008126F5"/>
    <w:rsid w:val="008128A5"/>
    <w:rsid w:val="00812BB8"/>
    <w:rsid w:val="00812CAC"/>
    <w:rsid w:val="008130F3"/>
    <w:rsid w:val="008137F1"/>
    <w:rsid w:val="00813A1B"/>
    <w:rsid w:val="00813A93"/>
    <w:rsid w:val="00813CCE"/>
    <w:rsid w:val="00814488"/>
    <w:rsid w:val="008148E1"/>
    <w:rsid w:val="00814CB0"/>
    <w:rsid w:val="00814D3A"/>
    <w:rsid w:val="00815257"/>
    <w:rsid w:val="008156EC"/>
    <w:rsid w:val="0081578B"/>
    <w:rsid w:val="008159C8"/>
    <w:rsid w:val="00815B71"/>
    <w:rsid w:val="00815DDE"/>
    <w:rsid w:val="00815F6D"/>
    <w:rsid w:val="008160E7"/>
    <w:rsid w:val="00816361"/>
    <w:rsid w:val="00816612"/>
    <w:rsid w:val="008166EF"/>
    <w:rsid w:val="00816796"/>
    <w:rsid w:val="0081688E"/>
    <w:rsid w:val="00816BF4"/>
    <w:rsid w:val="00816ECA"/>
    <w:rsid w:val="00816F98"/>
    <w:rsid w:val="00816FEF"/>
    <w:rsid w:val="008173F2"/>
    <w:rsid w:val="00817575"/>
    <w:rsid w:val="00817633"/>
    <w:rsid w:val="00817770"/>
    <w:rsid w:val="00817C1A"/>
    <w:rsid w:val="00817E8F"/>
    <w:rsid w:val="008201BA"/>
    <w:rsid w:val="008203A9"/>
    <w:rsid w:val="008208B6"/>
    <w:rsid w:val="008209A2"/>
    <w:rsid w:val="00820A05"/>
    <w:rsid w:val="00820A8C"/>
    <w:rsid w:val="00820B9C"/>
    <w:rsid w:val="0082119D"/>
    <w:rsid w:val="00821482"/>
    <w:rsid w:val="008215FB"/>
    <w:rsid w:val="008217F8"/>
    <w:rsid w:val="0082185F"/>
    <w:rsid w:val="00821B4E"/>
    <w:rsid w:val="00821C34"/>
    <w:rsid w:val="0082206A"/>
    <w:rsid w:val="008220CC"/>
    <w:rsid w:val="0082212C"/>
    <w:rsid w:val="00822159"/>
    <w:rsid w:val="008221D5"/>
    <w:rsid w:val="0082240C"/>
    <w:rsid w:val="00822561"/>
    <w:rsid w:val="00822579"/>
    <w:rsid w:val="008228AD"/>
    <w:rsid w:val="0082292B"/>
    <w:rsid w:val="0082298F"/>
    <w:rsid w:val="00822D66"/>
    <w:rsid w:val="00822F0D"/>
    <w:rsid w:val="00822FB1"/>
    <w:rsid w:val="00823174"/>
    <w:rsid w:val="0082333D"/>
    <w:rsid w:val="00823908"/>
    <w:rsid w:val="00823C60"/>
    <w:rsid w:val="00823EF9"/>
    <w:rsid w:val="008242DF"/>
    <w:rsid w:val="00824561"/>
    <w:rsid w:val="008247A5"/>
    <w:rsid w:val="00824CD4"/>
    <w:rsid w:val="00824E00"/>
    <w:rsid w:val="0082510B"/>
    <w:rsid w:val="00825751"/>
    <w:rsid w:val="00825B1B"/>
    <w:rsid w:val="00825D64"/>
    <w:rsid w:val="00825D9F"/>
    <w:rsid w:val="008260F2"/>
    <w:rsid w:val="008263B9"/>
    <w:rsid w:val="00826411"/>
    <w:rsid w:val="008264EB"/>
    <w:rsid w:val="008268CE"/>
    <w:rsid w:val="008268DB"/>
    <w:rsid w:val="0082720C"/>
    <w:rsid w:val="00827333"/>
    <w:rsid w:val="00827587"/>
    <w:rsid w:val="00827C23"/>
    <w:rsid w:val="00827F65"/>
    <w:rsid w:val="00827FF3"/>
    <w:rsid w:val="008304AE"/>
    <w:rsid w:val="0083068E"/>
    <w:rsid w:val="00830911"/>
    <w:rsid w:val="00830AF7"/>
    <w:rsid w:val="00830F34"/>
    <w:rsid w:val="00831554"/>
    <w:rsid w:val="008315B1"/>
    <w:rsid w:val="00831619"/>
    <w:rsid w:val="0083170A"/>
    <w:rsid w:val="008317B1"/>
    <w:rsid w:val="0083194C"/>
    <w:rsid w:val="00831E39"/>
    <w:rsid w:val="008323DA"/>
    <w:rsid w:val="0083256F"/>
    <w:rsid w:val="00832809"/>
    <w:rsid w:val="008328C9"/>
    <w:rsid w:val="00832A5A"/>
    <w:rsid w:val="00832EB2"/>
    <w:rsid w:val="00833107"/>
    <w:rsid w:val="00833604"/>
    <w:rsid w:val="008336A4"/>
    <w:rsid w:val="008336C2"/>
    <w:rsid w:val="008337C2"/>
    <w:rsid w:val="00833B05"/>
    <w:rsid w:val="00833D6B"/>
    <w:rsid w:val="00834958"/>
    <w:rsid w:val="00834969"/>
    <w:rsid w:val="008349D3"/>
    <w:rsid w:val="00834CD2"/>
    <w:rsid w:val="008350D4"/>
    <w:rsid w:val="00835340"/>
    <w:rsid w:val="008355B3"/>
    <w:rsid w:val="008355D6"/>
    <w:rsid w:val="0083580B"/>
    <w:rsid w:val="00835A3E"/>
    <w:rsid w:val="00835CD6"/>
    <w:rsid w:val="00835F14"/>
    <w:rsid w:val="008362B4"/>
    <w:rsid w:val="008363F2"/>
    <w:rsid w:val="00836420"/>
    <w:rsid w:val="00836452"/>
    <w:rsid w:val="00836BBE"/>
    <w:rsid w:val="00837044"/>
    <w:rsid w:val="00837F67"/>
    <w:rsid w:val="00840022"/>
    <w:rsid w:val="008401D9"/>
    <w:rsid w:val="00840264"/>
    <w:rsid w:val="00840416"/>
    <w:rsid w:val="008405EF"/>
    <w:rsid w:val="0084063D"/>
    <w:rsid w:val="00840740"/>
    <w:rsid w:val="0084078C"/>
    <w:rsid w:val="00840846"/>
    <w:rsid w:val="008408D5"/>
    <w:rsid w:val="0084090F"/>
    <w:rsid w:val="00840CA2"/>
    <w:rsid w:val="00840CC3"/>
    <w:rsid w:val="00840CE2"/>
    <w:rsid w:val="00840D64"/>
    <w:rsid w:val="00840F46"/>
    <w:rsid w:val="00841138"/>
    <w:rsid w:val="0084172E"/>
    <w:rsid w:val="00841AD4"/>
    <w:rsid w:val="00842019"/>
    <w:rsid w:val="0084231D"/>
    <w:rsid w:val="00842333"/>
    <w:rsid w:val="00842449"/>
    <w:rsid w:val="0084313D"/>
    <w:rsid w:val="00843601"/>
    <w:rsid w:val="0084363E"/>
    <w:rsid w:val="0084374F"/>
    <w:rsid w:val="00844A22"/>
    <w:rsid w:val="008454E5"/>
    <w:rsid w:val="00845597"/>
    <w:rsid w:val="00845964"/>
    <w:rsid w:val="00845AD9"/>
    <w:rsid w:val="008460FB"/>
    <w:rsid w:val="008463A2"/>
    <w:rsid w:val="00847013"/>
    <w:rsid w:val="00847703"/>
    <w:rsid w:val="00847AB9"/>
    <w:rsid w:val="00847B13"/>
    <w:rsid w:val="00847D7D"/>
    <w:rsid w:val="00847DB1"/>
    <w:rsid w:val="00847DC4"/>
    <w:rsid w:val="00847DF5"/>
    <w:rsid w:val="00847ED0"/>
    <w:rsid w:val="00847F6C"/>
    <w:rsid w:val="00850354"/>
    <w:rsid w:val="00850488"/>
    <w:rsid w:val="0085105C"/>
    <w:rsid w:val="0085107C"/>
    <w:rsid w:val="0085224B"/>
    <w:rsid w:val="008523CF"/>
    <w:rsid w:val="00852870"/>
    <w:rsid w:val="00852D9B"/>
    <w:rsid w:val="00853088"/>
    <w:rsid w:val="0085309D"/>
    <w:rsid w:val="008531AE"/>
    <w:rsid w:val="00853304"/>
    <w:rsid w:val="008534E2"/>
    <w:rsid w:val="00853655"/>
    <w:rsid w:val="00853689"/>
    <w:rsid w:val="008537C0"/>
    <w:rsid w:val="00854034"/>
    <w:rsid w:val="0085510C"/>
    <w:rsid w:val="008552CA"/>
    <w:rsid w:val="00855391"/>
    <w:rsid w:val="008553CF"/>
    <w:rsid w:val="00855474"/>
    <w:rsid w:val="00855599"/>
    <w:rsid w:val="008555B4"/>
    <w:rsid w:val="008559BC"/>
    <w:rsid w:val="008559C2"/>
    <w:rsid w:val="00855B46"/>
    <w:rsid w:val="008560B4"/>
    <w:rsid w:val="00856687"/>
    <w:rsid w:val="00856897"/>
    <w:rsid w:val="0085692C"/>
    <w:rsid w:val="00856A70"/>
    <w:rsid w:val="00856B4D"/>
    <w:rsid w:val="00856D93"/>
    <w:rsid w:val="00856E9A"/>
    <w:rsid w:val="008574C1"/>
    <w:rsid w:val="00857720"/>
    <w:rsid w:val="008578EC"/>
    <w:rsid w:val="00860048"/>
    <w:rsid w:val="0086075D"/>
    <w:rsid w:val="00860C34"/>
    <w:rsid w:val="00860E42"/>
    <w:rsid w:val="0086108A"/>
    <w:rsid w:val="00861329"/>
    <w:rsid w:val="0086166A"/>
    <w:rsid w:val="008616DF"/>
    <w:rsid w:val="00861BED"/>
    <w:rsid w:val="00861D69"/>
    <w:rsid w:val="008621D9"/>
    <w:rsid w:val="00862502"/>
    <w:rsid w:val="008627DD"/>
    <w:rsid w:val="00862CC1"/>
    <w:rsid w:val="008637D3"/>
    <w:rsid w:val="00863E13"/>
    <w:rsid w:val="00863EE4"/>
    <w:rsid w:val="0086415C"/>
    <w:rsid w:val="008642A7"/>
    <w:rsid w:val="008642B8"/>
    <w:rsid w:val="00864739"/>
    <w:rsid w:val="00864766"/>
    <w:rsid w:val="00864857"/>
    <w:rsid w:val="00864A62"/>
    <w:rsid w:val="00864A79"/>
    <w:rsid w:val="00864C52"/>
    <w:rsid w:val="008650D4"/>
    <w:rsid w:val="00865951"/>
    <w:rsid w:val="0086596A"/>
    <w:rsid w:val="00865D75"/>
    <w:rsid w:val="008660D4"/>
    <w:rsid w:val="008660E6"/>
    <w:rsid w:val="00866B4E"/>
    <w:rsid w:val="0086730C"/>
    <w:rsid w:val="00867431"/>
    <w:rsid w:val="0086765D"/>
    <w:rsid w:val="00867B56"/>
    <w:rsid w:val="00867DF1"/>
    <w:rsid w:val="00867F04"/>
    <w:rsid w:val="0087002C"/>
    <w:rsid w:val="00870300"/>
    <w:rsid w:val="00870D8E"/>
    <w:rsid w:val="0087107E"/>
    <w:rsid w:val="00871B58"/>
    <w:rsid w:val="00871B99"/>
    <w:rsid w:val="00871D86"/>
    <w:rsid w:val="00871FA9"/>
    <w:rsid w:val="00871FC6"/>
    <w:rsid w:val="0087240F"/>
    <w:rsid w:val="008725EF"/>
    <w:rsid w:val="008727AF"/>
    <w:rsid w:val="008728E9"/>
    <w:rsid w:val="008728EA"/>
    <w:rsid w:val="00872DEE"/>
    <w:rsid w:val="00873372"/>
    <w:rsid w:val="00873464"/>
    <w:rsid w:val="00873530"/>
    <w:rsid w:val="008738F2"/>
    <w:rsid w:val="008748FB"/>
    <w:rsid w:val="008750E1"/>
    <w:rsid w:val="008751B1"/>
    <w:rsid w:val="00875510"/>
    <w:rsid w:val="008755C6"/>
    <w:rsid w:val="00875604"/>
    <w:rsid w:val="00875766"/>
    <w:rsid w:val="008757D8"/>
    <w:rsid w:val="008759C1"/>
    <w:rsid w:val="00875BFC"/>
    <w:rsid w:val="00875C05"/>
    <w:rsid w:val="00875D49"/>
    <w:rsid w:val="00875F0D"/>
    <w:rsid w:val="0087681D"/>
    <w:rsid w:val="00876DE7"/>
    <w:rsid w:val="00876F2E"/>
    <w:rsid w:val="0087728E"/>
    <w:rsid w:val="008775FC"/>
    <w:rsid w:val="008777F2"/>
    <w:rsid w:val="00877BCD"/>
    <w:rsid w:val="00877F4A"/>
    <w:rsid w:val="008800E1"/>
    <w:rsid w:val="00880766"/>
    <w:rsid w:val="00880DC4"/>
    <w:rsid w:val="00880DF5"/>
    <w:rsid w:val="008810B2"/>
    <w:rsid w:val="008810F0"/>
    <w:rsid w:val="00881404"/>
    <w:rsid w:val="008814FB"/>
    <w:rsid w:val="00881B9E"/>
    <w:rsid w:val="00881CD9"/>
    <w:rsid w:val="008820E7"/>
    <w:rsid w:val="008823A4"/>
    <w:rsid w:val="0088254F"/>
    <w:rsid w:val="0088267A"/>
    <w:rsid w:val="00882874"/>
    <w:rsid w:val="00882AE0"/>
    <w:rsid w:val="00882E3C"/>
    <w:rsid w:val="00882FDF"/>
    <w:rsid w:val="0088308A"/>
    <w:rsid w:val="00883787"/>
    <w:rsid w:val="00883909"/>
    <w:rsid w:val="0088428B"/>
    <w:rsid w:val="00884391"/>
    <w:rsid w:val="00884540"/>
    <w:rsid w:val="00884676"/>
    <w:rsid w:val="008847CA"/>
    <w:rsid w:val="00884D05"/>
    <w:rsid w:val="00884D81"/>
    <w:rsid w:val="00884F28"/>
    <w:rsid w:val="008855E4"/>
    <w:rsid w:val="0088596A"/>
    <w:rsid w:val="00885A17"/>
    <w:rsid w:val="00885C51"/>
    <w:rsid w:val="00885DF5"/>
    <w:rsid w:val="00885F9B"/>
    <w:rsid w:val="008861C2"/>
    <w:rsid w:val="00886CD2"/>
    <w:rsid w:val="00886FEF"/>
    <w:rsid w:val="00887014"/>
    <w:rsid w:val="00887573"/>
    <w:rsid w:val="00887A44"/>
    <w:rsid w:val="00887C91"/>
    <w:rsid w:val="00887E38"/>
    <w:rsid w:val="00887EC7"/>
    <w:rsid w:val="00887F7C"/>
    <w:rsid w:val="00887FCF"/>
    <w:rsid w:val="00887FD9"/>
    <w:rsid w:val="008901E9"/>
    <w:rsid w:val="008905B5"/>
    <w:rsid w:val="008906C1"/>
    <w:rsid w:val="008909DE"/>
    <w:rsid w:val="00890FA6"/>
    <w:rsid w:val="008912A1"/>
    <w:rsid w:val="00891339"/>
    <w:rsid w:val="008913C8"/>
    <w:rsid w:val="008913F2"/>
    <w:rsid w:val="0089161F"/>
    <w:rsid w:val="008916A8"/>
    <w:rsid w:val="0089175F"/>
    <w:rsid w:val="00891E6F"/>
    <w:rsid w:val="0089205E"/>
    <w:rsid w:val="00892147"/>
    <w:rsid w:val="0089275D"/>
    <w:rsid w:val="0089288A"/>
    <w:rsid w:val="00892954"/>
    <w:rsid w:val="00892A36"/>
    <w:rsid w:val="00892BE7"/>
    <w:rsid w:val="0089306B"/>
    <w:rsid w:val="00893239"/>
    <w:rsid w:val="008933CC"/>
    <w:rsid w:val="00893411"/>
    <w:rsid w:val="0089367B"/>
    <w:rsid w:val="008937C8"/>
    <w:rsid w:val="0089397E"/>
    <w:rsid w:val="00893DB3"/>
    <w:rsid w:val="00893F08"/>
    <w:rsid w:val="00894060"/>
    <w:rsid w:val="0089420E"/>
    <w:rsid w:val="00894234"/>
    <w:rsid w:val="00894489"/>
    <w:rsid w:val="00894795"/>
    <w:rsid w:val="00894862"/>
    <w:rsid w:val="00894939"/>
    <w:rsid w:val="00894A01"/>
    <w:rsid w:val="00894C0E"/>
    <w:rsid w:val="00894CD6"/>
    <w:rsid w:val="008950F6"/>
    <w:rsid w:val="00895176"/>
    <w:rsid w:val="008951AB"/>
    <w:rsid w:val="008952A4"/>
    <w:rsid w:val="00895389"/>
    <w:rsid w:val="008954A9"/>
    <w:rsid w:val="00895B20"/>
    <w:rsid w:val="00895BE9"/>
    <w:rsid w:val="008963A5"/>
    <w:rsid w:val="00896623"/>
    <w:rsid w:val="008966C4"/>
    <w:rsid w:val="00896834"/>
    <w:rsid w:val="008969BB"/>
    <w:rsid w:val="00896D5D"/>
    <w:rsid w:val="00896EC7"/>
    <w:rsid w:val="00896F49"/>
    <w:rsid w:val="00897842"/>
    <w:rsid w:val="008978FD"/>
    <w:rsid w:val="00897A0E"/>
    <w:rsid w:val="008A0599"/>
    <w:rsid w:val="008A07A1"/>
    <w:rsid w:val="008A09A8"/>
    <w:rsid w:val="008A0E31"/>
    <w:rsid w:val="008A0E64"/>
    <w:rsid w:val="008A0FB9"/>
    <w:rsid w:val="008A13A1"/>
    <w:rsid w:val="008A18E9"/>
    <w:rsid w:val="008A1A5C"/>
    <w:rsid w:val="008A1C18"/>
    <w:rsid w:val="008A1EA2"/>
    <w:rsid w:val="008A269E"/>
    <w:rsid w:val="008A2B65"/>
    <w:rsid w:val="008A2E44"/>
    <w:rsid w:val="008A2E6F"/>
    <w:rsid w:val="008A2FBD"/>
    <w:rsid w:val="008A3158"/>
    <w:rsid w:val="008A3363"/>
    <w:rsid w:val="008A3371"/>
    <w:rsid w:val="008A3550"/>
    <w:rsid w:val="008A35C6"/>
    <w:rsid w:val="008A3795"/>
    <w:rsid w:val="008A3C3E"/>
    <w:rsid w:val="008A3E27"/>
    <w:rsid w:val="008A3FCA"/>
    <w:rsid w:val="008A4207"/>
    <w:rsid w:val="008A432F"/>
    <w:rsid w:val="008A43F8"/>
    <w:rsid w:val="008A440B"/>
    <w:rsid w:val="008A4777"/>
    <w:rsid w:val="008A4AF7"/>
    <w:rsid w:val="008A4BE8"/>
    <w:rsid w:val="008A4DA4"/>
    <w:rsid w:val="008A4DAC"/>
    <w:rsid w:val="008A4DF5"/>
    <w:rsid w:val="008A563A"/>
    <w:rsid w:val="008A593D"/>
    <w:rsid w:val="008A68A5"/>
    <w:rsid w:val="008A6D0F"/>
    <w:rsid w:val="008A6D47"/>
    <w:rsid w:val="008A7219"/>
    <w:rsid w:val="008A7294"/>
    <w:rsid w:val="008A7387"/>
    <w:rsid w:val="008A78B6"/>
    <w:rsid w:val="008A7989"/>
    <w:rsid w:val="008A79DE"/>
    <w:rsid w:val="008A7DA4"/>
    <w:rsid w:val="008A7E1A"/>
    <w:rsid w:val="008A7E8A"/>
    <w:rsid w:val="008B0119"/>
    <w:rsid w:val="008B0136"/>
    <w:rsid w:val="008B0315"/>
    <w:rsid w:val="008B0334"/>
    <w:rsid w:val="008B037B"/>
    <w:rsid w:val="008B04F5"/>
    <w:rsid w:val="008B0965"/>
    <w:rsid w:val="008B0A95"/>
    <w:rsid w:val="008B0E23"/>
    <w:rsid w:val="008B11E1"/>
    <w:rsid w:val="008B14A3"/>
    <w:rsid w:val="008B1757"/>
    <w:rsid w:val="008B175C"/>
    <w:rsid w:val="008B1AE2"/>
    <w:rsid w:val="008B1C16"/>
    <w:rsid w:val="008B1C33"/>
    <w:rsid w:val="008B23F7"/>
    <w:rsid w:val="008B2CCD"/>
    <w:rsid w:val="008B2CEC"/>
    <w:rsid w:val="008B30B2"/>
    <w:rsid w:val="008B30CF"/>
    <w:rsid w:val="008B3107"/>
    <w:rsid w:val="008B36EA"/>
    <w:rsid w:val="008B4294"/>
    <w:rsid w:val="008B4B17"/>
    <w:rsid w:val="008B4B6F"/>
    <w:rsid w:val="008B4BD5"/>
    <w:rsid w:val="008B4D09"/>
    <w:rsid w:val="008B5027"/>
    <w:rsid w:val="008B5058"/>
    <w:rsid w:val="008B5301"/>
    <w:rsid w:val="008B56DB"/>
    <w:rsid w:val="008B5821"/>
    <w:rsid w:val="008B5832"/>
    <w:rsid w:val="008B5896"/>
    <w:rsid w:val="008B5BB6"/>
    <w:rsid w:val="008B5C61"/>
    <w:rsid w:val="008B5E06"/>
    <w:rsid w:val="008B5E45"/>
    <w:rsid w:val="008B6102"/>
    <w:rsid w:val="008B61DE"/>
    <w:rsid w:val="008B6592"/>
    <w:rsid w:val="008B6C4E"/>
    <w:rsid w:val="008B7214"/>
    <w:rsid w:val="008B75A4"/>
    <w:rsid w:val="008B7741"/>
    <w:rsid w:val="008B7870"/>
    <w:rsid w:val="008B7992"/>
    <w:rsid w:val="008B79BA"/>
    <w:rsid w:val="008B7D7E"/>
    <w:rsid w:val="008B7F38"/>
    <w:rsid w:val="008C0524"/>
    <w:rsid w:val="008C06CD"/>
    <w:rsid w:val="008C080C"/>
    <w:rsid w:val="008C0CAB"/>
    <w:rsid w:val="008C0F10"/>
    <w:rsid w:val="008C127D"/>
    <w:rsid w:val="008C1529"/>
    <w:rsid w:val="008C1910"/>
    <w:rsid w:val="008C2059"/>
    <w:rsid w:val="008C2185"/>
    <w:rsid w:val="008C2545"/>
    <w:rsid w:val="008C285E"/>
    <w:rsid w:val="008C30E3"/>
    <w:rsid w:val="008C3B48"/>
    <w:rsid w:val="008C3C32"/>
    <w:rsid w:val="008C4034"/>
    <w:rsid w:val="008C41DC"/>
    <w:rsid w:val="008C43DD"/>
    <w:rsid w:val="008C4564"/>
    <w:rsid w:val="008C4CA5"/>
    <w:rsid w:val="008C510F"/>
    <w:rsid w:val="008C5287"/>
    <w:rsid w:val="008C5610"/>
    <w:rsid w:val="008C5739"/>
    <w:rsid w:val="008C57C1"/>
    <w:rsid w:val="008C5D16"/>
    <w:rsid w:val="008C5D8E"/>
    <w:rsid w:val="008C5FA6"/>
    <w:rsid w:val="008C6094"/>
    <w:rsid w:val="008C66AF"/>
    <w:rsid w:val="008C6903"/>
    <w:rsid w:val="008C6A69"/>
    <w:rsid w:val="008C7282"/>
    <w:rsid w:val="008C77FF"/>
    <w:rsid w:val="008C7DF7"/>
    <w:rsid w:val="008C7ECB"/>
    <w:rsid w:val="008D00C6"/>
    <w:rsid w:val="008D07B9"/>
    <w:rsid w:val="008D08C7"/>
    <w:rsid w:val="008D117D"/>
    <w:rsid w:val="008D19D9"/>
    <w:rsid w:val="008D1FB0"/>
    <w:rsid w:val="008D2140"/>
    <w:rsid w:val="008D2163"/>
    <w:rsid w:val="008D21CC"/>
    <w:rsid w:val="008D2F51"/>
    <w:rsid w:val="008D3092"/>
    <w:rsid w:val="008D309A"/>
    <w:rsid w:val="008D30B9"/>
    <w:rsid w:val="008D339B"/>
    <w:rsid w:val="008D3536"/>
    <w:rsid w:val="008D3630"/>
    <w:rsid w:val="008D3774"/>
    <w:rsid w:val="008D3925"/>
    <w:rsid w:val="008D3A6E"/>
    <w:rsid w:val="008D3B86"/>
    <w:rsid w:val="008D3EDD"/>
    <w:rsid w:val="008D43FD"/>
    <w:rsid w:val="008D4489"/>
    <w:rsid w:val="008D4755"/>
    <w:rsid w:val="008D4A0D"/>
    <w:rsid w:val="008D4AB5"/>
    <w:rsid w:val="008D4AEF"/>
    <w:rsid w:val="008D4AFD"/>
    <w:rsid w:val="008D4C3D"/>
    <w:rsid w:val="008D4DA7"/>
    <w:rsid w:val="008D5254"/>
    <w:rsid w:val="008D53D0"/>
    <w:rsid w:val="008D5AA2"/>
    <w:rsid w:val="008D5AD7"/>
    <w:rsid w:val="008D5ECD"/>
    <w:rsid w:val="008D64B2"/>
    <w:rsid w:val="008D6788"/>
    <w:rsid w:val="008D682F"/>
    <w:rsid w:val="008D6DB4"/>
    <w:rsid w:val="008D6E77"/>
    <w:rsid w:val="008D743C"/>
    <w:rsid w:val="008D75FE"/>
    <w:rsid w:val="008D77A6"/>
    <w:rsid w:val="008D77BF"/>
    <w:rsid w:val="008D79E3"/>
    <w:rsid w:val="008E0406"/>
    <w:rsid w:val="008E046F"/>
    <w:rsid w:val="008E082A"/>
    <w:rsid w:val="008E0D3C"/>
    <w:rsid w:val="008E1B9E"/>
    <w:rsid w:val="008E1C4E"/>
    <w:rsid w:val="008E1D08"/>
    <w:rsid w:val="008E1D88"/>
    <w:rsid w:val="008E2010"/>
    <w:rsid w:val="008E2110"/>
    <w:rsid w:val="008E231F"/>
    <w:rsid w:val="008E2588"/>
    <w:rsid w:val="008E2591"/>
    <w:rsid w:val="008E27FD"/>
    <w:rsid w:val="008E2B91"/>
    <w:rsid w:val="008E2DDC"/>
    <w:rsid w:val="008E305C"/>
    <w:rsid w:val="008E38FB"/>
    <w:rsid w:val="008E3BD1"/>
    <w:rsid w:val="008E4236"/>
    <w:rsid w:val="008E4570"/>
    <w:rsid w:val="008E464D"/>
    <w:rsid w:val="008E4886"/>
    <w:rsid w:val="008E48E9"/>
    <w:rsid w:val="008E4B59"/>
    <w:rsid w:val="008E5474"/>
    <w:rsid w:val="008E55AB"/>
    <w:rsid w:val="008E56A1"/>
    <w:rsid w:val="008E5AB4"/>
    <w:rsid w:val="008E5E57"/>
    <w:rsid w:val="008E5F98"/>
    <w:rsid w:val="008E61B9"/>
    <w:rsid w:val="008E61FC"/>
    <w:rsid w:val="008E6B86"/>
    <w:rsid w:val="008E6FE4"/>
    <w:rsid w:val="008E7224"/>
    <w:rsid w:val="008E722A"/>
    <w:rsid w:val="008E783D"/>
    <w:rsid w:val="008E7DC0"/>
    <w:rsid w:val="008E7EEB"/>
    <w:rsid w:val="008F09E9"/>
    <w:rsid w:val="008F0BC3"/>
    <w:rsid w:val="008F120A"/>
    <w:rsid w:val="008F170E"/>
    <w:rsid w:val="008F17D2"/>
    <w:rsid w:val="008F199F"/>
    <w:rsid w:val="008F1F45"/>
    <w:rsid w:val="008F262C"/>
    <w:rsid w:val="008F27E0"/>
    <w:rsid w:val="008F2D74"/>
    <w:rsid w:val="008F2FB0"/>
    <w:rsid w:val="008F3211"/>
    <w:rsid w:val="008F3507"/>
    <w:rsid w:val="008F35B5"/>
    <w:rsid w:val="008F3867"/>
    <w:rsid w:val="008F3CAD"/>
    <w:rsid w:val="008F3D4D"/>
    <w:rsid w:val="008F3E11"/>
    <w:rsid w:val="008F3FEF"/>
    <w:rsid w:val="008F419C"/>
    <w:rsid w:val="008F4486"/>
    <w:rsid w:val="008F4493"/>
    <w:rsid w:val="008F44E0"/>
    <w:rsid w:val="008F476E"/>
    <w:rsid w:val="008F4785"/>
    <w:rsid w:val="008F48EB"/>
    <w:rsid w:val="008F49E4"/>
    <w:rsid w:val="008F4C0C"/>
    <w:rsid w:val="008F4D16"/>
    <w:rsid w:val="008F4F0B"/>
    <w:rsid w:val="008F52D2"/>
    <w:rsid w:val="008F5529"/>
    <w:rsid w:val="008F5745"/>
    <w:rsid w:val="008F5922"/>
    <w:rsid w:val="008F598C"/>
    <w:rsid w:val="008F5C72"/>
    <w:rsid w:val="008F6164"/>
    <w:rsid w:val="008F621C"/>
    <w:rsid w:val="008F641C"/>
    <w:rsid w:val="008F6D18"/>
    <w:rsid w:val="008F7044"/>
    <w:rsid w:val="008F7540"/>
    <w:rsid w:val="008F7661"/>
    <w:rsid w:val="008F7729"/>
    <w:rsid w:val="008F7940"/>
    <w:rsid w:val="008F7CC4"/>
    <w:rsid w:val="008F7E4D"/>
    <w:rsid w:val="008F7EAC"/>
    <w:rsid w:val="008F7F62"/>
    <w:rsid w:val="0090000A"/>
    <w:rsid w:val="00900152"/>
    <w:rsid w:val="00900326"/>
    <w:rsid w:val="009003A3"/>
    <w:rsid w:val="00900B72"/>
    <w:rsid w:val="00900F0D"/>
    <w:rsid w:val="00901001"/>
    <w:rsid w:val="00901496"/>
    <w:rsid w:val="009018CE"/>
    <w:rsid w:val="00901B6A"/>
    <w:rsid w:val="0090257A"/>
    <w:rsid w:val="009027A8"/>
    <w:rsid w:val="00902842"/>
    <w:rsid w:val="00902853"/>
    <w:rsid w:val="00902C6F"/>
    <w:rsid w:val="00902EC0"/>
    <w:rsid w:val="0090319D"/>
    <w:rsid w:val="0090357C"/>
    <w:rsid w:val="0090376E"/>
    <w:rsid w:val="00903876"/>
    <w:rsid w:val="00903E53"/>
    <w:rsid w:val="00903FAD"/>
    <w:rsid w:val="00904102"/>
    <w:rsid w:val="0090410C"/>
    <w:rsid w:val="009041BF"/>
    <w:rsid w:val="009046C4"/>
    <w:rsid w:val="00905332"/>
    <w:rsid w:val="0090536E"/>
    <w:rsid w:val="0090542D"/>
    <w:rsid w:val="009057CD"/>
    <w:rsid w:val="009058EA"/>
    <w:rsid w:val="00905A2C"/>
    <w:rsid w:val="00905B6C"/>
    <w:rsid w:val="00906041"/>
    <w:rsid w:val="00906139"/>
    <w:rsid w:val="009062A5"/>
    <w:rsid w:val="00906824"/>
    <w:rsid w:val="00906927"/>
    <w:rsid w:val="0090716D"/>
    <w:rsid w:val="00907213"/>
    <w:rsid w:val="0090738D"/>
    <w:rsid w:val="00907699"/>
    <w:rsid w:val="00907961"/>
    <w:rsid w:val="00910110"/>
    <w:rsid w:val="009103D0"/>
    <w:rsid w:val="00910615"/>
    <w:rsid w:val="00910B9C"/>
    <w:rsid w:val="00910E24"/>
    <w:rsid w:val="00910FA7"/>
    <w:rsid w:val="00911246"/>
    <w:rsid w:val="00911272"/>
    <w:rsid w:val="00911339"/>
    <w:rsid w:val="00911417"/>
    <w:rsid w:val="00911626"/>
    <w:rsid w:val="009118CE"/>
    <w:rsid w:val="009119E1"/>
    <w:rsid w:val="00911F5D"/>
    <w:rsid w:val="0091200C"/>
    <w:rsid w:val="00912533"/>
    <w:rsid w:val="009126F7"/>
    <w:rsid w:val="0091297C"/>
    <w:rsid w:val="00912AE3"/>
    <w:rsid w:val="00912D89"/>
    <w:rsid w:val="00913199"/>
    <w:rsid w:val="00913410"/>
    <w:rsid w:val="009135D6"/>
    <w:rsid w:val="00913619"/>
    <w:rsid w:val="00913AFA"/>
    <w:rsid w:val="00913CF4"/>
    <w:rsid w:val="00913FA4"/>
    <w:rsid w:val="0091449A"/>
    <w:rsid w:val="009149E4"/>
    <w:rsid w:val="00914C77"/>
    <w:rsid w:val="00914F3A"/>
    <w:rsid w:val="00914F6F"/>
    <w:rsid w:val="00915058"/>
    <w:rsid w:val="0091513F"/>
    <w:rsid w:val="0091514C"/>
    <w:rsid w:val="00915524"/>
    <w:rsid w:val="009159DD"/>
    <w:rsid w:val="00915A26"/>
    <w:rsid w:val="00915EBE"/>
    <w:rsid w:val="00916344"/>
    <w:rsid w:val="009164A6"/>
    <w:rsid w:val="009164E3"/>
    <w:rsid w:val="00916D1C"/>
    <w:rsid w:val="00917149"/>
    <w:rsid w:val="009173E6"/>
    <w:rsid w:val="009178C2"/>
    <w:rsid w:val="00920050"/>
    <w:rsid w:val="009204F9"/>
    <w:rsid w:val="0092061F"/>
    <w:rsid w:val="00920889"/>
    <w:rsid w:val="009208FA"/>
    <w:rsid w:val="00920D58"/>
    <w:rsid w:val="00920DFD"/>
    <w:rsid w:val="00920FBC"/>
    <w:rsid w:val="0092175E"/>
    <w:rsid w:val="00921ACB"/>
    <w:rsid w:val="00921F5B"/>
    <w:rsid w:val="009221A7"/>
    <w:rsid w:val="00922356"/>
    <w:rsid w:val="009226B6"/>
    <w:rsid w:val="009226B9"/>
    <w:rsid w:val="00922740"/>
    <w:rsid w:val="00922ECF"/>
    <w:rsid w:val="00922EE1"/>
    <w:rsid w:val="0092320B"/>
    <w:rsid w:val="009233F8"/>
    <w:rsid w:val="00923456"/>
    <w:rsid w:val="00923668"/>
    <w:rsid w:val="0092369B"/>
    <w:rsid w:val="009237E1"/>
    <w:rsid w:val="00923A90"/>
    <w:rsid w:val="009244D9"/>
    <w:rsid w:val="009244FA"/>
    <w:rsid w:val="009249C7"/>
    <w:rsid w:val="009251B7"/>
    <w:rsid w:val="00925244"/>
    <w:rsid w:val="00925470"/>
    <w:rsid w:val="009257A3"/>
    <w:rsid w:val="0092595D"/>
    <w:rsid w:val="00925B8F"/>
    <w:rsid w:val="00925E1B"/>
    <w:rsid w:val="00926791"/>
    <w:rsid w:val="00926B5D"/>
    <w:rsid w:val="00926C86"/>
    <w:rsid w:val="00927D91"/>
    <w:rsid w:val="009302BA"/>
    <w:rsid w:val="00930361"/>
    <w:rsid w:val="0093084F"/>
    <w:rsid w:val="00930D57"/>
    <w:rsid w:val="00930F98"/>
    <w:rsid w:val="00931371"/>
    <w:rsid w:val="009317D7"/>
    <w:rsid w:val="009319F9"/>
    <w:rsid w:val="0093208F"/>
    <w:rsid w:val="009320E7"/>
    <w:rsid w:val="00932126"/>
    <w:rsid w:val="009321A6"/>
    <w:rsid w:val="00932CDD"/>
    <w:rsid w:val="00933168"/>
    <w:rsid w:val="00933AC2"/>
    <w:rsid w:val="00933D5C"/>
    <w:rsid w:val="00933E2C"/>
    <w:rsid w:val="00933E73"/>
    <w:rsid w:val="00934168"/>
    <w:rsid w:val="0093417F"/>
    <w:rsid w:val="0093443A"/>
    <w:rsid w:val="009346B5"/>
    <w:rsid w:val="00934988"/>
    <w:rsid w:val="00934D08"/>
    <w:rsid w:val="00934E00"/>
    <w:rsid w:val="00934F75"/>
    <w:rsid w:val="0093545D"/>
    <w:rsid w:val="009355B4"/>
    <w:rsid w:val="00935625"/>
    <w:rsid w:val="00935CDC"/>
    <w:rsid w:val="00936375"/>
    <w:rsid w:val="00936C0A"/>
    <w:rsid w:val="00936D6A"/>
    <w:rsid w:val="00936F74"/>
    <w:rsid w:val="00937089"/>
    <w:rsid w:val="00937171"/>
    <w:rsid w:val="00937A1E"/>
    <w:rsid w:val="00937A63"/>
    <w:rsid w:val="00937E8C"/>
    <w:rsid w:val="00940059"/>
    <w:rsid w:val="00940AEF"/>
    <w:rsid w:val="00940FFD"/>
    <w:rsid w:val="0094149B"/>
    <w:rsid w:val="0094185B"/>
    <w:rsid w:val="009418C6"/>
    <w:rsid w:val="00941A29"/>
    <w:rsid w:val="009424CC"/>
    <w:rsid w:val="00942771"/>
    <w:rsid w:val="009428D1"/>
    <w:rsid w:val="00942AF7"/>
    <w:rsid w:val="00942C28"/>
    <w:rsid w:val="00942F71"/>
    <w:rsid w:val="0094326D"/>
    <w:rsid w:val="009432D3"/>
    <w:rsid w:val="009434BD"/>
    <w:rsid w:val="00943B00"/>
    <w:rsid w:val="00943BC1"/>
    <w:rsid w:val="00943F1F"/>
    <w:rsid w:val="00944198"/>
    <w:rsid w:val="009441D5"/>
    <w:rsid w:val="0094428A"/>
    <w:rsid w:val="00944682"/>
    <w:rsid w:val="00944A0B"/>
    <w:rsid w:val="00944F19"/>
    <w:rsid w:val="00944F8A"/>
    <w:rsid w:val="009453B0"/>
    <w:rsid w:val="0094551A"/>
    <w:rsid w:val="00945731"/>
    <w:rsid w:val="00945992"/>
    <w:rsid w:val="00945B7B"/>
    <w:rsid w:val="00945E22"/>
    <w:rsid w:val="00945FDB"/>
    <w:rsid w:val="00946052"/>
    <w:rsid w:val="00946535"/>
    <w:rsid w:val="00946541"/>
    <w:rsid w:val="009465BA"/>
    <w:rsid w:val="00946659"/>
    <w:rsid w:val="00946A2D"/>
    <w:rsid w:val="00946A31"/>
    <w:rsid w:val="00946CC0"/>
    <w:rsid w:val="00946D3F"/>
    <w:rsid w:val="00946ED7"/>
    <w:rsid w:val="00946F50"/>
    <w:rsid w:val="00946F8F"/>
    <w:rsid w:val="00947EEE"/>
    <w:rsid w:val="0095010D"/>
    <w:rsid w:val="009506CF"/>
    <w:rsid w:val="00950813"/>
    <w:rsid w:val="0095084A"/>
    <w:rsid w:val="00950914"/>
    <w:rsid w:val="00950927"/>
    <w:rsid w:val="00950C71"/>
    <w:rsid w:val="00950CBF"/>
    <w:rsid w:val="009510A2"/>
    <w:rsid w:val="00951256"/>
    <w:rsid w:val="00951E04"/>
    <w:rsid w:val="009521A6"/>
    <w:rsid w:val="00952213"/>
    <w:rsid w:val="009526DB"/>
    <w:rsid w:val="00952706"/>
    <w:rsid w:val="00952A65"/>
    <w:rsid w:val="00952BD5"/>
    <w:rsid w:val="00952BEF"/>
    <w:rsid w:val="00952D0C"/>
    <w:rsid w:val="00952EBE"/>
    <w:rsid w:val="00952F44"/>
    <w:rsid w:val="009531B8"/>
    <w:rsid w:val="00953236"/>
    <w:rsid w:val="00953257"/>
    <w:rsid w:val="0095379C"/>
    <w:rsid w:val="00953980"/>
    <w:rsid w:val="00953DA5"/>
    <w:rsid w:val="00953E3B"/>
    <w:rsid w:val="00954389"/>
    <w:rsid w:val="0095474C"/>
    <w:rsid w:val="009551A5"/>
    <w:rsid w:val="009554FB"/>
    <w:rsid w:val="0095588A"/>
    <w:rsid w:val="00955E38"/>
    <w:rsid w:val="00956762"/>
    <w:rsid w:val="00956A26"/>
    <w:rsid w:val="00956A93"/>
    <w:rsid w:val="00956BA0"/>
    <w:rsid w:val="00956E77"/>
    <w:rsid w:val="00957076"/>
    <w:rsid w:val="009573F6"/>
    <w:rsid w:val="00957723"/>
    <w:rsid w:val="00957D92"/>
    <w:rsid w:val="009601AD"/>
    <w:rsid w:val="00960200"/>
    <w:rsid w:val="009604FF"/>
    <w:rsid w:val="00960B69"/>
    <w:rsid w:val="00960E25"/>
    <w:rsid w:val="00960FB0"/>
    <w:rsid w:val="00961189"/>
    <w:rsid w:val="009612F7"/>
    <w:rsid w:val="00961392"/>
    <w:rsid w:val="009613CE"/>
    <w:rsid w:val="00961679"/>
    <w:rsid w:val="009618C9"/>
    <w:rsid w:val="00961DCB"/>
    <w:rsid w:val="00962682"/>
    <w:rsid w:val="00962977"/>
    <w:rsid w:val="00962A99"/>
    <w:rsid w:val="00962CB9"/>
    <w:rsid w:val="00964197"/>
    <w:rsid w:val="009642B6"/>
    <w:rsid w:val="00964312"/>
    <w:rsid w:val="00964704"/>
    <w:rsid w:val="0096480B"/>
    <w:rsid w:val="00964889"/>
    <w:rsid w:val="0096497B"/>
    <w:rsid w:val="009651EF"/>
    <w:rsid w:val="00965B8A"/>
    <w:rsid w:val="00965E2A"/>
    <w:rsid w:val="00965E9C"/>
    <w:rsid w:val="00966100"/>
    <w:rsid w:val="00966384"/>
    <w:rsid w:val="00966458"/>
    <w:rsid w:val="00966672"/>
    <w:rsid w:val="0096679A"/>
    <w:rsid w:val="0096691E"/>
    <w:rsid w:val="0096699E"/>
    <w:rsid w:val="009670C9"/>
    <w:rsid w:val="009673B0"/>
    <w:rsid w:val="00967885"/>
    <w:rsid w:val="009678E8"/>
    <w:rsid w:val="00967A9D"/>
    <w:rsid w:val="00967B59"/>
    <w:rsid w:val="00967FAE"/>
    <w:rsid w:val="0097071F"/>
    <w:rsid w:val="0097076A"/>
    <w:rsid w:val="009707E4"/>
    <w:rsid w:val="009709A8"/>
    <w:rsid w:val="00970EA8"/>
    <w:rsid w:val="00971056"/>
    <w:rsid w:val="0097146F"/>
    <w:rsid w:val="00971619"/>
    <w:rsid w:val="009717AC"/>
    <w:rsid w:val="00971A93"/>
    <w:rsid w:val="00972543"/>
    <w:rsid w:val="0097281A"/>
    <w:rsid w:val="00972957"/>
    <w:rsid w:val="0097357B"/>
    <w:rsid w:val="00973CF6"/>
    <w:rsid w:val="00973E86"/>
    <w:rsid w:val="00973F01"/>
    <w:rsid w:val="00973FBA"/>
    <w:rsid w:val="00974607"/>
    <w:rsid w:val="0097462D"/>
    <w:rsid w:val="00974657"/>
    <w:rsid w:val="009746E8"/>
    <w:rsid w:val="00974970"/>
    <w:rsid w:val="00974993"/>
    <w:rsid w:val="00974A4F"/>
    <w:rsid w:val="00974B8D"/>
    <w:rsid w:val="00974C57"/>
    <w:rsid w:val="00975073"/>
    <w:rsid w:val="009750E3"/>
    <w:rsid w:val="0097515A"/>
    <w:rsid w:val="009751C1"/>
    <w:rsid w:val="0097543F"/>
    <w:rsid w:val="0097550D"/>
    <w:rsid w:val="00975788"/>
    <w:rsid w:val="009759A1"/>
    <w:rsid w:val="009759C5"/>
    <w:rsid w:val="009759E0"/>
    <w:rsid w:val="009760FD"/>
    <w:rsid w:val="00976E5B"/>
    <w:rsid w:val="00977291"/>
    <w:rsid w:val="00977CF7"/>
    <w:rsid w:val="0098020F"/>
    <w:rsid w:val="0098080E"/>
    <w:rsid w:val="00980D10"/>
    <w:rsid w:val="009810DD"/>
    <w:rsid w:val="009811F1"/>
    <w:rsid w:val="00981340"/>
    <w:rsid w:val="009813A3"/>
    <w:rsid w:val="009819A9"/>
    <w:rsid w:val="0098262F"/>
    <w:rsid w:val="00982B18"/>
    <w:rsid w:val="00982D85"/>
    <w:rsid w:val="00982D90"/>
    <w:rsid w:val="00983250"/>
    <w:rsid w:val="00983251"/>
    <w:rsid w:val="009832D6"/>
    <w:rsid w:val="009833F0"/>
    <w:rsid w:val="009834A6"/>
    <w:rsid w:val="0098352F"/>
    <w:rsid w:val="0098353E"/>
    <w:rsid w:val="00983759"/>
    <w:rsid w:val="00983CFB"/>
    <w:rsid w:val="00983E57"/>
    <w:rsid w:val="009843D1"/>
    <w:rsid w:val="009847FF"/>
    <w:rsid w:val="00984FE3"/>
    <w:rsid w:val="00985093"/>
    <w:rsid w:val="009854EF"/>
    <w:rsid w:val="00985763"/>
    <w:rsid w:val="0098584D"/>
    <w:rsid w:val="00985DE2"/>
    <w:rsid w:val="00986317"/>
    <w:rsid w:val="0098665B"/>
    <w:rsid w:val="0098675D"/>
    <w:rsid w:val="00986A80"/>
    <w:rsid w:val="00986C75"/>
    <w:rsid w:val="00986E83"/>
    <w:rsid w:val="00987117"/>
    <w:rsid w:val="009874D5"/>
    <w:rsid w:val="009878EC"/>
    <w:rsid w:val="00987BA4"/>
    <w:rsid w:val="00987BFD"/>
    <w:rsid w:val="00987EAF"/>
    <w:rsid w:val="00990088"/>
    <w:rsid w:val="00990266"/>
    <w:rsid w:val="0099031B"/>
    <w:rsid w:val="009906F1"/>
    <w:rsid w:val="00990CD4"/>
    <w:rsid w:val="00991604"/>
    <w:rsid w:val="00991A15"/>
    <w:rsid w:val="00991B32"/>
    <w:rsid w:val="00991E36"/>
    <w:rsid w:val="00991EAE"/>
    <w:rsid w:val="00991F77"/>
    <w:rsid w:val="00992019"/>
    <w:rsid w:val="00992083"/>
    <w:rsid w:val="009920E0"/>
    <w:rsid w:val="009926E0"/>
    <w:rsid w:val="009929C4"/>
    <w:rsid w:val="00992A7F"/>
    <w:rsid w:val="00992A80"/>
    <w:rsid w:val="00992CB5"/>
    <w:rsid w:val="00992CF0"/>
    <w:rsid w:val="00992D5E"/>
    <w:rsid w:val="009931A6"/>
    <w:rsid w:val="00993289"/>
    <w:rsid w:val="009934F9"/>
    <w:rsid w:val="00993AC5"/>
    <w:rsid w:val="00993E9E"/>
    <w:rsid w:val="0099451E"/>
    <w:rsid w:val="009948D9"/>
    <w:rsid w:val="00994999"/>
    <w:rsid w:val="00994A28"/>
    <w:rsid w:val="00994E64"/>
    <w:rsid w:val="00995079"/>
    <w:rsid w:val="009951B2"/>
    <w:rsid w:val="00995446"/>
    <w:rsid w:val="00995845"/>
    <w:rsid w:val="00995A53"/>
    <w:rsid w:val="00995DD8"/>
    <w:rsid w:val="00996146"/>
    <w:rsid w:val="0099642E"/>
    <w:rsid w:val="009966C6"/>
    <w:rsid w:val="00996833"/>
    <w:rsid w:val="00996A36"/>
    <w:rsid w:val="00996B1A"/>
    <w:rsid w:val="00996E3F"/>
    <w:rsid w:val="00997774"/>
    <w:rsid w:val="009977D8"/>
    <w:rsid w:val="009A03EE"/>
    <w:rsid w:val="009A054F"/>
    <w:rsid w:val="009A070A"/>
    <w:rsid w:val="009A0AED"/>
    <w:rsid w:val="009A1439"/>
    <w:rsid w:val="009A159A"/>
    <w:rsid w:val="009A15AC"/>
    <w:rsid w:val="009A161E"/>
    <w:rsid w:val="009A1829"/>
    <w:rsid w:val="009A18F6"/>
    <w:rsid w:val="009A1A2E"/>
    <w:rsid w:val="009A1B74"/>
    <w:rsid w:val="009A1C84"/>
    <w:rsid w:val="009A1F95"/>
    <w:rsid w:val="009A243F"/>
    <w:rsid w:val="009A24AB"/>
    <w:rsid w:val="009A25F0"/>
    <w:rsid w:val="009A28B7"/>
    <w:rsid w:val="009A2AFA"/>
    <w:rsid w:val="009A2DCC"/>
    <w:rsid w:val="009A2DF1"/>
    <w:rsid w:val="009A319C"/>
    <w:rsid w:val="009A327F"/>
    <w:rsid w:val="009A35E9"/>
    <w:rsid w:val="009A3701"/>
    <w:rsid w:val="009A39FE"/>
    <w:rsid w:val="009A4820"/>
    <w:rsid w:val="009A487F"/>
    <w:rsid w:val="009A48EF"/>
    <w:rsid w:val="009A4AE2"/>
    <w:rsid w:val="009A4D0D"/>
    <w:rsid w:val="009A4F5A"/>
    <w:rsid w:val="009A54D3"/>
    <w:rsid w:val="009A5ABC"/>
    <w:rsid w:val="009A5C0A"/>
    <w:rsid w:val="009A63C0"/>
    <w:rsid w:val="009A68EA"/>
    <w:rsid w:val="009A6AD1"/>
    <w:rsid w:val="009A6E3C"/>
    <w:rsid w:val="009A6E9C"/>
    <w:rsid w:val="009A71E5"/>
    <w:rsid w:val="009A728D"/>
    <w:rsid w:val="009A77AB"/>
    <w:rsid w:val="009A791B"/>
    <w:rsid w:val="009A7EB7"/>
    <w:rsid w:val="009A7F0D"/>
    <w:rsid w:val="009A7F10"/>
    <w:rsid w:val="009B019D"/>
    <w:rsid w:val="009B0AB9"/>
    <w:rsid w:val="009B0E81"/>
    <w:rsid w:val="009B1032"/>
    <w:rsid w:val="009B14B3"/>
    <w:rsid w:val="009B1572"/>
    <w:rsid w:val="009B1627"/>
    <w:rsid w:val="009B1A18"/>
    <w:rsid w:val="009B206D"/>
    <w:rsid w:val="009B20BA"/>
    <w:rsid w:val="009B239C"/>
    <w:rsid w:val="009B2409"/>
    <w:rsid w:val="009B24BC"/>
    <w:rsid w:val="009B2812"/>
    <w:rsid w:val="009B2B6F"/>
    <w:rsid w:val="009B2BAA"/>
    <w:rsid w:val="009B2CAB"/>
    <w:rsid w:val="009B3753"/>
    <w:rsid w:val="009B381F"/>
    <w:rsid w:val="009B3D35"/>
    <w:rsid w:val="009B3E26"/>
    <w:rsid w:val="009B409F"/>
    <w:rsid w:val="009B4445"/>
    <w:rsid w:val="009B49B6"/>
    <w:rsid w:val="009B49F0"/>
    <w:rsid w:val="009B49F5"/>
    <w:rsid w:val="009B4B7A"/>
    <w:rsid w:val="009B4BB6"/>
    <w:rsid w:val="009B4EE9"/>
    <w:rsid w:val="009B509F"/>
    <w:rsid w:val="009B5346"/>
    <w:rsid w:val="009B5EB4"/>
    <w:rsid w:val="009B61FC"/>
    <w:rsid w:val="009B6595"/>
    <w:rsid w:val="009B6B53"/>
    <w:rsid w:val="009B6D46"/>
    <w:rsid w:val="009B6E80"/>
    <w:rsid w:val="009B7222"/>
    <w:rsid w:val="009B7538"/>
    <w:rsid w:val="009B7A0F"/>
    <w:rsid w:val="009B7C49"/>
    <w:rsid w:val="009C0031"/>
    <w:rsid w:val="009C02AA"/>
    <w:rsid w:val="009C0393"/>
    <w:rsid w:val="009C0F96"/>
    <w:rsid w:val="009C0FCD"/>
    <w:rsid w:val="009C10ED"/>
    <w:rsid w:val="009C1271"/>
    <w:rsid w:val="009C156C"/>
    <w:rsid w:val="009C1F00"/>
    <w:rsid w:val="009C20AB"/>
    <w:rsid w:val="009C2C68"/>
    <w:rsid w:val="009C2FE0"/>
    <w:rsid w:val="009C320C"/>
    <w:rsid w:val="009C34D4"/>
    <w:rsid w:val="009C3706"/>
    <w:rsid w:val="009C372E"/>
    <w:rsid w:val="009C3A3A"/>
    <w:rsid w:val="009C426B"/>
    <w:rsid w:val="009C44C6"/>
    <w:rsid w:val="009C48B3"/>
    <w:rsid w:val="009C5035"/>
    <w:rsid w:val="009C50DB"/>
    <w:rsid w:val="009C5148"/>
    <w:rsid w:val="009C5342"/>
    <w:rsid w:val="009C54B7"/>
    <w:rsid w:val="009C573F"/>
    <w:rsid w:val="009C5ABF"/>
    <w:rsid w:val="009C5EB0"/>
    <w:rsid w:val="009C6665"/>
    <w:rsid w:val="009C6682"/>
    <w:rsid w:val="009C6992"/>
    <w:rsid w:val="009C6A3D"/>
    <w:rsid w:val="009C6A7B"/>
    <w:rsid w:val="009C6CEA"/>
    <w:rsid w:val="009C6D50"/>
    <w:rsid w:val="009C6D7A"/>
    <w:rsid w:val="009C7003"/>
    <w:rsid w:val="009C7227"/>
    <w:rsid w:val="009C7B85"/>
    <w:rsid w:val="009C7D2C"/>
    <w:rsid w:val="009C7D4D"/>
    <w:rsid w:val="009D0254"/>
    <w:rsid w:val="009D0626"/>
    <w:rsid w:val="009D0774"/>
    <w:rsid w:val="009D0AF4"/>
    <w:rsid w:val="009D1103"/>
    <w:rsid w:val="009D12D5"/>
    <w:rsid w:val="009D1311"/>
    <w:rsid w:val="009D14A5"/>
    <w:rsid w:val="009D198D"/>
    <w:rsid w:val="009D1A64"/>
    <w:rsid w:val="009D1BEE"/>
    <w:rsid w:val="009D22FC"/>
    <w:rsid w:val="009D2547"/>
    <w:rsid w:val="009D2596"/>
    <w:rsid w:val="009D2697"/>
    <w:rsid w:val="009D2735"/>
    <w:rsid w:val="009D2914"/>
    <w:rsid w:val="009D2A4B"/>
    <w:rsid w:val="009D2BBE"/>
    <w:rsid w:val="009D2FE5"/>
    <w:rsid w:val="009D300D"/>
    <w:rsid w:val="009D3C82"/>
    <w:rsid w:val="009D3D25"/>
    <w:rsid w:val="009D473C"/>
    <w:rsid w:val="009D4EB8"/>
    <w:rsid w:val="009D5109"/>
    <w:rsid w:val="009D573F"/>
    <w:rsid w:val="009D59C6"/>
    <w:rsid w:val="009D5B91"/>
    <w:rsid w:val="009D6065"/>
    <w:rsid w:val="009D617B"/>
    <w:rsid w:val="009D6335"/>
    <w:rsid w:val="009D638D"/>
    <w:rsid w:val="009D65A1"/>
    <w:rsid w:val="009D6A3B"/>
    <w:rsid w:val="009D6E6E"/>
    <w:rsid w:val="009D7786"/>
    <w:rsid w:val="009D788B"/>
    <w:rsid w:val="009D792E"/>
    <w:rsid w:val="009E046F"/>
    <w:rsid w:val="009E0613"/>
    <w:rsid w:val="009E062B"/>
    <w:rsid w:val="009E0735"/>
    <w:rsid w:val="009E0A97"/>
    <w:rsid w:val="009E0DFE"/>
    <w:rsid w:val="009E1253"/>
    <w:rsid w:val="009E1BD5"/>
    <w:rsid w:val="009E1BFF"/>
    <w:rsid w:val="009E1CAF"/>
    <w:rsid w:val="009E1EF3"/>
    <w:rsid w:val="009E1F04"/>
    <w:rsid w:val="009E1F6C"/>
    <w:rsid w:val="009E1F74"/>
    <w:rsid w:val="009E2976"/>
    <w:rsid w:val="009E29E7"/>
    <w:rsid w:val="009E2C12"/>
    <w:rsid w:val="009E31F6"/>
    <w:rsid w:val="009E3224"/>
    <w:rsid w:val="009E3333"/>
    <w:rsid w:val="009E3B45"/>
    <w:rsid w:val="009E3B4B"/>
    <w:rsid w:val="009E3F27"/>
    <w:rsid w:val="009E407E"/>
    <w:rsid w:val="009E47AB"/>
    <w:rsid w:val="009E4A2C"/>
    <w:rsid w:val="009E4C07"/>
    <w:rsid w:val="009E501B"/>
    <w:rsid w:val="009E50F0"/>
    <w:rsid w:val="009E5130"/>
    <w:rsid w:val="009E545A"/>
    <w:rsid w:val="009E5729"/>
    <w:rsid w:val="009E5E8D"/>
    <w:rsid w:val="009E61D7"/>
    <w:rsid w:val="009E654A"/>
    <w:rsid w:val="009E6815"/>
    <w:rsid w:val="009E6AE6"/>
    <w:rsid w:val="009E7396"/>
    <w:rsid w:val="009E777F"/>
    <w:rsid w:val="009E7AEC"/>
    <w:rsid w:val="009E7AFD"/>
    <w:rsid w:val="009E7B77"/>
    <w:rsid w:val="009E7CAE"/>
    <w:rsid w:val="009F0029"/>
    <w:rsid w:val="009F0038"/>
    <w:rsid w:val="009F0119"/>
    <w:rsid w:val="009F0529"/>
    <w:rsid w:val="009F0739"/>
    <w:rsid w:val="009F082A"/>
    <w:rsid w:val="009F12FA"/>
    <w:rsid w:val="009F1727"/>
    <w:rsid w:val="009F1736"/>
    <w:rsid w:val="009F1AA4"/>
    <w:rsid w:val="009F1CB7"/>
    <w:rsid w:val="009F1DC4"/>
    <w:rsid w:val="009F2C2C"/>
    <w:rsid w:val="009F2D6A"/>
    <w:rsid w:val="009F3116"/>
    <w:rsid w:val="009F36CA"/>
    <w:rsid w:val="009F375A"/>
    <w:rsid w:val="009F3BD9"/>
    <w:rsid w:val="009F430F"/>
    <w:rsid w:val="009F44D5"/>
    <w:rsid w:val="009F5013"/>
    <w:rsid w:val="009F5382"/>
    <w:rsid w:val="009F5481"/>
    <w:rsid w:val="009F54A0"/>
    <w:rsid w:val="009F5ED9"/>
    <w:rsid w:val="009F609D"/>
    <w:rsid w:val="009F6120"/>
    <w:rsid w:val="009F61C9"/>
    <w:rsid w:val="009F6344"/>
    <w:rsid w:val="009F6F50"/>
    <w:rsid w:val="009F700F"/>
    <w:rsid w:val="009F7515"/>
    <w:rsid w:val="009F79CA"/>
    <w:rsid w:val="009F79CF"/>
    <w:rsid w:val="009F7A7A"/>
    <w:rsid w:val="009F7B7A"/>
    <w:rsid w:val="00A00B8B"/>
    <w:rsid w:val="00A00C55"/>
    <w:rsid w:val="00A00D76"/>
    <w:rsid w:val="00A00E2A"/>
    <w:rsid w:val="00A01184"/>
    <w:rsid w:val="00A011B3"/>
    <w:rsid w:val="00A01449"/>
    <w:rsid w:val="00A022E8"/>
    <w:rsid w:val="00A025CD"/>
    <w:rsid w:val="00A02D70"/>
    <w:rsid w:val="00A02EC5"/>
    <w:rsid w:val="00A02FD4"/>
    <w:rsid w:val="00A03159"/>
    <w:rsid w:val="00A0343E"/>
    <w:rsid w:val="00A034CA"/>
    <w:rsid w:val="00A03644"/>
    <w:rsid w:val="00A037C2"/>
    <w:rsid w:val="00A0389E"/>
    <w:rsid w:val="00A038A2"/>
    <w:rsid w:val="00A03D43"/>
    <w:rsid w:val="00A03D57"/>
    <w:rsid w:val="00A04227"/>
    <w:rsid w:val="00A042D4"/>
    <w:rsid w:val="00A04380"/>
    <w:rsid w:val="00A04389"/>
    <w:rsid w:val="00A046A7"/>
    <w:rsid w:val="00A04786"/>
    <w:rsid w:val="00A04811"/>
    <w:rsid w:val="00A04C54"/>
    <w:rsid w:val="00A04E69"/>
    <w:rsid w:val="00A050DD"/>
    <w:rsid w:val="00A05472"/>
    <w:rsid w:val="00A05965"/>
    <w:rsid w:val="00A05A9D"/>
    <w:rsid w:val="00A05C32"/>
    <w:rsid w:val="00A05FDE"/>
    <w:rsid w:val="00A0609F"/>
    <w:rsid w:val="00A062A3"/>
    <w:rsid w:val="00A06345"/>
    <w:rsid w:val="00A0653F"/>
    <w:rsid w:val="00A066C1"/>
    <w:rsid w:val="00A06B95"/>
    <w:rsid w:val="00A06E7E"/>
    <w:rsid w:val="00A06EBA"/>
    <w:rsid w:val="00A06F81"/>
    <w:rsid w:val="00A07302"/>
    <w:rsid w:val="00A07554"/>
    <w:rsid w:val="00A07641"/>
    <w:rsid w:val="00A07821"/>
    <w:rsid w:val="00A079E1"/>
    <w:rsid w:val="00A07CD7"/>
    <w:rsid w:val="00A07DDA"/>
    <w:rsid w:val="00A10166"/>
    <w:rsid w:val="00A1086C"/>
    <w:rsid w:val="00A109D9"/>
    <w:rsid w:val="00A10C52"/>
    <w:rsid w:val="00A10E3A"/>
    <w:rsid w:val="00A10E6C"/>
    <w:rsid w:val="00A11123"/>
    <w:rsid w:val="00A118E1"/>
    <w:rsid w:val="00A11CD0"/>
    <w:rsid w:val="00A1241F"/>
    <w:rsid w:val="00A12613"/>
    <w:rsid w:val="00A126E0"/>
    <w:rsid w:val="00A12E59"/>
    <w:rsid w:val="00A12FFD"/>
    <w:rsid w:val="00A130CE"/>
    <w:rsid w:val="00A13396"/>
    <w:rsid w:val="00A13555"/>
    <w:rsid w:val="00A13877"/>
    <w:rsid w:val="00A138A3"/>
    <w:rsid w:val="00A13948"/>
    <w:rsid w:val="00A139F5"/>
    <w:rsid w:val="00A144B9"/>
    <w:rsid w:val="00A14CD7"/>
    <w:rsid w:val="00A14DB0"/>
    <w:rsid w:val="00A152BC"/>
    <w:rsid w:val="00A153C6"/>
    <w:rsid w:val="00A1555B"/>
    <w:rsid w:val="00A155C5"/>
    <w:rsid w:val="00A15A06"/>
    <w:rsid w:val="00A16072"/>
    <w:rsid w:val="00A16388"/>
    <w:rsid w:val="00A16A6C"/>
    <w:rsid w:val="00A16AD8"/>
    <w:rsid w:val="00A16ECC"/>
    <w:rsid w:val="00A17799"/>
    <w:rsid w:val="00A1783F"/>
    <w:rsid w:val="00A1785F"/>
    <w:rsid w:val="00A201D5"/>
    <w:rsid w:val="00A2021E"/>
    <w:rsid w:val="00A2078D"/>
    <w:rsid w:val="00A20EFF"/>
    <w:rsid w:val="00A213D6"/>
    <w:rsid w:val="00A21496"/>
    <w:rsid w:val="00A2158E"/>
    <w:rsid w:val="00A217AC"/>
    <w:rsid w:val="00A21C95"/>
    <w:rsid w:val="00A21CF3"/>
    <w:rsid w:val="00A2201E"/>
    <w:rsid w:val="00A2207A"/>
    <w:rsid w:val="00A225F3"/>
    <w:rsid w:val="00A226C0"/>
    <w:rsid w:val="00A229EC"/>
    <w:rsid w:val="00A22AB2"/>
    <w:rsid w:val="00A22BCA"/>
    <w:rsid w:val="00A231F2"/>
    <w:rsid w:val="00A2334A"/>
    <w:rsid w:val="00A234C0"/>
    <w:rsid w:val="00A23A34"/>
    <w:rsid w:val="00A23D49"/>
    <w:rsid w:val="00A23D76"/>
    <w:rsid w:val="00A244D6"/>
    <w:rsid w:val="00A247E3"/>
    <w:rsid w:val="00A24813"/>
    <w:rsid w:val="00A2483D"/>
    <w:rsid w:val="00A24AEB"/>
    <w:rsid w:val="00A25A89"/>
    <w:rsid w:val="00A25CED"/>
    <w:rsid w:val="00A25F0C"/>
    <w:rsid w:val="00A2630D"/>
    <w:rsid w:val="00A264E7"/>
    <w:rsid w:val="00A2698A"/>
    <w:rsid w:val="00A26AD9"/>
    <w:rsid w:val="00A274CE"/>
    <w:rsid w:val="00A2772F"/>
    <w:rsid w:val="00A2784B"/>
    <w:rsid w:val="00A27AEC"/>
    <w:rsid w:val="00A27CED"/>
    <w:rsid w:val="00A27F5B"/>
    <w:rsid w:val="00A300E6"/>
    <w:rsid w:val="00A3048A"/>
    <w:rsid w:val="00A306FC"/>
    <w:rsid w:val="00A3071E"/>
    <w:rsid w:val="00A30B33"/>
    <w:rsid w:val="00A311D4"/>
    <w:rsid w:val="00A3121E"/>
    <w:rsid w:val="00A3139D"/>
    <w:rsid w:val="00A315C4"/>
    <w:rsid w:val="00A31603"/>
    <w:rsid w:val="00A317B4"/>
    <w:rsid w:val="00A318F7"/>
    <w:rsid w:val="00A31B34"/>
    <w:rsid w:val="00A31EE1"/>
    <w:rsid w:val="00A31EE4"/>
    <w:rsid w:val="00A320DB"/>
    <w:rsid w:val="00A32105"/>
    <w:rsid w:val="00A322DD"/>
    <w:rsid w:val="00A32307"/>
    <w:rsid w:val="00A32485"/>
    <w:rsid w:val="00A328F9"/>
    <w:rsid w:val="00A32987"/>
    <w:rsid w:val="00A32C09"/>
    <w:rsid w:val="00A330C0"/>
    <w:rsid w:val="00A33618"/>
    <w:rsid w:val="00A33688"/>
    <w:rsid w:val="00A336A6"/>
    <w:rsid w:val="00A33851"/>
    <w:rsid w:val="00A33B41"/>
    <w:rsid w:val="00A33D39"/>
    <w:rsid w:val="00A340FF"/>
    <w:rsid w:val="00A34542"/>
    <w:rsid w:val="00A3468C"/>
    <w:rsid w:val="00A3482C"/>
    <w:rsid w:val="00A3485C"/>
    <w:rsid w:val="00A3500C"/>
    <w:rsid w:val="00A35235"/>
    <w:rsid w:val="00A3563F"/>
    <w:rsid w:val="00A35979"/>
    <w:rsid w:val="00A35D16"/>
    <w:rsid w:val="00A35E6A"/>
    <w:rsid w:val="00A3653E"/>
    <w:rsid w:val="00A36562"/>
    <w:rsid w:val="00A36994"/>
    <w:rsid w:val="00A36B71"/>
    <w:rsid w:val="00A36C5D"/>
    <w:rsid w:val="00A37020"/>
    <w:rsid w:val="00A3718A"/>
    <w:rsid w:val="00A3719B"/>
    <w:rsid w:val="00A37BCD"/>
    <w:rsid w:val="00A37C50"/>
    <w:rsid w:val="00A37D5C"/>
    <w:rsid w:val="00A37DEE"/>
    <w:rsid w:val="00A4004A"/>
    <w:rsid w:val="00A40124"/>
    <w:rsid w:val="00A4012E"/>
    <w:rsid w:val="00A40E21"/>
    <w:rsid w:val="00A41266"/>
    <w:rsid w:val="00A412D7"/>
    <w:rsid w:val="00A41689"/>
    <w:rsid w:val="00A41E34"/>
    <w:rsid w:val="00A41EE0"/>
    <w:rsid w:val="00A42592"/>
    <w:rsid w:val="00A42956"/>
    <w:rsid w:val="00A42991"/>
    <w:rsid w:val="00A42C9A"/>
    <w:rsid w:val="00A431D8"/>
    <w:rsid w:val="00A4381C"/>
    <w:rsid w:val="00A43C59"/>
    <w:rsid w:val="00A43FD1"/>
    <w:rsid w:val="00A4493C"/>
    <w:rsid w:val="00A44AB6"/>
    <w:rsid w:val="00A450C2"/>
    <w:rsid w:val="00A45C45"/>
    <w:rsid w:val="00A45F6F"/>
    <w:rsid w:val="00A45F99"/>
    <w:rsid w:val="00A45FC3"/>
    <w:rsid w:val="00A4634D"/>
    <w:rsid w:val="00A46BDD"/>
    <w:rsid w:val="00A46C0A"/>
    <w:rsid w:val="00A46C92"/>
    <w:rsid w:val="00A46CAC"/>
    <w:rsid w:val="00A47314"/>
    <w:rsid w:val="00A4774F"/>
    <w:rsid w:val="00A47947"/>
    <w:rsid w:val="00A50ECD"/>
    <w:rsid w:val="00A518F3"/>
    <w:rsid w:val="00A5191F"/>
    <w:rsid w:val="00A519A7"/>
    <w:rsid w:val="00A51BC4"/>
    <w:rsid w:val="00A5220C"/>
    <w:rsid w:val="00A52265"/>
    <w:rsid w:val="00A52280"/>
    <w:rsid w:val="00A52285"/>
    <w:rsid w:val="00A52729"/>
    <w:rsid w:val="00A52BC1"/>
    <w:rsid w:val="00A53253"/>
    <w:rsid w:val="00A5325A"/>
    <w:rsid w:val="00A53338"/>
    <w:rsid w:val="00A53675"/>
    <w:rsid w:val="00A539EA"/>
    <w:rsid w:val="00A53A81"/>
    <w:rsid w:val="00A540DA"/>
    <w:rsid w:val="00A5478F"/>
    <w:rsid w:val="00A54AD6"/>
    <w:rsid w:val="00A55426"/>
    <w:rsid w:val="00A557DD"/>
    <w:rsid w:val="00A559C9"/>
    <w:rsid w:val="00A55F3E"/>
    <w:rsid w:val="00A56180"/>
    <w:rsid w:val="00A564D7"/>
    <w:rsid w:val="00A56735"/>
    <w:rsid w:val="00A5678A"/>
    <w:rsid w:val="00A567E3"/>
    <w:rsid w:val="00A56B6A"/>
    <w:rsid w:val="00A570B4"/>
    <w:rsid w:val="00A57512"/>
    <w:rsid w:val="00A577C3"/>
    <w:rsid w:val="00A5782F"/>
    <w:rsid w:val="00A578DC"/>
    <w:rsid w:val="00A57A82"/>
    <w:rsid w:val="00A60097"/>
    <w:rsid w:val="00A601F5"/>
    <w:rsid w:val="00A6026C"/>
    <w:rsid w:val="00A606D2"/>
    <w:rsid w:val="00A60841"/>
    <w:rsid w:val="00A60B23"/>
    <w:rsid w:val="00A60E81"/>
    <w:rsid w:val="00A60F42"/>
    <w:rsid w:val="00A611E0"/>
    <w:rsid w:val="00A6125E"/>
    <w:rsid w:val="00A61263"/>
    <w:rsid w:val="00A61453"/>
    <w:rsid w:val="00A61456"/>
    <w:rsid w:val="00A61791"/>
    <w:rsid w:val="00A61D0C"/>
    <w:rsid w:val="00A61E4A"/>
    <w:rsid w:val="00A61F53"/>
    <w:rsid w:val="00A622E9"/>
    <w:rsid w:val="00A6234B"/>
    <w:rsid w:val="00A626A6"/>
    <w:rsid w:val="00A6276B"/>
    <w:rsid w:val="00A62996"/>
    <w:rsid w:val="00A62AA1"/>
    <w:rsid w:val="00A62FBC"/>
    <w:rsid w:val="00A63363"/>
    <w:rsid w:val="00A6342F"/>
    <w:rsid w:val="00A63667"/>
    <w:rsid w:val="00A63B01"/>
    <w:rsid w:val="00A63EDF"/>
    <w:rsid w:val="00A63F84"/>
    <w:rsid w:val="00A640E2"/>
    <w:rsid w:val="00A642BA"/>
    <w:rsid w:val="00A643CA"/>
    <w:rsid w:val="00A648DD"/>
    <w:rsid w:val="00A6492B"/>
    <w:rsid w:val="00A64D65"/>
    <w:rsid w:val="00A65152"/>
    <w:rsid w:val="00A652DB"/>
    <w:rsid w:val="00A6546F"/>
    <w:rsid w:val="00A65A58"/>
    <w:rsid w:val="00A65AB7"/>
    <w:rsid w:val="00A65BA4"/>
    <w:rsid w:val="00A65D5C"/>
    <w:rsid w:val="00A66FCD"/>
    <w:rsid w:val="00A67056"/>
    <w:rsid w:val="00A6725B"/>
    <w:rsid w:val="00A67931"/>
    <w:rsid w:val="00A67DB9"/>
    <w:rsid w:val="00A67F73"/>
    <w:rsid w:val="00A701F4"/>
    <w:rsid w:val="00A7047E"/>
    <w:rsid w:val="00A704B0"/>
    <w:rsid w:val="00A705DF"/>
    <w:rsid w:val="00A70605"/>
    <w:rsid w:val="00A7069C"/>
    <w:rsid w:val="00A708EA"/>
    <w:rsid w:val="00A70D4B"/>
    <w:rsid w:val="00A711D1"/>
    <w:rsid w:val="00A727CC"/>
    <w:rsid w:val="00A72D43"/>
    <w:rsid w:val="00A72EAB"/>
    <w:rsid w:val="00A72FFA"/>
    <w:rsid w:val="00A73033"/>
    <w:rsid w:val="00A73134"/>
    <w:rsid w:val="00A733F7"/>
    <w:rsid w:val="00A73425"/>
    <w:rsid w:val="00A7365A"/>
    <w:rsid w:val="00A73E3F"/>
    <w:rsid w:val="00A74065"/>
    <w:rsid w:val="00A74189"/>
    <w:rsid w:val="00A74684"/>
    <w:rsid w:val="00A748A6"/>
    <w:rsid w:val="00A74AFD"/>
    <w:rsid w:val="00A74B36"/>
    <w:rsid w:val="00A74DF5"/>
    <w:rsid w:val="00A74E6D"/>
    <w:rsid w:val="00A7507C"/>
    <w:rsid w:val="00A750BC"/>
    <w:rsid w:val="00A752A6"/>
    <w:rsid w:val="00A754F5"/>
    <w:rsid w:val="00A75BEF"/>
    <w:rsid w:val="00A75C09"/>
    <w:rsid w:val="00A76001"/>
    <w:rsid w:val="00A76004"/>
    <w:rsid w:val="00A76099"/>
    <w:rsid w:val="00A7623D"/>
    <w:rsid w:val="00A764DF"/>
    <w:rsid w:val="00A767D3"/>
    <w:rsid w:val="00A768D2"/>
    <w:rsid w:val="00A76993"/>
    <w:rsid w:val="00A76A26"/>
    <w:rsid w:val="00A76D1A"/>
    <w:rsid w:val="00A76EA5"/>
    <w:rsid w:val="00A76F38"/>
    <w:rsid w:val="00A777B2"/>
    <w:rsid w:val="00A778B1"/>
    <w:rsid w:val="00A77AFF"/>
    <w:rsid w:val="00A80194"/>
    <w:rsid w:val="00A801F7"/>
    <w:rsid w:val="00A80A66"/>
    <w:rsid w:val="00A80C75"/>
    <w:rsid w:val="00A810DB"/>
    <w:rsid w:val="00A8115A"/>
    <w:rsid w:val="00A819E6"/>
    <w:rsid w:val="00A81C85"/>
    <w:rsid w:val="00A82191"/>
    <w:rsid w:val="00A8220D"/>
    <w:rsid w:val="00A825D4"/>
    <w:rsid w:val="00A826A8"/>
    <w:rsid w:val="00A82711"/>
    <w:rsid w:val="00A82769"/>
    <w:rsid w:val="00A827F7"/>
    <w:rsid w:val="00A82812"/>
    <w:rsid w:val="00A828F6"/>
    <w:rsid w:val="00A82B73"/>
    <w:rsid w:val="00A82C9A"/>
    <w:rsid w:val="00A83670"/>
    <w:rsid w:val="00A83847"/>
    <w:rsid w:val="00A83A1D"/>
    <w:rsid w:val="00A83AC7"/>
    <w:rsid w:val="00A83F4B"/>
    <w:rsid w:val="00A846B2"/>
    <w:rsid w:val="00A84826"/>
    <w:rsid w:val="00A84D30"/>
    <w:rsid w:val="00A84D87"/>
    <w:rsid w:val="00A8555C"/>
    <w:rsid w:val="00A85780"/>
    <w:rsid w:val="00A859AA"/>
    <w:rsid w:val="00A85AD9"/>
    <w:rsid w:val="00A8652C"/>
    <w:rsid w:val="00A866D7"/>
    <w:rsid w:val="00A86C86"/>
    <w:rsid w:val="00A86E8B"/>
    <w:rsid w:val="00A86EE4"/>
    <w:rsid w:val="00A87164"/>
    <w:rsid w:val="00A871A9"/>
    <w:rsid w:val="00A87601"/>
    <w:rsid w:val="00A87883"/>
    <w:rsid w:val="00A87F4B"/>
    <w:rsid w:val="00A87F6A"/>
    <w:rsid w:val="00A90AC6"/>
    <w:rsid w:val="00A90AE1"/>
    <w:rsid w:val="00A90BE2"/>
    <w:rsid w:val="00A9127A"/>
    <w:rsid w:val="00A912F4"/>
    <w:rsid w:val="00A92464"/>
    <w:rsid w:val="00A9247F"/>
    <w:rsid w:val="00A9267A"/>
    <w:rsid w:val="00A92772"/>
    <w:rsid w:val="00A92E29"/>
    <w:rsid w:val="00A92EA4"/>
    <w:rsid w:val="00A92F42"/>
    <w:rsid w:val="00A92F72"/>
    <w:rsid w:val="00A93004"/>
    <w:rsid w:val="00A93072"/>
    <w:rsid w:val="00A931E3"/>
    <w:rsid w:val="00A931F6"/>
    <w:rsid w:val="00A936AE"/>
    <w:rsid w:val="00A93737"/>
    <w:rsid w:val="00A938BD"/>
    <w:rsid w:val="00A93953"/>
    <w:rsid w:val="00A93BE0"/>
    <w:rsid w:val="00A93C8E"/>
    <w:rsid w:val="00A941F8"/>
    <w:rsid w:val="00A943B3"/>
    <w:rsid w:val="00A943EC"/>
    <w:rsid w:val="00A9442F"/>
    <w:rsid w:val="00A94444"/>
    <w:rsid w:val="00A947BA"/>
    <w:rsid w:val="00A94DF9"/>
    <w:rsid w:val="00A94EF1"/>
    <w:rsid w:val="00A94F6B"/>
    <w:rsid w:val="00A95635"/>
    <w:rsid w:val="00A959AE"/>
    <w:rsid w:val="00A959D8"/>
    <w:rsid w:val="00A95A71"/>
    <w:rsid w:val="00A961BB"/>
    <w:rsid w:val="00A9622D"/>
    <w:rsid w:val="00A96DD1"/>
    <w:rsid w:val="00A9710D"/>
    <w:rsid w:val="00A97ABB"/>
    <w:rsid w:val="00A97B4E"/>
    <w:rsid w:val="00A97E38"/>
    <w:rsid w:val="00AA0415"/>
    <w:rsid w:val="00AA04D1"/>
    <w:rsid w:val="00AA06B0"/>
    <w:rsid w:val="00AA06C6"/>
    <w:rsid w:val="00AA0914"/>
    <w:rsid w:val="00AA0E62"/>
    <w:rsid w:val="00AA0EAF"/>
    <w:rsid w:val="00AA0EC9"/>
    <w:rsid w:val="00AA0EF8"/>
    <w:rsid w:val="00AA1018"/>
    <w:rsid w:val="00AA113D"/>
    <w:rsid w:val="00AA14DA"/>
    <w:rsid w:val="00AA1504"/>
    <w:rsid w:val="00AA185F"/>
    <w:rsid w:val="00AA1C74"/>
    <w:rsid w:val="00AA2665"/>
    <w:rsid w:val="00AA26ED"/>
    <w:rsid w:val="00AA298E"/>
    <w:rsid w:val="00AA2AAC"/>
    <w:rsid w:val="00AA2CC1"/>
    <w:rsid w:val="00AA2EB4"/>
    <w:rsid w:val="00AA2F6F"/>
    <w:rsid w:val="00AA3354"/>
    <w:rsid w:val="00AA3580"/>
    <w:rsid w:val="00AA35A7"/>
    <w:rsid w:val="00AA3672"/>
    <w:rsid w:val="00AA3915"/>
    <w:rsid w:val="00AA3E6B"/>
    <w:rsid w:val="00AA3EB1"/>
    <w:rsid w:val="00AA400C"/>
    <w:rsid w:val="00AA4387"/>
    <w:rsid w:val="00AA4444"/>
    <w:rsid w:val="00AA483D"/>
    <w:rsid w:val="00AA4AA7"/>
    <w:rsid w:val="00AA4BCC"/>
    <w:rsid w:val="00AA4D6E"/>
    <w:rsid w:val="00AA515D"/>
    <w:rsid w:val="00AA5202"/>
    <w:rsid w:val="00AA52B4"/>
    <w:rsid w:val="00AA58BD"/>
    <w:rsid w:val="00AA5C5E"/>
    <w:rsid w:val="00AA5CAC"/>
    <w:rsid w:val="00AA662A"/>
    <w:rsid w:val="00AA6639"/>
    <w:rsid w:val="00AA6A7B"/>
    <w:rsid w:val="00AA6BD5"/>
    <w:rsid w:val="00AA6BD8"/>
    <w:rsid w:val="00AA6C7D"/>
    <w:rsid w:val="00AA6CED"/>
    <w:rsid w:val="00AA6DE8"/>
    <w:rsid w:val="00AA6F56"/>
    <w:rsid w:val="00AA7118"/>
    <w:rsid w:val="00AA7353"/>
    <w:rsid w:val="00AA7716"/>
    <w:rsid w:val="00AA7A1A"/>
    <w:rsid w:val="00AA7ECF"/>
    <w:rsid w:val="00AA7FD6"/>
    <w:rsid w:val="00AB0161"/>
    <w:rsid w:val="00AB042A"/>
    <w:rsid w:val="00AB051B"/>
    <w:rsid w:val="00AB05C7"/>
    <w:rsid w:val="00AB0AD7"/>
    <w:rsid w:val="00AB11AD"/>
    <w:rsid w:val="00AB1259"/>
    <w:rsid w:val="00AB182E"/>
    <w:rsid w:val="00AB18CD"/>
    <w:rsid w:val="00AB19EF"/>
    <w:rsid w:val="00AB1E5F"/>
    <w:rsid w:val="00AB1EC1"/>
    <w:rsid w:val="00AB239E"/>
    <w:rsid w:val="00AB2495"/>
    <w:rsid w:val="00AB2541"/>
    <w:rsid w:val="00AB25C4"/>
    <w:rsid w:val="00AB2B34"/>
    <w:rsid w:val="00AB2D01"/>
    <w:rsid w:val="00AB2D34"/>
    <w:rsid w:val="00AB2F8E"/>
    <w:rsid w:val="00AB315A"/>
    <w:rsid w:val="00AB328B"/>
    <w:rsid w:val="00AB3430"/>
    <w:rsid w:val="00AB37B9"/>
    <w:rsid w:val="00AB3858"/>
    <w:rsid w:val="00AB3B7E"/>
    <w:rsid w:val="00AB3BCD"/>
    <w:rsid w:val="00AB3C71"/>
    <w:rsid w:val="00AB3DDD"/>
    <w:rsid w:val="00AB3DEB"/>
    <w:rsid w:val="00AB3E4C"/>
    <w:rsid w:val="00AB3FB7"/>
    <w:rsid w:val="00AB4AD1"/>
    <w:rsid w:val="00AB5E07"/>
    <w:rsid w:val="00AB60D6"/>
    <w:rsid w:val="00AB642C"/>
    <w:rsid w:val="00AB688C"/>
    <w:rsid w:val="00AB6F48"/>
    <w:rsid w:val="00AB71F2"/>
    <w:rsid w:val="00AB78A8"/>
    <w:rsid w:val="00AB7B80"/>
    <w:rsid w:val="00AB7CFA"/>
    <w:rsid w:val="00AC0C02"/>
    <w:rsid w:val="00AC1780"/>
    <w:rsid w:val="00AC18A4"/>
    <w:rsid w:val="00AC1987"/>
    <w:rsid w:val="00AC1988"/>
    <w:rsid w:val="00AC1B89"/>
    <w:rsid w:val="00AC1E66"/>
    <w:rsid w:val="00AC1E9D"/>
    <w:rsid w:val="00AC2157"/>
    <w:rsid w:val="00AC2800"/>
    <w:rsid w:val="00AC2A42"/>
    <w:rsid w:val="00AC2BA4"/>
    <w:rsid w:val="00AC3198"/>
    <w:rsid w:val="00AC31C0"/>
    <w:rsid w:val="00AC34C1"/>
    <w:rsid w:val="00AC3EBD"/>
    <w:rsid w:val="00AC3FDC"/>
    <w:rsid w:val="00AC495D"/>
    <w:rsid w:val="00AC4C47"/>
    <w:rsid w:val="00AC5B1E"/>
    <w:rsid w:val="00AC5B42"/>
    <w:rsid w:val="00AC5B48"/>
    <w:rsid w:val="00AC5B55"/>
    <w:rsid w:val="00AC5EE7"/>
    <w:rsid w:val="00AC6471"/>
    <w:rsid w:val="00AC6770"/>
    <w:rsid w:val="00AC67C2"/>
    <w:rsid w:val="00AC683F"/>
    <w:rsid w:val="00AC685A"/>
    <w:rsid w:val="00AC6D31"/>
    <w:rsid w:val="00AC6F2A"/>
    <w:rsid w:val="00AC6F64"/>
    <w:rsid w:val="00AC717C"/>
    <w:rsid w:val="00AC73C2"/>
    <w:rsid w:val="00AC7456"/>
    <w:rsid w:val="00AC752C"/>
    <w:rsid w:val="00AC75E0"/>
    <w:rsid w:val="00AC7CA6"/>
    <w:rsid w:val="00AC7D95"/>
    <w:rsid w:val="00AC7D98"/>
    <w:rsid w:val="00AD0237"/>
    <w:rsid w:val="00AD05B2"/>
    <w:rsid w:val="00AD060F"/>
    <w:rsid w:val="00AD0623"/>
    <w:rsid w:val="00AD0917"/>
    <w:rsid w:val="00AD11C4"/>
    <w:rsid w:val="00AD11C9"/>
    <w:rsid w:val="00AD1450"/>
    <w:rsid w:val="00AD15E8"/>
    <w:rsid w:val="00AD1A24"/>
    <w:rsid w:val="00AD29DD"/>
    <w:rsid w:val="00AD2BF1"/>
    <w:rsid w:val="00AD3287"/>
    <w:rsid w:val="00AD32DC"/>
    <w:rsid w:val="00AD356D"/>
    <w:rsid w:val="00AD38A6"/>
    <w:rsid w:val="00AD38E2"/>
    <w:rsid w:val="00AD3958"/>
    <w:rsid w:val="00AD3D01"/>
    <w:rsid w:val="00AD3FAB"/>
    <w:rsid w:val="00AD47D4"/>
    <w:rsid w:val="00AD4FC9"/>
    <w:rsid w:val="00AD50E4"/>
    <w:rsid w:val="00AD54BD"/>
    <w:rsid w:val="00AD5678"/>
    <w:rsid w:val="00AD5B06"/>
    <w:rsid w:val="00AD5F38"/>
    <w:rsid w:val="00AD5FBA"/>
    <w:rsid w:val="00AD6400"/>
    <w:rsid w:val="00AD6502"/>
    <w:rsid w:val="00AD6AA8"/>
    <w:rsid w:val="00AD6B9E"/>
    <w:rsid w:val="00AD6D90"/>
    <w:rsid w:val="00AD7053"/>
    <w:rsid w:val="00AD7611"/>
    <w:rsid w:val="00AD7763"/>
    <w:rsid w:val="00AD7819"/>
    <w:rsid w:val="00AD7D31"/>
    <w:rsid w:val="00AD7FCC"/>
    <w:rsid w:val="00AE019A"/>
    <w:rsid w:val="00AE024E"/>
    <w:rsid w:val="00AE0291"/>
    <w:rsid w:val="00AE050C"/>
    <w:rsid w:val="00AE0695"/>
    <w:rsid w:val="00AE08FB"/>
    <w:rsid w:val="00AE0CA3"/>
    <w:rsid w:val="00AE0EC2"/>
    <w:rsid w:val="00AE11F9"/>
    <w:rsid w:val="00AE1572"/>
    <w:rsid w:val="00AE170E"/>
    <w:rsid w:val="00AE1A48"/>
    <w:rsid w:val="00AE22F7"/>
    <w:rsid w:val="00AE2571"/>
    <w:rsid w:val="00AE26FD"/>
    <w:rsid w:val="00AE2803"/>
    <w:rsid w:val="00AE310C"/>
    <w:rsid w:val="00AE34F9"/>
    <w:rsid w:val="00AE3823"/>
    <w:rsid w:val="00AE38B1"/>
    <w:rsid w:val="00AE3A24"/>
    <w:rsid w:val="00AE3A4E"/>
    <w:rsid w:val="00AE3DD9"/>
    <w:rsid w:val="00AE3E7C"/>
    <w:rsid w:val="00AE3E7E"/>
    <w:rsid w:val="00AE4161"/>
    <w:rsid w:val="00AE45E7"/>
    <w:rsid w:val="00AE4809"/>
    <w:rsid w:val="00AE48F3"/>
    <w:rsid w:val="00AE4DD7"/>
    <w:rsid w:val="00AE54C2"/>
    <w:rsid w:val="00AE5CA9"/>
    <w:rsid w:val="00AE5EE7"/>
    <w:rsid w:val="00AE6118"/>
    <w:rsid w:val="00AE6295"/>
    <w:rsid w:val="00AE6334"/>
    <w:rsid w:val="00AE6BBF"/>
    <w:rsid w:val="00AE6BCC"/>
    <w:rsid w:val="00AE6F40"/>
    <w:rsid w:val="00AE73C0"/>
    <w:rsid w:val="00AE7AD3"/>
    <w:rsid w:val="00AE7E53"/>
    <w:rsid w:val="00AE7E61"/>
    <w:rsid w:val="00AF0082"/>
    <w:rsid w:val="00AF0457"/>
    <w:rsid w:val="00AF04E6"/>
    <w:rsid w:val="00AF0EF3"/>
    <w:rsid w:val="00AF103F"/>
    <w:rsid w:val="00AF121F"/>
    <w:rsid w:val="00AF1315"/>
    <w:rsid w:val="00AF13F2"/>
    <w:rsid w:val="00AF153C"/>
    <w:rsid w:val="00AF1904"/>
    <w:rsid w:val="00AF19BF"/>
    <w:rsid w:val="00AF2DC3"/>
    <w:rsid w:val="00AF2F40"/>
    <w:rsid w:val="00AF31F3"/>
    <w:rsid w:val="00AF33DE"/>
    <w:rsid w:val="00AF3693"/>
    <w:rsid w:val="00AF3C5F"/>
    <w:rsid w:val="00AF3CEE"/>
    <w:rsid w:val="00AF3ED7"/>
    <w:rsid w:val="00AF454C"/>
    <w:rsid w:val="00AF55DA"/>
    <w:rsid w:val="00AF5910"/>
    <w:rsid w:val="00AF5BDB"/>
    <w:rsid w:val="00AF5C7A"/>
    <w:rsid w:val="00AF5F4A"/>
    <w:rsid w:val="00AF626B"/>
    <w:rsid w:val="00AF6777"/>
    <w:rsid w:val="00AF6993"/>
    <w:rsid w:val="00AF69F1"/>
    <w:rsid w:val="00AF6FF0"/>
    <w:rsid w:val="00AF731F"/>
    <w:rsid w:val="00AF762C"/>
    <w:rsid w:val="00AF7DFC"/>
    <w:rsid w:val="00AF7E2B"/>
    <w:rsid w:val="00AF7F24"/>
    <w:rsid w:val="00B00614"/>
    <w:rsid w:val="00B009AD"/>
    <w:rsid w:val="00B009BE"/>
    <w:rsid w:val="00B00A5B"/>
    <w:rsid w:val="00B00E2A"/>
    <w:rsid w:val="00B0163C"/>
    <w:rsid w:val="00B016CE"/>
    <w:rsid w:val="00B01D94"/>
    <w:rsid w:val="00B02F0F"/>
    <w:rsid w:val="00B03016"/>
    <w:rsid w:val="00B033E5"/>
    <w:rsid w:val="00B03A63"/>
    <w:rsid w:val="00B03BEF"/>
    <w:rsid w:val="00B04040"/>
    <w:rsid w:val="00B04121"/>
    <w:rsid w:val="00B049BA"/>
    <w:rsid w:val="00B04A44"/>
    <w:rsid w:val="00B04B94"/>
    <w:rsid w:val="00B04C1F"/>
    <w:rsid w:val="00B04C30"/>
    <w:rsid w:val="00B05D73"/>
    <w:rsid w:val="00B05DF2"/>
    <w:rsid w:val="00B05E4D"/>
    <w:rsid w:val="00B064DF"/>
    <w:rsid w:val="00B069D7"/>
    <w:rsid w:val="00B06C60"/>
    <w:rsid w:val="00B06D67"/>
    <w:rsid w:val="00B06EFB"/>
    <w:rsid w:val="00B07581"/>
    <w:rsid w:val="00B075A6"/>
    <w:rsid w:val="00B07A31"/>
    <w:rsid w:val="00B07E03"/>
    <w:rsid w:val="00B07E5D"/>
    <w:rsid w:val="00B07F58"/>
    <w:rsid w:val="00B10543"/>
    <w:rsid w:val="00B106F8"/>
    <w:rsid w:val="00B1071F"/>
    <w:rsid w:val="00B108D2"/>
    <w:rsid w:val="00B1135B"/>
    <w:rsid w:val="00B11466"/>
    <w:rsid w:val="00B11760"/>
    <w:rsid w:val="00B119E6"/>
    <w:rsid w:val="00B12897"/>
    <w:rsid w:val="00B128B7"/>
    <w:rsid w:val="00B12950"/>
    <w:rsid w:val="00B129A4"/>
    <w:rsid w:val="00B12DD4"/>
    <w:rsid w:val="00B1332F"/>
    <w:rsid w:val="00B1338E"/>
    <w:rsid w:val="00B13AA6"/>
    <w:rsid w:val="00B13C29"/>
    <w:rsid w:val="00B13E74"/>
    <w:rsid w:val="00B13FC2"/>
    <w:rsid w:val="00B1404E"/>
    <w:rsid w:val="00B1490B"/>
    <w:rsid w:val="00B14A85"/>
    <w:rsid w:val="00B14F6D"/>
    <w:rsid w:val="00B150DC"/>
    <w:rsid w:val="00B15259"/>
    <w:rsid w:val="00B152FD"/>
    <w:rsid w:val="00B153DE"/>
    <w:rsid w:val="00B15731"/>
    <w:rsid w:val="00B157EF"/>
    <w:rsid w:val="00B158EA"/>
    <w:rsid w:val="00B15AFE"/>
    <w:rsid w:val="00B15D58"/>
    <w:rsid w:val="00B160A2"/>
    <w:rsid w:val="00B16764"/>
    <w:rsid w:val="00B1699F"/>
    <w:rsid w:val="00B1704B"/>
    <w:rsid w:val="00B17307"/>
    <w:rsid w:val="00B17377"/>
    <w:rsid w:val="00B177A3"/>
    <w:rsid w:val="00B17B77"/>
    <w:rsid w:val="00B17EE5"/>
    <w:rsid w:val="00B201A4"/>
    <w:rsid w:val="00B201D1"/>
    <w:rsid w:val="00B20336"/>
    <w:rsid w:val="00B20716"/>
    <w:rsid w:val="00B20BB0"/>
    <w:rsid w:val="00B20E4B"/>
    <w:rsid w:val="00B20EF6"/>
    <w:rsid w:val="00B2133B"/>
    <w:rsid w:val="00B213A5"/>
    <w:rsid w:val="00B213A6"/>
    <w:rsid w:val="00B213BF"/>
    <w:rsid w:val="00B216E8"/>
    <w:rsid w:val="00B21736"/>
    <w:rsid w:val="00B21E08"/>
    <w:rsid w:val="00B226C5"/>
    <w:rsid w:val="00B22BF4"/>
    <w:rsid w:val="00B23088"/>
    <w:rsid w:val="00B23547"/>
    <w:rsid w:val="00B23576"/>
    <w:rsid w:val="00B235B0"/>
    <w:rsid w:val="00B237E9"/>
    <w:rsid w:val="00B23EA4"/>
    <w:rsid w:val="00B244B5"/>
    <w:rsid w:val="00B244CE"/>
    <w:rsid w:val="00B2475B"/>
    <w:rsid w:val="00B24A40"/>
    <w:rsid w:val="00B24C03"/>
    <w:rsid w:val="00B24C3A"/>
    <w:rsid w:val="00B24DF6"/>
    <w:rsid w:val="00B24F57"/>
    <w:rsid w:val="00B2578A"/>
    <w:rsid w:val="00B25850"/>
    <w:rsid w:val="00B25A30"/>
    <w:rsid w:val="00B25AB8"/>
    <w:rsid w:val="00B25D7B"/>
    <w:rsid w:val="00B261BA"/>
    <w:rsid w:val="00B2659E"/>
    <w:rsid w:val="00B274CA"/>
    <w:rsid w:val="00B27531"/>
    <w:rsid w:val="00B27A61"/>
    <w:rsid w:val="00B27E14"/>
    <w:rsid w:val="00B27F59"/>
    <w:rsid w:val="00B30099"/>
    <w:rsid w:val="00B308FB"/>
    <w:rsid w:val="00B3096D"/>
    <w:rsid w:val="00B30E81"/>
    <w:rsid w:val="00B31149"/>
    <w:rsid w:val="00B31F46"/>
    <w:rsid w:val="00B322BE"/>
    <w:rsid w:val="00B322D4"/>
    <w:rsid w:val="00B324B9"/>
    <w:rsid w:val="00B32547"/>
    <w:rsid w:val="00B3270E"/>
    <w:rsid w:val="00B32770"/>
    <w:rsid w:val="00B32C93"/>
    <w:rsid w:val="00B32EFF"/>
    <w:rsid w:val="00B32F84"/>
    <w:rsid w:val="00B330FD"/>
    <w:rsid w:val="00B336AE"/>
    <w:rsid w:val="00B33C57"/>
    <w:rsid w:val="00B33EF6"/>
    <w:rsid w:val="00B3429B"/>
    <w:rsid w:val="00B3454F"/>
    <w:rsid w:val="00B348A7"/>
    <w:rsid w:val="00B34C5C"/>
    <w:rsid w:val="00B34D45"/>
    <w:rsid w:val="00B34D94"/>
    <w:rsid w:val="00B34FE2"/>
    <w:rsid w:val="00B35166"/>
    <w:rsid w:val="00B357D8"/>
    <w:rsid w:val="00B359A3"/>
    <w:rsid w:val="00B360F4"/>
    <w:rsid w:val="00B365C5"/>
    <w:rsid w:val="00B366A3"/>
    <w:rsid w:val="00B368C0"/>
    <w:rsid w:val="00B369E3"/>
    <w:rsid w:val="00B36A00"/>
    <w:rsid w:val="00B36AE5"/>
    <w:rsid w:val="00B37009"/>
    <w:rsid w:val="00B375D6"/>
    <w:rsid w:val="00B3792B"/>
    <w:rsid w:val="00B37941"/>
    <w:rsid w:val="00B37BA4"/>
    <w:rsid w:val="00B37BFC"/>
    <w:rsid w:val="00B37D74"/>
    <w:rsid w:val="00B4024B"/>
    <w:rsid w:val="00B40358"/>
    <w:rsid w:val="00B40398"/>
    <w:rsid w:val="00B404DF"/>
    <w:rsid w:val="00B4097B"/>
    <w:rsid w:val="00B40F84"/>
    <w:rsid w:val="00B411B0"/>
    <w:rsid w:val="00B41401"/>
    <w:rsid w:val="00B41614"/>
    <w:rsid w:val="00B41961"/>
    <w:rsid w:val="00B41CD6"/>
    <w:rsid w:val="00B4256A"/>
    <w:rsid w:val="00B42776"/>
    <w:rsid w:val="00B42851"/>
    <w:rsid w:val="00B42C7B"/>
    <w:rsid w:val="00B42CAC"/>
    <w:rsid w:val="00B42F80"/>
    <w:rsid w:val="00B43074"/>
    <w:rsid w:val="00B43521"/>
    <w:rsid w:val="00B435CB"/>
    <w:rsid w:val="00B43CCA"/>
    <w:rsid w:val="00B43F80"/>
    <w:rsid w:val="00B44060"/>
    <w:rsid w:val="00B44229"/>
    <w:rsid w:val="00B443C9"/>
    <w:rsid w:val="00B44C57"/>
    <w:rsid w:val="00B44D9A"/>
    <w:rsid w:val="00B44DD4"/>
    <w:rsid w:val="00B450F9"/>
    <w:rsid w:val="00B4510D"/>
    <w:rsid w:val="00B452C6"/>
    <w:rsid w:val="00B45555"/>
    <w:rsid w:val="00B45F6B"/>
    <w:rsid w:val="00B4650B"/>
    <w:rsid w:val="00B465EC"/>
    <w:rsid w:val="00B46677"/>
    <w:rsid w:val="00B46D59"/>
    <w:rsid w:val="00B47013"/>
    <w:rsid w:val="00B4738E"/>
    <w:rsid w:val="00B473CC"/>
    <w:rsid w:val="00B47596"/>
    <w:rsid w:val="00B4767E"/>
    <w:rsid w:val="00B478E0"/>
    <w:rsid w:val="00B47926"/>
    <w:rsid w:val="00B47A87"/>
    <w:rsid w:val="00B47CDF"/>
    <w:rsid w:val="00B47EC6"/>
    <w:rsid w:val="00B500AE"/>
    <w:rsid w:val="00B5054F"/>
    <w:rsid w:val="00B505C8"/>
    <w:rsid w:val="00B506FC"/>
    <w:rsid w:val="00B507C5"/>
    <w:rsid w:val="00B508C0"/>
    <w:rsid w:val="00B50AB3"/>
    <w:rsid w:val="00B50DB8"/>
    <w:rsid w:val="00B516EE"/>
    <w:rsid w:val="00B51742"/>
    <w:rsid w:val="00B51B84"/>
    <w:rsid w:val="00B5204D"/>
    <w:rsid w:val="00B524E1"/>
    <w:rsid w:val="00B52675"/>
    <w:rsid w:val="00B5276C"/>
    <w:rsid w:val="00B52A23"/>
    <w:rsid w:val="00B52E2C"/>
    <w:rsid w:val="00B53654"/>
    <w:rsid w:val="00B53767"/>
    <w:rsid w:val="00B537E6"/>
    <w:rsid w:val="00B53905"/>
    <w:rsid w:val="00B53937"/>
    <w:rsid w:val="00B53CBA"/>
    <w:rsid w:val="00B53DD7"/>
    <w:rsid w:val="00B546DB"/>
    <w:rsid w:val="00B5493C"/>
    <w:rsid w:val="00B54A88"/>
    <w:rsid w:val="00B54B28"/>
    <w:rsid w:val="00B54B5B"/>
    <w:rsid w:val="00B54BB1"/>
    <w:rsid w:val="00B54D60"/>
    <w:rsid w:val="00B55078"/>
    <w:rsid w:val="00B55099"/>
    <w:rsid w:val="00B550B4"/>
    <w:rsid w:val="00B5532E"/>
    <w:rsid w:val="00B55448"/>
    <w:rsid w:val="00B55496"/>
    <w:rsid w:val="00B5562E"/>
    <w:rsid w:val="00B55637"/>
    <w:rsid w:val="00B556EC"/>
    <w:rsid w:val="00B556FA"/>
    <w:rsid w:val="00B55862"/>
    <w:rsid w:val="00B558AF"/>
    <w:rsid w:val="00B55C07"/>
    <w:rsid w:val="00B55D65"/>
    <w:rsid w:val="00B55E6A"/>
    <w:rsid w:val="00B55ED3"/>
    <w:rsid w:val="00B56305"/>
    <w:rsid w:val="00B568AA"/>
    <w:rsid w:val="00B568F3"/>
    <w:rsid w:val="00B56946"/>
    <w:rsid w:val="00B56955"/>
    <w:rsid w:val="00B56A12"/>
    <w:rsid w:val="00B56F26"/>
    <w:rsid w:val="00B57000"/>
    <w:rsid w:val="00B5700F"/>
    <w:rsid w:val="00B57294"/>
    <w:rsid w:val="00B5771D"/>
    <w:rsid w:val="00B577D6"/>
    <w:rsid w:val="00B60055"/>
    <w:rsid w:val="00B605DD"/>
    <w:rsid w:val="00B6079E"/>
    <w:rsid w:val="00B60939"/>
    <w:rsid w:val="00B60AFD"/>
    <w:rsid w:val="00B613BD"/>
    <w:rsid w:val="00B615C7"/>
    <w:rsid w:val="00B61657"/>
    <w:rsid w:val="00B617FB"/>
    <w:rsid w:val="00B61EE2"/>
    <w:rsid w:val="00B62075"/>
    <w:rsid w:val="00B62404"/>
    <w:rsid w:val="00B62426"/>
    <w:rsid w:val="00B62562"/>
    <w:rsid w:val="00B62715"/>
    <w:rsid w:val="00B62A81"/>
    <w:rsid w:val="00B63982"/>
    <w:rsid w:val="00B64096"/>
    <w:rsid w:val="00B6445E"/>
    <w:rsid w:val="00B64570"/>
    <w:rsid w:val="00B64594"/>
    <w:rsid w:val="00B64E47"/>
    <w:rsid w:val="00B65299"/>
    <w:rsid w:val="00B65611"/>
    <w:rsid w:val="00B65707"/>
    <w:rsid w:val="00B65D19"/>
    <w:rsid w:val="00B65D7C"/>
    <w:rsid w:val="00B65FF4"/>
    <w:rsid w:val="00B66251"/>
    <w:rsid w:val="00B662EE"/>
    <w:rsid w:val="00B6645C"/>
    <w:rsid w:val="00B6675E"/>
    <w:rsid w:val="00B668D2"/>
    <w:rsid w:val="00B66907"/>
    <w:rsid w:val="00B66BBF"/>
    <w:rsid w:val="00B67184"/>
    <w:rsid w:val="00B6786A"/>
    <w:rsid w:val="00B70458"/>
    <w:rsid w:val="00B70512"/>
    <w:rsid w:val="00B70E8E"/>
    <w:rsid w:val="00B710D1"/>
    <w:rsid w:val="00B711B3"/>
    <w:rsid w:val="00B71236"/>
    <w:rsid w:val="00B71E4C"/>
    <w:rsid w:val="00B727EA"/>
    <w:rsid w:val="00B72877"/>
    <w:rsid w:val="00B73018"/>
    <w:rsid w:val="00B731A5"/>
    <w:rsid w:val="00B73786"/>
    <w:rsid w:val="00B73A4F"/>
    <w:rsid w:val="00B73AE3"/>
    <w:rsid w:val="00B73B87"/>
    <w:rsid w:val="00B73C64"/>
    <w:rsid w:val="00B73F5C"/>
    <w:rsid w:val="00B741A9"/>
    <w:rsid w:val="00B74965"/>
    <w:rsid w:val="00B74AC8"/>
    <w:rsid w:val="00B74E89"/>
    <w:rsid w:val="00B74FB1"/>
    <w:rsid w:val="00B74FEF"/>
    <w:rsid w:val="00B7529D"/>
    <w:rsid w:val="00B752A6"/>
    <w:rsid w:val="00B7557C"/>
    <w:rsid w:val="00B75782"/>
    <w:rsid w:val="00B75D60"/>
    <w:rsid w:val="00B76045"/>
    <w:rsid w:val="00B76169"/>
    <w:rsid w:val="00B761A9"/>
    <w:rsid w:val="00B76208"/>
    <w:rsid w:val="00B765F6"/>
    <w:rsid w:val="00B767B7"/>
    <w:rsid w:val="00B768A8"/>
    <w:rsid w:val="00B76C92"/>
    <w:rsid w:val="00B76D7D"/>
    <w:rsid w:val="00B7705A"/>
    <w:rsid w:val="00B77E03"/>
    <w:rsid w:val="00B77E44"/>
    <w:rsid w:val="00B807B5"/>
    <w:rsid w:val="00B8094F"/>
    <w:rsid w:val="00B80E3C"/>
    <w:rsid w:val="00B80EFD"/>
    <w:rsid w:val="00B80FC4"/>
    <w:rsid w:val="00B8113D"/>
    <w:rsid w:val="00B8122D"/>
    <w:rsid w:val="00B812E3"/>
    <w:rsid w:val="00B81471"/>
    <w:rsid w:val="00B81752"/>
    <w:rsid w:val="00B818A4"/>
    <w:rsid w:val="00B81965"/>
    <w:rsid w:val="00B81C01"/>
    <w:rsid w:val="00B81D57"/>
    <w:rsid w:val="00B81DC5"/>
    <w:rsid w:val="00B81E43"/>
    <w:rsid w:val="00B81E4A"/>
    <w:rsid w:val="00B81F4C"/>
    <w:rsid w:val="00B8236C"/>
    <w:rsid w:val="00B826A3"/>
    <w:rsid w:val="00B831AF"/>
    <w:rsid w:val="00B83287"/>
    <w:rsid w:val="00B832AE"/>
    <w:rsid w:val="00B832D1"/>
    <w:rsid w:val="00B83422"/>
    <w:rsid w:val="00B8348B"/>
    <w:rsid w:val="00B836A8"/>
    <w:rsid w:val="00B83739"/>
    <w:rsid w:val="00B83790"/>
    <w:rsid w:val="00B83CAB"/>
    <w:rsid w:val="00B83D03"/>
    <w:rsid w:val="00B8409F"/>
    <w:rsid w:val="00B84117"/>
    <w:rsid w:val="00B841D7"/>
    <w:rsid w:val="00B841F1"/>
    <w:rsid w:val="00B84440"/>
    <w:rsid w:val="00B849AC"/>
    <w:rsid w:val="00B84F72"/>
    <w:rsid w:val="00B8503D"/>
    <w:rsid w:val="00B851C4"/>
    <w:rsid w:val="00B851F6"/>
    <w:rsid w:val="00B858F0"/>
    <w:rsid w:val="00B85A57"/>
    <w:rsid w:val="00B85AA2"/>
    <w:rsid w:val="00B85C9E"/>
    <w:rsid w:val="00B85D89"/>
    <w:rsid w:val="00B86148"/>
    <w:rsid w:val="00B8649C"/>
    <w:rsid w:val="00B864F9"/>
    <w:rsid w:val="00B86545"/>
    <w:rsid w:val="00B865D8"/>
    <w:rsid w:val="00B865E3"/>
    <w:rsid w:val="00B8691A"/>
    <w:rsid w:val="00B8695D"/>
    <w:rsid w:val="00B86E34"/>
    <w:rsid w:val="00B86F28"/>
    <w:rsid w:val="00B8707B"/>
    <w:rsid w:val="00B87277"/>
    <w:rsid w:val="00B872AA"/>
    <w:rsid w:val="00B87490"/>
    <w:rsid w:val="00B87D62"/>
    <w:rsid w:val="00B87F0A"/>
    <w:rsid w:val="00B90627"/>
    <w:rsid w:val="00B9069C"/>
    <w:rsid w:val="00B9070B"/>
    <w:rsid w:val="00B907CF"/>
    <w:rsid w:val="00B91264"/>
    <w:rsid w:val="00B914EA"/>
    <w:rsid w:val="00B9185D"/>
    <w:rsid w:val="00B9197B"/>
    <w:rsid w:val="00B91BFF"/>
    <w:rsid w:val="00B91C2D"/>
    <w:rsid w:val="00B91CB8"/>
    <w:rsid w:val="00B91CE2"/>
    <w:rsid w:val="00B91D7D"/>
    <w:rsid w:val="00B91FEC"/>
    <w:rsid w:val="00B9211D"/>
    <w:rsid w:val="00B92138"/>
    <w:rsid w:val="00B9217C"/>
    <w:rsid w:val="00B92516"/>
    <w:rsid w:val="00B9259A"/>
    <w:rsid w:val="00B92A0C"/>
    <w:rsid w:val="00B92BA3"/>
    <w:rsid w:val="00B92D0B"/>
    <w:rsid w:val="00B92DB9"/>
    <w:rsid w:val="00B92FEE"/>
    <w:rsid w:val="00B93537"/>
    <w:rsid w:val="00B93829"/>
    <w:rsid w:val="00B93834"/>
    <w:rsid w:val="00B939FA"/>
    <w:rsid w:val="00B93CC6"/>
    <w:rsid w:val="00B93DAF"/>
    <w:rsid w:val="00B94230"/>
    <w:rsid w:val="00B94563"/>
    <w:rsid w:val="00B945AC"/>
    <w:rsid w:val="00B94945"/>
    <w:rsid w:val="00B949AA"/>
    <w:rsid w:val="00B94DD6"/>
    <w:rsid w:val="00B94E07"/>
    <w:rsid w:val="00B950AA"/>
    <w:rsid w:val="00B951E2"/>
    <w:rsid w:val="00B95AA9"/>
    <w:rsid w:val="00B965A3"/>
    <w:rsid w:val="00B969CE"/>
    <w:rsid w:val="00B96A2F"/>
    <w:rsid w:val="00B96B6A"/>
    <w:rsid w:val="00B96D4A"/>
    <w:rsid w:val="00B97BC2"/>
    <w:rsid w:val="00BA01A1"/>
    <w:rsid w:val="00BA032C"/>
    <w:rsid w:val="00BA061A"/>
    <w:rsid w:val="00BA0E1C"/>
    <w:rsid w:val="00BA106D"/>
    <w:rsid w:val="00BA109C"/>
    <w:rsid w:val="00BA120B"/>
    <w:rsid w:val="00BA1A90"/>
    <w:rsid w:val="00BA205B"/>
    <w:rsid w:val="00BA21C5"/>
    <w:rsid w:val="00BA23B0"/>
    <w:rsid w:val="00BA2495"/>
    <w:rsid w:val="00BA24D6"/>
    <w:rsid w:val="00BA26CA"/>
    <w:rsid w:val="00BA2804"/>
    <w:rsid w:val="00BA2A41"/>
    <w:rsid w:val="00BA2FB6"/>
    <w:rsid w:val="00BA322D"/>
    <w:rsid w:val="00BA3B4E"/>
    <w:rsid w:val="00BA42A8"/>
    <w:rsid w:val="00BA498F"/>
    <w:rsid w:val="00BA4EC3"/>
    <w:rsid w:val="00BA51F9"/>
    <w:rsid w:val="00BA5297"/>
    <w:rsid w:val="00BA5686"/>
    <w:rsid w:val="00BA5877"/>
    <w:rsid w:val="00BA5C0F"/>
    <w:rsid w:val="00BA5EB7"/>
    <w:rsid w:val="00BA6290"/>
    <w:rsid w:val="00BA6337"/>
    <w:rsid w:val="00BA6356"/>
    <w:rsid w:val="00BA63FA"/>
    <w:rsid w:val="00BA6802"/>
    <w:rsid w:val="00BA6CB1"/>
    <w:rsid w:val="00BA6D1B"/>
    <w:rsid w:val="00BA718A"/>
    <w:rsid w:val="00BA739E"/>
    <w:rsid w:val="00BA742C"/>
    <w:rsid w:val="00BA74E7"/>
    <w:rsid w:val="00BA7521"/>
    <w:rsid w:val="00BA7811"/>
    <w:rsid w:val="00BA788B"/>
    <w:rsid w:val="00BA7D96"/>
    <w:rsid w:val="00BA7F4A"/>
    <w:rsid w:val="00BA7F52"/>
    <w:rsid w:val="00BB00B3"/>
    <w:rsid w:val="00BB01BD"/>
    <w:rsid w:val="00BB0225"/>
    <w:rsid w:val="00BB0712"/>
    <w:rsid w:val="00BB0A6C"/>
    <w:rsid w:val="00BB0BDD"/>
    <w:rsid w:val="00BB0CBE"/>
    <w:rsid w:val="00BB1461"/>
    <w:rsid w:val="00BB164C"/>
    <w:rsid w:val="00BB165D"/>
    <w:rsid w:val="00BB16AD"/>
    <w:rsid w:val="00BB176C"/>
    <w:rsid w:val="00BB178B"/>
    <w:rsid w:val="00BB17F4"/>
    <w:rsid w:val="00BB1CBC"/>
    <w:rsid w:val="00BB2369"/>
    <w:rsid w:val="00BB2A73"/>
    <w:rsid w:val="00BB2B56"/>
    <w:rsid w:val="00BB2BB3"/>
    <w:rsid w:val="00BB310A"/>
    <w:rsid w:val="00BB35F0"/>
    <w:rsid w:val="00BB3A45"/>
    <w:rsid w:val="00BB3DE8"/>
    <w:rsid w:val="00BB3EAE"/>
    <w:rsid w:val="00BB40F1"/>
    <w:rsid w:val="00BB44F0"/>
    <w:rsid w:val="00BB45C5"/>
    <w:rsid w:val="00BB4A12"/>
    <w:rsid w:val="00BB4ACC"/>
    <w:rsid w:val="00BB4B8E"/>
    <w:rsid w:val="00BB4D44"/>
    <w:rsid w:val="00BB4F09"/>
    <w:rsid w:val="00BB4F8D"/>
    <w:rsid w:val="00BB502E"/>
    <w:rsid w:val="00BB51FE"/>
    <w:rsid w:val="00BB537D"/>
    <w:rsid w:val="00BB54B6"/>
    <w:rsid w:val="00BB57EF"/>
    <w:rsid w:val="00BB57F6"/>
    <w:rsid w:val="00BB59EE"/>
    <w:rsid w:val="00BB5BC1"/>
    <w:rsid w:val="00BB5D87"/>
    <w:rsid w:val="00BB5E92"/>
    <w:rsid w:val="00BB5F28"/>
    <w:rsid w:val="00BB5FF0"/>
    <w:rsid w:val="00BB6589"/>
    <w:rsid w:val="00BB6B4A"/>
    <w:rsid w:val="00BB6C4B"/>
    <w:rsid w:val="00BB6C59"/>
    <w:rsid w:val="00BB6D4D"/>
    <w:rsid w:val="00BB6D80"/>
    <w:rsid w:val="00BB6DBE"/>
    <w:rsid w:val="00BB703E"/>
    <w:rsid w:val="00BB732D"/>
    <w:rsid w:val="00BB7405"/>
    <w:rsid w:val="00BB75A2"/>
    <w:rsid w:val="00BB75A7"/>
    <w:rsid w:val="00BB7620"/>
    <w:rsid w:val="00BB7BEE"/>
    <w:rsid w:val="00BB7F4A"/>
    <w:rsid w:val="00BC10A8"/>
    <w:rsid w:val="00BC1339"/>
    <w:rsid w:val="00BC1504"/>
    <w:rsid w:val="00BC225D"/>
    <w:rsid w:val="00BC2482"/>
    <w:rsid w:val="00BC26C9"/>
    <w:rsid w:val="00BC2706"/>
    <w:rsid w:val="00BC2756"/>
    <w:rsid w:val="00BC2CB3"/>
    <w:rsid w:val="00BC2CCB"/>
    <w:rsid w:val="00BC2F21"/>
    <w:rsid w:val="00BC3631"/>
    <w:rsid w:val="00BC375D"/>
    <w:rsid w:val="00BC3B23"/>
    <w:rsid w:val="00BC416F"/>
    <w:rsid w:val="00BC41B0"/>
    <w:rsid w:val="00BC4386"/>
    <w:rsid w:val="00BC450D"/>
    <w:rsid w:val="00BC4AB3"/>
    <w:rsid w:val="00BC4E67"/>
    <w:rsid w:val="00BC509A"/>
    <w:rsid w:val="00BC530B"/>
    <w:rsid w:val="00BC5534"/>
    <w:rsid w:val="00BC57AA"/>
    <w:rsid w:val="00BC591F"/>
    <w:rsid w:val="00BC59A1"/>
    <w:rsid w:val="00BC5AEC"/>
    <w:rsid w:val="00BC5B0B"/>
    <w:rsid w:val="00BC6075"/>
    <w:rsid w:val="00BC6225"/>
    <w:rsid w:val="00BC6423"/>
    <w:rsid w:val="00BC6474"/>
    <w:rsid w:val="00BC64C9"/>
    <w:rsid w:val="00BC665F"/>
    <w:rsid w:val="00BC66B8"/>
    <w:rsid w:val="00BC742A"/>
    <w:rsid w:val="00BC7991"/>
    <w:rsid w:val="00BC7A67"/>
    <w:rsid w:val="00BC7D6D"/>
    <w:rsid w:val="00BC7F2D"/>
    <w:rsid w:val="00BC7FFC"/>
    <w:rsid w:val="00BD078A"/>
    <w:rsid w:val="00BD07A0"/>
    <w:rsid w:val="00BD092C"/>
    <w:rsid w:val="00BD0B2C"/>
    <w:rsid w:val="00BD0C8C"/>
    <w:rsid w:val="00BD109D"/>
    <w:rsid w:val="00BD11CC"/>
    <w:rsid w:val="00BD17DC"/>
    <w:rsid w:val="00BD1800"/>
    <w:rsid w:val="00BD18B0"/>
    <w:rsid w:val="00BD1CD4"/>
    <w:rsid w:val="00BD1D30"/>
    <w:rsid w:val="00BD2108"/>
    <w:rsid w:val="00BD22CE"/>
    <w:rsid w:val="00BD2398"/>
    <w:rsid w:val="00BD2458"/>
    <w:rsid w:val="00BD25BE"/>
    <w:rsid w:val="00BD2D2F"/>
    <w:rsid w:val="00BD2DE9"/>
    <w:rsid w:val="00BD2E3E"/>
    <w:rsid w:val="00BD2FAB"/>
    <w:rsid w:val="00BD3228"/>
    <w:rsid w:val="00BD3859"/>
    <w:rsid w:val="00BD3B27"/>
    <w:rsid w:val="00BD3D7D"/>
    <w:rsid w:val="00BD418E"/>
    <w:rsid w:val="00BD438B"/>
    <w:rsid w:val="00BD44B5"/>
    <w:rsid w:val="00BD48D5"/>
    <w:rsid w:val="00BD4A0E"/>
    <w:rsid w:val="00BD557B"/>
    <w:rsid w:val="00BD5AE3"/>
    <w:rsid w:val="00BD5C68"/>
    <w:rsid w:val="00BD5EF2"/>
    <w:rsid w:val="00BD68A3"/>
    <w:rsid w:val="00BD6938"/>
    <w:rsid w:val="00BD6CF3"/>
    <w:rsid w:val="00BD6DD6"/>
    <w:rsid w:val="00BD705F"/>
    <w:rsid w:val="00BD71AE"/>
    <w:rsid w:val="00BD7C6B"/>
    <w:rsid w:val="00BD7DA0"/>
    <w:rsid w:val="00BD7F72"/>
    <w:rsid w:val="00BE06CC"/>
    <w:rsid w:val="00BE08B5"/>
    <w:rsid w:val="00BE08BB"/>
    <w:rsid w:val="00BE0ECA"/>
    <w:rsid w:val="00BE10FA"/>
    <w:rsid w:val="00BE1500"/>
    <w:rsid w:val="00BE1926"/>
    <w:rsid w:val="00BE193C"/>
    <w:rsid w:val="00BE1F07"/>
    <w:rsid w:val="00BE1F7F"/>
    <w:rsid w:val="00BE1FB7"/>
    <w:rsid w:val="00BE2180"/>
    <w:rsid w:val="00BE21F2"/>
    <w:rsid w:val="00BE2579"/>
    <w:rsid w:val="00BE289F"/>
    <w:rsid w:val="00BE28C8"/>
    <w:rsid w:val="00BE341A"/>
    <w:rsid w:val="00BE34E0"/>
    <w:rsid w:val="00BE38EA"/>
    <w:rsid w:val="00BE4214"/>
    <w:rsid w:val="00BE4275"/>
    <w:rsid w:val="00BE4480"/>
    <w:rsid w:val="00BE5039"/>
    <w:rsid w:val="00BE5329"/>
    <w:rsid w:val="00BE5A1C"/>
    <w:rsid w:val="00BE5C19"/>
    <w:rsid w:val="00BE5FC7"/>
    <w:rsid w:val="00BE624B"/>
    <w:rsid w:val="00BE6618"/>
    <w:rsid w:val="00BE6A0F"/>
    <w:rsid w:val="00BE6A8D"/>
    <w:rsid w:val="00BE7166"/>
    <w:rsid w:val="00BE718F"/>
    <w:rsid w:val="00BE72E1"/>
    <w:rsid w:val="00BE7CF0"/>
    <w:rsid w:val="00BE7E64"/>
    <w:rsid w:val="00BE7FF5"/>
    <w:rsid w:val="00BF0110"/>
    <w:rsid w:val="00BF06AE"/>
    <w:rsid w:val="00BF0840"/>
    <w:rsid w:val="00BF089D"/>
    <w:rsid w:val="00BF0D2C"/>
    <w:rsid w:val="00BF0F95"/>
    <w:rsid w:val="00BF10AC"/>
    <w:rsid w:val="00BF125B"/>
    <w:rsid w:val="00BF1650"/>
    <w:rsid w:val="00BF1CB8"/>
    <w:rsid w:val="00BF1D13"/>
    <w:rsid w:val="00BF2433"/>
    <w:rsid w:val="00BF2526"/>
    <w:rsid w:val="00BF2895"/>
    <w:rsid w:val="00BF2A18"/>
    <w:rsid w:val="00BF2B01"/>
    <w:rsid w:val="00BF2E6E"/>
    <w:rsid w:val="00BF3283"/>
    <w:rsid w:val="00BF3285"/>
    <w:rsid w:val="00BF3928"/>
    <w:rsid w:val="00BF3D69"/>
    <w:rsid w:val="00BF3FA9"/>
    <w:rsid w:val="00BF4116"/>
    <w:rsid w:val="00BF45CC"/>
    <w:rsid w:val="00BF4A93"/>
    <w:rsid w:val="00BF4DF1"/>
    <w:rsid w:val="00BF50CC"/>
    <w:rsid w:val="00BF5559"/>
    <w:rsid w:val="00BF5765"/>
    <w:rsid w:val="00BF57A2"/>
    <w:rsid w:val="00BF59EA"/>
    <w:rsid w:val="00BF5D94"/>
    <w:rsid w:val="00BF61C9"/>
    <w:rsid w:val="00BF6568"/>
    <w:rsid w:val="00BF6815"/>
    <w:rsid w:val="00BF697A"/>
    <w:rsid w:val="00BF6B4B"/>
    <w:rsid w:val="00BF6C94"/>
    <w:rsid w:val="00BF6CE1"/>
    <w:rsid w:val="00BF72DF"/>
    <w:rsid w:val="00BF7E01"/>
    <w:rsid w:val="00C0017B"/>
    <w:rsid w:val="00C00424"/>
    <w:rsid w:val="00C00A2F"/>
    <w:rsid w:val="00C00BB0"/>
    <w:rsid w:val="00C0120B"/>
    <w:rsid w:val="00C01395"/>
    <w:rsid w:val="00C0143F"/>
    <w:rsid w:val="00C01B4A"/>
    <w:rsid w:val="00C01EA3"/>
    <w:rsid w:val="00C020F4"/>
    <w:rsid w:val="00C023A7"/>
    <w:rsid w:val="00C02D0B"/>
    <w:rsid w:val="00C02F28"/>
    <w:rsid w:val="00C031FC"/>
    <w:rsid w:val="00C03500"/>
    <w:rsid w:val="00C03587"/>
    <w:rsid w:val="00C037CC"/>
    <w:rsid w:val="00C03A80"/>
    <w:rsid w:val="00C03B03"/>
    <w:rsid w:val="00C03CA8"/>
    <w:rsid w:val="00C03D71"/>
    <w:rsid w:val="00C043E7"/>
    <w:rsid w:val="00C05280"/>
    <w:rsid w:val="00C05B83"/>
    <w:rsid w:val="00C05FF5"/>
    <w:rsid w:val="00C06275"/>
    <w:rsid w:val="00C066A2"/>
    <w:rsid w:val="00C06A2C"/>
    <w:rsid w:val="00C06F90"/>
    <w:rsid w:val="00C06FE6"/>
    <w:rsid w:val="00C070A4"/>
    <w:rsid w:val="00C07BD5"/>
    <w:rsid w:val="00C103B4"/>
    <w:rsid w:val="00C1046A"/>
    <w:rsid w:val="00C10858"/>
    <w:rsid w:val="00C10A82"/>
    <w:rsid w:val="00C10CB9"/>
    <w:rsid w:val="00C10DA7"/>
    <w:rsid w:val="00C11065"/>
    <w:rsid w:val="00C11095"/>
    <w:rsid w:val="00C111CB"/>
    <w:rsid w:val="00C11366"/>
    <w:rsid w:val="00C1179F"/>
    <w:rsid w:val="00C11E91"/>
    <w:rsid w:val="00C120EE"/>
    <w:rsid w:val="00C127B9"/>
    <w:rsid w:val="00C128D0"/>
    <w:rsid w:val="00C128FA"/>
    <w:rsid w:val="00C12B03"/>
    <w:rsid w:val="00C12C14"/>
    <w:rsid w:val="00C12E0A"/>
    <w:rsid w:val="00C12E50"/>
    <w:rsid w:val="00C1307F"/>
    <w:rsid w:val="00C132E3"/>
    <w:rsid w:val="00C13428"/>
    <w:rsid w:val="00C13451"/>
    <w:rsid w:val="00C13736"/>
    <w:rsid w:val="00C13772"/>
    <w:rsid w:val="00C1401C"/>
    <w:rsid w:val="00C141A7"/>
    <w:rsid w:val="00C14883"/>
    <w:rsid w:val="00C14905"/>
    <w:rsid w:val="00C14B59"/>
    <w:rsid w:val="00C14C9F"/>
    <w:rsid w:val="00C14CF0"/>
    <w:rsid w:val="00C14F10"/>
    <w:rsid w:val="00C156D4"/>
    <w:rsid w:val="00C1589F"/>
    <w:rsid w:val="00C15974"/>
    <w:rsid w:val="00C15C90"/>
    <w:rsid w:val="00C15F04"/>
    <w:rsid w:val="00C165F2"/>
    <w:rsid w:val="00C16604"/>
    <w:rsid w:val="00C1679A"/>
    <w:rsid w:val="00C167D3"/>
    <w:rsid w:val="00C16AD9"/>
    <w:rsid w:val="00C16D05"/>
    <w:rsid w:val="00C16D8F"/>
    <w:rsid w:val="00C1722B"/>
    <w:rsid w:val="00C173CE"/>
    <w:rsid w:val="00C17686"/>
    <w:rsid w:val="00C178CF"/>
    <w:rsid w:val="00C179B3"/>
    <w:rsid w:val="00C17A77"/>
    <w:rsid w:val="00C17B20"/>
    <w:rsid w:val="00C17E3F"/>
    <w:rsid w:val="00C20024"/>
    <w:rsid w:val="00C200AA"/>
    <w:rsid w:val="00C201B3"/>
    <w:rsid w:val="00C20723"/>
    <w:rsid w:val="00C2077D"/>
    <w:rsid w:val="00C20A82"/>
    <w:rsid w:val="00C20C86"/>
    <w:rsid w:val="00C20F24"/>
    <w:rsid w:val="00C21062"/>
    <w:rsid w:val="00C22062"/>
    <w:rsid w:val="00C222D0"/>
    <w:rsid w:val="00C22825"/>
    <w:rsid w:val="00C22902"/>
    <w:rsid w:val="00C22A72"/>
    <w:rsid w:val="00C22C94"/>
    <w:rsid w:val="00C22E82"/>
    <w:rsid w:val="00C2300E"/>
    <w:rsid w:val="00C23169"/>
    <w:rsid w:val="00C237ED"/>
    <w:rsid w:val="00C23AA2"/>
    <w:rsid w:val="00C23BD7"/>
    <w:rsid w:val="00C23CA0"/>
    <w:rsid w:val="00C24307"/>
    <w:rsid w:val="00C24632"/>
    <w:rsid w:val="00C246AF"/>
    <w:rsid w:val="00C24A50"/>
    <w:rsid w:val="00C24FF3"/>
    <w:rsid w:val="00C2513D"/>
    <w:rsid w:val="00C25418"/>
    <w:rsid w:val="00C25D9C"/>
    <w:rsid w:val="00C25E2A"/>
    <w:rsid w:val="00C26316"/>
    <w:rsid w:val="00C26418"/>
    <w:rsid w:val="00C26463"/>
    <w:rsid w:val="00C2676B"/>
    <w:rsid w:val="00C268BE"/>
    <w:rsid w:val="00C26C28"/>
    <w:rsid w:val="00C27388"/>
    <w:rsid w:val="00C2778B"/>
    <w:rsid w:val="00C27D60"/>
    <w:rsid w:val="00C27DB5"/>
    <w:rsid w:val="00C27F0E"/>
    <w:rsid w:val="00C30165"/>
    <w:rsid w:val="00C30275"/>
    <w:rsid w:val="00C30AFE"/>
    <w:rsid w:val="00C31362"/>
    <w:rsid w:val="00C31649"/>
    <w:rsid w:val="00C31790"/>
    <w:rsid w:val="00C319D2"/>
    <w:rsid w:val="00C321DC"/>
    <w:rsid w:val="00C32664"/>
    <w:rsid w:val="00C32A08"/>
    <w:rsid w:val="00C32D5C"/>
    <w:rsid w:val="00C33948"/>
    <w:rsid w:val="00C3395F"/>
    <w:rsid w:val="00C33C18"/>
    <w:rsid w:val="00C33D2F"/>
    <w:rsid w:val="00C33E04"/>
    <w:rsid w:val="00C3434C"/>
    <w:rsid w:val="00C34692"/>
    <w:rsid w:val="00C3488A"/>
    <w:rsid w:val="00C3495D"/>
    <w:rsid w:val="00C349E6"/>
    <w:rsid w:val="00C34F76"/>
    <w:rsid w:val="00C35208"/>
    <w:rsid w:val="00C35810"/>
    <w:rsid w:val="00C35AE0"/>
    <w:rsid w:val="00C35B66"/>
    <w:rsid w:val="00C35CA0"/>
    <w:rsid w:val="00C360C9"/>
    <w:rsid w:val="00C36231"/>
    <w:rsid w:val="00C3635D"/>
    <w:rsid w:val="00C363D1"/>
    <w:rsid w:val="00C36AD3"/>
    <w:rsid w:val="00C36C09"/>
    <w:rsid w:val="00C36C57"/>
    <w:rsid w:val="00C36D19"/>
    <w:rsid w:val="00C37041"/>
    <w:rsid w:val="00C3722D"/>
    <w:rsid w:val="00C3743B"/>
    <w:rsid w:val="00C37664"/>
    <w:rsid w:val="00C37762"/>
    <w:rsid w:val="00C378D3"/>
    <w:rsid w:val="00C37B42"/>
    <w:rsid w:val="00C37BDE"/>
    <w:rsid w:val="00C37DF0"/>
    <w:rsid w:val="00C4012C"/>
    <w:rsid w:val="00C402D8"/>
    <w:rsid w:val="00C402D9"/>
    <w:rsid w:val="00C40385"/>
    <w:rsid w:val="00C404B3"/>
    <w:rsid w:val="00C4090C"/>
    <w:rsid w:val="00C40A7C"/>
    <w:rsid w:val="00C40C37"/>
    <w:rsid w:val="00C40D57"/>
    <w:rsid w:val="00C41046"/>
    <w:rsid w:val="00C412C5"/>
    <w:rsid w:val="00C41768"/>
    <w:rsid w:val="00C41790"/>
    <w:rsid w:val="00C41B93"/>
    <w:rsid w:val="00C41E03"/>
    <w:rsid w:val="00C42191"/>
    <w:rsid w:val="00C4230D"/>
    <w:rsid w:val="00C423B9"/>
    <w:rsid w:val="00C423FB"/>
    <w:rsid w:val="00C4242C"/>
    <w:rsid w:val="00C43450"/>
    <w:rsid w:val="00C435F4"/>
    <w:rsid w:val="00C43737"/>
    <w:rsid w:val="00C43BD2"/>
    <w:rsid w:val="00C44174"/>
    <w:rsid w:val="00C4419A"/>
    <w:rsid w:val="00C44427"/>
    <w:rsid w:val="00C4447B"/>
    <w:rsid w:val="00C44E48"/>
    <w:rsid w:val="00C44FD1"/>
    <w:rsid w:val="00C450F7"/>
    <w:rsid w:val="00C452D3"/>
    <w:rsid w:val="00C452FD"/>
    <w:rsid w:val="00C4551E"/>
    <w:rsid w:val="00C4599B"/>
    <w:rsid w:val="00C45F97"/>
    <w:rsid w:val="00C4606C"/>
    <w:rsid w:val="00C4642F"/>
    <w:rsid w:val="00C46451"/>
    <w:rsid w:val="00C469AC"/>
    <w:rsid w:val="00C46C14"/>
    <w:rsid w:val="00C46E3C"/>
    <w:rsid w:val="00C47519"/>
    <w:rsid w:val="00C475AA"/>
    <w:rsid w:val="00C47682"/>
    <w:rsid w:val="00C47993"/>
    <w:rsid w:val="00C479B3"/>
    <w:rsid w:val="00C47A02"/>
    <w:rsid w:val="00C47EF2"/>
    <w:rsid w:val="00C47FB9"/>
    <w:rsid w:val="00C50BA3"/>
    <w:rsid w:val="00C50D19"/>
    <w:rsid w:val="00C5110F"/>
    <w:rsid w:val="00C511C0"/>
    <w:rsid w:val="00C5126F"/>
    <w:rsid w:val="00C515E5"/>
    <w:rsid w:val="00C51652"/>
    <w:rsid w:val="00C5177A"/>
    <w:rsid w:val="00C5186A"/>
    <w:rsid w:val="00C51892"/>
    <w:rsid w:val="00C51B4F"/>
    <w:rsid w:val="00C51DC3"/>
    <w:rsid w:val="00C5210E"/>
    <w:rsid w:val="00C522C0"/>
    <w:rsid w:val="00C52440"/>
    <w:rsid w:val="00C527C7"/>
    <w:rsid w:val="00C528D0"/>
    <w:rsid w:val="00C52E5C"/>
    <w:rsid w:val="00C52F6A"/>
    <w:rsid w:val="00C53402"/>
    <w:rsid w:val="00C536A7"/>
    <w:rsid w:val="00C53C98"/>
    <w:rsid w:val="00C53CAB"/>
    <w:rsid w:val="00C53D17"/>
    <w:rsid w:val="00C53D67"/>
    <w:rsid w:val="00C5401C"/>
    <w:rsid w:val="00C5405B"/>
    <w:rsid w:val="00C5492A"/>
    <w:rsid w:val="00C54AB0"/>
    <w:rsid w:val="00C54EA9"/>
    <w:rsid w:val="00C550E8"/>
    <w:rsid w:val="00C5540F"/>
    <w:rsid w:val="00C5552B"/>
    <w:rsid w:val="00C55834"/>
    <w:rsid w:val="00C55B2A"/>
    <w:rsid w:val="00C55C72"/>
    <w:rsid w:val="00C55FF9"/>
    <w:rsid w:val="00C565BB"/>
    <w:rsid w:val="00C568C4"/>
    <w:rsid w:val="00C56E09"/>
    <w:rsid w:val="00C56FCF"/>
    <w:rsid w:val="00C570EB"/>
    <w:rsid w:val="00C572F6"/>
    <w:rsid w:val="00C573CD"/>
    <w:rsid w:val="00C5767D"/>
    <w:rsid w:val="00C57B2F"/>
    <w:rsid w:val="00C57B6C"/>
    <w:rsid w:val="00C57DB2"/>
    <w:rsid w:val="00C60202"/>
    <w:rsid w:val="00C604CB"/>
    <w:rsid w:val="00C60545"/>
    <w:rsid w:val="00C60B75"/>
    <w:rsid w:val="00C60CC7"/>
    <w:rsid w:val="00C60E4B"/>
    <w:rsid w:val="00C61069"/>
    <w:rsid w:val="00C6130B"/>
    <w:rsid w:val="00C61477"/>
    <w:rsid w:val="00C61850"/>
    <w:rsid w:val="00C61998"/>
    <w:rsid w:val="00C61A59"/>
    <w:rsid w:val="00C61B8C"/>
    <w:rsid w:val="00C61E9C"/>
    <w:rsid w:val="00C61F58"/>
    <w:rsid w:val="00C6228E"/>
    <w:rsid w:val="00C62600"/>
    <w:rsid w:val="00C627B4"/>
    <w:rsid w:val="00C628A6"/>
    <w:rsid w:val="00C628FE"/>
    <w:rsid w:val="00C62F33"/>
    <w:rsid w:val="00C634C8"/>
    <w:rsid w:val="00C63B71"/>
    <w:rsid w:val="00C640E0"/>
    <w:rsid w:val="00C64298"/>
    <w:rsid w:val="00C64344"/>
    <w:rsid w:val="00C6492B"/>
    <w:rsid w:val="00C64E07"/>
    <w:rsid w:val="00C64E7C"/>
    <w:rsid w:val="00C6508D"/>
    <w:rsid w:val="00C65108"/>
    <w:rsid w:val="00C651FE"/>
    <w:rsid w:val="00C653A0"/>
    <w:rsid w:val="00C65576"/>
    <w:rsid w:val="00C655CF"/>
    <w:rsid w:val="00C6610B"/>
    <w:rsid w:val="00C66165"/>
    <w:rsid w:val="00C663DE"/>
    <w:rsid w:val="00C66559"/>
    <w:rsid w:val="00C66643"/>
    <w:rsid w:val="00C66DAF"/>
    <w:rsid w:val="00C670F4"/>
    <w:rsid w:val="00C6728E"/>
    <w:rsid w:val="00C673B5"/>
    <w:rsid w:val="00C67404"/>
    <w:rsid w:val="00C6744B"/>
    <w:rsid w:val="00C700F8"/>
    <w:rsid w:val="00C7056D"/>
    <w:rsid w:val="00C705C6"/>
    <w:rsid w:val="00C7060A"/>
    <w:rsid w:val="00C707B5"/>
    <w:rsid w:val="00C70950"/>
    <w:rsid w:val="00C70A6F"/>
    <w:rsid w:val="00C70B02"/>
    <w:rsid w:val="00C70C26"/>
    <w:rsid w:val="00C70FEB"/>
    <w:rsid w:val="00C71444"/>
    <w:rsid w:val="00C7151A"/>
    <w:rsid w:val="00C71557"/>
    <w:rsid w:val="00C7156A"/>
    <w:rsid w:val="00C717E3"/>
    <w:rsid w:val="00C71C5C"/>
    <w:rsid w:val="00C71C91"/>
    <w:rsid w:val="00C71F60"/>
    <w:rsid w:val="00C72023"/>
    <w:rsid w:val="00C72241"/>
    <w:rsid w:val="00C729B3"/>
    <w:rsid w:val="00C72A7A"/>
    <w:rsid w:val="00C7303A"/>
    <w:rsid w:val="00C73257"/>
    <w:rsid w:val="00C7360D"/>
    <w:rsid w:val="00C73A3B"/>
    <w:rsid w:val="00C73CFE"/>
    <w:rsid w:val="00C73EBE"/>
    <w:rsid w:val="00C7400E"/>
    <w:rsid w:val="00C741F1"/>
    <w:rsid w:val="00C74202"/>
    <w:rsid w:val="00C74576"/>
    <w:rsid w:val="00C74E00"/>
    <w:rsid w:val="00C750C8"/>
    <w:rsid w:val="00C75165"/>
    <w:rsid w:val="00C754BC"/>
    <w:rsid w:val="00C755AA"/>
    <w:rsid w:val="00C7560F"/>
    <w:rsid w:val="00C75A3A"/>
    <w:rsid w:val="00C76394"/>
    <w:rsid w:val="00C76718"/>
    <w:rsid w:val="00C76A4E"/>
    <w:rsid w:val="00C76C2E"/>
    <w:rsid w:val="00C77071"/>
    <w:rsid w:val="00C772C7"/>
    <w:rsid w:val="00C7734B"/>
    <w:rsid w:val="00C77375"/>
    <w:rsid w:val="00C773EA"/>
    <w:rsid w:val="00C773FF"/>
    <w:rsid w:val="00C7754A"/>
    <w:rsid w:val="00C77696"/>
    <w:rsid w:val="00C776DC"/>
    <w:rsid w:val="00C779DC"/>
    <w:rsid w:val="00C77E6A"/>
    <w:rsid w:val="00C8047F"/>
    <w:rsid w:val="00C808AE"/>
    <w:rsid w:val="00C80A0E"/>
    <w:rsid w:val="00C80AF5"/>
    <w:rsid w:val="00C80DD9"/>
    <w:rsid w:val="00C80F27"/>
    <w:rsid w:val="00C816FA"/>
    <w:rsid w:val="00C81726"/>
    <w:rsid w:val="00C81F6A"/>
    <w:rsid w:val="00C820A3"/>
    <w:rsid w:val="00C8213F"/>
    <w:rsid w:val="00C822F5"/>
    <w:rsid w:val="00C8236B"/>
    <w:rsid w:val="00C82581"/>
    <w:rsid w:val="00C8303F"/>
    <w:rsid w:val="00C833C3"/>
    <w:rsid w:val="00C83822"/>
    <w:rsid w:val="00C83AF4"/>
    <w:rsid w:val="00C84285"/>
    <w:rsid w:val="00C84A99"/>
    <w:rsid w:val="00C84D33"/>
    <w:rsid w:val="00C85154"/>
    <w:rsid w:val="00C851BA"/>
    <w:rsid w:val="00C85277"/>
    <w:rsid w:val="00C8533A"/>
    <w:rsid w:val="00C859A7"/>
    <w:rsid w:val="00C85A70"/>
    <w:rsid w:val="00C85C68"/>
    <w:rsid w:val="00C85F61"/>
    <w:rsid w:val="00C8685A"/>
    <w:rsid w:val="00C868E5"/>
    <w:rsid w:val="00C869FE"/>
    <w:rsid w:val="00C86B43"/>
    <w:rsid w:val="00C86BA6"/>
    <w:rsid w:val="00C8767B"/>
    <w:rsid w:val="00C877FB"/>
    <w:rsid w:val="00C8797A"/>
    <w:rsid w:val="00C87F0F"/>
    <w:rsid w:val="00C87FC7"/>
    <w:rsid w:val="00C900B8"/>
    <w:rsid w:val="00C90197"/>
    <w:rsid w:val="00C9078D"/>
    <w:rsid w:val="00C908D2"/>
    <w:rsid w:val="00C90C71"/>
    <w:rsid w:val="00C90C85"/>
    <w:rsid w:val="00C9183A"/>
    <w:rsid w:val="00C91969"/>
    <w:rsid w:val="00C91AAB"/>
    <w:rsid w:val="00C91B60"/>
    <w:rsid w:val="00C91DE4"/>
    <w:rsid w:val="00C91FD1"/>
    <w:rsid w:val="00C91FFA"/>
    <w:rsid w:val="00C92020"/>
    <w:rsid w:val="00C92170"/>
    <w:rsid w:val="00C921AA"/>
    <w:rsid w:val="00C92230"/>
    <w:rsid w:val="00C92C7F"/>
    <w:rsid w:val="00C931CF"/>
    <w:rsid w:val="00C931FF"/>
    <w:rsid w:val="00C932D3"/>
    <w:rsid w:val="00C93615"/>
    <w:rsid w:val="00C936F0"/>
    <w:rsid w:val="00C938CF"/>
    <w:rsid w:val="00C93A3D"/>
    <w:rsid w:val="00C94053"/>
    <w:rsid w:val="00C940CD"/>
    <w:rsid w:val="00C94103"/>
    <w:rsid w:val="00C941B4"/>
    <w:rsid w:val="00C942A0"/>
    <w:rsid w:val="00C9436C"/>
    <w:rsid w:val="00C9453A"/>
    <w:rsid w:val="00C9461F"/>
    <w:rsid w:val="00C94671"/>
    <w:rsid w:val="00C94802"/>
    <w:rsid w:val="00C94AB8"/>
    <w:rsid w:val="00C94D29"/>
    <w:rsid w:val="00C94D35"/>
    <w:rsid w:val="00C94DB1"/>
    <w:rsid w:val="00C94F97"/>
    <w:rsid w:val="00C9500A"/>
    <w:rsid w:val="00C95226"/>
    <w:rsid w:val="00C9539D"/>
    <w:rsid w:val="00C95592"/>
    <w:rsid w:val="00C956E5"/>
    <w:rsid w:val="00C956E6"/>
    <w:rsid w:val="00C95B34"/>
    <w:rsid w:val="00C95B8C"/>
    <w:rsid w:val="00C9624D"/>
    <w:rsid w:val="00C96265"/>
    <w:rsid w:val="00C96789"/>
    <w:rsid w:val="00C9693F"/>
    <w:rsid w:val="00C969DA"/>
    <w:rsid w:val="00C96CC3"/>
    <w:rsid w:val="00C96CFA"/>
    <w:rsid w:val="00C96D97"/>
    <w:rsid w:val="00C96EDD"/>
    <w:rsid w:val="00C970AD"/>
    <w:rsid w:val="00C97269"/>
    <w:rsid w:val="00C972B5"/>
    <w:rsid w:val="00C979D7"/>
    <w:rsid w:val="00C97A49"/>
    <w:rsid w:val="00C97AE3"/>
    <w:rsid w:val="00CA042A"/>
    <w:rsid w:val="00CA065E"/>
    <w:rsid w:val="00CA0937"/>
    <w:rsid w:val="00CA098F"/>
    <w:rsid w:val="00CA2122"/>
    <w:rsid w:val="00CA21DF"/>
    <w:rsid w:val="00CA2638"/>
    <w:rsid w:val="00CA2668"/>
    <w:rsid w:val="00CA2C77"/>
    <w:rsid w:val="00CA2DA9"/>
    <w:rsid w:val="00CA2E39"/>
    <w:rsid w:val="00CA3162"/>
    <w:rsid w:val="00CA343F"/>
    <w:rsid w:val="00CA376C"/>
    <w:rsid w:val="00CA37BE"/>
    <w:rsid w:val="00CA3D58"/>
    <w:rsid w:val="00CA3D69"/>
    <w:rsid w:val="00CA40F3"/>
    <w:rsid w:val="00CA429F"/>
    <w:rsid w:val="00CA42AD"/>
    <w:rsid w:val="00CA444F"/>
    <w:rsid w:val="00CA4827"/>
    <w:rsid w:val="00CA501C"/>
    <w:rsid w:val="00CA5067"/>
    <w:rsid w:val="00CA5097"/>
    <w:rsid w:val="00CA5245"/>
    <w:rsid w:val="00CA58BF"/>
    <w:rsid w:val="00CA5BC2"/>
    <w:rsid w:val="00CA5E0E"/>
    <w:rsid w:val="00CA6341"/>
    <w:rsid w:val="00CA64EA"/>
    <w:rsid w:val="00CA6871"/>
    <w:rsid w:val="00CA6BD0"/>
    <w:rsid w:val="00CA7068"/>
    <w:rsid w:val="00CA71F4"/>
    <w:rsid w:val="00CA720A"/>
    <w:rsid w:val="00CA7B09"/>
    <w:rsid w:val="00CA7B90"/>
    <w:rsid w:val="00CA7DB5"/>
    <w:rsid w:val="00CB0201"/>
    <w:rsid w:val="00CB06A9"/>
    <w:rsid w:val="00CB0797"/>
    <w:rsid w:val="00CB0AEF"/>
    <w:rsid w:val="00CB0BAB"/>
    <w:rsid w:val="00CB0D33"/>
    <w:rsid w:val="00CB0EA3"/>
    <w:rsid w:val="00CB0FBE"/>
    <w:rsid w:val="00CB12A5"/>
    <w:rsid w:val="00CB12AF"/>
    <w:rsid w:val="00CB131B"/>
    <w:rsid w:val="00CB152B"/>
    <w:rsid w:val="00CB162D"/>
    <w:rsid w:val="00CB182F"/>
    <w:rsid w:val="00CB18F4"/>
    <w:rsid w:val="00CB1C17"/>
    <w:rsid w:val="00CB1CAC"/>
    <w:rsid w:val="00CB1DC4"/>
    <w:rsid w:val="00CB1FC5"/>
    <w:rsid w:val="00CB2583"/>
    <w:rsid w:val="00CB2745"/>
    <w:rsid w:val="00CB2DED"/>
    <w:rsid w:val="00CB2E85"/>
    <w:rsid w:val="00CB2F2A"/>
    <w:rsid w:val="00CB337E"/>
    <w:rsid w:val="00CB33E0"/>
    <w:rsid w:val="00CB366F"/>
    <w:rsid w:val="00CB37C0"/>
    <w:rsid w:val="00CB37F7"/>
    <w:rsid w:val="00CB38A2"/>
    <w:rsid w:val="00CB39E4"/>
    <w:rsid w:val="00CB3AAC"/>
    <w:rsid w:val="00CB3D09"/>
    <w:rsid w:val="00CB476A"/>
    <w:rsid w:val="00CB4CFC"/>
    <w:rsid w:val="00CB4F57"/>
    <w:rsid w:val="00CB519A"/>
    <w:rsid w:val="00CB5451"/>
    <w:rsid w:val="00CB57B1"/>
    <w:rsid w:val="00CB5B1A"/>
    <w:rsid w:val="00CB643C"/>
    <w:rsid w:val="00CB6B22"/>
    <w:rsid w:val="00CB6B7C"/>
    <w:rsid w:val="00CB7029"/>
    <w:rsid w:val="00CB7CFA"/>
    <w:rsid w:val="00CB7E20"/>
    <w:rsid w:val="00CB7F5F"/>
    <w:rsid w:val="00CC0485"/>
    <w:rsid w:val="00CC0C01"/>
    <w:rsid w:val="00CC0E57"/>
    <w:rsid w:val="00CC1936"/>
    <w:rsid w:val="00CC1A36"/>
    <w:rsid w:val="00CC1ACA"/>
    <w:rsid w:val="00CC1B39"/>
    <w:rsid w:val="00CC1BFA"/>
    <w:rsid w:val="00CC2115"/>
    <w:rsid w:val="00CC21EB"/>
    <w:rsid w:val="00CC27F7"/>
    <w:rsid w:val="00CC29DE"/>
    <w:rsid w:val="00CC2ADC"/>
    <w:rsid w:val="00CC2E9F"/>
    <w:rsid w:val="00CC3158"/>
    <w:rsid w:val="00CC3375"/>
    <w:rsid w:val="00CC344D"/>
    <w:rsid w:val="00CC35EA"/>
    <w:rsid w:val="00CC35FF"/>
    <w:rsid w:val="00CC36A0"/>
    <w:rsid w:val="00CC3798"/>
    <w:rsid w:val="00CC3848"/>
    <w:rsid w:val="00CC41DF"/>
    <w:rsid w:val="00CC47F3"/>
    <w:rsid w:val="00CC4A12"/>
    <w:rsid w:val="00CC4AD6"/>
    <w:rsid w:val="00CC5400"/>
    <w:rsid w:val="00CC58FD"/>
    <w:rsid w:val="00CC5A43"/>
    <w:rsid w:val="00CC5F75"/>
    <w:rsid w:val="00CC688B"/>
    <w:rsid w:val="00CC6D5E"/>
    <w:rsid w:val="00CC7B5B"/>
    <w:rsid w:val="00CC7F4B"/>
    <w:rsid w:val="00CD0200"/>
    <w:rsid w:val="00CD0539"/>
    <w:rsid w:val="00CD0575"/>
    <w:rsid w:val="00CD0F81"/>
    <w:rsid w:val="00CD11E2"/>
    <w:rsid w:val="00CD13FF"/>
    <w:rsid w:val="00CD151A"/>
    <w:rsid w:val="00CD1742"/>
    <w:rsid w:val="00CD17E7"/>
    <w:rsid w:val="00CD1C33"/>
    <w:rsid w:val="00CD2582"/>
    <w:rsid w:val="00CD29C4"/>
    <w:rsid w:val="00CD2ADF"/>
    <w:rsid w:val="00CD328A"/>
    <w:rsid w:val="00CD32EA"/>
    <w:rsid w:val="00CD3592"/>
    <w:rsid w:val="00CD375B"/>
    <w:rsid w:val="00CD383F"/>
    <w:rsid w:val="00CD3897"/>
    <w:rsid w:val="00CD39DD"/>
    <w:rsid w:val="00CD3B17"/>
    <w:rsid w:val="00CD3E7E"/>
    <w:rsid w:val="00CD3F77"/>
    <w:rsid w:val="00CD423E"/>
    <w:rsid w:val="00CD45AF"/>
    <w:rsid w:val="00CD4ADC"/>
    <w:rsid w:val="00CD4BAE"/>
    <w:rsid w:val="00CD5373"/>
    <w:rsid w:val="00CD54B5"/>
    <w:rsid w:val="00CD56EA"/>
    <w:rsid w:val="00CD5715"/>
    <w:rsid w:val="00CD5D69"/>
    <w:rsid w:val="00CD5FF3"/>
    <w:rsid w:val="00CD64FC"/>
    <w:rsid w:val="00CD6519"/>
    <w:rsid w:val="00CD671C"/>
    <w:rsid w:val="00CD68EB"/>
    <w:rsid w:val="00CD6ADC"/>
    <w:rsid w:val="00CD6E85"/>
    <w:rsid w:val="00CD710E"/>
    <w:rsid w:val="00CD7167"/>
    <w:rsid w:val="00CD7193"/>
    <w:rsid w:val="00CD72C1"/>
    <w:rsid w:val="00CD754E"/>
    <w:rsid w:val="00CD779E"/>
    <w:rsid w:val="00CD7AD8"/>
    <w:rsid w:val="00CE017B"/>
    <w:rsid w:val="00CE03A5"/>
    <w:rsid w:val="00CE04C1"/>
    <w:rsid w:val="00CE0853"/>
    <w:rsid w:val="00CE08F7"/>
    <w:rsid w:val="00CE09CF"/>
    <w:rsid w:val="00CE11EC"/>
    <w:rsid w:val="00CE1662"/>
    <w:rsid w:val="00CE1BCC"/>
    <w:rsid w:val="00CE1BEC"/>
    <w:rsid w:val="00CE1CA5"/>
    <w:rsid w:val="00CE2115"/>
    <w:rsid w:val="00CE2523"/>
    <w:rsid w:val="00CE2781"/>
    <w:rsid w:val="00CE2A70"/>
    <w:rsid w:val="00CE2AEC"/>
    <w:rsid w:val="00CE2AF9"/>
    <w:rsid w:val="00CE2D4F"/>
    <w:rsid w:val="00CE383F"/>
    <w:rsid w:val="00CE3854"/>
    <w:rsid w:val="00CE38C8"/>
    <w:rsid w:val="00CE3B1C"/>
    <w:rsid w:val="00CE434E"/>
    <w:rsid w:val="00CE4797"/>
    <w:rsid w:val="00CE4AD8"/>
    <w:rsid w:val="00CE4C30"/>
    <w:rsid w:val="00CE4F05"/>
    <w:rsid w:val="00CE4F45"/>
    <w:rsid w:val="00CE51F9"/>
    <w:rsid w:val="00CE524F"/>
    <w:rsid w:val="00CE5253"/>
    <w:rsid w:val="00CE5326"/>
    <w:rsid w:val="00CE58CC"/>
    <w:rsid w:val="00CE5B58"/>
    <w:rsid w:val="00CE5EC7"/>
    <w:rsid w:val="00CE6274"/>
    <w:rsid w:val="00CE62D1"/>
    <w:rsid w:val="00CE70D1"/>
    <w:rsid w:val="00CE71FE"/>
    <w:rsid w:val="00CE77B6"/>
    <w:rsid w:val="00CE788E"/>
    <w:rsid w:val="00CE7A6E"/>
    <w:rsid w:val="00CE7AA6"/>
    <w:rsid w:val="00CE7BAB"/>
    <w:rsid w:val="00CE7C16"/>
    <w:rsid w:val="00CE7E31"/>
    <w:rsid w:val="00CF004B"/>
    <w:rsid w:val="00CF021F"/>
    <w:rsid w:val="00CF031B"/>
    <w:rsid w:val="00CF0413"/>
    <w:rsid w:val="00CF0642"/>
    <w:rsid w:val="00CF0A7F"/>
    <w:rsid w:val="00CF0BF9"/>
    <w:rsid w:val="00CF0E67"/>
    <w:rsid w:val="00CF0EBF"/>
    <w:rsid w:val="00CF106D"/>
    <w:rsid w:val="00CF15A6"/>
    <w:rsid w:val="00CF16DC"/>
    <w:rsid w:val="00CF176A"/>
    <w:rsid w:val="00CF17FD"/>
    <w:rsid w:val="00CF190E"/>
    <w:rsid w:val="00CF208C"/>
    <w:rsid w:val="00CF20C0"/>
    <w:rsid w:val="00CF250F"/>
    <w:rsid w:val="00CF264E"/>
    <w:rsid w:val="00CF2B8D"/>
    <w:rsid w:val="00CF2DB8"/>
    <w:rsid w:val="00CF2F08"/>
    <w:rsid w:val="00CF333E"/>
    <w:rsid w:val="00CF3A1B"/>
    <w:rsid w:val="00CF3A74"/>
    <w:rsid w:val="00CF3AF8"/>
    <w:rsid w:val="00CF3C7E"/>
    <w:rsid w:val="00CF3D4D"/>
    <w:rsid w:val="00CF40A0"/>
    <w:rsid w:val="00CF456B"/>
    <w:rsid w:val="00CF45B2"/>
    <w:rsid w:val="00CF50D7"/>
    <w:rsid w:val="00CF5236"/>
    <w:rsid w:val="00CF58BC"/>
    <w:rsid w:val="00CF59CD"/>
    <w:rsid w:val="00CF5A22"/>
    <w:rsid w:val="00CF5C72"/>
    <w:rsid w:val="00CF5C99"/>
    <w:rsid w:val="00CF5E29"/>
    <w:rsid w:val="00CF5F5B"/>
    <w:rsid w:val="00CF6891"/>
    <w:rsid w:val="00CF69E1"/>
    <w:rsid w:val="00CF6D80"/>
    <w:rsid w:val="00CF6ED7"/>
    <w:rsid w:val="00CF6F1D"/>
    <w:rsid w:val="00CF6F32"/>
    <w:rsid w:val="00CF76EA"/>
    <w:rsid w:val="00CF78E6"/>
    <w:rsid w:val="00CF7B45"/>
    <w:rsid w:val="00CF7D1B"/>
    <w:rsid w:val="00CF7F11"/>
    <w:rsid w:val="00D0013F"/>
    <w:rsid w:val="00D0053A"/>
    <w:rsid w:val="00D00EDA"/>
    <w:rsid w:val="00D01176"/>
    <w:rsid w:val="00D01F05"/>
    <w:rsid w:val="00D021B9"/>
    <w:rsid w:val="00D02336"/>
    <w:rsid w:val="00D0262E"/>
    <w:rsid w:val="00D027A8"/>
    <w:rsid w:val="00D02F94"/>
    <w:rsid w:val="00D02FA9"/>
    <w:rsid w:val="00D03086"/>
    <w:rsid w:val="00D0319B"/>
    <w:rsid w:val="00D03679"/>
    <w:rsid w:val="00D03ADC"/>
    <w:rsid w:val="00D03B9F"/>
    <w:rsid w:val="00D0445C"/>
    <w:rsid w:val="00D04898"/>
    <w:rsid w:val="00D048B1"/>
    <w:rsid w:val="00D0493C"/>
    <w:rsid w:val="00D049AF"/>
    <w:rsid w:val="00D051FA"/>
    <w:rsid w:val="00D057F6"/>
    <w:rsid w:val="00D05862"/>
    <w:rsid w:val="00D05E3D"/>
    <w:rsid w:val="00D05FBC"/>
    <w:rsid w:val="00D06139"/>
    <w:rsid w:val="00D06172"/>
    <w:rsid w:val="00D06767"/>
    <w:rsid w:val="00D06C1E"/>
    <w:rsid w:val="00D06CB8"/>
    <w:rsid w:val="00D06E7E"/>
    <w:rsid w:val="00D071A8"/>
    <w:rsid w:val="00D07928"/>
    <w:rsid w:val="00D1025B"/>
    <w:rsid w:val="00D108AF"/>
    <w:rsid w:val="00D10E96"/>
    <w:rsid w:val="00D110BD"/>
    <w:rsid w:val="00D112C1"/>
    <w:rsid w:val="00D112D9"/>
    <w:rsid w:val="00D114A2"/>
    <w:rsid w:val="00D117E5"/>
    <w:rsid w:val="00D11FE6"/>
    <w:rsid w:val="00D122C3"/>
    <w:rsid w:val="00D125BA"/>
    <w:rsid w:val="00D12A40"/>
    <w:rsid w:val="00D12EFF"/>
    <w:rsid w:val="00D1325B"/>
    <w:rsid w:val="00D135B3"/>
    <w:rsid w:val="00D135C9"/>
    <w:rsid w:val="00D135D2"/>
    <w:rsid w:val="00D13675"/>
    <w:rsid w:val="00D13DDE"/>
    <w:rsid w:val="00D13EC1"/>
    <w:rsid w:val="00D141E1"/>
    <w:rsid w:val="00D1426C"/>
    <w:rsid w:val="00D1470E"/>
    <w:rsid w:val="00D14B38"/>
    <w:rsid w:val="00D14BB7"/>
    <w:rsid w:val="00D15314"/>
    <w:rsid w:val="00D15467"/>
    <w:rsid w:val="00D15B48"/>
    <w:rsid w:val="00D15CC1"/>
    <w:rsid w:val="00D15F57"/>
    <w:rsid w:val="00D16580"/>
    <w:rsid w:val="00D1667A"/>
    <w:rsid w:val="00D166A8"/>
    <w:rsid w:val="00D16992"/>
    <w:rsid w:val="00D17688"/>
    <w:rsid w:val="00D17ADB"/>
    <w:rsid w:val="00D17AFB"/>
    <w:rsid w:val="00D17D6C"/>
    <w:rsid w:val="00D17F1B"/>
    <w:rsid w:val="00D17F68"/>
    <w:rsid w:val="00D17FDD"/>
    <w:rsid w:val="00D206A9"/>
    <w:rsid w:val="00D208C2"/>
    <w:rsid w:val="00D20A3D"/>
    <w:rsid w:val="00D20B57"/>
    <w:rsid w:val="00D21424"/>
    <w:rsid w:val="00D2155B"/>
    <w:rsid w:val="00D216C5"/>
    <w:rsid w:val="00D216E3"/>
    <w:rsid w:val="00D21949"/>
    <w:rsid w:val="00D21DE4"/>
    <w:rsid w:val="00D2201B"/>
    <w:rsid w:val="00D22025"/>
    <w:rsid w:val="00D2223C"/>
    <w:rsid w:val="00D222FA"/>
    <w:rsid w:val="00D225C1"/>
    <w:rsid w:val="00D22996"/>
    <w:rsid w:val="00D22EB7"/>
    <w:rsid w:val="00D2351B"/>
    <w:rsid w:val="00D23649"/>
    <w:rsid w:val="00D23755"/>
    <w:rsid w:val="00D2388F"/>
    <w:rsid w:val="00D23A0C"/>
    <w:rsid w:val="00D23D11"/>
    <w:rsid w:val="00D240B5"/>
    <w:rsid w:val="00D241DE"/>
    <w:rsid w:val="00D244B6"/>
    <w:rsid w:val="00D24B8C"/>
    <w:rsid w:val="00D25345"/>
    <w:rsid w:val="00D259EE"/>
    <w:rsid w:val="00D25E9D"/>
    <w:rsid w:val="00D26305"/>
    <w:rsid w:val="00D26A50"/>
    <w:rsid w:val="00D27227"/>
    <w:rsid w:val="00D274A7"/>
    <w:rsid w:val="00D2754D"/>
    <w:rsid w:val="00D27683"/>
    <w:rsid w:val="00D27A06"/>
    <w:rsid w:val="00D27B27"/>
    <w:rsid w:val="00D27B2D"/>
    <w:rsid w:val="00D300C9"/>
    <w:rsid w:val="00D301BD"/>
    <w:rsid w:val="00D3023F"/>
    <w:rsid w:val="00D30D1D"/>
    <w:rsid w:val="00D30D4C"/>
    <w:rsid w:val="00D30D5B"/>
    <w:rsid w:val="00D30DD1"/>
    <w:rsid w:val="00D31A97"/>
    <w:rsid w:val="00D31BF1"/>
    <w:rsid w:val="00D31C75"/>
    <w:rsid w:val="00D31EFE"/>
    <w:rsid w:val="00D31FB1"/>
    <w:rsid w:val="00D31FEA"/>
    <w:rsid w:val="00D32A80"/>
    <w:rsid w:val="00D32AB1"/>
    <w:rsid w:val="00D32B08"/>
    <w:rsid w:val="00D32B30"/>
    <w:rsid w:val="00D32C40"/>
    <w:rsid w:val="00D32E8C"/>
    <w:rsid w:val="00D32EE0"/>
    <w:rsid w:val="00D33127"/>
    <w:rsid w:val="00D335D0"/>
    <w:rsid w:val="00D33678"/>
    <w:rsid w:val="00D336CF"/>
    <w:rsid w:val="00D33738"/>
    <w:rsid w:val="00D33823"/>
    <w:rsid w:val="00D33BE9"/>
    <w:rsid w:val="00D33F93"/>
    <w:rsid w:val="00D34153"/>
    <w:rsid w:val="00D34409"/>
    <w:rsid w:val="00D34690"/>
    <w:rsid w:val="00D347EC"/>
    <w:rsid w:val="00D34A35"/>
    <w:rsid w:val="00D34A54"/>
    <w:rsid w:val="00D34E1B"/>
    <w:rsid w:val="00D351EF"/>
    <w:rsid w:val="00D35468"/>
    <w:rsid w:val="00D357FF"/>
    <w:rsid w:val="00D35AA9"/>
    <w:rsid w:val="00D35D79"/>
    <w:rsid w:val="00D35EB4"/>
    <w:rsid w:val="00D3612B"/>
    <w:rsid w:val="00D3626C"/>
    <w:rsid w:val="00D3636F"/>
    <w:rsid w:val="00D365E4"/>
    <w:rsid w:val="00D36695"/>
    <w:rsid w:val="00D369E4"/>
    <w:rsid w:val="00D36E11"/>
    <w:rsid w:val="00D36E5C"/>
    <w:rsid w:val="00D36EEF"/>
    <w:rsid w:val="00D373D1"/>
    <w:rsid w:val="00D37861"/>
    <w:rsid w:val="00D37E23"/>
    <w:rsid w:val="00D407C1"/>
    <w:rsid w:val="00D408DF"/>
    <w:rsid w:val="00D40B4B"/>
    <w:rsid w:val="00D40DD3"/>
    <w:rsid w:val="00D41633"/>
    <w:rsid w:val="00D41788"/>
    <w:rsid w:val="00D41C49"/>
    <w:rsid w:val="00D424C7"/>
    <w:rsid w:val="00D42846"/>
    <w:rsid w:val="00D42C13"/>
    <w:rsid w:val="00D43257"/>
    <w:rsid w:val="00D4326F"/>
    <w:rsid w:val="00D43459"/>
    <w:rsid w:val="00D435B6"/>
    <w:rsid w:val="00D435BA"/>
    <w:rsid w:val="00D438B6"/>
    <w:rsid w:val="00D438ED"/>
    <w:rsid w:val="00D438FA"/>
    <w:rsid w:val="00D43A94"/>
    <w:rsid w:val="00D43B2A"/>
    <w:rsid w:val="00D43C24"/>
    <w:rsid w:val="00D43CF1"/>
    <w:rsid w:val="00D43D83"/>
    <w:rsid w:val="00D43D90"/>
    <w:rsid w:val="00D44F83"/>
    <w:rsid w:val="00D451DF"/>
    <w:rsid w:val="00D45354"/>
    <w:rsid w:val="00D458E5"/>
    <w:rsid w:val="00D4592D"/>
    <w:rsid w:val="00D45D91"/>
    <w:rsid w:val="00D45DEB"/>
    <w:rsid w:val="00D45DF5"/>
    <w:rsid w:val="00D45FFC"/>
    <w:rsid w:val="00D46D24"/>
    <w:rsid w:val="00D46E69"/>
    <w:rsid w:val="00D472D1"/>
    <w:rsid w:val="00D47575"/>
    <w:rsid w:val="00D477CF"/>
    <w:rsid w:val="00D5010E"/>
    <w:rsid w:val="00D502C5"/>
    <w:rsid w:val="00D504B5"/>
    <w:rsid w:val="00D5060D"/>
    <w:rsid w:val="00D50621"/>
    <w:rsid w:val="00D50942"/>
    <w:rsid w:val="00D509AC"/>
    <w:rsid w:val="00D50BED"/>
    <w:rsid w:val="00D50DCC"/>
    <w:rsid w:val="00D50E06"/>
    <w:rsid w:val="00D50F41"/>
    <w:rsid w:val="00D50FD2"/>
    <w:rsid w:val="00D5118F"/>
    <w:rsid w:val="00D51975"/>
    <w:rsid w:val="00D51A24"/>
    <w:rsid w:val="00D51DA8"/>
    <w:rsid w:val="00D51EAA"/>
    <w:rsid w:val="00D522F5"/>
    <w:rsid w:val="00D5230B"/>
    <w:rsid w:val="00D5243B"/>
    <w:rsid w:val="00D5253D"/>
    <w:rsid w:val="00D52557"/>
    <w:rsid w:val="00D52763"/>
    <w:rsid w:val="00D52766"/>
    <w:rsid w:val="00D52ADB"/>
    <w:rsid w:val="00D52F78"/>
    <w:rsid w:val="00D53050"/>
    <w:rsid w:val="00D533EC"/>
    <w:rsid w:val="00D539A9"/>
    <w:rsid w:val="00D54301"/>
    <w:rsid w:val="00D543F6"/>
    <w:rsid w:val="00D544BA"/>
    <w:rsid w:val="00D545DD"/>
    <w:rsid w:val="00D5541D"/>
    <w:rsid w:val="00D55665"/>
    <w:rsid w:val="00D558A6"/>
    <w:rsid w:val="00D55B87"/>
    <w:rsid w:val="00D55E1B"/>
    <w:rsid w:val="00D55F2E"/>
    <w:rsid w:val="00D55FD8"/>
    <w:rsid w:val="00D560A4"/>
    <w:rsid w:val="00D561BA"/>
    <w:rsid w:val="00D56463"/>
    <w:rsid w:val="00D5647D"/>
    <w:rsid w:val="00D56714"/>
    <w:rsid w:val="00D56A00"/>
    <w:rsid w:val="00D56A95"/>
    <w:rsid w:val="00D56FAE"/>
    <w:rsid w:val="00D5701A"/>
    <w:rsid w:val="00D5708B"/>
    <w:rsid w:val="00D572E3"/>
    <w:rsid w:val="00D576C7"/>
    <w:rsid w:val="00D57A76"/>
    <w:rsid w:val="00D57FF2"/>
    <w:rsid w:val="00D605C9"/>
    <w:rsid w:val="00D6076E"/>
    <w:rsid w:val="00D609A8"/>
    <w:rsid w:val="00D60BD1"/>
    <w:rsid w:val="00D60EF8"/>
    <w:rsid w:val="00D61003"/>
    <w:rsid w:val="00D61023"/>
    <w:rsid w:val="00D61721"/>
    <w:rsid w:val="00D61A4D"/>
    <w:rsid w:val="00D61AEE"/>
    <w:rsid w:val="00D61C36"/>
    <w:rsid w:val="00D61E2E"/>
    <w:rsid w:val="00D61F00"/>
    <w:rsid w:val="00D62747"/>
    <w:rsid w:val="00D62818"/>
    <w:rsid w:val="00D62A45"/>
    <w:rsid w:val="00D62CB1"/>
    <w:rsid w:val="00D62D87"/>
    <w:rsid w:val="00D63332"/>
    <w:rsid w:val="00D635C2"/>
    <w:rsid w:val="00D63610"/>
    <w:rsid w:val="00D63B0C"/>
    <w:rsid w:val="00D63F5F"/>
    <w:rsid w:val="00D64267"/>
    <w:rsid w:val="00D649ED"/>
    <w:rsid w:val="00D64A13"/>
    <w:rsid w:val="00D650AA"/>
    <w:rsid w:val="00D65719"/>
    <w:rsid w:val="00D65CD8"/>
    <w:rsid w:val="00D65D96"/>
    <w:rsid w:val="00D660FB"/>
    <w:rsid w:val="00D664ED"/>
    <w:rsid w:val="00D66642"/>
    <w:rsid w:val="00D666D2"/>
    <w:rsid w:val="00D66EBA"/>
    <w:rsid w:val="00D67372"/>
    <w:rsid w:val="00D67540"/>
    <w:rsid w:val="00D675D6"/>
    <w:rsid w:val="00D67F7D"/>
    <w:rsid w:val="00D67FB4"/>
    <w:rsid w:val="00D70019"/>
    <w:rsid w:val="00D703C5"/>
    <w:rsid w:val="00D706C7"/>
    <w:rsid w:val="00D70894"/>
    <w:rsid w:val="00D70DB6"/>
    <w:rsid w:val="00D70DF1"/>
    <w:rsid w:val="00D70F16"/>
    <w:rsid w:val="00D71225"/>
    <w:rsid w:val="00D7174E"/>
    <w:rsid w:val="00D717DE"/>
    <w:rsid w:val="00D71BDA"/>
    <w:rsid w:val="00D71C2D"/>
    <w:rsid w:val="00D72002"/>
    <w:rsid w:val="00D7219D"/>
    <w:rsid w:val="00D722A4"/>
    <w:rsid w:val="00D72617"/>
    <w:rsid w:val="00D7267D"/>
    <w:rsid w:val="00D7270E"/>
    <w:rsid w:val="00D72884"/>
    <w:rsid w:val="00D72F57"/>
    <w:rsid w:val="00D73150"/>
    <w:rsid w:val="00D7326A"/>
    <w:rsid w:val="00D73B41"/>
    <w:rsid w:val="00D7461B"/>
    <w:rsid w:val="00D74647"/>
    <w:rsid w:val="00D74718"/>
    <w:rsid w:val="00D74CC7"/>
    <w:rsid w:val="00D75132"/>
    <w:rsid w:val="00D7521A"/>
    <w:rsid w:val="00D7540D"/>
    <w:rsid w:val="00D75463"/>
    <w:rsid w:val="00D75A8A"/>
    <w:rsid w:val="00D75E9A"/>
    <w:rsid w:val="00D75EE9"/>
    <w:rsid w:val="00D767BC"/>
    <w:rsid w:val="00D76A44"/>
    <w:rsid w:val="00D76F99"/>
    <w:rsid w:val="00D771D5"/>
    <w:rsid w:val="00D779C2"/>
    <w:rsid w:val="00D77D17"/>
    <w:rsid w:val="00D8013F"/>
    <w:rsid w:val="00D807F1"/>
    <w:rsid w:val="00D80824"/>
    <w:rsid w:val="00D80A10"/>
    <w:rsid w:val="00D80D0F"/>
    <w:rsid w:val="00D80D8B"/>
    <w:rsid w:val="00D80EC1"/>
    <w:rsid w:val="00D810E3"/>
    <w:rsid w:val="00D8116C"/>
    <w:rsid w:val="00D813DE"/>
    <w:rsid w:val="00D815D2"/>
    <w:rsid w:val="00D815EF"/>
    <w:rsid w:val="00D816FC"/>
    <w:rsid w:val="00D8187A"/>
    <w:rsid w:val="00D81943"/>
    <w:rsid w:val="00D81949"/>
    <w:rsid w:val="00D81B96"/>
    <w:rsid w:val="00D81C75"/>
    <w:rsid w:val="00D81E9F"/>
    <w:rsid w:val="00D81F26"/>
    <w:rsid w:val="00D81F98"/>
    <w:rsid w:val="00D822E2"/>
    <w:rsid w:val="00D825BD"/>
    <w:rsid w:val="00D82AC9"/>
    <w:rsid w:val="00D82C0C"/>
    <w:rsid w:val="00D82CFB"/>
    <w:rsid w:val="00D82DFC"/>
    <w:rsid w:val="00D8351A"/>
    <w:rsid w:val="00D83639"/>
    <w:rsid w:val="00D836A5"/>
    <w:rsid w:val="00D83903"/>
    <w:rsid w:val="00D83DF2"/>
    <w:rsid w:val="00D83F2A"/>
    <w:rsid w:val="00D8423C"/>
    <w:rsid w:val="00D843C9"/>
    <w:rsid w:val="00D843F2"/>
    <w:rsid w:val="00D844A8"/>
    <w:rsid w:val="00D84809"/>
    <w:rsid w:val="00D85671"/>
    <w:rsid w:val="00D856A9"/>
    <w:rsid w:val="00D85D1A"/>
    <w:rsid w:val="00D85FB5"/>
    <w:rsid w:val="00D86231"/>
    <w:rsid w:val="00D86C54"/>
    <w:rsid w:val="00D87184"/>
    <w:rsid w:val="00D8720E"/>
    <w:rsid w:val="00D8738B"/>
    <w:rsid w:val="00D873B4"/>
    <w:rsid w:val="00D873CB"/>
    <w:rsid w:val="00D8792A"/>
    <w:rsid w:val="00D87A29"/>
    <w:rsid w:val="00D87AA6"/>
    <w:rsid w:val="00D90671"/>
    <w:rsid w:val="00D906D6"/>
    <w:rsid w:val="00D90A8B"/>
    <w:rsid w:val="00D90BD4"/>
    <w:rsid w:val="00D91232"/>
    <w:rsid w:val="00D91285"/>
    <w:rsid w:val="00D912AB"/>
    <w:rsid w:val="00D91902"/>
    <w:rsid w:val="00D91923"/>
    <w:rsid w:val="00D91A8C"/>
    <w:rsid w:val="00D91D8F"/>
    <w:rsid w:val="00D91DC9"/>
    <w:rsid w:val="00D92002"/>
    <w:rsid w:val="00D927D6"/>
    <w:rsid w:val="00D92914"/>
    <w:rsid w:val="00D92C1A"/>
    <w:rsid w:val="00D92D9D"/>
    <w:rsid w:val="00D92F39"/>
    <w:rsid w:val="00D930AA"/>
    <w:rsid w:val="00D931DE"/>
    <w:rsid w:val="00D93753"/>
    <w:rsid w:val="00D9387B"/>
    <w:rsid w:val="00D93966"/>
    <w:rsid w:val="00D9397E"/>
    <w:rsid w:val="00D940D4"/>
    <w:rsid w:val="00D9433D"/>
    <w:rsid w:val="00D94355"/>
    <w:rsid w:val="00D9437E"/>
    <w:rsid w:val="00D947E3"/>
    <w:rsid w:val="00D94927"/>
    <w:rsid w:val="00D94A82"/>
    <w:rsid w:val="00D94A96"/>
    <w:rsid w:val="00D94D5B"/>
    <w:rsid w:val="00D94DD7"/>
    <w:rsid w:val="00D950BE"/>
    <w:rsid w:val="00D952F3"/>
    <w:rsid w:val="00D95B5F"/>
    <w:rsid w:val="00D95C35"/>
    <w:rsid w:val="00D960C4"/>
    <w:rsid w:val="00D961EB"/>
    <w:rsid w:val="00D962D7"/>
    <w:rsid w:val="00D97635"/>
    <w:rsid w:val="00D9772F"/>
    <w:rsid w:val="00D97A0B"/>
    <w:rsid w:val="00D97DB5"/>
    <w:rsid w:val="00D97F27"/>
    <w:rsid w:val="00DA0189"/>
    <w:rsid w:val="00DA02D8"/>
    <w:rsid w:val="00DA04B3"/>
    <w:rsid w:val="00DA06DB"/>
    <w:rsid w:val="00DA0BE8"/>
    <w:rsid w:val="00DA0D8C"/>
    <w:rsid w:val="00DA0F27"/>
    <w:rsid w:val="00DA0F29"/>
    <w:rsid w:val="00DA11BC"/>
    <w:rsid w:val="00DA12DA"/>
    <w:rsid w:val="00DA19C7"/>
    <w:rsid w:val="00DA19F9"/>
    <w:rsid w:val="00DA1BEB"/>
    <w:rsid w:val="00DA1DB0"/>
    <w:rsid w:val="00DA2455"/>
    <w:rsid w:val="00DA28C2"/>
    <w:rsid w:val="00DA30C9"/>
    <w:rsid w:val="00DA3167"/>
    <w:rsid w:val="00DA3193"/>
    <w:rsid w:val="00DA352C"/>
    <w:rsid w:val="00DA3591"/>
    <w:rsid w:val="00DA3E21"/>
    <w:rsid w:val="00DA3EB1"/>
    <w:rsid w:val="00DA48C6"/>
    <w:rsid w:val="00DA4A5B"/>
    <w:rsid w:val="00DA4D9A"/>
    <w:rsid w:val="00DA4DC3"/>
    <w:rsid w:val="00DA508F"/>
    <w:rsid w:val="00DA5468"/>
    <w:rsid w:val="00DA581C"/>
    <w:rsid w:val="00DA591C"/>
    <w:rsid w:val="00DA5922"/>
    <w:rsid w:val="00DA5B6D"/>
    <w:rsid w:val="00DA5BCF"/>
    <w:rsid w:val="00DA5D00"/>
    <w:rsid w:val="00DA6108"/>
    <w:rsid w:val="00DA64D6"/>
    <w:rsid w:val="00DA6AF6"/>
    <w:rsid w:val="00DA72F3"/>
    <w:rsid w:val="00DA7328"/>
    <w:rsid w:val="00DA753D"/>
    <w:rsid w:val="00DA77A5"/>
    <w:rsid w:val="00DA7897"/>
    <w:rsid w:val="00DA7988"/>
    <w:rsid w:val="00DA79A9"/>
    <w:rsid w:val="00DA7B59"/>
    <w:rsid w:val="00DB022B"/>
    <w:rsid w:val="00DB02B7"/>
    <w:rsid w:val="00DB0749"/>
    <w:rsid w:val="00DB090A"/>
    <w:rsid w:val="00DB0B74"/>
    <w:rsid w:val="00DB0E36"/>
    <w:rsid w:val="00DB0EB2"/>
    <w:rsid w:val="00DB0F03"/>
    <w:rsid w:val="00DB116E"/>
    <w:rsid w:val="00DB1506"/>
    <w:rsid w:val="00DB16F8"/>
    <w:rsid w:val="00DB191D"/>
    <w:rsid w:val="00DB1B33"/>
    <w:rsid w:val="00DB1DE3"/>
    <w:rsid w:val="00DB2149"/>
    <w:rsid w:val="00DB26E7"/>
    <w:rsid w:val="00DB2723"/>
    <w:rsid w:val="00DB27EA"/>
    <w:rsid w:val="00DB296A"/>
    <w:rsid w:val="00DB2A6B"/>
    <w:rsid w:val="00DB2C7C"/>
    <w:rsid w:val="00DB2EDD"/>
    <w:rsid w:val="00DB32A3"/>
    <w:rsid w:val="00DB344D"/>
    <w:rsid w:val="00DB3608"/>
    <w:rsid w:val="00DB37DA"/>
    <w:rsid w:val="00DB3A18"/>
    <w:rsid w:val="00DB3C18"/>
    <w:rsid w:val="00DB3DBF"/>
    <w:rsid w:val="00DB3F23"/>
    <w:rsid w:val="00DB484F"/>
    <w:rsid w:val="00DB4E7E"/>
    <w:rsid w:val="00DB5476"/>
    <w:rsid w:val="00DB5697"/>
    <w:rsid w:val="00DB56B3"/>
    <w:rsid w:val="00DB5832"/>
    <w:rsid w:val="00DB5C13"/>
    <w:rsid w:val="00DB5C95"/>
    <w:rsid w:val="00DB61C2"/>
    <w:rsid w:val="00DB7288"/>
    <w:rsid w:val="00DB74D2"/>
    <w:rsid w:val="00DB77B8"/>
    <w:rsid w:val="00DB784B"/>
    <w:rsid w:val="00DC0150"/>
    <w:rsid w:val="00DC04F6"/>
    <w:rsid w:val="00DC0690"/>
    <w:rsid w:val="00DC07D4"/>
    <w:rsid w:val="00DC0958"/>
    <w:rsid w:val="00DC1226"/>
    <w:rsid w:val="00DC1334"/>
    <w:rsid w:val="00DC1AB1"/>
    <w:rsid w:val="00DC1D1B"/>
    <w:rsid w:val="00DC1D65"/>
    <w:rsid w:val="00DC1F16"/>
    <w:rsid w:val="00DC1FDD"/>
    <w:rsid w:val="00DC2239"/>
    <w:rsid w:val="00DC2328"/>
    <w:rsid w:val="00DC2411"/>
    <w:rsid w:val="00DC29B7"/>
    <w:rsid w:val="00DC2EE5"/>
    <w:rsid w:val="00DC3A9A"/>
    <w:rsid w:val="00DC3C57"/>
    <w:rsid w:val="00DC3CED"/>
    <w:rsid w:val="00DC3EE9"/>
    <w:rsid w:val="00DC3F9C"/>
    <w:rsid w:val="00DC4507"/>
    <w:rsid w:val="00DC4629"/>
    <w:rsid w:val="00DC466C"/>
    <w:rsid w:val="00DC4914"/>
    <w:rsid w:val="00DC4FBA"/>
    <w:rsid w:val="00DC5038"/>
    <w:rsid w:val="00DC5501"/>
    <w:rsid w:val="00DC58E6"/>
    <w:rsid w:val="00DC5DE4"/>
    <w:rsid w:val="00DC5E92"/>
    <w:rsid w:val="00DC6037"/>
    <w:rsid w:val="00DC6132"/>
    <w:rsid w:val="00DC62FE"/>
    <w:rsid w:val="00DC6A71"/>
    <w:rsid w:val="00DC6DE9"/>
    <w:rsid w:val="00DC6E44"/>
    <w:rsid w:val="00DC6E56"/>
    <w:rsid w:val="00DC7154"/>
    <w:rsid w:val="00DC7516"/>
    <w:rsid w:val="00DC78FE"/>
    <w:rsid w:val="00DC7B27"/>
    <w:rsid w:val="00DC7C69"/>
    <w:rsid w:val="00DC7D26"/>
    <w:rsid w:val="00DC7E8A"/>
    <w:rsid w:val="00DC7F0A"/>
    <w:rsid w:val="00DD042A"/>
    <w:rsid w:val="00DD06BE"/>
    <w:rsid w:val="00DD06D9"/>
    <w:rsid w:val="00DD099B"/>
    <w:rsid w:val="00DD0BCE"/>
    <w:rsid w:val="00DD0CB3"/>
    <w:rsid w:val="00DD0F78"/>
    <w:rsid w:val="00DD101B"/>
    <w:rsid w:val="00DD148A"/>
    <w:rsid w:val="00DD169D"/>
    <w:rsid w:val="00DD16B9"/>
    <w:rsid w:val="00DD1731"/>
    <w:rsid w:val="00DD1F49"/>
    <w:rsid w:val="00DD2288"/>
    <w:rsid w:val="00DD26E6"/>
    <w:rsid w:val="00DD273C"/>
    <w:rsid w:val="00DD2CC6"/>
    <w:rsid w:val="00DD3279"/>
    <w:rsid w:val="00DD33E3"/>
    <w:rsid w:val="00DD3594"/>
    <w:rsid w:val="00DD3905"/>
    <w:rsid w:val="00DD3A57"/>
    <w:rsid w:val="00DD3D79"/>
    <w:rsid w:val="00DD3F28"/>
    <w:rsid w:val="00DD43A8"/>
    <w:rsid w:val="00DD4430"/>
    <w:rsid w:val="00DD4446"/>
    <w:rsid w:val="00DD4537"/>
    <w:rsid w:val="00DD472C"/>
    <w:rsid w:val="00DD4AFE"/>
    <w:rsid w:val="00DD4E15"/>
    <w:rsid w:val="00DD5093"/>
    <w:rsid w:val="00DD52CD"/>
    <w:rsid w:val="00DD5679"/>
    <w:rsid w:val="00DD57BC"/>
    <w:rsid w:val="00DD59C7"/>
    <w:rsid w:val="00DD59E3"/>
    <w:rsid w:val="00DD5DCF"/>
    <w:rsid w:val="00DD5E6D"/>
    <w:rsid w:val="00DD6359"/>
    <w:rsid w:val="00DD6407"/>
    <w:rsid w:val="00DD65C7"/>
    <w:rsid w:val="00DD6666"/>
    <w:rsid w:val="00DD66C5"/>
    <w:rsid w:val="00DD6A61"/>
    <w:rsid w:val="00DD6EAF"/>
    <w:rsid w:val="00DD7A8B"/>
    <w:rsid w:val="00DD7DCD"/>
    <w:rsid w:val="00DE07CE"/>
    <w:rsid w:val="00DE09EB"/>
    <w:rsid w:val="00DE10D7"/>
    <w:rsid w:val="00DE159B"/>
    <w:rsid w:val="00DE1746"/>
    <w:rsid w:val="00DE1B16"/>
    <w:rsid w:val="00DE1BBB"/>
    <w:rsid w:val="00DE1D85"/>
    <w:rsid w:val="00DE1E58"/>
    <w:rsid w:val="00DE2304"/>
    <w:rsid w:val="00DE2569"/>
    <w:rsid w:val="00DE258A"/>
    <w:rsid w:val="00DE3138"/>
    <w:rsid w:val="00DE3181"/>
    <w:rsid w:val="00DE31B4"/>
    <w:rsid w:val="00DE31E0"/>
    <w:rsid w:val="00DE3533"/>
    <w:rsid w:val="00DE37F8"/>
    <w:rsid w:val="00DE3967"/>
    <w:rsid w:val="00DE4273"/>
    <w:rsid w:val="00DE42CF"/>
    <w:rsid w:val="00DE442D"/>
    <w:rsid w:val="00DE4D7B"/>
    <w:rsid w:val="00DE4F8A"/>
    <w:rsid w:val="00DE4FCB"/>
    <w:rsid w:val="00DE52AD"/>
    <w:rsid w:val="00DE52B0"/>
    <w:rsid w:val="00DE5531"/>
    <w:rsid w:val="00DE5A61"/>
    <w:rsid w:val="00DE5D07"/>
    <w:rsid w:val="00DE5F2D"/>
    <w:rsid w:val="00DE6562"/>
    <w:rsid w:val="00DE68B3"/>
    <w:rsid w:val="00DE696E"/>
    <w:rsid w:val="00DE69D5"/>
    <w:rsid w:val="00DE6AB3"/>
    <w:rsid w:val="00DE6FC0"/>
    <w:rsid w:val="00DE7095"/>
    <w:rsid w:val="00DE7206"/>
    <w:rsid w:val="00DE726C"/>
    <w:rsid w:val="00DE72A7"/>
    <w:rsid w:val="00DE7832"/>
    <w:rsid w:val="00DE7B0C"/>
    <w:rsid w:val="00DE7E35"/>
    <w:rsid w:val="00DE7F31"/>
    <w:rsid w:val="00DF042A"/>
    <w:rsid w:val="00DF0B98"/>
    <w:rsid w:val="00DF0C39"/>
    <w:rsid w:val="00DF12C3"/>
    <w:rsid w:val="00DF15D5"/>
    <w:rsid w:val="00DF18FC"/>
    <w:rsid w:val="00DF1BC7"/>
    <w:rsid w:val="00DF2401"/>
    <w:rsid w:val="00DF249A"/>
    <w:rsid w:val="00DF2DB5"/>
    <w:rsid w:val="00DF2DEB"/>
    <w:rsid w:val="00DF2E18"/>
    <w:rsid w:val="00DF2E6B"/>
    <w:rsid w:val="00DF2F50"/>
    <w:rsid w:val="00DF34A6"/>
    <w:rsid w:val="00DF38FB"/>
    <w:rsid w:val="00DF3F4E"/>
    <w:rsid w:val="00DF45C7"/>
    <w:rsid w:val="00DF4B00"/>
    <w:rsid w:val="00DF4CC7"/>
    <w:rsid w:val="00DF4E9A"/>
    <w:rsid w:val="00DF53AF"/>
    <w:rsid w:val="00DF550B"/>
    <w:rsid w:val="00DF5A7F"/>
    <w:rsid w:val="00DF5ABD"/>
    <w:rsid w:val="00DF5AEC"/>
    <w:rsid w:val="00DF5D1C"/>
    <w:rsid w:val="00DF5D2B"/>
    <w:rsid w:val="00DF5E7E"/>
    <w:rsid w:val="00DF5EA4"/>
    <w:rsid w:val="00DF5F8B"/>
    <w:rsid w:val="00DF62F5"/>
    <w:rsid w:val="00DF6341"/>
    <w:rsid w:val="00DF6482"/>
    <w:rsid w:val="00DF64EB"/>
    <w:rsid w:val="00DF671A"/>
    <w:rsid w:val="00DF67E5"/>
    <w:rsid w:val="00DF6A56"/>
    <w:rsid w:val="00DF768D"/>
    <w:rsid w:val="00DF7719"/>
    <w:rsid w:val="00DF7905"/>
    <w:rsid w:val="00DF7B75"/>
    <w:rsid w:val="00DF7E40"/>
    <w:rsid w:val="00E0031B"/>
    <w:rsid w:val="00E00463"/>
    <w:rsid w:val="00E00667"/>
    <w:rsid w:val="00E006E5"/>
    <w:rsid w:val="00E007DC"/>
    <w:rsid w:val="00E00E8E"/>
    <w:rsid w:val="00E010AC"/>
    <w:rsid w:val="00E010FF"/>
    <w:rsid w:val="00E0135F"/>
    <w:rsid w:val="00E01532"/>
    <w:rsid w:val="00E016E2"/>
    <w:rsid w:val="00E01EFF"/>
    <w:rsid w:val="00E0200D"/>
    <w:rsid w:val="00E02262"/>
    <w:rsid w:val="00E02551"/>
    <w:rsid w:val="00E025A0"/>
    <w:rsid w:val="00E02642"/>
    <w:rsid w:val="00E02772"/>
    <w:rsid w:val="00E02DE4"/>
    <w:rsid w:val="00E032D5"/>
    <w:rsid w:val="00E035DE"/>
    <w:rsid w:val="00E03B85"/>
    <w:rsid w:val="00E03BA1"/>
    <w:rsid w:val="00E03C58"/>
    <w:rsid w:val="00E04004"/>
    <w:rsid w:val="00E0488E"/>
    <w:rsid w:val="00E04C60"/>
    <w:rsid w:val="00E04E53"/>
    <w:rsid w:val="00E05118"/>
    <w:rsid w:val="00E05630"/>
    <w:rsid w:val="00E0577D"/>
    <w:rsid w:val="00E05EA9"/>
    <w:rsid w:val="00E05EC4"/>
    <w:rsid w:val="00E062D0"/>
    <w:rsid w:val="00E065FE"/>
    <w:rsid w:val="00E0667F"/>
    <w:rsid w:val="00E066FF"/>
    <w:rsid w:val="00E06D31"/>
    <w:rsid w:val="00E06DBB"/>
    <w:rsid w:val="00E06FBF"/>
    <w:rsid w:val="00E071C8"/>
    <w:rsid w:val="00E0722F"/>
    <w:rsid w:val="00E072D6"/>
    <w:rsid w:val="00E07450"/>
    <w:rsid w:val="00E07655"/>
    <w:rsid w:val="00E07723"/>
    <w:rsid w:val="00E07792"/>
    <w:rsid w:val="00E07893"/>
    <w:rsid w:val="00E07E17"/>
    <w:rsid w:val="00E10149"/>
    <w:rsid w:val="00E10571"/>
    <w:rsid w:val="00E10AA1"/>
    <w:rsid w:val="00E10D3C"/>
    <w:rsid w:val="00E10EEA"/>
    <w:rsid w:val="00E11149"/>
    <w:rsid w:val="00E11340"/>
    <w:rsid w:val="00E11606"/>
    <w:rsid w:val="00E11B66"/>
    <w:rsid w:val="00E11F43"/>
    <w:rsid w:val="00E121DC"/>
    <w:rsid w:val="00E122A1"/>
    <w:rsid w:val="00E12345"/>
    <w:rsid w:val="00E1251F"/>
    <w:rsid w:val="00E1284C"/>
    <w:rsid w:val="00E12D2E"/>
    <w:rsid w:val="00E13266"/>
    <w:rsid w:val="00E13376"/>
    <w:rsid w:val="00E13651"/>
    <w:rsid w:val="00E136C5"/>
    <w:rsid w:val="00E13D02"/>
    <w:rsid w:val="00E13D84"/>
    <w:rsid w:val="00E13E3C"/>
    <w:rsid w:val="00E13EBF"/>
    <w:rsid w:val="00E141AA"/>
    <w:rsid w:val="00E1455D"/>
    <w:rsid w:val="00E146C0"/>
    <w:rsid w:val="00E14E8D"/>
    <w:rsid w:val="00E1525C"/>
    <w:rsid w:val="00E1535A"/>
    <w:rsid w:val="00E15414"/>
    <w:rsid w:val="00E15E79"/>
    <w:rsid w:val="00E1632E"/>
    <w:rsid w:val="00E16372"/>
    <w:rsid w:val="00E164E9"/>
    <w:rsid w:val="00E1680D"/>
    <w:rsid w:val="00E16AD8"/>
    <w:rsid w:val="00E16D36"/>
    <w:rsid w:val="00E16E47"/>
    <w:rsid w:val="00E16E64"/>
    <w:rsid w:val="00E17109"/>
    <w:rsid w:val="00E1764E"/>
    <w:rsid w:val="00E177BA"/>
    <w:rsid w:val="00E17BF7"/>
    <w:rsid w:val="00E17FFA"/>
    <w:rsid w:val="00E20180"/>
    <w:rsid w:val="00E20349"/>
    <w:rsid w:val="00E20404"/>
    <w:rsid w:val="00E2049D"/>
    <w:rsid w:val="00E204B8"/>
    <w:rsid w:val="00E20503"/>
    <w:rsid w:val="00E20DF9"/>
    <w:rsid w:val="00E20E4D"/>
    <w:rsid w:val="00E20ED6"/>
    <w:rsid w:val="00E20FC2"/>
    <w:rsid w:val="00E211EE"/>
    <w:rsid w:val="00E21358"/>
    <w:rsid w:val="00E21A10"/>
    <w:rsid w:val="00E22138"/>
    <w:rsid w:val="00E22178"/>
    <w:rsid w:val="00E2249B"/>
    <w:rsid w:val="00E2259A"/>
    <w:rsid w:val="00E226BA"/>
    <w:rsid w:val="00E229AA"/>
    <w:rsid w:val="00E22A0D"/>
    <w:rsid w:val="00E22C3A"/>
    <w:rsid w:val="00E23AF9"/>
    <w:rsid w:val="00E23C52"/>
    <w:rsid w:val="00E23FBB"/>
    <w:rsid w:val="00E2441E"/>
    <w:rsid w:val="00E244F6"/>
    <w:rsid w:val="00E245B8"/>
    <w:rsid w:val="00E246C6"/>
    <w:rsid w:val="00E24A44"/>
    <w:rsid w:val="00E24F50"/>
    <w:rsid w:val="00E2536C"/>
    <w:rsid w:val="00E255F2"/>
    <w:rsid w:val="00E255FD"/>
    <w:rsid w:val="00E258DB"/>
    <w:rsid w:val="00E259B0"/>
    <w:rsid w:val="00E259E0"/>
    <w:rsid w:val="00E25AE3"/>
    <w:rsid w:val="00E25C83"/>
    <w:rsid w:val="00E25CC3"/>
    <w:rsid w:val="00E25FA2"/>
    <w:rsid w:val="00E25FFD"/>
    <w:rsid w:val="00E26274"/>
    <w:rsid w:val="00E2681C"/>
    <w:rsid w:val="00E26D26"/>
    <w:rsid w:val="00E26E61"/>
    <w:rsid w:val="00E26ED1"/>
    <w:rsid w:val="00E274F1"/>
    <w:rsid w:val="00E27531"/>
    <w:rsid w:val="00E2771E"/>
    <w:rsid w:val="00E27C9B"/>
    <w:rsid w:val="00E3040C"/>
    <w:rsid w:val="00E305DC"/>
    <w:rsid w:val="00E307C7"/>
    <w:rsid w:val="00E3088F"/>
    <w:rsid w:val="00E3098B"/>
    <w:rsid w:val="00E30D9C"/>
    <w:rsid w:val="00E30F0A"/>
    <w:rsid w:val="00E311AB"/>
    <w:rsid w:val="00E311EF"/>
    <w:rsid w:val="00E31206"/>
    <w:rsid w:val="00E3125E"/>
    <w:rsid w:val="00E313CE"/>
    <w:rsid w:val="00E314E0"/>
    <w:rsid w:val="00E319C6"/>
    <w:rsid w:val="00E31CCA"/>
    <w:rsid w:val="00E31DFE"/>
    <w:rsid w:val="00E3208E"/>
    <w:rsid w:val="00E32180"/>
    <w:rsid w:val="00E324CE"/>
    <w:rsid w:val="00E328F3"/>
    <w:rsid w:val="00E32C2A"/>
    <w:rsid w:val="00E32DA4"/>
    <w:rsid w:val="00E32F4D"/>
    <w:rsid w:val="00E3318E"/>
    <w:rsid w:val="00E3374D"/>
    <w:rsid w:val="00E33B26"/>
    <w:rsid w:val="00E33F7A"/>
    <w:rsid w:val="00E34299"/>
    <w:rsid w:val="00E345B1"/>
    <w:rsid w:val="00E34948"/>
    <w:rsid w:val="00E349D4"/>
    <w:rsid w:val="00E34FA6"/>
    <w:rsid w:val="00E35052"/>
    <w:rsid w:val="00E359DE"/>
    <w:rsid w:val="00E36635"/>
    <w:rsid w:val="00E36E59"/>
    <w:rsid w:val="00E37569"/>
    <w:rsid w:val="00E37B84"/>
    <w:rsid w:val="00E37C6B"/>
    <w:rsid w:val="00E37C7E"/>
    <w:rsid w:val="00E37E9F"/>
    <w:rsid w:val="00E40000"/>
    <w:rsid w:val="00E400B5"/>
    <w:rsid w:val="00E401B2"/>
    <w:rsid w:val="00E40AC3"/>
    <w:rsid w:val="00E40AD2"/>
    <w:rsid w:val="00E40EA0"/>
    <w:rsid w:val="00E4172B"/>
    <w:rsid w:val="00E4194E"/>
    <w:rsid w:val="00E41B7C"/>
    <w:rsid w:val="00E41C5F"/>
    <w:rsid w:val="00E41CA5"/>
    <w:rsid w:val="00E41E30"/>
    <w:rsid w:val="00E41E40"/>
    <w:rsid w:val="00E4200C"/>
    <w:rsid w:val="00E42337"/>
    <w:rsid w:val="00E42516"/>
    <w:rsid w:val="00E42603"/>
    <w:rsid w:val="00E42817"/>
    <w:rsid w:val="00E42DE5"/>
    <w:rsid w:val="00E42F73"/>
    <w:rsid w:val="00E4320C"/>
    <w:rsid w:val="00E43290"/>
    <w:rsid w:val="00E432E7"/>
    <w:rsid w:val="00E4351A"/>
    <w:rsid w:val="00E436D9"/>
    <w:rsid w:val="00E438D6"/>
    <w:rsid w:val="00E43B26"/>
    <w:rsid w:val="00E43D70"/>
    <w:rsid w:val="00E43E54"/>
    <w:rsid w:val="00E44370"/>
    <w:rsid w:val="00E44575"/>
    <w:rsid w:val="00E44613"/>
    <w:rsid w:val="00E44C29"/>
    <w:rsid w:val="00E44E31"/>
    <w:rsid w:val="00E44E4A"/>
    <w:rsid w:val="00E44EFB"/>
    <w:rsid w:val="00E45208"/>
    <w:rsid w:val="00E453E1"/>
    <w:rsid w:val="00E462F2"/>
    <w:rsid w:val="00E46340"/>
    <w:rsid w:val="00E466F3"/>
    <w:rsid w:val="00E46707"/>
    <w:rsid w:val="00E46EAC"/>
    <w:rsid w:val="00E46F64"/>
    <w:rsid w:val="00E47108"/>
    <w:rsid w:val="00E4737B"/>
    <w:rsid w:val="00E4795B"/>
    <w:rsid w:val="00E47971"/>
    <w:rsid w:val="00E47ABB"/>
    <w:rsid w:val="00E47B2C"/>
    <w:rsid w:val="00E47CE0"/>
    <w:rsid w:val="00E50187"/>
    <w:rsid w:val="00E507B7"/>
    <w:rsid w:val="00E50813"/>
    <w:rsid w:val="00E508AC"/>
    <w:rsid w:val="00E51560"/>
    <w:rsid w:val="00E51821"/>
    <w:rsid w:val="00E51BCE"/>
    <w:rsid w:val="00E51BE4"/>
    <w:rsid w:val="00E51D4C"/>
    <w:rsid w:val="00E51E40"/>
    <w:rsid w:val="00E52412"/>
    <w:rsid w:val="00E52799"/>
    <w:rsid w:val="00E52AD3"/>
    <w:rsid w:val="00E5305A"/>
    <w:rsid w:val="00E53189"/>
    <w:rsid w:val="00E531A0"/>
    <w:rsid w:val="00E53434"/>
    <w:rsid w:val="00E538EE"/>
    <w:rsid w:val="00E53A88"/>
    <w:rsid w:val="00E53B8D"/>
    <w:rsid w:val="00E53F2B"/>
    <w:rsid w:val="00E53FC8"/>
    <w:rsid w:val="00E54347"/>
    <w:rsid w:val="00E54626"/>
    <w:rsid w:val="00E546FB"/>
    <w:rsid w:val="00E5488D"/>
    <w:rsid w:val="00E54956"/>
    <w:rsid w:val="00E54A9E"/>
    <w:rsid w:val="00E54B3A"/>
    <w:rsid w:val="00E54DF1"/>
    <w:rsid w:val="00E54DF4"/>
    <w:rsid w:val="00E54E3B"/>
    <w:rsid w:val="00E54EBC"/>
    <w:rsid w:val="00E551AD"/>
    <w:rsid w:val="00E552B4"/>
    <w:rsid w:val="00E55424"/>
    <w:rsid w:val="00E555EB"/>
    <w:rsid w:val="00E55692"/>
    <w:rsid w:val="00E55915"/>
    <w:rsid w:val="00E55BB5"/>
    <w:rsid w:val="00E55C14"/>
    <w:rsid w:val="00E55F6B"/>
    <w:rsid w:val="00E5698A"/>
    <w:rsid w:val="00E569D8"/>
    <w:rsid w:val="00E56C78"/>
    <w:rsid w:val="00E56D63"/>
    <w:rsid w:val="00E56EF0"/>
    <w:rsid w:val="00E575C9"/>
    <w:rsid w:val="00E5777A"/>
    <w:rsid w:val="00E57A03"/>
    <w:rsid w:val="00E57A67"/>
    <w:rsid w:val="00E57C90"/>
    <w:rsid w:val="00E611DF"/>
    <w:rsid w:val="00E614FB"/>
    <w:rsid w:val="00E61609"/>
    <w:rsid w:val="00E6176E"/>
    <w:rsid w:val="00E61A5F"/>
    <w:rsid w:val="00E61D35"/>
    <w:rsid w:val="00E620E3"/>
    <w:rsid w:val="00E62536"/>
    <w:rsid w:val="00E6286D"/>
    <w:rsid w:val="00E62D1D"/>
    <w:rsid w:val="00E62F57"/>
    <w:rsid w:val="00E63624"/>
    <w:rsid w:val="00E63B62"/>
    <w:rsid w:val="00E63D3A"/>
    <w:rsid w:val="00E63D3E"/>
    <w:rsid w:val="00E64192"/>
    <w:rsid w:val="00E64724"/>
    <w:rsid w:val="00E648C2"/>
    <w:rsid w:val="00E64EBD"/>
    <w:rsid w:val="00E651C0"/>
    <w:rsid w:val="00E6541E"/>
    <w:rsid w:val="00E65E79"/>
    <w:rsid w:val="00E667CE"/>
    <w:rsid w:val="00E66BA2"/>
    <w:rsid w:val="00E66C47"/>
    <w:rsid w:val="00E66D39"/>
    <w:rsid w:val="00E67416"/>
    <w:rsid w:val="00E67546"/>
    <w:rsid w:val="00E6772C"/>
    <w:rsid w:val="00E6790E"/>
    <w:rsid w:val="00E700A8"/>
    <w:rsid w:val="00E70466"/>
    <w:rsid w:val="00E7069E"/>
    <w:rsid w:val="00E70943"/>
    <w:rsid w:val="00E70A04"/>
    <w:rsid w:val="00E70CF7"/>
    <w:rsid w:val="00E7101C"/>
    <w:rsid w:val="00E715F5"/>
    <w:rsid w:val="00E718B6"/>
    <w:rsid w:val="00E71959"/>
    <w:rsid w:val="00E71B9C"/>
    <w:rsid w:val="00E71CE5"/>
    <w:rsid w:val="00E72000"/>
    <w:rsid w:val="00E723BA"/>
    <w:rsid w:val="00E7244C"/>
    <w:rsid w:val="00E72770"/>
    <w:rsid w:val="00E72807"/>
    <w:rsid w:val="00E72A36"/>
    <w:rsid w:val="00E72AEE"/>
    <w:rsid w:val="00E72BB6"/>
    <w:rsid w:val="00E72F73"/>
    <w:rsid w:val="00E733CB"/>
    <w:rsid w:val="00E73581"/>
    <w:rsid w:val="00E73882"/>
    <w:rsid w:val="00E7481E"/>
    <w:rsid w:val="00E74826"/>
    <w:rsid w:val="00E74BDB"/>
    <w:rsid w:val="00E74C3E"/>
    <w:rsid w:val="00E74E64"/>
    <w:rsid w:val="00E75039"/>
    <w:rsid w:val="00E75064"/>
    <w:rsid w:val="00E753E3"/>
    <w:rsid w:val="00E75945"/>
    <w:rsid w:val="00E75DED"/>
    <w:rsid w:val="00E75EB6"/>
    <w:rsid w:val="00E76084"/>
    <w:rsid w:val="00E76095"/>
    <w:rsid w:val="00E760EA"/>
    <w:rsid w:val="00E76187"/>
    <w:rsid w:val="00E76558"/>
    <w:rsid w:val="00E76B59"/>
    <w:rsid w:val="00E76F40"/>
    <w:rsid w:val="00E770AE"/>
    <w:rsid w:val="00E77125"/>
    <w:rsid w:val="00E77707"/>
    <w:rsid w:val="00E779AE"/>
    <w:rsid w:val="00E77AE6"/>
    <w:rsid w:val="00E77FFC"/>
    <w:rsid w:val="00E8009E"/>
    <w:rsid w:val="00E80797"/>
    <w:rsid w:val="00E808F6"/>
    <w:rsid w:val="00E8092A"/>
    <w:rsid w:val="00E80E27"/>
    <w:rsid w:val="00E80E79"/>
    <w:rsid w:val="00E81235"/>
    <w:rsid w:val="00E81CD5"/>
    <w:rsid w:val="00E81D30"/>
    <w:rsid w:val="00E81DBB"/>
    <w:rsid w:val="00E81F10"/>
    <w:rsid w:val="00E8288F"/>
    <w:rsid w:val="00E82891"/>
    <w:rsid w:val="00E82D1E"/>
    <w:rsid w:val="00E82DBB"/>
    <w:rsid w:val="00E82FA2"/>
    <w:rsid w:val="00E833F7"/>
    <w:rsid w:val="00E834E0"/>
    <w:rsid w:val="00E83B21"/>
    <w:rsid w:val="00E83B73"/>
    <w:rsid w:val="00E83BDF"/>
    <w:rsid w:val="00E83D8F"/>
    <w:rsid w:val="00E83EC1"/>
    <w:rsid w:val="00E84025"/>
    <w:rsid w:val="00E84092"/>
    <w:rsid w:val="00E84299"/>
    <w:rsid w:val="00E8444B"/>
    <w:rsid w:val="00E848BA"/>
    <w:rsid w:val="00E85295"/>
    <w:rsid w:val="00E8564F"/>
    <w:rsid w:val="00E856E5"/>
    <w:rsid w:val="00E85949"/>
    <w:rsid w:val="00E8595B"/>
    <w:rsid w:val="00E85CAB"/>
    <w:rsid w:val="00E86493"/>
    <w:rsid w:val="00E8660E"/>
    <w:rsid w:val="00E869C1"/>
    <w:rsid w:val="00E86FCC"/>
    <w:rsid w:val="00E87566"/>
    <w:rsid w:val="00E87814"/>
    <w:rsid w:val="00E878F2"/>
    <w:rsid w:val="00E87A1D"/>
    <w:rsid w:val="00E87C6F"/>
    <w:rsid w:val="00E908FA"/>
    <w:rsid w:val="00E9094A"/>
    <w:rsid w:val="00E90B5A"/>
    <w:rsid w:val="00E90FD6"/>
    <w:rsid w:val="00E911C0"/>
    <w:rsid w:val="00E914A8"/>
    <w:rsid w:val="00E919B2"/>
    <w:rsid w:val="00E91D35"/>
    <w:rsid w:val="00E91D9B"/>
    <w:rsid w:val="00E926A5"/>
    <w:rsid w:val="00E92916"/>
    <w:rsid w:val="00E92A81"/>
    <w:rsid w:val="00E93453"/>
    <w:rsid w:val="00E9395D"/>
    <w:rsid w:val="00E93FB2"/>
    <w:rsid w:val="00E941B0"/>
    <w:rsid w:val="00E952A1"/>
    <w:rsid w:val="00E956AC"/>
    <w:rsid w:val="00E95A95"/>
    <w:rsid w:val="00E95F25"/>
    <w:rsid w:val="00E95F8D"/>
    <w:rsid w:val="00E962CC"/>
    <w:rsid w:val="00E964CE"/>
    <w:rsid w:val="00E96D47"/>
    <w:rsid w:val="00E97043"/>
    <w:rsid w:val="00E9729D"/>
    <w:rsid w:val="00E97592"/>
    <w:rsid w:val="00E97A45"/>
    <w:rsid w:val="00E97B2B"/>
    <w:rsid w:val="00E97BD1"/>
    <w:rsid w:val="00E97D9F"/>
    <w:rsid w:val="00EA00A3"/>
    <w:rsid w:val="00EA0128"/>
    <w:rsid w:val="00EA01B3"/>
    <w:rsid w:val="00EA046D"/>
    <w:rsid w:val="00EA04B7"/>
    <w:rsid w:val="00EA0773"/>
    <w:rsid w:val="00EA09DC"/>
    <w:rsid w:val="00EA0CCD"/>
    <w:rsid w:val="00EA1129"/>
    <w:rsid w:val="00EA138B"/>
    <w:rsid w:val="00EA13A6"/>
    <w:rsid w:val="00EA1745"/>
    <w:rsid w:val="00EA17C3"/>
    <w:rsid w:val="00EA1B14"/>
    <w:rsid w:val="00EA1F9E"/>
    <w:rsid w:val="00EA2578"/>
    <w:rsid w:val="00EA28E9"/>
    <w:rsid w:val="00EA2AC7"/>
    <w:rsid w:val="00EA2CAA"/>
    <w:rsid w:val="00EA2DFE"/>
    <w:rsid w:val="00EA2F30"/>
    <w:rsid w:val="00EA3507"/>
    <w:rsid w:val="00EA3724"/>
    <w:rsid w:val="00EA3864"/>
    <w:rsid w:val="00EA3C53"/>
    <w:rsid w:val="00EA3D70"/>
    <w:rsid w:val="00EA3F1A"/>
    <w:rsid w:val="00EA463D"/>
    <w:rsid w:val="00EA4D66"/>
    <w:rsid w:val="00EA50BB"/>
    <w:rsid w:val="00EA51C7"/>
    <w:rsid w:val="00EA5673"/>
    <w:rsid w:val="00EA56C4"/>
    <w:rsid w:val="00EA58DE"/>
    <w:rsid w:val="00EA596F"/>
    <w:rsid w:val="00EA5C30"/>
    <w:rsid w:val="00EA60C1"/>
    <w:rsid w:val="00EA6385"/>
    <w:rsid w:val="00EA653D"/>
    <w:rsid w:val="00EA6B0F"/>
    <w:rsid w:val="00EA6C24"/>
    <w:rsid w:val="00EA6E8B"/>
    <w:rsid w:val="00EA75FA"/>
    <w:rsid w:val="00EA7676"/>
    <w:rsid w:val="00EA7752"/>
    <w:rsid w:val="00EA7C8F"/>
    <w:rsid w:val="00EA7F1C"/>
    <w:rsid w:val="00EB020A"/>
    <w:rsid w:val="00EB0303"/>
    <w:rsid w:val="00EB0461"/>
    <w:rsid w:val="00EB0651"/>
    <w:rsid w:val="00EB0DA9"/>
    <w:rsid w:val="00EB104B"/>
    <w:rsid w:val="00EB15B6"/>
    <w:rsid w:val="00EB19A5"/>
    <w:rsid w:val="00EB1CAA"/>
    <w:rsid w:val="00EB1E90"/>
    <w:rsid w:val="00EB2116"/>
    <w:rsid w:val="00EB2373"/>
    <w:rsid w:val="00EB2588"/>
    <w:rsid w:val="00EB2650"/>
    <w:rsid w:val="00EB2D06"/>
    <w:rsid w:val="00EB2D5A"/>
    <w:rsid w:val="00EB2F32"/>
    <w:rsid w:val="00EB31AE"/>
    <w:rsid w:val="00EB339E"/>
    <w:rsid w:val="00EB3578"/>
    <w:rsid w:val="00EB36E1"/>
    <w:rsid w:val="00EB3A05"/>
    <w:rsid w:val="00EB3CBC"/>
    <w:rsid w:val="00EB3D06"/>
    <w:rsid w:val="00EB3F8A"/>
    <w:rsid w:val="00EB47D6"/>
    <w:rsid w:val="00EB484C"/>
    <w:rsid w:val="00EB4916"/>
    <w:rsid w:val="00EB4C0D"/>
    <w:rsid w:val="00EB4E16"/>
    <w:rsid w:val="00EB4E69"/>
    <w:rsid w:val="00EB4F3A"/>
    <w:rsid w:val="00EB5020"/>
    <w:rsid w:val="00EB525C"/>
    <w:rsid w:val="00EB545B"/>
    <w:rsid w:val="00EB55F1"/>
    <w:rsid w:val="00EB5684"/>
    <w:rsid w:val="00EB56D8"/>
    <w:rsid w:val="00EB5A9A"/>
    <w:rsid w:val="00EB5BE6"/>
    <w:rsid w:val="00EB6048"/>
    <w:rsid w:val="00EB62AF"/>
    <w:rsid w:val="00EB652F"/>
    <w:rsid w:val="00EB6816"/>
    <w:rsid w:val="00EB6955"/>
    <w:rsid w:val="00EB6B2F"/>
    <w:rsid w:val="00EB6BAF"/>
    <w:rsid w:val="00EB6E23"/>
    <w:rsid w:val="00EB736A"/>
    <w:rsid w:val="00EB7B8A"/>
    <w:rsid w:val="00EB7E20"/>
    <w:rsid w:val="00EB7F24"/>
    <w:rsid w:val="00EB7FF4"/>
    <w:rsid w:val="00EC00C9"/>
    <w:rsid w:val="00EC05F2"/>
    <w:rsid w:val="00EC0705"/>
    <w:rsid w:val="00EC09B1"/>
    <w:rsid w:val="00EC0D3F"/>
    <w:rsid w:val="00EC0DBA"/>
    <w:rsid w:val="00EC0DD9"/>
    <w:rsid w:val="00EC1047"/>
    <w:rsid w:val="00EC1256"/>
    <w:rsid w:val="00EC15B1"/>
    <w:rsid w:val="00EC1780"/>
    <w:rsid w:val="00EC1825"/>
    <w:rsid w:val="00EC1C8C"/>
    <w:rsid w:val="00EC1E1E"/>
    <w:rsid w:val="00EC2468"/>
    <w:rsid w:val="00EC2649"/>
    <w:rsid w:val="00EC293D"/>
    <w:rsid w:val="00EC2B3B"/>
    <w:rsid w:val="00EC2D31"/>
    <w:rsid w:val="00EC31ED"/>
    <w:rsid w:val="00EC3B99"/>
    <w:rsid w:val="00EC400E"/>
    <w:rsid w:val="00EC405B"/>
    <w:rsid w:val="00EC4279"/>
    <w:rsid w:val="00EC4472"/>
    <w:rsid w:val="00EC484D"/>
    <w:rsid w:val="00EC4BA8"/>
    <w:rsid w:val="00EC4CE9"/>
    <w:rsid w:val="00EC4FE1"/>
    <w:rsid w:val="00EC5458"/>
    <w:rsid w:val="00EC553E"/>
    <w:rsid w:val="00EC5619"/>
    <w:rsid w:val="00EC5836"/>
    <w:rsid w:val="00EC5899"/>
    <w:rsid w:val="00EC5AAC"/>
    <w:rsid w:val="00EC5D84"/>
    <w:rsid w:val="00EC5DAB"/>
    <w:rsid w:val="00EC5EF3"/>
    <w:rsid w:val="00EC5F7C"/>
    <w:rsid w:val="00EC615D"/>
    <w:rsid w:val="00EC667E"/>
    <w:rsid w:val="00EC688C"/>
    <w:rsid w:val="00EC69AC"/>
    <w:rsid w:val="00EC7018"/>
    <w:rsid w:val="00EC7567"/>
    <w:rsid w:val="00EC758A"/>
    <w:rsid w:val="00EC76AD"/>
    <w:rsid w:val="00EC7E9A"/>
    <w:rsid w:val="00EC7E9B"/>
    <w:rsid w:val="00EC7FBC"/>
    <w:rsid w:val="00ED0186"/>
    <w:rsid w:val="00ED023B"/>
    <w:rsid w:val="00ED0276"/>
    <w:rsid w:val="00ED0494"/>
    <w:rsid w:val="00ED0995"/>
    <w:rsid w:val="00ED09DD"/>
    <w:rsid w:val="00ED0CBB"/>
    <w:rsid w:val="00ED0E28"/>
    <w:rsid w:val="00ED1190"/>
    <w:rsid w:val="00ED12E3"/>
    <w:rsid w:val="00ED1698"/>
    <w:rsid w:val="00ED1904"/>
    <w:rsid w:val="00ED1B1F"/>
    <w:rsid w:val="00ED1B8A"/>
    <w:rsid w:val="00ED1CED"/>
    <w:rsid w:val="00ED1E4B"/>
    <w:rsid w:val="00ED1E81"/>
    <w:rsid w:val="00ED1F90"/>
    <w:rsid w:val="00ED28C1"/>
    <w:rsid w:val="00ED2CEA"/>
    <w:rsid w:val="00ED2F93"/>
    <w:rsid w:val="00ED30A7"/>
    <w:rsid w:val="00ED3100"/>
    <w:rsid w:val="00ED38E0"/>
    <w:rsid w:val="00ED39E1"/>
    <w:rsid w:val="00ED3C5B"/>
    <w:rsid w:val="00ED4392"/>
    <w:rsid w:val="00ED44BF"/>
    <w:rsid w:val="00ED4513"/>
    <w:rsid w:val="00ED4744"/>
    <w:rsid w:val="00ED4A52"/>
    <w:rsid w:val="00ED4B04"/>
    <w:rsid w:val="00ED4BEC"/>
    <w:rsid w:val="00ED4D42"/>
    <w:rsid w:val="00ED4D70"/>
    <w:rsid w:val="00ED4E32"/>
    <w:rsid w:val="00ED4EA8"/>
    <w:rsid w:val="00ED5048"/>
    <w:rsid w:val="00ED51E1"/>
    <w:rsid w:val="00ED52A6"/>
    <w:rsid w:val="00ED55C5"/>
    <w:rsid w:val="00ED574E"/>
    <w:rsid w:val="00ED57EA"/>
    <w:rsid w:val="00ED5BD4"/>
    <w:rsid w:val="00ED6280"/>
    <w:rsid w:val="00ED6AFE"/>
    <w:rsid w:val="00ED715B"/>
    <w:rsid w:val="00ED742F"/>
    <w:rsid w:val="00ED768E"/>
    <w:rsid w:val="00ED7877"/>
    <w:rsid w:val="00ED787E"/>
    <w:rsid w:val="00EE0189"/>
    <w:rsid w:val="00EE03F4"/>
    <w:rsid w:val="00EE06D7"/>
    <w:rsid w:val="00EE07D3"/>
    <w:rsid w:val="00EE07F3"/>
    <w:rsid w:val="00EE0A9C"/>
    <w:rsid w:val="00EE0B60"/>
    <w:rsid w:val="00EE0B8D"/>
    <w:rsid w:val="00EE0F9F"/>
    <w:rsid w:val="00EE10EE"/>
    <w:rsid w:val="00EE114C"/>
    <w:rsid w:val="00EE1654"/>
    <w:rsid w:val="00EE1852"/>
    <w:rsid w:val="00EE1996"/>
    <w:rsid w:val="00EE1BD4"/>
    <w:rsid w:val="00EE1C01"/>
    <w:rsid w:val="00EE217D"/>
    <w:rsid w:val="00EE21AB"/>
    <w:rsid w:val="00EE22AF"/>
    <w:rsid w:val="00EE2797"/>
    <w:rsid w:val="00EE2918"/>
    <w:rsid w:val="00EE2C42"/>
    <w:rsid w:val="00EE2C67"/>
    <w:rsid w:val="00EE2CCE"/>
    <w:rsid w:val="00EE3373"/>
    <w:rsid w:val="00EE357B"/>
    <w:rsid w:val="00EE3582"/>
    <w:rsid w:val="00EE38A8"/>
    <w:rsid w:val="00EE3979"/>
    <w:rsid w:val="00EE40DD"/>
    <w:rsid w:val="00EE4134"/>
    <w:rsid w:val="00EE429B"/>
    <w:rsid w:val="00EE438B"/>
    <w:rsid w:val="00EE439D"/>
    <w:rsid w:val="00EE445B"/>
    <w:rsid w:val="00EE469C"/>
    <w:rsid w:val="00EE480A"/>
    <w:rsid w:val="00EE496B"/>
    <w:rsid w:val="00EE49A5"/>
    <w:rsid w:val="00EE49E4"/>
    <w:rsid w:val="00EE4B86"/>
    <w:rsid w:val="00EE56A4"/>
    <w:rsid w:val="00EE58F2"/>
    <w:rsid w:val="00EE5A75"/>
    <w:rsid w:val="00EE5D15"/>
    <w:rsid w:val="00EE5F2F"/>
    <w:rsid w:val="00EE5FF8"/>
    <w:rsid w:val="00EE60E0"/>
    <w:rsid w:val="00EE670B"/>
    <w:rsid w:val="00EE732F"/>
    <w:rsid w:val="00EE7434"/>
    <w:rsid w:val="00EE7440"/>
    <w:rsid w:val="00EE767E"/>
    <w:rsid w:val="00EE7803"/>
    <w:rsid w:val="00EE78A6"/>
    <w:rsid w:val="00EF0171"/>
    <w:rsid w:val="00EF0425"/>
    <w:rsid w:val="00EF06A4"/>
    <w:rsid w:val="00EF081B"/>
    <w:rsid w:val="00EF094D"/>
    <w:rsid w:val="00EF0A30"/>
    <w:rsid w:val="00EF0EFE"/>
    <w:rsid w:val="00EF0FFE"/>
    <w:rsid w:val="00EF1576"/>
    <w:rsid w:val="00EF17EE"/>
    <w:rsid w:val="00EF17FE"/>
    <w:rsid w:val="00EF1B25"/>
    <w:rsid w:val="00EF1DA0"/>
    <w:rsid w:val="00EF2403"/>
    <w:rsid w:val="00EF2E8E"/>
    <w:rsid w:val="00EF380E"/>
    <w:rsid w:val="00EF4111"/>
    <w:rsid w:val="00EF449E"/>
    <w:rsid w:val="00EF4747"/>
    <w:rsid w:val="00EF4812"/>
    <w:rsid w:val="00EF4958"/>
    <w:rsid w:val="00EF4BF8"/>
    <w:rsid w:val="00EF52E7"/>
    <w:rsid w:val="00EF55F6"/>
    <w:rsid w:val="00EF635A"/>
    <w:rsid w:val="00EF6396"/>
    <w:rsid w:val="00EF63D8"/>
    <w:rsid w:val="00EF644D"/>
    <w:rsid w:val="00EF64ED"/>
    <w:rsid w:val="00EF69CE"/>
    <w:rsid w:val="00EF69DE"/>
    <w:rsid w:val="00EF6B63"/>
    <w:rsid w:val="00EF73A0"/>
    <w:rsid w:val="00EF74B0"/>
    <w:rsid w:val="00EF74FB"/>
    <w:rsid w:val="00EF76AF"/>
    <w:rsid w:val="00EF7B5E"/>
    <w:rsid w:val="00EF7E4E"/>
    <w:rsid w:val="00EF7ECA"/>
    <w:rsid w:val="00F011B3"/>
    <w:rsid w:val="00F0124D"/>
    <w:rsid w:val="00F012C5"/>
    <w:rsid w:val="00F01EC1"/>
    <w:rsid w:val="00F01F70"/>
    <w:rsid w:val="00F02253"/>
    <w:rsid w:val="00F0227C"/>
    <w:rsid w:val="00F0260A"/>
    <w:rsid w:val="00F026BD"/>
    <w:rsid w:val="00F026DE"/>
    <w:rsid w:val="00F02A3F"/>
    <w:rsid w:val="00F02BEB"/>
    <w:rsid w:val="00F0305D"/>
    <w:rsid w:val="00F0366A"/>
    <w:rsid w:val="00F039B0"/>
    <w:rsid w:val="00F03AB8"/>
    <w:rsid w:val="00F03AF9"/>
    <w:rsid w:val="00F03B9A"/>
    <w:rsid w:val="00F03C2E"/>
    <w:rsid w:val="00F03F7C"/>
    <w:rsid w:val="00F046D7"/>
    <w:rsid w:val="00F04A66"/>
    <w:rsid w:val="00F04A6C"/>
    <w:rsid w:val="00F04B4B"/>
    <w:rsid w:val="00F04E10"/>
    <w:rsid w:val="00F04E2E"/>
    <w:rsid w:val="00F0516C"/>
    <w:rsid w:val="00F0525C"/>
    <w:rsid w:val="00F05C05"/>
    <w:rsid w:val="00F06055"/>
    <w:rsid w:val="00F060E3"/>
    <w:rsid w:val="00F062DA"/>
    <w:rsid w:val="00F063F0"/>
    <w:rsid w:val="00F0641E"/>
    <w:rsid w:val="00F06624"/>
    <w:rsid w:val="00F067A2"/>
    <w:rsid w:val="00F06965"/>
    <w:rsid w:val="00F069DE"/>
    <w:rsid w:val="00F06F66"/>
    <w:rsid w:val="00F07280"/>
    <w:rsid w:val="00F074D9"/>
    <w:rsid w:val="00F075DC"/>
    <w:rsid w:val="00F079B5"/>
    <w:rsid w:val="00F07B9E"/>
    <w:rsid w:val="00F106B2"/>
    <w:rsid w:val="00F10B60"/>
    <w:rsid w:val="00F10C34"/>
    <w:rsid w:val="00F11063"/>
    <w:rsid w:val="00F1116F"/>
    <w:rsid w:val="00F11240"/>
    <w:rsid w:val="00F1151E"/>
    <w:rsid w:val="00F115E9"/>
    <w:rsid w:val="00F11629"/>
    <w:rsid w:val="00F116C7"/>
    <w:rsid w:val="00F12055"/>
    <w:rsid w:val="00F12340"/>
    <w:rsid w:val="00F1263A"/>
    <w:rsid w:val="00F12787"/>
    <w:rsid w:val="00F130BD"/>
    <w:rsid w:val="00F13887"/>
    <w:rsid w:val="00F1391A"/>
    <w:rsid w:val="00F139C5"/>
    <w:rsid w:val="00F13A0B"/>
    <w:rsid w:val="00F13A60"/>
    <w:rsid w:val="00F13C99"/>
    <w:rsid w:val="00F13D5F"/>
    <w:rsid w:val="00F13DF0"/>
    <w:rsid w:val="00F13E7D"/>
    <w:rsid w:val="00F144B9"/>
    <w:rsid w:val="00F144D1"/>
    <w:rsid w:val="00F1466C"/>
    <w:rsid w:val="00F148BA"/>
    <w:rsid w:val="00F14B2E"/>
    <w:rsid w:val="00F14C6D"/>
    <w:rsid w:val="00F14F6C"/>
    <w:rsid w:val="00F15025"/>
    <w:rsid w:val="00F15064"/>
    <w:rsid w:val="00F1508D"/>
    <w:rsid w:val="00F150EF"/>
    <w:rsid w:val="00F151DB"/>
    <w:rsid w:val="00F15A3B"/>
    <w:rsid w:val="00F15B77"/>
    <w:rsid w:val="00F16680"/>
    <w:rsid w:val="00F166AC"/>
    <w:rsid w:val="00F168F0"/>
    <w:rsid w:val="00F16C1A"/>
    <w:rsid w:val="00F17432"/>
    <w:rsid w:val="00F17FDB"/>
    <w:rsid w:val="00F20113"/>
    <w:rsid w:val="00F2084E"/>
    <w:rsid w:val="00F20CC9"/>
    <w:rsid w:val="00F21236"/>
    <w:rsid w:val="00F2184C"/>
    <w:rsid w:val="00F21905"/>
    <w:rsid w:val="00F21CDA"/>
    <w:rsid w:val="00F225B7"/>
    <w:rsid w:val="00F22697"/>
    <w:rsid w:val="00F2298F"/>
    <w:rsid w:val="00F22C48"/>
    <w:rsid w:val="00F22D7E"/>
    <w:rsid w:val="00F22E38"/>
    <w:rsid w:val="00F23271"/>
    <w:rsid w:val="00F234CD"/>
    <w:rsid w:val="00F239DF"/>
    <w:rsid w:val="00F23B0F"/>
    <w:rsid w:val="00F23F15"/>
    <w:rsid w:val="00F23F3D"/>
    <w:rsid w:val="00F24599"/>
    <w:rsid w:val="00F245EB"/>
    <w:rsid w:val="00F24837"/>
    <w:rsid w:val="00F24E33"/>
    <w:rsid w:val="00F24E72"/>
    <w:rsid w:val="00F24F73"/>
    <w:rsid w:val="00F251F3"/>
    <w:rsid w:val="00F2554D"/>
    <w:rsid w:val="00F25562"/>
    <w:rsid w:val="00F255AB"/>
    <w:rsid w:val="00F2575F"/>
    <w:rsid w:val="00F26120"/>
    <w:rsid w:val="00F2616F"/>
    <w:rsid w:val="00F265B0"/>
    <w:rsid w:val="00F26712"/>
    <w:rsid w:val="00F268E9"/>
    <w:rsid w:val="00F26AAC"/>
    <w:rsid w:val="00F26CB2"/>
    <w:rsid w:val="00F26E20"/>
    <w:rsid w:val="00F27565"/>
    <w:rsid w:val="00F276CC"/>
    <w:rsid w:val="00F27737"/>
    <w:rsid w:val="00F27907"/>
    <w:rsid w:val="00F27C24"/>
    <w:rsid w:val="00F27F31"/>
    <w:rsid w:val="00F300E0"/>
    <w:rsid w:val="00F30856"/>
    <w:rsid w:val="00F30FF1"/>
    <w:rsid w:val="00F310D4"/>
    <w:rsid w:val="00F31D5A"/>
    <w:rsid w:val="00F31F09"/>
    <w:rsid w:val="00F322AA"/>
    <w:rsid w:val="00F32537"/>
    <w:rsid w:val="00F32643"/>
    <w:rsid w:val="00F32730"/>
    <w:rsid w:val="00F329A4"/>
    <w:rsid w:val="00F32CF6"/>
    <w:rsid w:val="00F32EC1"/>
    <w:rsid w:val="00F33253"/>
    <w:rsid w:val="00F33975"/>
    <w:rsid w:val="00F33A0F"/>
    <w:rsid w:val="00F33CFB"/>
    <w:rsid w:val="00F33D2B"/>
    <w:rsid w:val="00F33DE9"/>
    <w:rsid w:val="00F33E03"/>
    <w:rsid w:val="00F33E9F"/>
    <w:rsid w:val="00F33ED4"/>
    <w:rsid w:val="00F34032"/>
    <w:rsid w:val="00F3457B"/>
    <w:rsid w:val="00F34588"/>
    <w:rsid w:val="00F34733"/>
    <w:rsid w:val="00F34BD7"/>
    <w:rsid w:val="00F34CAF"/>
    <w:rsid w:val="00F34D3B"/>
    <w:rsid w:val="00F34D93"/>
    <w:rsid w:val="00F35057"/>
    <w:rsid w:val="00F35127"/>
    <w:rsid w:val="00F35303"/>
    <w:rsid w:val="00F354F9"/>
    <w:rsid w:val="00F3567E"/>
    <w:rsid w:val="00F35A43"/>
    <w:rsid w:val="00F35C19"/>
    <w:rsid w:val="00F35E6D"/>
    <w:rsid w:val="00F35EA2"/>
    <w:rsid w:val="00F3619A"/>
    <w:rsid w:val="00F36433"/>
    <w:rsid w:val="00F36588"/>
    <w:rsid w:val="00F36E8A"/>
    <w:rsid w:val="00F373FD"/>
    <w:rsid w:val="00F377B9"/>
    <w:rsid w:val="00F37FF9"/>
    <w:rsid w:val="00F40275"/>
    <w:rsid w:val="00F40AAA"/>
    <w:rsid w:val="00F40BA7"/>
    <w:rsid w:val="00F40F9D"/>
    <w:rsid w:val="00F4132C"/>
    <w:rsid w:val="00F41352"/>
    <w:rsid w:val="00F41415"/>
    <w:rsid w:val="00F41ACD"/>
    <w:rsid w:val="00F42148"/>
    <w:rsid w:val="00F4283F"/>
    <w:rsid w:val="00F42AFF"/>
    <w:rsid w:val="00F42CEF"/>
    <w:rsid w:val="00F433AF"/>
    <w:rsid w:val="00F4340B"/>
    <w:rsid w:val="00F43A65"/>
    <w:rsid w:val="00F43DAE"/>
    <w:rsid w:val="00F44739"/>
    <w:rsid w:val="00F44832"/>
    <w:rsid w:val="00F457FD"/>
    <w:rsid w:val="00F45B2E"/>
    <w:rsid w:val="00F45CD7"/>
    <w:rsid w:val="00F45D1D"/>
    <w:rsid w:val="00F45E6B"/>
    <w:rsid w:val="00F45E86"/>
    <w:rsid w:val="00F45EE5"/>
    <w:rsid w:val="00F45F82"/>
    <w:rsid w:val="00F46671"/>
    <w:rsid w:val="00F467FC"/>
    <w:rsid w:val="00F46C73"/>
    <w:rsid w:val="00F46CB6"/>
    <w:rsid w:val="00F46EFA"/>
    <w:rsid w:val="00F471C2"/>
    <w:rsid w:val="00F471F2"/>
    <w:rsid w:val="00F473A2"/>
    <w:rsid w:val="00F4756D"/>
    <w:rsid w:val="00F4764B"/>
    <w:rsid w:val="00F479F9"/>
    <w:rsid w:val="00F47AB7"/>
    <w:rsid w:val="00F47DE8"/>
    <w:rsid w:val="00F47E3D"/>
    <w:rsid w:val="00F502EB"/>
    <w:rsid w:val="00F50344"/>
    <w:rsid w:val="00F5039A"/>
    <w:rsid w:val="00F50617"/>
    <w:rsid w:val="00F50E72"/>
    <w:rsid w:val="00F510C4"/>
    <w:rsid w:val="00F5161D"/>
    <w:rsid w:val="00F51ECB"/>
    <w:rsid w:val="00F52116"/>
    <w:rsid w:val="00F522BD"/>
    <w:rsid w:val="00F52487"/>
    <w:rsid w:val="00F525FE"/>
    <w:rsid w:val="00F5272A"/>
    <w:rsid w:val="00F52D39"/>
    <w:rsid w:val="00F52D66"/>
    <w:rsid w:val="00F537FE"/>
    <w:rsid w:val="00F5393C"/>
    <w:rsid w:val="00F53C44"/>
    <w:rsid w:val="00F53C61"/>
    <w:rsid w:val="00F53E97"/>
    <w:rsid w:val="00F53EC5"/>
    <w:rsid w:val="00F542C1"/>
    <w:rsid w:val="00F54387"/>
    <w:rsid w:val="00F54814"/>
    <w:rsid w:val="00F54D85"/>
    <w:rsid w:val="00F54DB7"/>
    <w:rsid w:val="00F54F6C"/>
    <w:rsid w:val="00F550E3"/>
    <w:rsid w:val="00F55194"/>
    <w:rsid w:val="00F55267"/>
    <w:rsid w:val="00F552CC"/>
    <w:rsid w:val="00F55545"/>
    <w:rsid w:val="00F55ACA"/>
    <w:rsid w:val="00F55E73"/>
    <w:rsid w:val="00F55EDA"/>
    <w:rsid w:val="00F56652"/>
    <w:rsid w:val="00F567E4"/>
    <w:rsid w:val="00F5685C"/>
    <w:rsid w:val="00F56C80"/>
    <w:rsid w:val="00F57106"/>
    <w:rsid w:val="00F57485"/>
    <w:rsid w:val="00F57992"/>
    <w:rsid w:val="00F57B8E"/>
    <w:rsid w:val="00F57FBA"/>
    <w:rsid w:val="00F60019"/>
    <w:rsid w:val="00F60092"/>
    <w:rsid w:val="00F60842"/>
    <w:rsid w:val="00F60BF8"/>
    <w:rsid w:val="00F60EC9"/>
    <w:rsid w:val="00F612AF"/>
    <w:rsid w:val="00F61368"/>
    <w:rsid w:val="00F6179B"/>
    <w:rsid w:val="00F617DF"/>
    <w:rsid w:val="00F619A9"/>
    <w:rsid w:val="00F61C18"/>
    <w:rsid w:val="00F61CE8"/>
    <w:rsid w:val="00F61E8A"/>
    <w:rsid w:val="00F62264"/>
    <w:rsid w:val="00F62814"/>
    <w:rsid w:val="00F629A7"/>
    <w:rsid w:val="00F629BB"/>
    <w:rsid w:val="00F63196"/>
    <w:rsid w:val="00F63436"/>
    <w:rsid w:val="00F63AB5"/>
    <w:rsid w:val="00F64477"/>
    <w:rsid w:val="00F649CE"/>
    <w:rsid w:val="00F65662"/>
    <w:rsid w:val="00F6598F"/>
    <w:rsid w:val="00F65CC3"/>
    <w:rsid w:val="00F65F10"/>
    <w:rsid w:val="00F65F4B"/>
    <w:rsid w:val="00F66102"/>
    <w:rsid w:val="00F661DA"/>
    <w:rsid w:val="00F661DB"/>
    <w:rsid w:val="00F664BA"/>
    <w:rsid w:val="00F677DB"/>
    <w:rsid w:val="00F67A35"/>
    <w:rsid w:val="00F67A69"/>
    <w:rsid w:val="00F67EE8"/>
    <w:rsid w:val="00F67F3B"/>
    <w:rsid w:val="00F70780"/>
    <w:rsid w:val="00F70BFF"/>
    <w:rsid w:val="00F70C9D"/>
    <w:rsid w:val="00F70F9B"/>
    <w:rsid w:val="00F7187D"/>
    <w:rsid w:val="00F71886"/>
    <w:rsid w:val="00F718FA"/>
    <w:rsid w:val="00F71A74"/>
    <w:rsid w:val="00F71B52"/>
    <w:rsid w:val="00F724FD"/>
    <w:rsid w:val="00F7281D"/>
    <w:rsid w:val="00F72ED0"/>
    <w:rsid w:val="00F732B0"/>
    <w:rsid w:val="00F73354"/>
    <w:rsid w:val="00F73464"/>
    <w:rsid w:val="00F73520"/>
    <w:rsid w:val="00F73599"/>
    <w:rsid w:val="00F73828"/>
    <w:rsid w:val="00F73E08"/>
    <w:rsid w:val="00F74571"/>
    <w:rsid w:val="00F74CD9"/>
    <w:rsid w:val="00F7557C"/>
    <w:rsid w:val="00F7564C"/>
    <w:rsid w:val="00F75BF5"/>
    <w:rsid w:val="00F76187"/>
    <w:rsid w:val="00F76688"/>
    <w:rsid w:val="00F768D7"/>
    <w:rsid w:val="00F7767E"/>
    <w:rsid w:val="00F77752"/>
    <w:rsid w:val="00F800A2"/>
    <w:rsid w:val="00F801E1"/>
    <w:rsid w:val="00F802CB"/>
    <w:rsid w:val="00F80883"/>
    <w:rsid w:val="00F80A7B"/>
    <w:rsid w:val="00F80E5D"/>
    <w:rsid w:val="00F81229"/>
    <w:rsid w:val="00F816C8"/>
    <w:rsid w:val="00F8191C"/>
    <w:rsid w:val="00F81E78"/>
    <w:rsid w:val="00F821AE"/>
    <w:rsid w:val="00F82844"/>
    <w:rsid w:val="00F830E3"/>
    <w:rsid w:val="00F83865"/>
    <w:rsid w:val="00F83916"/>
    <w:rsid w:val="00F83B18"/>
    <w:rsid w:val="00F84074"/>
    <w:rsid w:val="00F84190"/>
    <w:rsid w:val="00F8475B"/>
    <w:rsid w:val="00F84846"/>
    <w:rsid w:val="00F851CE"/>
    <w:rsid w:val="00F85375"/>
    <w:rsid w:val="00F85ADD"/>
    <w:rsid w:val="00F85F06"/>
    <w:rsid w:val="00F8652F"/>
    <w:rsid w:val="00F86BE0"/>
    <w:rsid w:val="00F86D4E"/>
    <w:rsid w:val="00F86E76"/>
    <w:rsid w:val="00F86F07"/>
    <w:rsid w:val="00F86F4E"/>
    <w:rsid w:val="00F8772D"/>
    <w:rsid w:val="00F87787"/>
    <w:rsid w:val="00F90205"/>
    <w:rsid w:val="00F9024A"/>
    <w:rsid w:val="00F90B33"/>
    <w:rsid w:val="00F90D60"/>
    <w:rsid w:val="00F90E14"/>
    <w:rsid w:val="00F91219"/>
    <w:rsid w:val="00F91227"/>
    <w:rsid w:val="00F916E5"/>
    <w:rsid w:val="00F91AE5"/>
    <w:rsid w:val="00F91FBB"/>
    <w:rsid w:val="00F9218A"/>
    <w:rsid w:val="00F922AD"/>
    <w:rsid w:val="00F92444"/>
    <w:rsid w:val="00F929D1"/>
    <w:rsid w:val="00F92BB5"/>
    <w:rsid w:val="00F92BDC"/>
    <w:rsid w:val="00F93005"/>
    <w:rsid w:val="00F9303B"/>
    <w:rsid w:val="00F93091"/>
    <w:rsid w:val="00F938A2"/>
    <w:rsid w:val="00F9393E"/>
    <w:rsid w:val="00F93DCA"/>
    <w:rsid w:val="00F93DFD"/>
    <w:rsid w:val="00F9431A"/>
    <w:rsid w:val="00F94652"/>
    <w:rsid w:val="00F94CFB"/>
    <w:rsid w:val="00F94E46"/>
    <w:rsid w:val="00F95014"/>
    <w:rsid w:val="00F95163"/>
    <w:rsid w:val="00F95268"/>
    <w:rsid w:val="00F95363"/>
    <w:rsid w:val="00F9544E"/>
    <w:rsid w:val="00F955CC"/>
    <w:rsid w:val="00F95659"/>
    <w:rsid w:val="00F958D0"/>
    <w:rsid w:val="00F959AB"/>
    <w:rsid w:val="00F95D69"/>
    <w:rsid w:val="00F95F19"/>
    <w:rsid w:val="00F966FF"/>
    <w:rsid w:val="00F96987"/>
    <w:rsid w:val="00F96E7E"/>
    <w:rsid w:val="00F96F1F"/>
    <w:rsid w:val="00F96FD0"/>
    <w:rsid w:val="00F974EB"/>
    <w:rsid w:val="00F97A78"/>
    <w:rsid w:val="00F97BE4"/>
    <w:rsid w:val="00F97C97"/>
    <w:rsid w:val="00F97DA7"/>
    <w:rsid w:val="00F97DB6"/>
    <w:rsid w:val="00FA01BA"/>
    <w:rsid w:val="00FA043D"/>
    <w:rsid w:val="00FA083A"/>
    <w:rsid w:val="00FA0A3C"/>
    <w:rsid w:val="00FA0B20"/>
    <w:rsid w:val="00FA0C77"/>
    <w:rsid w:val="00FA0EC5"/>
    <w:rsid w:val="00FA0F48"/>
    <w:rsid w:val="00FA112C"/>
    <w:rsid w:val="00FA140E"/>
    <w:rsid w:val="00FA1E4A"/>
    <w:rsid w:val="00FA1E53"/>
    <w:rsid w:val="00FA214C"/>
    <w:rsid w:val="00FA2259"/>
    <w:rsid w:val="00FA24CB"/>
    <w:rsid w:val="00FA24E7"/>
    <w:rsid w:val="00FA28CE"/>
    <w:rsid w:val="00FA2D5F"/>
    <w:rsid w:val="00FA349B"/>
    <w:rsid w:val="00FA36EE"/>
    <w:rsid w:val="00FA3713"/>
    <w:rsid w:val="00FA38AB"/>
    <w:rsid w:val="00FA3A38"/>
    <w:rsid w:val="00FA3CD6"/>
    <w:rsid w:val="00FA3F66"/>
    <w:rsid w:val="00FA3F97"/>
    <w:rsid w:val="00FA41AC"/>
    <w:rsid w:val="00FA4279"/>
    <w:rsid w:val="00FA4A1C"/>
    <w:rsid w:val="00FA4A84"/>
    <w:rsid w:val="00FA4D38"/>
    <w:rsid w:val="00FA5061"/>
    <w:rsid w:val="00FA5395"/>
    <w:rsid w:val="00FA542E"/>
    <w:rsid w:val="00FA562C"/>
    <w:rsid w:val="00FA5800"/>
    <w:rsid w:val="00FA5EDA"/>
    <w:rsid w:val="00FA5EE6"/>
    <w:rsid w:val="00FA627B"/>
    <w:rsid w:val="00FA662F"/>
    <w:rsid w:val="00FA6728"/>
    <w:rsid w:val="00FA696C"/>
    <w:rsid w:val="00FA6C66"/>
    <w:rsid w:val="00FA6F22"/>
    <w:rsid w:val="00FA7073"/>
    <w:rsid w:val="00FA7596"/>
    <w:rsid w:val="00FA7797"/>
    <w:rsid w:val="00FA7799"/>
    <w:rsid w:val="00FA77B7"/>
    <w:rsid w:val="00FA7956"/>
    <w:rsid w:val="00FA79B0"/>
    <w:rsid w:val="00FA7C94"/>
    <w:rsid w:val="00FA7D87"/>
    <w:rsid w:val="00FA7EDA"/>
    <w:rsid w:val="00FB01DE"/>
    <w:rsid w:val="00FB0514"/>
    <w:rsid w:val="00FB0594"/>
    <w:rsid w:val="00FB059B"/>
    <w:rsid w:val="00FB061D"/>
    <w:rsid w:val="00FB0824"/>
    <w:rsid w:val="00FB0C60"/>
    <w:rsid w:val="00FB1325"/>
    <w:rsid w:val="00FB1584"/>
    <w:rsid w:val="00FB1784"/>
    <w:rsid w:val="00FB1EC0"/>
    <w:rsid w:val="00FB2120"/>
    <w:rsid w:val="00FB28E1"/>
    <w:rsid w:val="00FB2A07"/>
    <w:rsid w:val="00FB2C98"/>
    <w:rsid w:val="00FB2FCB"/>
    <w:rsid w:val="00FB30AF"/>
    <w:rsid w:val="00FB3151"/>
    <w:rsid w:val="00FB3F66"/>
    <w:rsid w:val="00FB3FE3"/>
    <w:rsid w:val="00FB45E8"/>
    <w:rsid w:val="00FB489A"/>
    <w:rsid w:val="00FB490D"/>
    <w:rsid w:val="00FB4C9C"/>
    <w:rsid w:val="00FB5166"/>
    <w:rsid w:val="00FB558B"/>
    <w:rsid w:val="00FB560E"/>
    <w:rsid w:val="00FB5773"/>
    <w:rsid w:val="00FB5D65"/>
    <w:rsid w:val="00FB5FC4"/>
    <w:rsid w:val="00FB62CD"/>
    <w:rsid w:val="00FB65E2"/>
    <w:rsid w:val="00FB670E"/>
    <w:rsid w:val="00FB67E4"/>
    <w:rsid w:val="00FB6A13"/>
    <w:rsid w:val="00FB6E77"/>
    <w:rsid w:val="00FB73CF"/>
    <w:rsid w:val="00FB7518"/>
    <w:rsid w:val="00FB759C"/>
    <w:rsid w:val="00FB7A2A"/>
    <w:rsid w:val="00FB7B4B"/>
    <w:rsid w:val="00FB7C55"/>
    <w:rsid w:val="00FB7EAD"/>
    <w:rsid w:val="00FC0204"/>
    <w:rsid w:val="00FC040A"/>
    <w:rsid w:val="00FC06EF"/>
    <w:rsid w:val="00FC0789"/>
    <w:rsid w:val="00FC0B16"/>
    <w:rsid w:val="00FC0C9D"/>
    <w:rsid w:val="00FC0E5B"/>
    <w:rsid w:val="00FC0E80"/>
    <w:rsid w:val="00FC0F1F"/>
    <w:rsid w:val="00FC0F61"/>
    <w:rsid w:val="00FC1074"/>
    <w:rsid w:val="00FC10CF"/>
    <w:rsid w:val="00FC1133"/>
    <w:rsid w:val="00FC12E9"/>
    <w:rsid w:val="00FC13C0"/>
    <w:rsid w:val="00FC14A8"/>
    <w:rsid w:val="00FC16CA"/>
    <w:rsid w:val="00FC1884"/>
    <w:rsid w:val="00FC18FB"/>
    <w:rsid w:val="00FC1A5D"/>
    <w:rsid w:val="00FC1AF5"/>
    <w:rsid w:val="00FC1C8C"/>
    <w:rsid w:val="00FC1D7E"/>
    <w:rsid w:val="00FC2067"/>
    <w:rsid w:val="00FC21CD"/>
    <w:rsid w:val="00FC2955"/>
    <w:rsid w:val="00FC298B"/>
    <w:rsid w:val="00FC2ADB"/>
    <w:rsid w:val="00FC2B8D"/>
    <w:rsid w:val="00FC2D83"/>
    <w:rsid w:val="00FC2FDE"/>
    <w:rsid w:val="00FC371D"/>
    <w:rsid w:val="00FC3834"/>
    <w:rsid w:val="00FC3944"/>
    <w:rsid w:val="00FC3A3E"/>
    <w:rsid w:val="00FC3BE5"/>
    <w:rsid w:val="00FC3EFB"/>
    <w:rsid w:val="00FC3F1A"/>
    <w:rsid w:val="00FC408E"/>
    <w:rsid w:val="00FC4128"/>
    <w:rsid w:val="00FC435B"/>
    <w:rsid w:val="00FC4EF9"/>
    <w:rsid w:val="00FC50A1"/>
    <w:rsid w:val="00FC50C9"/>
    <w:rsid w:val="00FC5579"/>
    <w:rsid w:val="00FC56CF"/>
    <w:rsid w:val="00FC584F"/>
    <w:rsid w:val="00FC594D"/>
    <w:rsid w:val="00FC5AB0"/>
    <w:rsid w:val="00FC5C87"/>
    <w:rsid w:val="00FC5F0B"/>
    <w:rsid w:val="00FC6080"/>
    <w:rsid w:val="00FC60E1"/>
    <w:rsid w:val="00FC6307"/>
    <w:rsid w:val="00FC6B08"/>
    <w:rsid w:val="00FC6D8C"/>
    <w:rsid w:val="00FC70EB"/>
    <w:rsid w:val="00FC718B"/>
    <w:rsid w:val="00FD01FF"/>
    <w:rsid w:val="00FD0566"/>
    <w:rsid w:val="00FD0582"/>
    <w:rsid w:val="00FD0E09"/>
    <w:rsid w:val="00FD0E61"/>
    <w:rsid w:val="00FD0FF8"/>
    <w:rsid w:val="00FD1143"/>
    <w:rsid w:val="00FD1BEE"/>
    <w:rsid w:val="00FD2100"/>
    <w:rsid w:val="00FD283E"/>
    <w:rsid w:val="00FD2AA0"/>
    <w:rsid w:val="00FD2CA0"/>
    <w:rsid w:val="00FD2FC3"/>
    <w:rsid w:val="00FD3017"/>
    <w:rsid w:val="00FD30BD"/>
    <w:rsid w:val="00FD317B"/>
    <w:rsid w:val="00FD3314"/>
    <w:rsid w:val="00FD3748"/>
    <w:rsid w:val="00FD39DE"/>
    <w:rsid w:val="00FD3BEA"/>
    <w:rsid w:val="00FD3C71"/>
    <w:rsid w:val="00FD3D8A"/>
    <w:rsid w:val="00FD3EF5"/>
    <w:rsid w:val="00FD4101"/>
    <w:rsid w:val="00FD4106"/>
    <w:rsid w:val="00FD41CE"/>
    <w:rsid w:val="00FD436C"/>
    <w:rsid w:val="00FD446D"/>
    <w:rsid w:val="00FD4551"/>
    <w:rsid w:val="00FD46D6"/>
    <w:rsid w:val="00FD4734"/>
    <w:rsid w:val="00FD4F28"/>
    <w:rsid w:val="00FD4F2C"/>
    <w:rsid w:val="00FD5028"/>
    <w:rsid w:val="00FD510A"/>
    <w:rsid w:val="00FD52D2"/>
    <w:rsid w:val="00FD548B"/>
    <w:rsid w:val="00FD54AD"/>
    <w:rsid w:val="00FD5ACB"/>
    <w:rsid w:val="00FD5B32"/>
    <w:rsid w:val="00FD5DE4"/>
    <w:rsid w:val="00FD5E85"/>
    <w:rsid w:val="00FD5EBB"/>
    <w:rsid w:val="00FD614E"/>
    <w:rsid w:val="00FD6394"/>
    <w:rsid w:val="00FD658B"/>
    <w:rsid w:val="00FD6D81"/>
    <w:rsid w:val="00FD6D9E"/>
    <w:rsid w:val="00FD7055"/>
    <w:rsid w:val="00FD728C"/>
    <w:rsid w:val="00FD7604"/>
    <w:rsid w:val="00FD770D"/>
    <w:rsid w:val="00FD77CD"/>
    <w:rsid w:val="00FD77D2"/>
    <w:rsid w:val="00FD7846"/>
    <w:rsid w:val="00FD7DE1"/>
    <w:rsid w:val="00FE014E"/>
    <w:rsid w:val="00FE0477"/>
    <w:rsid w:val="00FE0770"/>
    <w:rsid w:val="00FE09EB"/>
    <w:rsid w:val="00FE0B77"/>
    <w:rsid w:val="00FE0D2F"/>
    <w:rsid w:val="00FE0E6C"/>
    <w:rsid w:val="00FE0FC4"/>
    <w:rsid w:val="00FE1017"/>
    <w:rsid w:val="00FE11C5"/>
    <w:rsid w:val="00FE1758"/>
    <w:rsid w:val="00FE176F"/>
    <w:rsid w:val="00FE1952"/>
    <w:rsid w:val="00FE19A9"/>
    <w:rsid w:val="00FE1B6C"/>
    <w:rsid w:val="00FE1CDC"/>
    <w:rsid w:val="00FE1D36"/>
    <w:rsid w:val="00FE24D7"/>
    <w:rsid w:val="00FE253B"/>
    <w:rsid w:val="00FE2683"/>
    <w:rsid w:val="00FE273A"/>
    <w:rsid w:val="00FE2BD2"/>
    <w:rsid w:val="00FE2CE4"/>
    <w:rsid w:val="00FE2EEA"/>
    <w:rsid w:val="00FE30CA"/>
    <w:rsid w:val="00FE34B4"/>
    <w:rsid w:val="00FE3502"/>
    <w:rsid w:val="00FE3862"/>
    <w:rsid w:val="00FE3CB0"/>
    <w:rsid w:val="00FE3EBD"/>
    <w:rsid w:val="00FE3EFB"/>
    <w:rsid w:val="00FE45BC"/>
    <w:rsid w:val="00FE4839"/>
    <w:rsid w:val="00FE49A3"/>
    <w:rsid w:val="00FE4C1B"/>
    <w:rsid w:val="00FE4E35"/>
    <w:rsid w:val="00FE4EB0"/>
    <w:rsid w:val="00FE553D"/>
    <w:rsid w:val="00FE57C7"/>
    <w:rsid w:val="00FE5F17"/>
    <w:rsid w:val="00FE623C"/>
    <w:rsid w:val="00FE63B4"/>
    <w:rsid w:val="00FE65E8"/>
    <w:rsid w:val="00FE68E9"/>
    <w:rsid w:val="00FE6965"/>
    <w:rsid w:val="00FE6A15"/>
    <w:rsid w:val="00FE6CEA"/>
    <w:rsid w:val="00FE70C3"/>
    <w:rsid w:val="00FE7128"/>
    <w:rsid w:val="00FE755A"/>
    <w:rsid w:val="00FE79F5"/>
    <w:rsid w:val="00FE7DAD"/>
    <w:rsid w:val="00FF0BD4"/>
    <w:rsid w:val="00FF12C8"/>
    <w:rsid w:val="00FF130C"/>
    <w:rsid w:val="00FF1380"/>
    <w:rsid w:val="00FF15A1"/>
    <w:rsid w:val="00FF1A8B"/>
    <w:rsid w:val="00FF1B38"/>
    <w:rsid w:val="00FF1C11"/>
    <w:rsid w:val="00FF1C49"/>
    <w:rsid w:val="00FF1D15"/>
    <w:rsid w:val="00FF2216"/>
    <w:rsid w:val="00FF259D"/>
    <w:rsid w:val="00FF2614"/>
    <w:rsid w:val="00FF265A"/>
    <w:rsid w:val="00FF28B3"/>
    <w:rsid w:val="00FF2AD9"/>
    <w:rsid w:val="00FF34B0"/>
    <w:rsid w:val="00FF3581"/>
    <w:rsid w:val="00FF359F"/>
    <w:rsid w:val="00FF3AD6"/>
    <w:rsid w:val="00FF3C0F"/>
    <w:rsid w:val="00FF3DCF"/>
    <w:rsid w:val="00FF4523"/>
    <w:rsid w:val="00FF4551"/>
    <w:rsid w:val="00FF492C"/>
    <w:rsid w:val="00FF4A21"/>
    <w:rsid w:val="00FF50AA"/>
    <w:rsid w:val="00FF5392"/>
    <w:rsid w:val="00FF58D9"/>
    <w:rsid w:val="00FF5AA3"/>
    <w:rsid w:val="00FF5AD8"/>
    <w:rsid w:val="00FF6294"/>
    <w:rsid w:val="00FF635D"/>
    <w:rsid w:val="00FF650B"/>
    <w:rsid w:val="00FF6527"/>
    <w:rsid w:val="00FF6839"/>
    <w:rsid w:val="00FF68F5"/>
    <w:rsid w:val="00FF691B"/>
    <w:rsid w:val="00FF6AFF"/>
    <w:rsid w:val="00FF6D6B"/>
    <w:rsid w:val="00FF6E4B"/>
    <w:rsid w:val="00FF72F6"/>
    <w:rsid w:val="00FF73CB"/>
    <w:rsid w:val="00FF7B0B"/>
    <w:rsid w:val="00FF7C21"/>
    <w:rsid w:val="01F79AA9"/>
    <w:rsid w:val="0234631F"/>
    <w:rsid w:val="0373673D"/>
    <w:rsid w:val="042F506E"/>
    <w:rsid w:val="0565A81F"/>
    <w:rsid w:val="0705CBF4"/>
    <w:rsid w:val="070CA79E"/>
    <w:rsid w:val="0710452A"/>
    <w:rsid w:val="07ECD7C5"/>
    <w:rsid w:val="0866F36D"/>
    <w:rsid w:val="0B7BC8B4"/>
    <w:rsid w:val="0B94CD61"/>
    <w:rsid w:val="0EB9754A"/>
    <w:rsid w:val="0F0B8DFE"/>
    <w:rsid w:val="0F6DA85A"/>
    <w:rsid w:val="0FD70B54"/>
    <w:rsid w:val="0FE555F2"/>
    <w:rsid w:val="0FFEF72D"/>
    <w:rsid w:val="10026CDD"/>
    <w:rsid w:val="10A35F50"/>
    <w:rsid w:val="10C5801C"/>
    <w:rsid w:val="123AF42D"/>
    <w:rsid w:val="1249D373"/>
    <w:rsid w:val="136C21F4"/>
    <w:rsid w:val="139588EB"/>
    <w:rsid w:val="13E68BC0"/>
    <w:rsid w:val="14046B12"/>
    <w:rsid w:val="14172EE1"/>
    <w:rsid w:val="144411C8"/>
    <w:rsid w:val="1479D2A2"/>
    <w:rsid w:val="15E86A36"/>
    <w:rsid w:val="16667453"/>
    <w:rsid w:val="16955B8F"/>
    <w:rsid w:val="1789D3C5"/>
    <w:rsid w:val="17A4078B"/>
    <w:rsid w:val="18393BF4"/>
    <w:rsid w:val="19A6640E"/>
    <w:rsid w:val="1AEDB2A5"/>
    <w:rsid w:val="1B362588"/>
    <w:rsid w:val="1B542D8B"/>
    <w:rsid w:val="1BFE4706"/>
    <w:rsid w:val="1D21E413"/>
    <w:rsid w:val="215EB2C3"/>
    <w:rsid w:val="21B52E39"/>
    <w:rsid w:val="244BF1CF"/>
    <w:rsid w:val="2480C9AC"/>
    <w:rsid w:val="25516926"/>
    <w:rsid w:val="25DB394F"/>
    <w:rsid w:val="264CB05F"/>
    <w:rsid w:val="289774FC"/>
    <w:rsid w:val="2921CB2F"/>
    <w:rsid w:val="2B279127"/>
    <w:rsid w:val="2CBB7F08"/>
    <w:rsid w:val="2CCC74C8"/>
    <w:rsid w:val="2D5553D9"/>
    <w:rsid w:val="2E2D1564"/>
    <w:rsid w:val="2EBBBFC0"/>
    <w:rsid w:val="2F48DBBD"/>
    <w:rsid w:val="2F5D0B5E"/>
    <w:rsid w:val="2FD57DCA"/>
    <w:rsid w:val="318D1EC1"/>
    <w:rsid w:val="331D8CBE"/>
    <w:rsid w:val="33470F4A"/>
    <w:rsid w:val="3356D8CE"/>
    <w:rsid w:val="33D8B2A4"/>
    <w:rsid w:val="33FC3A3A"/>
    <w:rsid w:val="36DD3C36"/>
    <w:rsid w:val="370DEAC5"/>
    <w:rsid w:val="382FF724"/>
    <w:rsid w:val="38CA340A"/>
    <w:rsid w:val="39E859DF"/>
    <w:rsid w:val="39E98369"/>
    <w:rsid w:val="39EB736C"/>
    <w:rsid w:val="3A752E08"/>
    <w:rsid w:val="3BB16479"/>
    <w:rsid w:val="3C46D7AD"/>
    <w:rsid w:val="3C70BCCA"/>
    <w:rsid w:val="3CD5F984"/>
    <w:rsid w:val="3D3B35FC"/>
    <w:rsid w:val="3DBD6B8C"/>
    <w:rsid w:val="3E6CF648"/>
    <w:rsid w:val="3E94951B"/>
    <w:rsid w:val="40938D4F"/>
    <w:rsid w:val="40E01866"/>
    <w:rsid w:val="40F6CABD"/>
    <w:rsid w:val="424E7378"/>
    <w:rsid w:val="42E91056"/>
    <w:rsid w:val="431DD7AF"/>
    <w:rsid w:val="43E151CD"/>
    <w:rsid w:val="4430DC03"/>
    <w:rsid w:val="44ECBA58"/>
    <w:rsid w:val="44FE472A"/>
    <w:rsid w:val="4554BB94"/>
    <w:rsid w:val="45640A07"/>
    <w:rsid w:val="466FAF24"/>
    <w:rsid w:val="467CC57E"/>
    <w:rsid w:val="4734A99D"/>
    <w:rsid w:val="47CE78CB"/>
    <w:rsid w:val="48515549"/>
    <w:rsid w:val="48F5DC3B"/>
    <w:rsid w:val="493D50BC"/>
    <w:rsid w:val="4ADE4A00"/>
    <w:rsid w:val="4B58D94E"/>
    <w:rsid w:val="4B5F47D0"/>
    <w:rsid w:val="4B7F4117"/>
    <w:rsid w:val="4D7D8794"/>
    <w:rsid w:val="4DC87DF3"/>
    <w:rsid w:val="4E287172"/>
    <w:rsid w:val="4EA11447"/>
    <w:rsid w:val="4EA99809"/>
    <w:rsid w:val="51EC79B7"/>
    <w:rsid w:val="51ED3C6A"/>
    <w:rsid w:val="5231330C"/>
    <w:rsid w:val="5377A622"/>
    <w:rsid w:val="53A89BE4"/>
    <w:rsid w:val="543FAA65"/>
    <w:rsid w:val="544D4465"/>
    <w:rsid w:val="5558C827"/>
    <w:rsid w:val="561DF839"/>
    <w:rsid w:val="56533A8F"/>
    <w:rsid w:val="5707FB95"/>
    <w:rsid w:val="573448E2"/>
    <w:rsid w:val="59ABE743"/>
    <w:rsid w:val="5A46F53A"/>
    <w:rsid w:val="5B37E3DB"/>
    <w:rsid w:val="5BA9DDAD"/>
    <w:rsid w:val="5C00D14A"/>
    <w:rsid w:val="5D0C30F4"/>
    <w:rsid w:val="5D0F8E33"/>
    <w:rsid w:val="5D9B763D"/>
    <w:rsid w:val="5E4ECEAB"/>
    <w:rsid w:val="5F440D14"/>
    <w:rsid w:val="5F73DF87"/>
    <w:rsid w:val="609CD78A"/>
    <w:rsid w:val="617C38D0"/>
    <w:rsid w:val="619CD00C"/>
    <w:rsid w:val="640D676A"/>
    <w:rsid w:val="643A8DA5"/>
    <w:rsid w:val="65E0462B"/>
    <w:rsid w:val="66851C89"/>
    <w:rsid w:val="685BB245"/>
    <w:rsid w:val="68D915DD"/>
    <w:rsid w:val="68EECD8A"/>
    <w:rsid w:val="6B45A683"/>
    <w:rsid w:val="6B9BA864"/>
    <w:rsid w:val="6CF0AD9E"/>
    <w:rsid w:val="6D42A78F"/>
    <w:rsid w:val="6DB644A3"/>
    <w:rsid w:val="6DC53251"/>
    <w:rsid w:val="6F912CF1"/>
    <w:rsid w:val="71C1F728"/>
    <w:rsid w:val="7203F20C"/>
    <w:rsid w:val="73090245"/>
    <w:rsid w:val="73193A7E"/>
    <w:rsid w:val="73B93A84"/>
    <w:rsid w:val="74E452D3"/>
    <w:rsid w:val="771EF652"/>
    <w:rsid w:val="776191D6"/>
    <w:rsid w:val="780C0D40"/>
    <w:rsid w:val="7822128E"/>
    <w:rsid w:val="793CF759"/>
    <w:rsid w:val="79F1E5E8"/>
    <w:rsid w:val="7A0C0134"/>
    <w:rsid w:val="7B47F603"/>
    <w:rsid w:val="7B8BBE45"/>
    <w:rsid w:val="7C38BF56"/>
    <w:rsid w:val="7CB877E7"/>
    <w:rsid w:val="7E93AE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aliases w:val="Sanofi 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anofi Heading 2,Subsection Headings"/>
    <w:basedOn w:val="Normal"/>
    <w:next w:val="Normal"/>
    <w:link w:val="Heading2Char"/>
    <w:uiPriority w:val="1"/>
    <w:qFormat/>
    <w:rsid w:val="001B204E"/>
    <w:pPr>
      <w:outlineLvl w:val="1"/>
    </w:pPr>
    <w:rPr>
      <w:b/>
      <w:i/>
      <w:sz w:val="28"/>
    </w:rPr>
  </w:style>
  <w:style w:type="paragraph" w:styleId="Heading3">
    <w:name w:val="heading 3"/>
    <w:aliases w:val="Sanofi Heading 3"/>
    <w:basedOn w:val="Normal"/>
    <w:next w:val="Normal"/>
    <w:link w:val="Heading3Char"/>
    <w:uiPriority w:val="9"/>
    <w:qFormat/>
    <w:rsid w:val="001F7361"/>
    <w:pPr>
      <w:outlineLvl w:val="2"/>
    </w:pPr>
    <w:rPr>
      <w:u w:val="single"/>
    </w:rPr>
  </w:style>
  <w:style w:type="paragraph" w:styleId="Heading4">
    <w:name w:val="heading 4"/>
    <w:aliases w:val="Sanofi Heading 4"/>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Sanofi 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anofi Heading 2 Char,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Sanofi TableFig Caption,Table Caption,- H17,Bayer Caption,IB Caption,Medical Caption,Caption Char Char Char Char,Caption Char Char Char,Caption Char Char Char Char Char,Caption Char Char Char Char1 Char Char,Caption Char Char Char Char Char 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Sanofi TableFig Caption Char,Table Caption Char,- H17 Char,Bayer Caption Char,IB Caption Char,Medical Caption Char,Caption Char Char Char Char Char1,Caption Char Char Char Char1,Caption Char Char Char Char Char Char1"/>
    <w:link w:val="Caption"/>
    <w:uiPriority w:val="35"/>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itre4,Questions,_CC_Bullet,Paragraphe de liste1,Bullet1,Section 5,Bullet 1,Bullet List 2,Bullet List"/>
    <w:link w:val="ListParagraphChar"/>
    <w:uiPriority w:val="34"/>
    <w:qFormat/>
    <w:rsid w:val="00EA1F9E"/>
    <w:pPr>
      <w:numPr>
        <w:numId w:val="5"/>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itre4 Char,Questions Char,_CC_Bullet Char"/>
    <w:basedOn w:val="DefaultParagraphFont"/>
    <w:link w:val="ListParagraph"/>
    <w:uiPriority w:val="34"/>
    <w:qFormat/>
    <w:locked/>
    <w:rsid w:val="00EA1F9E"/>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YHEC table,Lash Style Table,Dossier table,Summary Table,Sanofi,new style,Header Table,NICE instructions,Source table_,PBAC table,Tabellengitternetz 9pt,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Annotationtext,- H19,Comment Text Char Char1,Comment Text Char Char1 Char,Comment Text Char1 Char,Comment Text Char1 Char Char,Comment Text Char2 Char,Kommentarer,Comment Text Char2"/>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Annotationtext Char,- H19 Char,Comment Text Char Char1 Char1,Comment Text Char Char1 Char Char,Comment Text Char1 Char Char1,Comment Text Char1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qFormat/>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spacing w:before="240" w:after="120"/>
      <w:ind w:left="720" w:hanging="7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numPr>
        <w:numId w:val="6"/>
      </w:num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75021B"/>
    <w:pPr>
      <w:keepNext/>
      <w:spacing w:before="120" w:after="120"/>
    </w:pPr>
    <w:rPr>
      <w:rFonts w:asciiTheme="minorHAnsi" w:eastAsiaTheme="majorEastAsia" w:hAnsiTheme="minorHAnsi" w:cstheme="majorBidi"/>
      <w:i w:val="0"/>
      <w:iCs/>
      <w:color w:val="000000" w:themeColor="text1"/>
      <w:spacing w:val="5"/>
      <w:kern w:val="28"/>
      <w:szCs w:val="36"/>
      <w:lang w:eastAsia="en-US"/>
    </w:rPr>
  </w:style>
  <w:style w:type="character" w:customStyle="1" w:styleId="4-SubsectionHeadingChar">
    <w:name w:val="4-Subsection Heading Char"/>
    <w:basedOn w:val="Heading2Char"/>
    <w:link w:val="4-SubsectionHeading"/>
    <w:rsid w:val="0075021B"/>
    <w:rPr>
      <w:rFonts w:asciiTheme="minorHAnsi" w:eastAsiaTheme="majorEastAsia" w:hAnsiTheme="minorHAnsi" w:cstheme="majorBidi"/>
      <w:b/>
      <w:i w:val="0"/>
      <w:iCs/>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3338A0"/>
    <w:pPr>
      <w:keepLines/>
      <w:spacing w:after="120"/>
      <w:contextualSpacing/>
      <w:jc w:val="left"/>
    </w:pPr>
    <w:rPr>
      <w:rFonts w:ascii="Arial Narrow" w:eastAsiaTheme="majorEastAsia" w:hAnsi="Arial Narrow"/>
      <w:i/>
      <w:iCs/>
      <w:snapToGrid w:val="0"/>
      <w:sz w:val="18"/>
      <w:szCs w:val="22"/>
    </w:rPr>
  </w:style>
  <w:style w:type="character" w:customStyle="1" w:styleId="TableFigureFooterChar">
    <w:name w:val="Table/Figure Footer Char"/>
    <w:link w:val="TableFigureFooter"/>
    <w:rsid w:val="003338A0"/>
    <w:rPr>
      <w:rFonts w:ascii="Arial Narrow" w:eastAsiaTheme="majorEastAsia" w:hAnsi="Arial Narrow" w:cs="Arial"/>
      <w:i/>
      <w:iCs/>
      <w:snapToGrid w:val="0"/>
      <w:sz w:val="18"/>
      <w:szCs w:val="22"/>
    </w:rPr>
  </w:style>
  <w:style w:type="character" w:styleId="FootnoteReference">
    <w:name w:val="footnote reference"/>
    <w:basedOn w:val="DefaultParagraphFont"/>
    <w:semiHidden/>
    <w:unhideWhenUsed/>
    <w:rsid w:val="00026A49"/>
    <w:rPr>
      <w:vertAlign w:val="superscript"/>
    </w:rPr>
  </w:style>
  <w:style w:type="paragraph" w:styleId="FootnoteText">
    <w:name w:val="footnote text"/>
    <w:basedOn w:val="Normal"/>
    <w:link w:val="FootnoteTextChar"/>
    <w:semiHidden/>
    <w:unhideWhenUsed/>
    <w:rsid w:val="009A25F0"/>
    <w:rPr>
      <w:sz w:val="20"/>
      <w:szCs w:val="20"/>
    </w:rPr>
  </w:style>
  <w:style w:type="character" w:customStyle="1" w:styleId="FootnoteTextChar">
    <w:name w:val="Footnote Text Char"/>
    <w:basedOn w:val="DefaultParagraphFont"/>
    <w:link w:val="FootnoteText"/>
    <w:semiHidden/>
    <w:rsid w:val="009A25F0"/>
    <w:rPr>
      <w:rFonts w:ascii="Calibri" w:hAnsi="Calibri" w:cs="Arial"/>
    </w:rPr>
  </w:style>
  <w:style w:type="character" w:customStyle="1" w:styleId="Heading1Char">
    <w:name w:val="Heading 1 Char"/>
    <w:aliases w:val="Sanofi Heading 1 Char"/>
    <w:basedOn w:val="DefaultParagraphFont"/>
    <w:link w:val="Heading1"/>
    <w:uiPriority w:val="1"/>
    <w:rsid w:val="00D70DB6"/>
    <w:rPr>
      <w:rFonts w:ascii="Calibri" w:hAnsi="Calibri" w:cs="Arial"/>
      <w:b/>
      <w:caps/>
      <w:sz w:val="32"/>
      <w:szCs w:val="24"/>
    </w:rPr>
  </w:style>
  <w:style w:type="character" w:customStyle="1" w:styleId="Heading3Char">
    <w:name w:val="Heading 3 Char"/>
    <w:aliases w:val="Sanofi Heading 3 Char"/>
    <w:basedOn w:val="DefaultParagraphFont"/>
    <w:link w:val="Heading3"/>
    <w:uiPriority w:val="9"/>
    <w:rsid w:val="00D70DB6"/>
    <w:rPr>
      <w:rFonts w:ascii="Calibri" w:hAnsi="Calibri" w:cs="Arial"/>
      <w:sz w:val="24"/>
      <w:szCs w:val="24"/>
      <w:u w:val="single"/>
    </w:rPr>
  </w:style>
  <w:style w:type="character" w:customStyle="1" w:styleId="Heading4Char">
    <w:name w:val="Heading 4 Char"/>
    <w:aliases w:val="Sanofi Heading 4 Char"/>
    <w:basedOn w:val="DefaultParagraphFont"/>
    <w:link w:val="Heading4"/>
    <w:uiPriority w:val="9"/>
    <w:rsid w:val="00D70DB6"/>
    <w:rPr>
      <w:rFonts w:ascii="Calibri" w:hAnsi="Calibri" w:cs="Arial"/>
      <w:b/>
      <w:bCs/>
      <w:i/>
      <w:sz w:val="26"/>
      <w:szCs w:val="28"/>
    </w:rPr>
  </w:style>
  <w:style w:type="character" w:customStyle="1" w:styleId="Heading5Char">
    <w:name w:val="Heading 5 Char"/>
    <w:aliases w:val="Sanofi Heading 5 Char"/>
    <w:basedOn w:val="DefaultParagraphFont"/>
    <w:link w:val="Heading5"/>
    <w:uiPriority w:val="9"/>
    <w:rsid w:val="00D70DB6"/>
    <w:rPr>
      <w:rFonts w:ascii="Calibri" w:hAnsi="Calibri" w:cs="Arial"/>
      <w:b/>
      <w:bCs/>
      <w:iCs/>
      <w:sz w:val="26"/>
      <w:szCs w:val="26"/>
    </w:rPr>
  </w:style>
  <w:style w:type="character" w:customStyle="1" w:styleId="Heading6Char">
    <w:name w:val="Heading 6 Char"/>
    <w:basedOn w:val="DefaultParagraphFont"/>
    <w:link w:val="Heading6"/>
    <w:uiPriority w:val="9"/>
    <w:rsid w:val="00D70DB6"/>
    <w:rPr>
      <w:rFonts w:ascii="Calibri" w:hAnsi="Calibri" w:cs="Arial"/>
      <w:b/>
      <w:bCs/>
      <w:i/>
      <w:sz w:val="24"/>
      <w:szCs w:val="24"/>
    </w:rPr>
  </w:style>
  <w:style w:type="paragraph" w:styleId="Quote">
    <w:name w:val="Quote"/>
    <w:basedOn w:val="Normal"/>
    <w:next w:val="Normal"/>
    <w:link w:val="QuoteChar"/>
    <w:uiPriority w:val="29"/>
    <w:qFormat/>
    <w:rsid w:val="00D70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DB6"/>
    <w:rPr>
      <w:rFonts w:ascii="Calibri" w:hAnsi="Calibri" w:cs="Arial"/>
      <w:i/>
      <w:iCs/>
      <w:color w:val="404040" w:themeColor="text1" w:themeTint="BF"/>
      <w:sz w:val="24"/>
      <w:szCs w:val="24"/>
    </w:rPr>
  </w:style>
  <w:style w:type="character" w:styleId="IntenseEmphasis">
    <w:name w:val="Intense Emphasis"/>
    <w:basedOn w:val="DefaultParagraphFont"/>
    <w:uiPriority w:val="21"/>
    <w:qFormat/>
    <w:rsid w:val="00D70DB6"/>
    <w:rPr>
      <w:i/>
      <w:iCs/>
      <w:color w:val="365F91" w:themeColor="accent1" w:themeShade="BF"/>
    </w:rPr>
  </w:style>
  <w:style w:type="paragraph" w:styleId="IntenseQuote">
    <w:name w:val="Intense Quote"/>
    <w:basedOn w:val="Normal"/>
    <w:next w:val="Normal"/>
    <w:link w:val="IntenseQuoteChar"/>
    <w:uiPriority w:val="30"/>
    <w:qFormat/>
    <w:rsid w:val="00D70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0DB6"/>
    <w:rPr>
      <w:rFonts w:ascii="Calibri" w:hAnsi="Calibri" w:cs="Arial"/>
      <w:i/>
      <w:iCs/>
      <w:color w:val="365F91" w:themeColor="accent1" w:themeShade="BF"/>
      <w:sz w:val="24"/>
      <w:szCs w:val="24"/>
    </w:rPr>
  </w:style>
  <w:style w:type="character" w:styleId="IntenseReference">
    <w:name w:val="Intense Reference"/>
    <w:basedOn w:val="DefaultParagraphFont"/>
    <w:uiPriority w:val="32"/>
    <w:qFormat/>
    <w:rsid w:val="00D70DB6"/>
    <w:rPr>
      <w:b/>
      <w:bCs/>
      <w:smallCaps/>
      <w:color w:val="365F91" w:themeColor="accent1" w:themeShade="BF"/>
      <w:spacing w:val="5"/>
    </w:rPr>
  </w:style>
  <w:style w:type="paragraph" w:customStyle="1" w:styleId="SanofiTableText">
    <w:name w:val="Sanofi Table Text"/>
    <w:basedOn w:val="Normal"/>
    <w:qFormat/>
    <w:rsid w:val="00D70DB6"/>
    <w:pPr>
      <w:jc w:val="left"/>
    </w:pPr>
    <w:rPr>
      <w:rFonts w:ascii="Arial Narrow" w:eastAsiaTheme="minorHAnsi" w:hAnsi="Arial Narrow" w:cstheme="minorHAnsi"/>
      <w:bCs/>
      <w:sz w:val="20"/>
      <w:szCs w:val="18"/>
      <w:lang w:eastAsia="en-US"/>
    </w:rPr>
  </w:style>
  <w:style w:type="paragraph" w:customStyle="1" w:styleId="SanofiTableBullet">
    <w:name w:val="Sanofi Table Bullet"/>
    <w:basedOn w:val="SanofiTableText"/>
    <w:rsid w:val="00D70DB6"/>
    <w:pPr>
      <w:numPr>
        <w:numId w:val="9"/>
      </w:numPr>
      <w:ind w:left="0" w:firstLine="0"/>
    </w:pPr>
  </w:style>
  <w:style w:type="paragraph" w:customStyle="1" w:styleId="SanofiTableFigNote">
    <w:name w:val="Sanofi TableFigNote"/>
    <w:basedOn w:val="Normal"/>
    <w:autoRedefine/>
    <w:qFormat/>
    <w:rsid w:val="00D70DB6"/>
    <w:pPr>
      <w:jc w:val="left"/>
    </w:pPr>
    <w:rPr>
      <w:rFonts w:ascii="Arial Narrow" w:eastAsiaTheme="minorHAnsi" w:hAnsi="Arial Narrow" w:cstheme="minorBidi"/>
      <w:sz w:val="18"/>
      <w:szCs w:val="22"/>
      <w:lang w:eastAsia="en-US"/>
    </w:rPr>
  </w:style>
  <w:style w:type="character" w:styleId="UnresolvedMention">
    <w:name w:val="Unresolved Mention"/>
    <w:basedOn w:val="DefaultParagraphFont"/>
    <w:uiPriority w:val="99"/>
    <w:semiHidden/>
    <w:unhideWhenUsed/>
    <w:rsid w:val="00D70DB6"/>
    <w:rPr>
      <w:color w:val="605E5C"/>
      <w:shd w:val="clear" w:color="auto" w:fill="E1DFDD"/>
    </w:rPr>
  </w:style>
  <w:style w:type="paragraph" w:customStyle="1" w:styleId="SanofiTableHeading">
    <w:name w:val="Sanofi TableHeading"/>
    <w:basedOn w:val="Normal"/>
    <w:qFormat/>
    <w:rsid w:val="00D70DB6"/>
    <w:pPr>
      <w:keepNext/>
      <w:keepLines/>
      <w:jc w:val="left"/>
    </w:pPr>
    <w:rPr>
      <w:rFonts w:ascii="Arial Narrow" w:eastAsiaTheme="minorHAnsi" w:hAnsi="Arial Narrow" w:cstheme="minorHAnsi"/>
      <w:b/>
      <w:bCs/>
      <w:sz w:val="20"/>
      <w:szCs w:val="18"/>
      <w:lang w:eastAsia="en-US"/>
    </w:rPr>
  </w:style>
  <w:style w:type="paragraph" w:customStyle="1" w:styleId="Bibliography5">
    <w:name w:val="Bibliography5"/>
    <w:basedOn w:val="Normal"/>
    <w:rsid w:val="00D70DB6"/>
    <w:pPr>
      <w:spacing w:before="100" w:beforeAutospacing="1" w:after="100" w:afterAutospacing="1"/>
      <w:jc w:val="left"/>
    </w:pPr>
    <w:rPr>
      <w:rFonts w:ascii="Times New Roman" w:eastAsiaTheme="minorEastAsia" w:hAnsi="Times New Roman" w:cs="Times New Roman"/>
    </w:rPr>
  </w:style>
  <w:style w:type="paragraph" w:customStyle="1" w:styleId="SanofiBodyText">
    <w:name w:val="Sanofi Body Text"/>
    <w:basedOn w:val="Normal"/>
    <w:link w:val="SanofiBodyTextChar"/>
    <w:qFormat/>
    <w:rsid w:val="00D70DB6"/>
    <w:pPr>
      <w:keepNext/>
      <w:keepLines/>
      <w:spacing w:before="120" w:line="276" w:lineRule="auto"/>
    </w:pPr>
    <w:rPr>
      <w:rFonts w:asciiTheme="minorHAnsi" w:eastAsiaTheme="minorHAnsi" w:hAnsiTheme="minorHAnsi" w:cstheme="minorBidi"/>
      <w:sz w:val="22"/>
      <w:szCs w:val="22"/>
      <w:lang w:eastAsia="en-US"/>
    </w:rPr>
  </w:style>
  <w:style w:type="character" w:customStyle="1" w:styleId="SanofiBodyTextChar">
    <w:name w:val="Sanofi Body Text Char"/>
    <w:basedOn w:val="DefaultParagraphFont"/>
    <w:link w:val="SanofiBodyText"/>
    <w:rsid w:val="00D70DB6"/>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D70DB6"/>
    <w:rPr>
      <w:color w:val="666666"/>
    </w:rPr>
  </w:style>
  <w:style w:type="paragraph" w:customStyle="1" w:styleId="TableNotes">
    <w:name w:val="Table Notes"/>
    <w:basedOn w:val="Normal"/>
    <w:link w:val="TableNotesChar"/>
    <w:uiPriority w:val="6"/>
    <w:qFormat/>
    <w:rsid w:val="00D70DB6"/>
    <w:pPr>
      <w:spacing w:after="240"/>
      <w:contextualSpacing/>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D70DB6"/>
    <w:rPr>
      <w:rFonts w:ascii="Arial Narrow" w:eastAsiaTheme="majorEastAsia" w:hAnsi="Arial Narrow" w:cstheme="majorBidi"/>
      <w:sz w:val="18"/>
      <w:szCs w:val="22"/>
      <w:lang w:eastAsia="en-US"/>
    </w:rPr>
  </w:style>
  <w:style w:type="paragraph" w:customStyle="1" w:styleId="tabletextNS">
    <w:name w:val="table:textNS"/>
    <w:basedOn w:val="Normal"/>
    <w:link w:val="tabletextNSChar"/>
    <w:rsid w:val="00D70DB6"/>
    <w:pPr>
      <w:jc w:val="left"/>
    </w:pPr>
    <w:rPr>
      <w:rFonts w:ascii="Arial Narrow" w:eastAsia="MS Mincho" w:hAnsi="Arial Narrow" w:cs="Arial Narrow"/>
      <w:lang w:val="en-US" w:eastAsia="ja-JP"/>
    </w:rPr>
  </w:style>
  <w:style w:type="character" w:customStyle="1" w:styleId="tabletextNSChar">
    <w:name w:val="table:textNS Char"/>
    <w:link w:val="tabletextNS"/>
    <w:rsid w:val="00D70DB6"/>
    <w:rPr>
      <w:rFonts w:ascii="Arial Narrow" w:eastAsia="MS Mincho" w:hAnsi="Arial Narrow" w:cs="Arial Narrow"/>
      <w:sz w:val="24"/>
      <w:szCs w:val="24"/>
      <w:lang w:val="en-US" w:eastAsia="ja-JP"/>
    </w:rPr>
  </w:style>
  <w:style w:type="table" w:customStyle="1" w:styleId="TableGridLight1">
    <w:name w:val="Table Grid Light1"/>
    <w:basedOn w:val="TableNormal"/>
    <w:uiPriority w:val="40"/>
    <w:rsid w:val="00D70DB6"/>
    <w:rPr>
      <w:rFonts w:asciiTheme="minorHAnsi" w:eastAsiaTheme="minorHAnsi" w:hAnsiTheme="minorHAnsi" w:cstheme="minorBidi"/>
      <w:sz w:val="22"/>
      <w:szCs w:val="22"/>
      <w:lang w:val="en-US" w:eastAsia="en-US"/>
    </w:rPr>
    <w:tblPr/>
  </w:style>
  <w:style w:type="table" w:customStyle="1" w:styleId="Evidera-2024">
    <w:name w:val="Evidera - 2024"/>
    <w:basedOn w:val="TableNormal"/>
    <w:uiPriority w:val="99"/>
    <w:qFormat/>
    <w:rsid w:val="00D70DB6"/>
    <w:pPr>
      <w:spacing w:before="40" w:after="40"/>
    </w:pPr>
    <w:rPr>
      <w:rFonts w:ascii="Calibri Light" w:eastAsiaTheme="minorHAnsi" w:hAnsi="Calibri Light" w:cstheme="minorBidi"/>
      <w:sz w:val="18"/>
      <w:szCs w:val="22"/>
      <w:lang w:val="en-US" w:eastAsia="en-US"/>
    </w:rPr>
    <w:tblPr/>
    <w:tblStylePr w:type="firstRow">
      <w:pPr>
        <w:jc w:val="center"/>
      </w:pPr>
      <w:rPr>
        <w:rFonts w:ascii="Calibri Light" w:hAnsi="Calibri Light"/>
        <w:b/>
        <w:color w:val="F79646" w:themeColor="accent6"/>
        <w:sz w:val="18"/>
      </w:rPr>
    </w:tblStylePr>
    <w:tblStylePr w:type="firstCol">
      <w:pPr>
        <w:jc w:val="left"/>
      </w:pPr>
    </w:tblStylePr>
    <w:tblStylePr w:type="band1Horz">
      <w:pPr>
        <w:jc w:val="center"/>
      </w:pPr>
    </w:tblStylePr>
    <w:tblStylePr w:type="band2Horz">
      <w:pPr>
        <w:jc w:val="center"/>
      </w:pPr>
    </w:tblStylePr>
    <w:tblStylePr w:type="nwCell">
      <w:pPr>
        <w:jc w:val="left"/>
      </w:pPr>
      <w:rPr>
        <w:rFonts w:ascii="Calibri Light" w:hAnsi="Calibri Light"/>
        <w:color w:val="F79646" w:themeColor="accent6"/>
        <w:sz w:val="18"/>
      </w:rPr>
    </w:tblStylePr>
  </w:style>
  <w:style w:type="paragraph" w:customStyle="1" w:styleId="TableParagraph">
    <w:name w:val="Table Paragraph"/>
    <w:basedOn w:val="Normal"/>
    <w:uiPriority w:val="1"/>
    <w:qFormat/>
    <w:rsid w:val="00D70DB6"/>
    <w:pPr>
      <w:widowControl w:val="0"/>
      <w:autoSpaceDE w:val="0"/>
      <w:autoSpaceDN w:val="0"/>
      <w:spacing w:line="210" w:lineRule="exact"/>
      <w:ind w:left="107"/>
      <w:jc w:val="left"/>
    </w:pPr>
    <w:rPr>
      <w:rFonts w:ascii="Arial Narrow" w:eastAsia="Arial Narrow" w:hAnsi="Arial Narrow" w:cs="Arial Narrow"/>
      <w:sz w:val="22"/>
      <w:szCs w:val="22"/>
      <w:lang w:val="en-US" w:eastAsia="en-US"/>
    </w:rPr>
  </w:style>
  <w:style w:type="table" w:customStyle="1" w:styleId="Defaulttable">
    <w:name w:val="Default table"/>
    <w:basedOn w:val="TableNormal"/>
    <w:uiPriority w:val="99"/>
    <w:rsid w:val="00D70DB6"/>
    <w:rPr>
      <w:rFonts w:asciiTheme="minorHAnsi" w:eastAsiaTheme="minorHAnsi" w:hAnsiTheme="minorHAnsi" w:cstheme="minorBidi"/>
      <w:sz w:val="22"/>
      <w:szCs w:val="22"/>
      <w:lang w:val="en-US" w:eastAsia="en-US"/>
    </w:rPr>
    <w:tblPr/>
  </w:style>
  <w:style w:type="table" w:customStyle="1" w:styleId="LightList1Sanofi">
    <w:name w:val="Light List1 Sanofi"/>
    <w:basedOn w:val="TableNormal"/>
    <w:uiPriority w:val="61"/>
    <w:rsid w:val="00D70DB6"/>
    <w:rPr>
      <w:rFonts w:ascii="Arial Narrow" w:eastAsiaTheme="minorHAnsi" w:hAnsi="Arial Narrow" w:cstheme="minorBidi"/>
      <w:szCs w:val="22"/>
      <w:lang w:val="en-US" w:eastAsia="en-US"/>
    </w:rPr>
    <w:tblPr/>
    <w:tblStylePr w:type="firstRow">
      <w:pPr>
        <w:spacing w:before="0" w:after="0" w:line="240" w:lineRule="auto"/>
      </w:pPr>
      <w:rPr>
        <w:b/>
        <w:bCs/>
        <w:color w:val="auto"/>
      </w:rPr>
    </w:tblStylePr>
    <w:tblStylePr w:type="lastRow">
      <w:pPr>
        <w:spacing w:before="0" w:after="0" w:line="240" w:lineRule="auto"/>
      </w:pPr>
      <w:rPr>
        <w:b/>
        <w:bCs/>
      </w:rPr>
    </w:tblStylePr>
    <w:tblStylePr w:type="firstCol">
      <w:rPr>
        <w:rFonts w:ascii="Tahoma" w:hAnsi="Tahoma"/>
        <w:b w:val="0"/>
        <w:bCs/>
        <w:sz w:val="20"/>
      </w:rPr>
    </w:tblStylePr>
    <w:tblStylePr w:type="lastCol">
      <w:rPr>
        <w:rFonts w:ascii="Tahoma" w:hAnsi="Tahoma"/>
        <w:b w:val="0"/>
        <w:bCs/>
        <w:sz w:val="20"/>
      </w:rPr>
    </w:tblStylePr>
  </w:style>
  <w:style w:type="paragraph" w:customStyle="1" w:styleId="FigureCaption">
    <w:name w:val="Figure Caption"/>
    <w:basedOn w:val="Caption"/>
    <w:link w:val="FigureCaptionChar"/>
    <w:qFormat/>
    <w:rsid w:val="00D70DB6"/>
    <w:pPr>
      <w:spacing w:before="120"/>
      <w:jc w:val="left"/>
    </w:pPr>
    <w:rPr>
      <w:rFonts w:asciiTheme="minorHAnsi" w:eastAsiaTheme="minorHAnsi" w:hAnsiTheme="minorHAnsi" w:cstheme="minorBidi"/>
      <w:color w:val="000000" w:themeColor="text1"/>
      <w:sz w:val="22"/>
      <w:szCs w:val="22"/>
      <w:lang w:eastAsia="en-US"/>
    </w:rPr>
  </w:style>
  <w:style w:type="character" w:customStyle="1" w:styleId="FigureCaptionChar">
    <w:name w:val="Figure Caption Char"/>
    <w:basedOn w:val="DefaultParagraphFont"/>
    <w:link w:val="FigureCaption"/>
    <w:rsid w:val="00D70DB6"/>
    <w:rPr>
      <w:rFonts w:asciiTheme="minorHAnsi" w:eastAsiaTheme="minorHAnsi" w:hAnsiTheme="minorHAnsi" w:cstheme="minorBidi"/>
      <w:b/>
      <w:bCs/>
      <w:color w:val="000000" w:themeColor="text1"/>
      <w:sz w:val="22"/>
      <w:szCs w:val="22"/>
      <w:lang w:eastAsia="en-US"/>
    </w:rPr>
  </w:style>
  <w:style w:type="table" w:customStyle="1" w:styleId="Eviera-2018">
    <w:name w:val="Eviera - 2018"/>
    <w:basedOn w:val="TableNormal"/>
    <w:uiPriority w:val="99"/>
    <w:qFormat/>
    <w:rsid w:val="00D70DB6"/>
    <w:pPr>
      <w:spacing w:before="40" w:after="40"/>
    </w:pPr>
    <w:rPr>
      <w:rFonts w:ascii="Calibri Light" w:eastAsiaTheme="minorHAnsi" w:hAnsi="Calibri Light" w:cstheme="minorBidi"/>
      <w:sz w:val="18"/>
      <w:szCs w:val="22"/>
      <w:lang w:val="en-US" w:eastAsia="en-US"/>
    </w:rPr>
    <w:tblPr/>
    <w:tblStylePr w:type="firstRow">
      <w:pPr>
        <w:jc w:val="center"/>
      </w:pPr>
      <w:rPr>
        <w:rFonts w:ascii="Calibri Light" w:hAnsi="Calibri Light"/>
        <w:b/>
        <w:color w:val="FFFFFF"/>
        <w:sz w:val="18"/>
      </w:rPr>
    </w:tblStylePr>
    <w:tblStylePr w:type="lastRow">
      <w:pPr>
        <w:jc w:val="center"/>
      </w:pPr>
    </w:tblStylePr>
    <w:tblStylePr w:type="firstCol">
      <w:pPr>
        <w:jc w:val="left"/>
      </w:pPr>
    </w:tblStylePr>
    <w:tblStylePr w:type="band1Horz">
      <w:pPr>
        <w:jc w:val="center"/>
      </w:pPr>
    </w:tblStylePr>
    <w:tblStylePr w:type="band2Horz">
      <w:pPr>
        <w:jc w:val="center"/>
      </w:pPr>
    </w:tblStylePr>
    <w:tblStylePr w:type="nwCell">
      <w:pPr>
        <w:jc w:val="left"/>
      </w:pPr>
      <w:rPr>
        <w:rFonts w:ascii="Calibri Light" w:hAnsi="Calibri Light"/>
        <w:color w:val="FFFFFF" w:themeColor="background1"/>
        <w:sz w:val="18"/>
      </w:rPr>
    </w:tblStylePr>
  </w:style>
  <w:style w:type="paragraph" w:customStyle="1" w:styleId="tabletextNS10">
    <w:name w:val="table:textNS_10"/>
    <w:basedOn w:val="Normal"/>
    <w:qFormat/>
    <w:rsid w:val="00D70DB6"/>
    <w:pPr>
      <w:jc w:val="left"/>
    </w:pPr>
    <w:rPr>
      <w:rFonts w:ascii="Arial Narrow" w:eastAsia="MS Mincho" w:hAnsi="Arial Narrow" w:cs="Arial Narrow"/>
      <w:sz w:val="20"/>
      <w:szCs w:val="21"/>
      <w:lang w:val="en-US" w:eastAsia="ja-JP"/>
    </w:rPr>
  </w:style>
  <w:style w:type="character" w:customStyle="1" w:styleId="TableHeadingChar">
    <w:name w:val="TableHeading Char"/>
    <w:link w:val="TableHeading"/>
    <w:locked/>
    <w:rsid w:val="00D70DB6"/>
    <w:rPr>
      <w:rFonts w:ascii="Arial Narrow" w:hAnsi="Arial Narrow" w:cs="Arial Narrow"/>
      <w:b/>
      <w:bCs/>
      <w:snapToGrid w:val="0"/>
      <w:szCs w:val="24"/>
    </w:rPr>
  </w:style>
  <w:style w:type="character" w:customStyle="1" w:styleId="citation-794">
    <w:name w:val="citation-794"/>
    <w:basedOn w:val="DefaultParagraphFont"/>
    <w:rsid w:val="00D70DB6"/>
  </w:style>
  <w:style w:type="character" w:customStyle="1" w:styleId="apple-converted-space">
    <w:name w:val="apple-converted-space"/>
    <w:basedOn w:val="DefaultParagraphFont"/>
    <w:rsid w:val="00D70DB6"/>
  </w:style>
  <w:style w:type="character" w:customStyle="1" w:styleId="citation-910">
    <w:name w:val="citation-910"/>
    <w:basedOn w:val="DefaultParagraphFont"/>
    <w:rsid w:val="00D70DB6"/>
  </w:style>
  <w:style w:type="character" w:customStyle="1" w:styleId="citation-907">
    <w:name w:val="citation-907"/>
    <w:basedOn w:val="DefaultParagraphFont"/>
    <w:rsid w:val="00D70DB6"/>
  </w:style>
  <w:style w:type="character" w:customStyle="1" w:styleId="citation-906">
    <w:name w:val="citation-906"/>
    <w:basedOn w:val="DefaultParagraphFont"/>
    <w:rsid w:val="00D70DB6"/>
  </w:style>
  <w:style w:type="character" w:customStyle="1" w:styleId="citation-905">
    <w:name w:val="citation-905"/>
    <w:basedOn w:val="DefaultParagraphFont"/>
    <w:rsid w:val="00D70DB6"/>
  </w:style>
  <w:style w:type="character" w:customStyle="1" w:styleId="citation-952">
    <w:name w:val="citation-952"/>
    <w:basedOn w:val="DefaultParagraphFont"/>
    <w:rsid w:val="00D70DB6"/>
  </w:style>
  <w:style w:type="paragraph" w:customStyle="1" w:styleId="TableLeft">
    <w:name w:val="Table Left"/>
    <w:basedOn w:val="Normal"/>
    <w:link w:val="TableLeftChar"/>
    <w:uiPriority w:val="5"/>
    <w:qFormat/>
    <w:rsid w:val="00D70DB6"/>
    <w:pPr>
      <w:spacing w:after="240"/>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D70DB6"/>
    <w:rPr>
      <w:rFonts w:ascii="Arial Narrow" w:eastAsiaTheme="majorEastAsia" w:hAnsi="Arial Narrow" w:cstheme="majorBidi"/>
      <w:szCs w:val="22"/>
      <w:lang w:eastAsia="en-US"/>
    </w:rPr>
  </w:style>
  <w:style w:type="paragraph" w:customStyle="1" w:styleId="TableFigNote">
    <w:name w:val="TableFigNote"/>
    <w:basedOn w:val="Normal"/>
    <w:qFormat/>
    <w:rsid w:val="00D70DB6"/>
    <w:pPr>
      <w:spacing w:after="240"/>
    </w:pPr>
    <w:rPr>
      <w:rFonts w:asciiTheme="minorHAnsi" w:eastAsiaTheme="minorHAnsi" w:hAnsiTheme="minorHAnsi" w:cstheme="minorBidi"/>
      <w:sz w:val="18"/>
      <w:szCs w:val="22"/>
      <w:lang w:eastAsia="en-US"/>
    </w:rPr>
  </w:style>
  <w:style w:type="table" w:styleId="LightShading-Accent3">
    <w:name w:val="Light Shading Accent 3"/>
    <w:basedOn w:val="TableNormal"/>
    <w:uiPriority w:val="60"/>
    <w:rsid w:val="00D70DB6"/>
    <w:rPr>
      <w:rFonts w:asciiTheme="majorHAnsi" w:eastAsiaTheme="majorEastAsia" w:hAnsiTheme="majorHAnsi" w:cstheme="majorBidi"/>
      <w:color w:val="76923C" w:themeColor="accent3" w:themeShade="BF"/>
      <w:sz w:val="22"/>
      <w:szCs w:val="22"/>
      <w:lang w:val="en-US" w:eastAsia="en-US"/>
    </w:rPr>
    <w:tblPr/>
    <w:tblStylePr w:type="firstRow">
      <w:pPr>
        <w:spacing w:before="0" w:after="0"/>
      </w:pPr>
      <w:rPr>
        <w:rFonts w:cstheme="majorBidi"/>
        <w:b/>
        <w:bCs/>
      </w:rPr>
    </w:tblStylePr>
    <w:tblStylePr w:type="lastRow">
      <w:pPr>
        <w:spacing w:before="0" w:after="0"/>
      </w:pPr>
      <w:rPr>
        <w:rFonts w:cstheme="majorBidi"/>
        <w:b/>
        <w:bCs/>
      </w:rPr>
    </w:tblStylePr>
    <w:tblStylePr w:type="firstCol">
      <w:rPr>
        <w:rFonts w:cstheme="majorBidi"/>
        <w:b/>
        <w:bCs/>
      </w:rPr>
    </w:tblStylePr>
    <w:tblStylePr w:type="lastCol">
      <w:rPr>
        <w:rFonts w:cstheme="majorBidi"/>
        <w:b/>
        <w:bCs/>
      </w:rPr>
    </w:tblStylePr>
    <w:tblStylePr w:type="band1Vert">
      <w:rPr>
        <w:rFonts w:cstheme="majorBidi"/>
      </w:rPr>
    </w:tblStylePr>
    <w:tblStylePr w:type="band1Horz">
      <w:rPr>
        <w:rFonts w:cstheme="majorBidi"/>
      </w:rPr>
    </w:tblStylePr>
  </w:style>
  <w:style w:type="paragraph" w:styleId="EndnoteText">
    <w:name w:val="endnote text"/>
    <w:basedOn w:val="Normal"/>
    <w:link w:val="EndnoteTextChar"/>
    <w:semiHidden/>
    <w:unhideWhenUsed/>
    <w:rsid w:val="00D70DB6"/>
    <w:rPr>
      <w:sz w:val="20"/>
      <w:szCs w:val="20"/>
    </w:rPr>
  </w:style>
  <w:style w:type="character" w:customStyle="1" w:styleId="EndnoteTextChar">
    <w:name w:val="Endnote Text Char"/>
    <w:basedOn w:val="DefaultParagraphFont"/>
    <w:link w:val="EndnoteText"/>
    <w:semiHidden/>
    <w:rsid w:val="00D70DB6"/>
    <w:rPr>
      <w:rFonts w:ascii="Calibri" w:hAnsi="Calibri" w:cs="Arial"/>
    </w:rPr>
  </w:style>
  <w:style w:type="character" w:styleId="EndnoteReference">
    <w:name w:val="endnote reference"/>
    <w:basedOn w:val="DefaultParagraphFont"/>
    <w:semiHidden/>
    <w:unhideWhenUsed/>
    <w:rsid w:val="00D70DB6"/>
    <w:rPr>
      <w:vertAlign w:val="superscript"/>
    </w:rPr>
  </w:style>
  <w:style w:type="paragraph" w:customStyle="1" w:styleId="p1">
    <w:name w:val="p1"/>
    <w:basedOn w:val="Normal"/>
    <w:rsid w:val="00D70DB6"/>
    <w:pPr>
      <w:jc w:val="left"/>
    </w:pPr>
    <w:rPr>
      <w:rFonts w:ascii="Arial Narrow" w:hAnsi="Arial Narrow" w:cs="Times New Roman"/>
      <w:color w:val="000000"/>
      <w:sz w:val="15"/>
      <w:szCs w:val="15"/>
      <w:lang w:eastAsia="en-GB"/>
    </w:rPr>
  </w:style>
  <w:style w:type="numbering" w:customStyle="1" w:styleId="Style1">
    <w:name w:val="Style1"/>
    <w:uiPriority w:val="99"/>
    <w:rsid w:val="00840740"/>
    <w:pPr>
      <w:numPr>
        <w:numId w:val="33"/>
      </w:numPr>
    </w:pPr>
  </w:style>
  <w:style w:type="paragraph" w:customStyle="1" w:styleId="Tableletteredlist">
    <w:name w:val="Table lettered list"/>
    <w:basedOn w:val="Normal"/>
    <w:uiPriority w:val="3"/>
    <w:rsid w:val="00840740"/>
    <w:pPr>
      <w:numPr>
        <w:numId w:val="16"/>
      </w:numPr>
      <w:spacing w:after="240"/>
      <w:jc w:val="left"/>
    </w:pPr>
    <w:rPr>
      <w:rFonts w:ascii="Arial Narrow" w:eastAsiaTheme="majorEastAsia" w:hAnsi="Arial Narrow" w:cstheme="majorBidi"/>
      <w:sz w:val="20"/>
      <w:szCs w:val="22"/>
      <w:lang w:eastAsia="en-US" w:bidi="en-US"/>
    </w:rPr>
  </w:style>
  <w:style w:type="paragraph" w:customStyle="1" w:styleId="TableTextRight">
    <w:name w:val="~TableTextRight"/>
    <w:basedOn w:val="Normal"/>
    <w:rsid w:val="00840740"/>
    <w:pPr>
      <w:spacing w:before="40" w:after="40"/>
      <w:jc w:val="right"/>
    </w:pPr>
    <w:rPr>
      <w:rFonts w:asciiTheme="minorHAnsi" w:eastAsiaTheme="minorHAnsi" w:hAnsiTheme="minorHAnsi" w:cs="System"/>
      <w:color w:val="000000" w:themeColor="text1"/>
      <w:sz w:val="18"/>
      <w:szCs w:val="21"/>
      <w:lang w:val="en-GB" w:eastAsia="en-US"/>
    </w:rPr>
  </w:style>
  <w:style w:type="numbering" w:customStyle="1" w:styleId="NoList1">
    <w:name w:val="No List1"/>
    <w:next w:val="NoList"/>
    <w:uiPriority w:val="99"/>
    <w:semiHidden/>
    <w:unhideWhenUsed/>
    <w:rsid w:val="00A45F99"/>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45F99"/>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A45F99"/>
  </w:style>
  <w:style w:type="table" w:customStyle="1" w:styleId="TableGrid1">
    <w:name w:val="Table Grid1"/>
    <w:basedOn w:val="TableNormal"/>
    <w:next w:val="TableGrid"/>
    <w:rsid w:val="00A45F99"/>
    <w:tblPr/>
  </w:style>
  <w:style w:type="table" w:customStyle="1" w:styleId="TableGrid11">
    <w:name w:val="Table Grid11"/>
    <w:basedOn w:val="TableNormal"/>
    <w:next w:val="TableGrid"/>
    <w:uiPriority w:val="39"/>
    <w:rsid w:val="00A45F9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5F9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45F99"/>
    <w:rPr>
      <w:color w:val="2B579A"/>
      <w:shd w:val="clear" w:color="auto" w:fill="E1DFDD"/>
    </w:rPr>
  </w:style>
  <w:style w:type="paragraph" w:customStyle="1" w:styleId="3-SubsectionHeading">
    <w:name w:val="3-Subsection Heading"/>
    <w:basedOn w:val="Heading2"/>
    <w:next w:val="Normal"/>
    <w:link w:val="3-SubsectionHeadingChar"/>
    <w:qFormat/>
    <w:rsid w:val="003F51B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F51B4"/>
    <w:rPr>
      <w:rFonts w:asciiTheme="minorHAnsi" w:eastAsiaTheme="majorEastAsia" w:hAnsiTheme="minorHAnsi" w:cstheme="majorBidi"/>
      <w:b/>
      <w:i/>
      <w:snapToGrid/>
      <w:spacing w:val="5"/>
      <w:kern w:val="28"/>
      <w:sz w:val="28"/>
      <w:szCs w:val="36"/>
      <w:lang w:eastAsia="en-US"/>
    </w:rPr>
  </w:style>
  <w:style w:type="character" w:customStyle="1" w:styleId="cf01">
    <w:name w:val="cf01"/>
    <w:basedOn w:val="DefaultParagraphFont"/>
    <w:rsid w:val="00F97DA7"/>
    <w:rPr>
      <w:rFonts w:ascii="Segoe UI" w:hAnsi="Segoe UI" w:cs="Segoe UI" w:hint="default"/>
      <w:color w:val="A02B93"/>
      <w:sz w:val="18"/>
      <w:szCs w:val="18"/>
      <w:shd w:val="clear" w:color="auto" w:fill="FFFFFF"/>
    </w:rPr>
  </w:style>
  <w:style w:type="character" w:customStyle="1" w:styleId="cf11">
    <w:name w:val="cf11"/>
    <w:basedOn w:val="DefaultParagraphFont"/>
    <w:rsid w:val="00F97DA7"/>
    <w:rPr>
      <w:rFonts w:ascii="Segoe UI" w:hAnsi="Segoe UI" w:cs="Segoe UI" w:hint="default"/>
      <w:color w:val="333333"/>
      <w:sz w:val="18"/>
      <w:szCs w:val="18"/>
      <w:shd w:val="clear" w:color="auto" w:fill="FFFFFF"/>
    </w:rPr>
  </w:style>
  <w:style w:type="character" w:customStyle="1" w:styleId="cf21">
    <w:name w:val="cf21"/>
    <w:basedOn w:val="DefaultParagraphFont"/>
    <w:rsid w:val="00F97DA7"/>
    <w:rPr>
      <w:rFonts w:ascii="Segoe UI" w:hAnsi="Segoe UI" w:cs="Segoe UI" w:hint="default"/>
      <w:i/>
      <w:iCs/>
      <w:color w:val="A02B9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B71F7-C224-4A02-9278-2105C4061961}">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8CBDBA2B-54CD-440A-9405-6EEE610E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20326-6B97-44DA-85B5-7A52B824D1C2}">
  <ds:schemaRefs>
    <ds:schemaRef ds:uri="http://schemas.microsoft.com/sharepoint/v3/contenttype/forms"/>
  </ds:schemaRefs>
</ds:datastoreItem>
</file>

<file path=docMetadata/LabelInfo.xml><?xml version="1.0" encoding="utf-8"?>
<clbl:labelList xmlns:clbl="http://schemas.microsoft.com/office/2020/mipLabelMetadata">
  <clbl:label id="{69a7c1f6-b764-4aac-b349-81f1842528e3}"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59</Pages>
  <Words>25058</Words>
  <Characters>142084</Characters>
  <Application>Microsoft Office Word</Application>
  <DocSecurity>0</DocSecurity>
  <Lines>3739</Lines>
  <Paragraphs>2063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165079</CharactersWithSpaces>
  <SharedDoc>false</SharedDoc>
  <HLinks>
    <vt:vector size="84" baseType="variant">
      <vt:variant>
        <vt:i4>1507399</vt:i4>
      </vt:variant>
      <vt:variant>
        <vt:i4>261</vt:i4>
      </vt:variant>
      <vt:variant>
        <vt:i4>0</vt:i4>
      </vt:variant>
      <vt:variant>
        <vt:i4>5</vt:i4>
      </vt:variant>
      <vt:variant>
        <vt:lpwstr>http://www.servicesaustralia.gov.au/HPOS</vt:lpwstr>
      </vt:variant>
      <vt:variant>
        <vt:lpwstr/>
      </vt:variant>
      <vt:variant>
        <vt:i4>1179694</vt:i4>
      </vt:variant>
      <vt:variant>
        <vt:i4>36</vt:i4>
      </vt:variant>
      <vt:variant>
        <vt:i4>0</vt:i4>
      </vt:variant>
      <vt:variant>
        <vt:i4>5</vt:i4>
      </vt:variant>
      <vt:variant>
        <vt:lpwstr>mailto:doreen.x.dinh@gsk.com</vt:lpwstr>
      </vt:variant>
      <vt:variant>
        <vt:lpwstr/>
      </vt:variant>
      <vt:variant>
        <vt:i4>786556</vt:i4>
      </vt:variant>
      <vt:variant>
        <vt:i4>33</vt:i4>
      </vt:variant>
      <vt:variant>
        <vt:i4>0</vt:i4>
      </vt:variant>
      <vt:variant>
        <vt:i4>5</vt:i4>
      </vt:variant>
      <vt:variant>
        <vt:lpwstr>mailto:kai-yin.x.lam@gsk.com</vt:lpwstr>
      </vt:variant>
      <vt:variant>
        <vt:lpwstr/>
      </vt:variant>
      <vt:variant>
        <vt:i4>5111914</vt:i4>
      </vt:variant>
      <vt:variant>
        <vt:i4>30</vt:i4>
      </vt:variant>
      <vt:variant>
        <vt:i4>0</vt:i4>
      </vt:variant>
      <vt:variant>
        <vt:i4>5</vt:i4>
      </vt:variant>
      <vt:variant>
        <vt:lpwstr>https://urldefense.com/v3/__https:/publications.ersnet.org/authors/manuscript-preparation__;!!AoaiBx6H!wi0SmzrZ4Y2S6iT_QA7C6OpCOippcQDLpINfo-edmE5-ix-VKJH4b-FBZ07jSRnPr4H680CCpMmQtsunysCNHSY-KFiGigm3$</vt:lpwstr>
      </vt:variant>
      <vt:variant>
        <vt:lpwstr/>
      </vt:variant>
      <vt:variant>
        <vt:i4>131129</vt:i4>
      </vt:variant>
      <vt:variant>
        <vt:i4>27</vt:i4>
      </vt:variant>
      <vt:variant>
        <vt:i4>0</vt:i4>
      </vt:variant>
      <vt:variant>
        <vt:i4>5</vt:i4>
      </vt:variant>
      <vt:variant>
        <vt:lpwstr>https://urldefense.com/v3/__https:/onlinelibrary.wiley.com/doi/10.1111/imj.70364__;!!AoaiBx6H!wi0SmzrZ4Y2S6iT_QA7C6OpCOippcQDLpINfo-edmE5-ix-VKJH4b-FBZ07jSRnPr4H680CCpMmQtsunysCNHSY-KI-GbvVM$</vt:lpwstr>
      </vt:variant>
      <vt:variant>
        <vt:lpwstr/>
      </vt:variant>
      <vt:variant>
        <vt:i4>1769590</vt:i4>
      </vt:variant>
      <vt:variant>
        <vt:i4>24</vt:i4>
      </vt:variant>
      <vt:variant>
        <vt:i4>0</vt:i4>
      </vt:variant>
      <vt:variant>
        <vt:i4>5</vt:i4>
      </vt:variant>
      <vt:variant>
        <vt:lpwstr>mailto:marcus.8.tan@gsk.com</vt:lpwstr>
      </vt:variant>
      <vt:variant>
        <vt:lpwstr/>
      </vt:variant>
      <vt:variant>
        <vt:i4>5111914</vt:i4>
      </vt:variant>
      <vt:variant>
        <vt:i4>21</vt:i4>
      </vt:variant>
      <vt:variant>
        <vt:i4>0</vt:i4>
      </vt:variant>
      <vt:variant>
        <vt:i4>5</vt:i4>
      </vt:variant>
      <vt:variant>
        <vt:lpwstr>https://urldefense.com/v3/__https:/publications.ersnet.org/authors/manuscript-preparation__;!!AoaiBx6H!wi0SmzrZ4Y2S6iT_QA7C6OpCOippcQDLpINfo-edmE5-ix-VKJH4b-FBZ07jSRnPr4H680CCpMmQtsunysCNHSY-KFiGigm3$</vt:lpwstr>
      </vt:variant>
      <vt:variant>
        <vt:lpwstr/>
      </vt:variant>
      <vt:variant>
        <vt:i4>131129</vt:i4>
      </vt:variant>
      <vt:variant>
        <vt:i4>18</vt:i4>
      </vt:variant>
      <vt:variant>
        <vt:i4>0</vt:i4>
      </vt:variant>
      <vt:variant>
        <vt:i4>5</vt:i4>
      </vt:variant>
      <vt:variant>
        <vt:lpwstr>https://urldefense.com/v3/__https:/onlinelibrary.wiley.com/doi/10.1111/imj.70364__;!!AoaiBx6H!wi0SmzrZ4Y2S6iT_QA7C6OpCOippcQDLpINfo-edmE5-ix-VKJH4b-FBZ07jSRnPr4H680CCpMmQtsunysCNHSY-KI-GbvVM$</vt:lpwstr>
      </vt:variant>
      <vt:variant>
        <vt:lpwstr/>
      </vt:variant>
      <vt:variant>
        <vt:i4>1179694</vt:i4>
      </vt:variant>
      <vt:variant>
        <vt:i4>15</vt:i4>
      </vt:variant>
      <vt:variant>
        <vt:i4>0</vt:i4>
      </vt:variant>
      <vt:variant>
        <vt:i4>5</vt:i4>
      </vt:variant>
      <vt:variant>
        <vt:lpwstr>mailto:doreen.x.dinh@gsk.com</vt:lpwstr>
      </vt:variant>
      <vt:variant>
        <vt:lpwstr/>
      </vt:variant>
      <vt:variant>
        <vt:i4>786556</vt:i4>
      </vt:variant>
      <vt:variant>
        <vt:i4>12</vt:i4>
      </vt:variant>
      <vt:variant>
        <vt:i4>0</vt:i4>
      </vt:variant>
      <vt:variant>
        <vt:i4>5</vt:i4>
      </vt:variant>
      <vt:variant>
        <vt:lpwstr>mailto:kai-yin.x.lam@gsk.com</vt:lpwstr>
      </vt:variant>
      <vt:variant>
        <vt:lpwstr/>
      </vt:variant>
      <vt:variant>
        <vt:i4>1769590</vt:i4>
      </vt:variant>
      <vt:variant>
        <vt:i4>9</vt:i4>
      </vt:variant>
      <vt:variant>
        <vt:i4>0</vt:i4>
      </vt:variant>
      <vt:variant>
        <vt:i4>5</vt:i4>
      </vt:variant>
      <vt:variant>
        <vt:lpwstr>mailto:marcus.8.tan@gsk.com</vt:lpwstr>
      </vt:variant>
      <vt:variant>
        <vt:lpwstr/>
      </vt:variant>
      <vt:variant>
        <vt:i4>786556</vt:i4>
      </vt:variant>
      <vt:variant>
        <vt:i4>6</vt:i4>
      </vt:variant>
      <vt:variant>
        <vt:i4>0</vt:i4>
      </vt:variant>
      <vt:variant>
        <vt:i4>5</vt:i4>
      </vt:variant>
      <vt:variant>
        <vt:lpwstr>mailto:kai-yin.x.lam@gsk.com</vt:lpwstr>
      </vt:variant>
      <vt:variant>
        <vt:lpwstr/>
      </vt:variant>
      <vt:variant>
        <vt:i4>4128831</vt:i4>
      </vt:variant>
      <vt:variant>
        <vt:i4>3</vt:i4>
      </vt:variant>
      <vt:variant>
        <vt:i4>0</vt:i4>
      </vt:variant>
      <vt:variant>
        <vt:i4>5</vt:i4>
      </vt:variant>
      <vt:variant>
        <vt:lpwstr>https://site.thoracic.org/about-us/news/media-policies</vt:lpwstr>
      </vt:variant>
      <vt:variant>
        <vt:lpwstr/>
      </vt:variant>
      <vt:variant>
        <vt:i4>1638418</vt:i4>
      </vt:variant>
      <vt:variant>
        <vt:i4>0</vt:i4>
      </vt:variant>
      <vt:variant>
        <vt:i4>0</vt:i4>
      </vt:variant>
      <vt:variant>
        <vt:i4>5</vt:i4>
      </vt:variant>
      <vt:variant>
        <vt:lpwstr>https://academic.oup.com/ajrccm/advance-articles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2026-05-28T01:58:00Z</dcterms:created>
  <dcterms:modified xsi:type="dcterms:W3CDTF">2026-07-07T05:36:00Z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Order">
    <vt:r8>59903600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7cd3e8b9-ffed-43a8-b7f4-cc2fa0382d36_Enabled">
    <vt:lpwstr>True</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SetDate">
    <vt:lpwstr>2026-05-29T07:24:49Z</vt:lpwstr>
  </property>
  <property fmtid="{D5CDD505-2E9C-101B-9397-08002B2CF9AE}" pid="14" name="MSIP_Label_7cd3e8b9-ffed-43a8-b7f4-cc2fa0382d36_Name">
    <vt:lpwstr>OFFICIAL</vt:lpwstr>
  </property>
  <property fmtid="{D5CDD505-2E9C-101B-9397-08002B2CF9AE}" pid="15" name="MSIP_Label_7cd3e8b9-ffed-43a8-b7f4-cc2fa0382d36_ActionId">
    <vt:lpwstr>d627e69d-bbc7-475c-9365-023098afed7f</vt:lpwstr>
  </property>
  <property fmtid="{D5CDD505-2E9C-101B-9397-08002B2CF9AE}" pid="16" name="MSIP_Label_7cd3e8b9-ffed-43a8-b7f4-cc2fa0382d36_Removed">
    <vt:lpwstr>False</vt:lpwstr>
  </property>
  <property fmtid="{D5CDD505-2E9C-101B-9397-08002B2CF9AE}" pid="17" name="MSIP_Label_7cd3e8b9-ffed-43a8-b7f4-cc2fa0382d36_Extended_MSFT_Method">
    <vt:lpwstr>Standard</vt:lpwstr>
  </property>
  <property fmtid="{D5CDD505-2E9C-101B-9397-08002B2CF9AE}" pid="18" name="Sensitivity">
    <vt:lpwstr>OFFICIAL</vt:lpwstr>
  </property>
  <property fmtid="{D5CDD505-2E9C-101B-9397-08002B2CF9AE}" pid="19" name="docLang">
    <vt:lpwstr>en</vt:lpwstr>
  </property>
</Properties>
</file>