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5BAECF84" w:rsidR="00B60939" w:rsidRPr="00B07B9F" w:rsidRDefault="007D6E77" w:rsidP="00531B7C">
      <w:pPr>
        <w:pStyle w:val="1-MainHeading"/>
        <w:spacing w:before="160"/>
      </w:pPr>
      <w:bookmarkStart w:id="0" w:name="_Toc216710449"/>
      <w:r>
        <w:t>7.02</w:t>
      </w:r>
      <w:r w:rsidR="00163F66" w:rsidRPr="00B07B9F">
        <w:tab/>
      </w:r>
      <w:r w:rsidR="002366E0" w:rsidRPr="00B07B9F">
        <w:t>NEMOLIZUMAB</w:t>
      </w:r>
      <w:r w:rsidR="00163F66" w:rsidRPr="00B07B9F">
        <w:t>,</w:t>
      </w:r>
      <w:r w:rsidR="00163F66" w:rsidRPr="00B07B9F">
        <w:br/>
      </w:r>
      <w:r w:rsidR="002366E0" w:rsidRPr="00B07B9F">
        <w:t>Pow</w:t>
      </w:r>
      <w:r w:rsidR="00F177B4" w:rsidRPr="00B07B9F">
        <w:t>d</w:t>
      </w:r>
      <w:r w:rsidR="002366E0" w:rsidRPr="00B07B9F">
        <w:t>er for injection containing nemolizumab 30 mg with diluent in pre-filled dual-chamber pen,</w:t>
      </w:r>
      <w:r w:rsidR="002366E0" w:rsidRPr="00B07B9F">
        <w:br/>
        <w:t>Nemluvio</w:t>
      </w:r>
      <w:r w:rsidR="002366E0" w:rsidRPr="00B07B9F">
        <w:rPr>
          <w:vertAlign w:val="superscript"/>
        </w:rPr>
        <w:t>®</w:t>
      </w:r>
      <w:r w:rsidR="002366E0" w:rsidRPr="00B07B9F">
        <w:t>,</w:t>
      </w:r>
      <w:r w:rsidR="002366E0" w:rsidRPr="00B07B9F">
        <w:br/>
        <w:t>Galderma Australia Pty Ltd</w:t>
      </w:r>
      <w:bookmarkEnd w:id="0"/>
      <w:r w:rsidR="002366E0" w:rsidRPr="00B07B9F">
        <w:t xml:space="preserve"> </w:t>
      </w:r>
    </w:p>
    <w:p w14:paraId="776D164A" w14:textId="1AEBF036" w:rsidR="00546DBD" w:rsidRPr="003D794C" w:rsidRDefault="00546DBD" w:rsidP="00531B7C">
      <w:pPr>
        <w:pStyle w:val="2-SectionHeading"/>
        <w:spacing w:before="160" w:after="160"/>
      </w:pPr>
      <w:bookmarkStart w:id="1" w:name="_Toc202884166"/>
      <w:bookmarkStart w:id="2" w:name="_Toc216710451"/>
      <w:r w:rsidRPr="003D794C">
        <w:t>Purpose of submission</w:t>
      </w:r>
      <w:bookmarkEnd w:id="1"/>
      <w:bookmarkEnd w:id="2"/>
    </w:p>
    <w:p w14:paraId="2EFD0B59" w14:textId="2E207797" w:rsidR="00546DBD" w:rsidRPr="00FA2AB8" w:rsidRDefault="00546DBD" w:rsidP="00531B7C">
      <w:pPr>
        <w:pStyle w:val="3-BodyText"/>
        <w:spacing w:before="160" w:after="160"/>
      </w:pPr>
      <w:r w:rsidRPr="003D794C">
        <w:t>Th</w:t>
      </w:r>
      <w:r w:rsidR="006E2A28" w:rsidRPr="003D794C">
        <w:t>is</w:t>
      </w:r>
      <w:r w:rsidRPr="003D794C">
        <w:t xml:space="preserve"> Standard </w:t>
      </w:r>
      <w:r w:rsidR="007B3CA3" w:rsidRPr="003D794C">
        <w:t>r</w:t>
      </w:r>
      <w:r w:rsidRPr="003D794C">
        <w:t>e-entry submission requested a General Schedule Authority Required (Telephone/Online) listing of nemolizumab (NEMO) for the treatment of patients with severe atopic</w:t>
      </w:r>
      <w:r w:rsidRPr="00FA2AB8">
        <w:t xml:space="preserve"> dermatitis (AD) affecting the whole body, face, and/or hands.</w:t>
      </w:r>
    </w:p>
    <w:p w14:paraId="3CA90F8D" w14:textId="09F4F143" w:rsidR="00546DBD" w:rsidRPr="00FA2AB8" w:rsidRDefault="00546DBD" w:rsidP="00531B7C">
      <w:pPr>
        <w:pStyle w:val="3-BodyText"/>
        <w:spacing w:before="160" w:after="160"/>
      </w:pPr>
      <w:r w:rsidRPr="00FA2AB8">
        <w:t xml:space="preserve">Listing was requested on the basis of a </w:t>
      </w:r>
      <w:r w:rsidR="006E2A28" w:rsidRPr="00FA2AB8">
        <w:t xml:space="preserve">cost </w:t>
      </w:r>
      <w:r w:rsidRPr="00FA2AB8">
        <w:t xml:space="preserve">minimisation approach </w:t>
      </w:r>
      <w:r w:rsidR="007B3CA3">
        <w:t xml:space="preserve">(CMA) </w:t>
      </w:r>
      <w:r w:rsidRPr="00FA2AB8">
        <w:t>versus dupilumab (DUPI).</w:t>
      </w:r>
    </w:p>
    <w:p w14:paraId="3CC6733B" w14:textId="06685912" w:rsidR="00546DBD" w:rsidRPr="00FA2AB8" w:rsidRDefault="00CB23C7" w:rsidP="00F42738">
      <w:pPr>
        <w:pStyle w:val="Caption"/>
        <w:rPr>
          <w:rStyle w:val="CommentReference"/>
          <w:b/>
          <w:szCs w:val="24"/>
        </w:rPr>
      </w:pPr>
      <w:r>
        <w:lastRenderedPageBreak/>
        <w:t xml:space="preserve">Table </w:t>
      </w:r>
      <w:fldSimple w:instr=" SEQ Table \* ARABIC ">
        <w:r>
          <w:rPr>
            <w:noProof/>
          </w:rPr>
          <w:t>1</w:t>
        </w:r>
      </w:fldSimple>
      <w:r w:rsidRPr="00FA2AB8">
        <w:t>:</w:t>
      </w:r>
      <w:r w:rsidRPr="00FA2AB8">
        <w:rPr>
          <w:rStyle w:val="CommentReference"/>
          <w:b/>
          <w:szCs w:val="24"/>
        </w:rPr>
        <w:t xml:space="preserve"> Key components of the clinical issue addressed by the resubmission</w:t>
      </w:r>
    </w:p>
    <w:tbl>
      <w:tblPr>
        <w:tblStyle w:val="TableGrid"/>
        <w:tblW w:w="5000" w:type="pct"/>
        <w:tblLook w:val="04A0" w:firstRow="1" w:lastRow="0" w:firstColumn="1" w:lastColumn="0" w:noHBand="0" w:noVBand="1"/>
        <w:tblCaption w:val="Table 1: Key components of the clinical issue addressed by the resubmission"/>
      </w:tblPr>
      <w:tblGrid>
        <w:gridCol w:w="1275"/>
        <w:gridCol w:w="7742"/>
      </w:tblGrid>
      <w:tr w:rsidR="002154F2" w:rsidRPr="002154F2" w14:paraId="66CB7FE7" w14:textId="77777777" w:rsidTr="00C41F9A">
        <w:tc>
          <w:tcPr>
            <w:tcW w:w="707" w:type="pct"/>
          </w:tcPr>
          <w:p w14:paraId="243F8490" w14:textId="55F1B562" w:rsidR="00546DBD" w:rsidRPr="002154F2" w:rsidRDefault="002B5584" w:rsidP="00F42738">
            <w:pPr>
              <w:pStyle w:val="In-tableHeading"/>
              <w:rPr>
                <w:i w:val="0"/>
                <w:iCs w:val="0"/>
              </w:rPr>
            </w:pPr>
            <w:r>
              <w:rPr>
                <w:i w:val="0"/>
                <w:iCs w:val="0"/>
              </w:rPr>
              <w:fldChar w:fldCharType="begin"/>
            </w:r>
            <w:r>
              <w:rPr>
                <w:i w:val="0"/>
                <w:iCs w:val="0"/>
              </w:rPr>
              <w:instrText xml:space="preserve">  </w:instrText>
            </w:r>
            <w:r>
              <w:rPr>
                <w:i w:val="0"/>
                <w:iCs w:val="0"/>
              </w:rPr>
              <w:fldChar w:fldCharType="end"/>
            </w:r>
            <w:r w:rsidR="00546DBD" w:rsidRPr="002154F2">
              <w:rPr>
                <w:i w:val="0"/>
                <w:iCs w:val="0"/>
              </w:rPr>
              <w:t>Component</w:t>
            </w:r>
          </w:p>
        </w:tc>
        <w:tc>
          <w:tcPr>
            <w:tcW w:w="4293" w:type="pct"/>
          </w:tcPr>
          <w:p w14:paraId="33CD51E5" w14:textId="77777777" w:rsidR="00546DBD" w:rsidRPr="002154F2" w:rsidRDefault="00546DBD" w:rsidP="00F42738">
            <w:pPr>
              <w:pStyle w:val="In-tableHeading"/>
              <w:rPr>
                <w:i w:val="0"/>
                <w:iCs w:val="0"/>
              </w:rPr>
            </w:pPr>
            <w:r w:rsidRPr="002154F2">
              <w:rPr>
                <w:i w:val="0"/>
                <w:iCs w:val="0"/>
              </w:rPr>
              <w:t>Description</w:t>
            </w:r>
          </w:p>
        </w:tc>
      </w:tr>
      <w:tr w:rsidR="002154F2" w:rsidRPr="002154F2" w14:paraId="6F889277" w14:textId="77777777" w:rsidTr="00C41F9A">
        <w:tc>
          <w:tcPr>
            <w:tcW w:w="707" w:type="pct"/>
          </w:tcPr>
          <w:p w14:paraId="27F6A639" w14:textId="77777777" w:rsidR="00546DBD" w:rsidRPr="002154F2" w:rsidRDefault="00546DBD" w:rsidP="00F42738">
            <w:pPr>
              <w:pStyle w:val="TableText0"/>
              <w:rPr>
                <w:szCs w:val="20"/>
              </w:rPr>
            </w:pPr>
            <w:r w:rsidRPr="002154F2">
              <w:rPr>
                <w:rFonts w:cstheme="minorHAnsi"/>
                <w:szCs w:val="20"/>
              </w:rPr>
              <w:t>Population</w:t>
            </w:r>
          </w:p>
        </w:tc>
        <w:tc>
          <w:tcPr>
            <w:tcW w:w="4293" w:type="pct"/>
          </w:tcPr>
          <w:p w14:paraId="3C53A25D" w14:textId="77777777" w:rsidR="00546DBD" w:rsidRPr="002154F2" w:rsidRDefault="00546DBD" w:rsidP="00F42738">
            <w:pPr>
              <w:pStyle w:val="TableText0"/>
              <w:rPr>
                <w:szCs w:val="20"/>
              </w:rPr>
            </w:pPr>
            <w:r w:rsidRPr="002154F2">
              <w:rPr>
                <w:rFonts w:cstheme="minorHAnsi"/>
                <w:szCs w:val="20"/>
              </w:rPr>
              <w:t>Patients aged 12 years or older with chronic severe AD affecting the whole body or the face and/or hands, who are inadequately controlled on topical therapies.</w:t>
            </w:r>
          </w:p>
        </w:tc>
      </w:tr>
      <w:tr w:rsidR="002154F2" w:rsidRPr="002154F2" w14:paraId="2C30B049" w14:textId="77777777" w:rsidTr="00C41F9A">
        <w:tc>
          <w:tcPr>
            <w:tcW w:w="707" w:type="pct"/>
          </w:tcPr>
          <w:p w14:paraId="6567C069" w14:textId="77777777" w:rsidR="00546DBD" w:rsidRPr="002154F2" w:rsidRDefault="00546DBD" w:rsidP="00F42738">
            <w:pPr>
              <w:pStyle w:val="TableText0"/>
              <w:rPr>
                <w:szCs w:val="20"/>
              </w:rPr>
            </w:pPr>
            <w:r w:rsidRPr="002154F2">
              <w:rPr>
                <w:rFonts w:cstheme="minorHAnsi"/>
                <w:szCs w:val="20"/>
              </w:rPr>
              <w:t>Intervention</w:t>
            </w:r>
          </w:p>
        </w:tc>
        <w:tc>
          <w:tcPr>
            <w:tcW w:w="4293" w:type="pct"/>
          </w:tcPr>
          <w:p w14:paraId="2D4C8F2A" w14:textId="7791A55B" w:rsidR="00546DBD" w:rsidRPr="002154F2" w:rsidRDefault="00546DBD" w:rsidP="00F42738">
            <w:pPr>
              <w:keepNext/>
              <w:keepLines/>
              <w:shd w:val="clear" w:color="auto" w:fill="B8CCE4"/>
              <w:rPr>
                <w:rFonts w:ascii="Arial Narrow" w:hAnsi="Arial Narrow" w:cstheme="minorHAnsi"/>
                <w:bCs/>
                <w:sz w:val="20"/>
                <w:szCs w:val="20"/>
              </w:rPr>
            </w:pPr>
            <w:r w:rsidRPr="002154F2">
              <w:rPr>
                <w:rFonts w:ascii="Arial Narrow" w:hAnsi="Arial Narrow" w:cstheme="minorHAnsi"/>
                <w:bCs/>
                <w:sz w:val="20"/>
                <w:szCs w:val="20"/>
              </w:rPr>
              <w:t>Initial treatment:</w:t>
            </w:r>
            <w:r w:rsidR="00477A47" w:rsidRPr="002154F2">
              <w:rPr>
                <w:rFonts w:ascii="Arial Narrow" w:hAnsi="Arial Narrow" w:cstheme="minorHAnsi"/>
                <w:bCs/>
                <w:sz w:val="20"/>
                <w:szCs w:val="20"/>
              </w:rPr>
              <w:t xml:space="preserve"> </w:t>
            </w:r>
            <w:r w:rsidRPr="002154F2">
              <w:rPr>
                <w:rFonts w:ascii="Arial Narrow" w:hAnsi="Arial Narrow" w:cstheme="minorHAnsi"/>
                <w:bCs/>
                <w:sz w:val="20"/>
                <w:szCs w:val="20"/>
              </w:rPr>
              <w:t>Nemolizumab (NEMO) 60 mg SC</w:t>
            </w:r>
            <w:r w:rsidR="00586A0E" w:rsidRPr="002154F2">
              <w:rPr>
                <w:rFonts w:ascii="Arial Narrow" w:hAnsi="Arial Narrow" w:cstheme="minorHAnsi"/>
                <w:bCs/>
                <w:sz w:val="20"/>
                <w:szCs w:val="20"/>
              </w:rPr>
              <w:t xml:space="preserve"> injection as a loading dose</w:t>
            </w:r>
            <w:r w:rsidRPr="002154F2">
              <w:rPr>
                <w:rFonts w:ascii="Arial Narrow" w:hAnsi="Arial Narrow" w:cstheme="minorHAnsi"/>
                <w:bCs/>
                <w:sz w:val="20"/>
                <w:szCs w:val="20"/>
              </w:rPr>
              <w:t xml:space="preserve">, </w:t>
            </w:r>
            <w:r w:rsidRPr="002154F2">
              <w:rPr>
                <w:rStyle w:val="SmallItalics"/>
                <w:rFonts w:ascii="Arial Narrow" w:hAnsi="Arial Narrow"/>
                <w:bCs/>
                <w:i w:val="0"/>
                <w:szCs w:val="20"/>
              </w:rPr>
              <w:t>followed by 30 mg SC given Q4W</w:t>
            </w:r>
            <w:r w:rsidRPr="002154F2">
              <w:rPr>
                <w:rFonts w:ascii="Arial Narrow" w:hAnsi="Arial Narrow" w:cstheme="minorHAnsi"/>
                <w:bCs/>
                <w:sz w:val="20"/>
                <w:szCs w:val="20"/>
              </w:rPr>
              <w:t xml:space="preserve"> for 16 weeks</w:t>
            </w:r>
            <w:r w:rsidRPr="002154F2">
              <w:rPr>
                <w:rStyle w:val="SmallItalics"/>
                <w:rFonts w:ascii="Arial Narrow" w:hAnsi="Arial Narrow"/>
                <w:bCs/>
                <w:i w:val="0"/>
                <w:szCs w:val="20"/>
              </w:rPr>
              <w:t>.</w:t>
            </w:r>
          </w:p>
          <w:p w14:paraId="0D9766C3" w14:textId="6262E4E3" w:rsidR="00546DBD" w:rsidRPr="002154F2" w:rsidRDefault="00546DBD" w:rsidP="00F42738">
            <w:pPr>
              <w:keepNext/>
              <w:keepLines/>
              <w:rPr>
                <w:rFonts w:ascii="Arial Narrow" w:hAnsi="Arial Narrow" w:cstheme="minorHAnsi"/>
                <w:bCs/>
                <w:sz w:val="20"/>
                <w:szCs w:val="20"/>
                <w:vertAlign w:val="superscript"/>
              </w:rPr>
            </w:pPr>
            <w:r w:rsidRPr="002154F2">
              <w:rPr>
                <w:rFonts w:ascii="Arial Narrow" w:hAnsi="Arial Narrow" w:cstheme="minorHAnsi"/>
                <w:bCs/>
                <w:sz w:val="20"/>
                <w:szCs w:val="20"/>
              </w:rPr>
              <w:t>Extended induction for slow responders at Week 16:</w:t>
            </w:r>
            <w:r w:rsidR="00477A47" w:rsidRPr="002154F2">
              <w:rPr>
                <w:rFonts w:ascii="Arial Narrow" w:hAnsi="Arial Narrow" w:cstheme="minorHAnsi"/>
                <w:bCs/>
                <w:sz w:val="20"/>
                <w:szCs w:val="20"/>
              </w:rPr>
              <w:t xml:space="preserve"> </w:t>
            </w:r>
            <w:r w:rsidRPr="002154F2">
              <w:rPr>
                <w:rFonts w:ascii="Arial Narrow" w:hAnsi="Arial Narrow" w:cstheme="minorHAnsi"/>
                <w:bCs/>
                <w:sz w:val="20"/>
                <w:szCs w:val="20"/>
              </w:rPr>
              <w:t>NEMO 30 mg SC Q4W for a further 8 weeks</w:t>
            </w:r>
            <w:r w:rsidR="006923D8" w:rsidRPr="002154F2">
              <w:rPr>
                <w:rFonts w:ascii="Arial Narrow" w:hAnsi="Arial Narrow" w:cstheme="minorHAnsi"/>
                <w:bCs/>
                <w:sz w:val="20"/>
                <w:szCs w:val="20"/>
                <w:vertAlign w:val="superscript"/>
              </w:rPr>
              <w:t>1</w:t>
            </w:r>
          </w:p>
          <w:p w14:paraId="3E0A4CCA" w14:textId="24962A0E" w:rsidR="00546DBD" w:rsidRPr="002154F2" w:rsidRDefault="00546DBD" w:rsidP="00F42738">
            <w:pPr>
              <w:keepNext/>
              <w:keepLines/>
              <w:shd w:val="clear" w:color="auto" w:fill="B8CCE4"/>
              <w:rPr>
                <w:szCs w:val="20"/>
              </w:rPr>
            </w:pPr>
            <w:r w:rsidRPr="002154F2">
              <w:rPr>
                <w:rFonts w:ascii="Arial Narrow" w:hAnsi="Arial Narrow" w:cstheme="minorHAnsi"/>
                <w:bCs/>
                <w:sz w:val="20"/>
                <w:szCs w:val="20"/>
              </w:rPr>
              <w:t>Continuing treatment:</w:t>
            </w:r>
            <w:r w:rsidR="00477A47" w:rsidRPr="002154F2">
              <w:rPr>
                <w:rFonts w:ascii="Arial Narrow" w:hAnsi="Arial Narrow" w:cstheme="minorHAnsi"/>
                <w:bCs/>
                <w:sz w:val="20"/>
                <w:szCs w:val="20"/>
              </w:rPr>
              <w:t xml:space="preserve"> </w:t>
            </w:r>
            <w:r w:rsidRPr="002154F2">
              <w:rPr>
                <w:rFonts w:ascii="Arial Narrow" w:hAnsi="Arial Narrow" w:cstheme="minorHAnsi"/>
                <w:sz w:val="20"/>
                <w:szCs w:val="20"/>
              </w:rPr>
              <w:t>NEMO 30 mg SC Q8W</w:t>
            </w:r>
          </w:p>
        </w:tc>
      </w:tr>
      <w:tr w:rsidR="002154F2" w:rsidRPr="002154F2" w14:paraId="6356435C" w14:textId="77777777" w:rsidTr="00C41F9A">
        <w:tc>
          <w:tcPr>
            <w:tcW w:w="707" w:type="pct"/>
          </w:tcPr>
          <w:p w14:paraId="62E79E42" w14:textId="77777777" w:rsidR="00546DBD" w:rsidRPr="002154F2" w:rsidRDefault="00546DBD" w:rsidP="00F42738">
            <w:pPr>
              <w:pStyle w:val="TableText0"/>
              <w:rPr>
                <w:szCs w:val="20"/>
              </w:rPr>
            </w:pPr>
            <w:r w:rsidRPr="002154F2">
              <w:rPr>
                <w:rFonts w:cstheme="minorHAnsi"/>
                <w:szCs w:val="20"/>
              </w:rPr>
              <w:t>Comparator</w:t>
            </w:r>
          </w:p>
        </w:tc>
        <w:tc>
          <w:tcPr>
            <w:tcW w:w="4293" w:type="pct"/>
          </w:tcPr>
          <w:p w14:paraId="6AAF3D97" w14:textId="6157CC53" w:rsidR="00546DBD" w:rsidRPr="002154F2" w:rsidRDefault="00546DBD" w:rsidP="00F42738">
            <w:pPr>
              <w:keepNext/>
              <w:keepLines/>
              <w:rPr>
                <w:rFonts w:ascii="Arial Narrow" w:hAnsi="Arial Narrow" w:cstheme="minorHAnsi"/>
                <w:bCs/>
                <w:sz w:val="20"/>
                <w:szCs w:val="20"/>
              </w:rPr>
            </w:pPr>
            <w:r w:rsidRPr="002154F2">
              <w:rPr>
                <w:rFonts w:ascii="Arial Narrow" w:hAnsi="Arial Narrow" w:cstheme="minorHAnsi"/>
                <w:bCs/>
                <w:sz w:val="20"/>
                <w:szCs w:val="20"/>
              </w:rPr>
              <w:t>In adult patients and in adolescents ≥ 60 kg: Dupilumab (DUPI) 600 mg SC injection as a loading dose</w:t>
            </w:r>
            <w:r w:rsidR="00156762" w:rsidRPr="002154F2">
              <w:rPr>
                <w:rFonts w:ascii="Arial Narrow" w:hAnsi="Arial Narrow" w:cstheme="minorHAnsi"/>
                <w:bCs/>
                <w:sz w:val="20"/>
                <w:szCs w:val="20"/>
              </w:rPr>
              <w:t>,</w:t>
            </w:r>
            <w:r w:rsidRPr="002154F2">
              <w:rPr>
                <w:rFonts w:ascii="Arial Narrow" w:hAnsi="Arial Narrow" w:cstheme="minorHAnsi"/>
                <w:bCs/>
                <w:sz w:val="20"/>
                <w:szCs w:val="20"/>
              </w:rPr>
              <w:t xml:space="preserve"> followed by 300 mg SC injection Q2W </w:t>
            </w:r>
          </w:p>
          <w:p w14:paraId="5FDAAE1C" w14:textId="77777777" w:rsidR="00546DBD" w:rsidRPr="002154F2" w:rsidRDefault="00546DBD" w:rsidP="00F42738">
            <w:pPr>
              <w:pStyle w:val="TableText0"/>
              <w:rPr>
                <w:szCs w:val="20"/>
              </w:rPr>
            </w:pPr>
            <w:r w:rsidRPr="002154F2">
              <w:rPr>
                <w:rFonts w:cstheme="minorHAnsi"/>
                <w:szCs w:val="20"/>
              </w:rPr>
              <w:t>In adolescents 30 kg to &lt; 60 kg: DUPI 400 mg SC injection as a loading dose, followed by 200 mg SC injection Q2W</w:t>
            </w:r>
          </w:p>
        </w:tc>
      </w:tr>
      <w:tr w:rsidR="002154F2" w:rsidRPr="002154F2" w14:paraId="72D545DF" w14:textId="77777777" w:rsidTr="00C41F9A">
        <w:tc>
          <w:tcPr>
            <w:tcW w:w="707" w:type="pct"/>
          </w:tcPr>
          <w:p w14:paraId="7F62FC6E" w14:textId="77777777" w:rsidR="00546DBD" w:rsidRPr="002154F2" w:rsidRDefault="00546DBD" w:rsidP="00F42738">
            <w:pPr>
              <w:pStyle w:val="TableText0"/>
              <w:rPr>
                <w:szCs w:val="20"/>
              </w:rPr>
            </w:pPr>
            <w:r w:rsidRPr="002154F2">
              <w:rPr>
                <w:rFonts w:cstheme="minorHAnsi"/>
                <w:szCs w:val="20"/>
              </w:rPr>
              <w:t>Outcomes</w:t>
            </w:r>
          </w:p>
        </w:tc>
        <w:tc>
          <w:tcPr>
            <w:tcW w:w="4293" w:type="pct"/>
          </w:tcPr>
          <w:p w14:paraId="72458161" w14:textId="67F4716C" w:rsidR="00546DBD" w:rsidRPr="002154F2" w:rsidRDefault="00546DBD" w:rsidP="00F42738">
            <w:pPr>
              <w:keepNext/>
              <w:keepLines/>
              <w:shd w:val="clear" w:color="auto" w:fill="B8CCE4"/>
              <w:rPr>
                <w:rFonts w:ascii="Arial Narrow" w:hAnsi="Arial Narrow" w:cstheme="minorHAnsi"/>
                <w:bCs/>
                <w:snapToGrid w:val="0"/>
                <w:sz w:val="20"/>
                <w:szCs w:val="20"/>
              </w:rPr>
            </w:pPr>
            <w:r w:rsidRPr="002154F2">
              <w:rPr>
                <w:rFonts w:ascii="Arial Narrow" w:hAnsi="Arial Narrow" w:cstheme="minorHAnsi"/>
                <w:bCs/>
                <w:snapToGrid w:val="0"/>
                <w:sz w:val="20"/>
                <w:szCs w:val="20"/>
              </w:rPr>
              <w:t>Primary outcomes: Proportion of patients with a 75% improvement in EASI score (EASI-75) at Week 16;</w:t>
            </w:r>
            <w:r w:rsidR="006E2A28" w:rsidRPr="002154F2">
              <w:rPr>
                <w:rFonts w:ascii="Arial Narrow" w:hAnsi="Arial Narrow" w:cstheme="minorHAnsi"/>
                <w:bCs/>
                <w:snapToGrid w:val="0"/>
                <w:sz w:val="20"/>
                <w:szCs w:val="20"/>
              </w:rPr>
              <w:t xml:space="preserve"> </w:t>
            </w:r>
            <w:r w:rsidRPr="002154F2">
              <w:rPr>
                <w:rFonts w:ascii="Arial Narrow" w:hAnsi="Arial Narrow" w:cstheme="minorHAnsi"/>
                <w:bCs/>
                <w:snapToGrid w:val="0"/>
                <w:sz w:val="20"/>
                <w:szCs w:val="20"/>
              </w:rPr>
              <w:t>proportion of patients achieving IGA score of 0 or 1 with a ≥ 2-point improvement at Week 16.</w:t>
            </w:r>
          </w:p>
          <w:p w14:paraId="6F816CA8" w14:textId="27B032C6" w:rsidR="00546DBD" w:rsidRPr="002154F2" w:rsidRDefault="00546DBD" w:rsidP="00F42738">
            <w:pPr>
              <w:keepNext/>
              <w:keepLines/>
              <w:shd w:val="clear" w:color="auto" w:fill="B8CCE4"/>
              <w:rPr>
                <w:rFonts w:ascii="Arial Narrow" w:hAnsi="Arial Narrow" w:cstheme="minorHAnsi"/>
                <w:bCs/>
                <w:snapToGrid w:val="0"/>
                <w:sz w:val="20"/>
                <w:szCs w:val="20"/>
              </w:rPr>
            </w:pPr>
            <w:r w:rsidRPr="002154F2">
              <w:rPr>
                <w:rFonts w:ascii="Arial Narrow" w:hAnsi="Arial Narrow" w:cstheme="minorHAnsi"/>
                <w:bCs/>
                <w:snapToGrid w:val="0"/>
                <w:sz w:val="20"/>
                <w:szCs w:val="20"/>
              </w:rPr>
              <w:t>Secondary outcomes: Proportion of patients achieving a 50% improvement in EASI score (EASI-50); proportion of patients achieving a ≥ 4-point improvement in DLQI at Week 16; PP-NRS at Week 16.</w:t>
            </w:r>
          </w:p>
          <w:p w14:paraId="53326423" w14:textId="542FE9AB" w:rsidR="00546DBD" w:rsidRPr="002154F2" w:rsidRDefault="00546DBD" w:rsidP="00F42738">
            <w:pPr>
              <w:keepNext/>
              <w:keepLines/>
              <w:shd w:val="clear" w:color="auto" w:fill="B8CCE4"/>
              <w:rPr>
                <w:rFonts w:ascii="Arial Narrow" w:hAnsi="Arial Narrow" w:cstheme="minorHAnsi"/>
                <w:bCs/>
                <w:snapToGrid w:val="0"/>
                <w:sz w:val="20"/>
                <w:szCs w:val="20"/>
              </w:rPr>
            </w:pPr>
            <w:r w:rsidRPr="002154F2">
              <w:rPr>
                <w:rFonts w:ascii="Arial Narrow" w:hAnsi="Arial Narrow" w:cstheme="minorHAnsi"/>
                <w:bCs/>
                <w:i/>
                <w:iCs/>
                <w:snapToGrid w:val="0"/>
                <w:sz w:val="20"/>
                <w:szCs w:val="20"/>
              </w:rPr>
              <w:t>Post-hoc</w:t>
            </w:r>
            <w:r w:rsidRPr="002154F2">
              <w:rPr>
                <w:rFonts w:ascii="Arial Narrow" w:hAnsi="Arial Narrow" w:cstheme="minorHAnsi"/>
                <w:bCs/>
                <w:snapToGrid w:val="0"/>
                <w:sz w:val="20"/>
                <w:szCs w:val="20"/>
              </w:rPr>
              <w:t xml:space="preserve"> outcomes: Composite measure of response EASI-50 and improvement in DLQI ≥4-points at Week </w:t>
            </w:r>
            <w:r w:rsidR="00430578" w:rsidRPr="002154F2">
              <w:rPr>
                <w:rFonts w:ascii="Arial Narrow" w:hAnsi="Arial Narrow" w:cstheme="minorHAnsi"/>
                <w:bCs/>
                <w:snapToGrid w:val="0"/>
                <w:sz w:val="20"/>
                <w:szCs w:val="20"/>
              </w:rPr>
              <w:t>16.</w:t>
            </w:r>
            <w:r w:rsidRPr="002154F2">
              <w:rPr>
                <w:rFonts w:ascii="Arial Narrow" w:hAnsi="Arial Narrow" w:cstheme="minorHAnsi"/>
                <w:bCs/>
                <w:snapToGrid w:val="0"/>
                <w:sz w:val="20"/>
                <w:szCs w:val="20"/>
              </w:rPr>
              <w:t xml:space="preserve"> </w:t>
            </w:r>
          </w:p>
          <w:p w14:paraId="4F387D56" w14:textId="77777777" w:rsidR="00546DBD" w:rsidRPr="002154F2" w:rsidRDefault="00546DBD" w:rsidP="00F42738">
            <w:pPr>
              <w:keepNext/>
              <w:keepLines/>
              <w:rPr>
                <w:rFonts w:ascii="Arial Narrow" w:hAnsi="Arial Narrow" w:cstheme="minorHAnsi"/>
                <w:bCs/>
                <w:snapToGrid w:val="0"/>
                <w:sz w:val="20"/>
                <w:szCs w:val="20"/>
              </w:rPr>
            </w:pPr>
            <w:r w:rsidRPr="002154F2">
              <w:rPr>
                <w:rFonts w:ascii="Arial Narrow" w:hAnsi="Arial Narrow" w:cstheme="minorHAnsi"/>
                <w:bCs/>
                <w:snapToGrid w:val="0"/>
                <w:sz w:val="20"/>
                <w:szCs w:val="20"/>
              </w:rPr>
              <w:t>EASI 75 at Week 24 (ITT), IGA score of 0 or 1 at Week 24 (ITT), EASI 50 at Week 24 (PBS [severe] population)</w:t>
            </w:r>
          </w:p>
          <w:p w14:paraId="452D384A" w14:textId="77777777" w:rsidR="00546DBD" w:rsidRPr="002154F2" w:rsidRDefault="00546DBD" w:rsidP="00F42738">
            <w:pPr>
              <w:pStyle w:val="TableText0"/>
              <w:rPr>
                <w:szCs w:val="20"/>
              </w:rPr>
            </w:pPr>
            <w:r w:rsidRPr="002154F2">
              <w:rPr>
                <w:rFonts w:cstheme="minorHAnsi"/>
                <w:snapToGrid w:val="0"/>
                <w:szCs w:val="20"/>
                <w:shd w:val="clear" w:color="auto" w:fill="B8CCE4"/>
              </w:rPr>
              <w:t>Safety outcomes: Proportion of patients experiencing AEs, SAEs and discontinuation of treatment due to AEs.</w:t>
            </w:r>
          </w:p>
        </w:tc>
      </w:tr>
      <w:tr w:rsidR="002154F2" w:rsidRPr="002154F2" w14:paraId="007A04A9" w14:textId="77777777" w:rsidTr="00C41F9A">
        <w:tc>
          <w:tcPr>
            <w:tcW w:w="707" w:type="pct"/>
          </w:tcPr>
          <w:p w14:paraId="7AE677CA" w14:textId="77777777" w:rsidR="00546DBD" w:rsidRPr="002154F2" w:rsidRDefault="00546DBD" w:rsidP="00F42738">
            <w:pPr>
              <w:pStyle w:val="TableText0"/>
              <w:rPr>
                <w:szCs w:val="20"/>
              </w:rPr>
            </w:pPr>
            <w:r w:rsidRPr="002154F2">
              <w:rPr>
                <w:rFonts w:cstheme="minorHAnsi"/>
                <w:szCs w:val="20"/>
              </w:rPr>
              <w:t>Clinical claim</w:t>
            </w:r>
          </w:p>
        </w:tc>
        <w:tc>
          <w:tcPr>
            <w:tcW w:w="4293" w:type="pct"/>
          </w:tcPr>
          <w:p w14:paraId="768E8348" w14:textId="77777777" w:rsidR="00546DBD" w:rsidRPr="002154F2" w:rsidRDefault="00546DBD" w:rsidP="00F42738">
            <w:pPr>
              <w:keepNext/>
              <w:keepLines/>
              <w:rPr>
                <w:rFonts w:ascii="Arial Narrow" w:hAnsi="Arial Narrow" w:cstheme="minorHAnsi"/>
                <w:bCs/>
                <w:snapToGrid w:val="0"/>
                <w:sz w:val="20"/>
                <w:szCs w:val="20"/>
              </w:rPr>
            </w:pPr>
            <w:r w:rsidRPr="002154F2">
              <w:rPr>
                <w:rFonts w:ascii="Arial Narrow" w:hAnsi="Arial Narrow" w:cstheme="minorHAnsi"/>
                <w:bCs/>
                <w:snapToGrid w:val="0"/>
                <w:sz w:val="20"/>
                <w:szCs w:val="20"/>
              </w:rPr>
              <w:t>For the treatment of patients aged 12 years or older with chronic severe AD affecting the whole body or the face and/or hands, who are inadequately controlled on topical therapies, NEMO is non-inferior to DUPI in terms of efficacy and safety, based on their recommended dosing schedules.</w:t>
            </w:r>
            <w:r w:rsidRPr="002154F2">
              <w:rPr>
                <w:rFonts w:ascii="Arial Narrow" w:hAnsi="Arial Narrow" w:cstheme="minorHAnsi"/>
                <w:bCs/>
                <w:snapToGrid w:val="0"/>
                <w:sz w:val="20"/>
                <w:szCs w:val="20"/>
                <w:vertAlign w:val="superscript"/>
              </w:rPr>
              <w:t>#</w:t>
            </w:r>
          </w:p>
          <w:p w14:paraId="544F4795" w14:textId="77777777" w:rsidR="00546DBD" w:rsidRPr="002154F2" w:rsidRDefault="00546DBD" w:rsidP="00F42738">
            <w:pPr>
              <w:pStyle w:val="TableText0"/>
              <w:rPr>
                <w:szCs w:val="20"/>
              </w:rPr>
            </w:pPr>
            <w:r w:rsidRPr="002154F2">
              <w:rPr>
                <w:rFonts w:cstheme="minorHAnsi"/>
                <w:snapToGrid w:val="0"/>
                <w:szCs w:val="20"/>
              </w:rPr>
              <w:t>In addition, NEMO offers the benefits of fewer injections and reduced rate of conjunctivitis, compared to DUPI.</w:t>
            </w:r>
          </w:p>
        </w:tc>
      </w:tr>
    </w:tbl>
    <w:p w14:paraId="64117F97" w14:textId="11620B70" w:rsidR="00546DBD" w:rsidRPr="00FA2AB8" w:rsidRDefault="00546DBD" w:rsidP="00F42738">
      <w:pPr>
        <w:pStyle w:val="FooterTableFigure"/>
        <w:keepNext/>
        <w:keepLines/>
      </w:pPr>
      <w:r w:rsidRPr="00FA2AB8">
        <w:t xml:space="preserve">Source: Table 1-1, p20 of the </w:t>
      </w:r>
      <w:r w:rsidR="00A81A1C">
        <w:t>re</w:t>
      </w:r>
      <w:r w:rsidRPr="00FA2AB8">
        <w:t>submission.</w:t>
      </w:r>
    </w:p>
    <w:p w14:paraId="0E58A68A" w14:textId="6B05D08C" w:rsidR="00546DBD" w:rsidRPr="00FA2AB8" w:rsidRDefault="006923D8" w:rsidP="00F42738">
      <w:pPr>
        <w:pStyle w:val="FooterTableFigure"/>
        <w:keepNext/>
        <w:keepLines/>
      </w:pPr>
      <w:r w:rsidRPr="00FA2AB8">
        <w:rPr>
          <w:vertAlign w:val="superscript"/>
        </w:rPr>
        <w:t>1</w:t>
      </w:r>
      <w:r w:rsidR="00546DBD" w:rsidRPr="00FA2AB8">
        <w:t xml:space="preserve"> Aligned with the proposed changes to the TGA label for NEMO, as detailed in Section</w:t>
      </w:r>
      <w:r w:rsidR="004A0DA7" w:rsidRPr="00FA2AB8">
        <w:t xml:space="preserve"> </w:t>
      </w:r>
      <w:r w:rsidR="006854E2">
        <w:t>2</w:t>
      </w:r>
      <w:r w:rsidR="004A0DA7" w:rsidRPr="00FA2AB8">
        <w:t xml:space="preserve"> – Requested listing.</w:t>
      </w:r>
    </w:p>
    <w:p w14:paraId="79F9C389" w14:textId="60E1A292" w:rsidR="00546DBD" w:rsidRPr="00FA2AB8" w:rsidRDefault="00546DBD" w:rsidP="00F42738">
      <w:pPr>
        <w:pStyle w:val="FooterTableFigure"/>
        <w:keepNext/>
        <w:keepLines/>
      </w:pPr>
      <w:r w:rsidRPr="00FA2AB8">
        <w:t xml:space="preserve">Abbreviations: AD = atopic dermatitis; AEs = adverse events; DLQI = Dermatology Life Quality Index; DUPI = dupilumab; EASI = Eczema Area Severity Index; NEMO = nemolizumab; PGA/ IGA = Physician’s / Investigator’s Global Assessment; </w:t>
      </w:r>
      <w:r w:rsidR="006923D8" w:rsidRPr="00FA2AB8">
        <w:t xml:space="preserve">PP-NRS = peak pruritus numerical rating scale; </w:t>
      </w:r>
      <w:r w:rsidRPr="00FA2AB8">
        <w:t>Q2W = every two weeks; Q4W = every four weeks; SC = subcutaneous; PBS = Pharmaceutical Benefits Scheme; SAEs = serious adverse events; TCS = topical corticosteroids</w:t>
      </w:r>
      <w:r w:rsidR="006923D8" w:rsidRPr="00FA2AB8">
        <w:t>.</w:t>
      </w:r>
    </w:p>
    <w:p w14:paraId="7DCF62F1" w14:textId="0E5F0559" w:rsidR="00546DBD" w:rsidRPr="00FA2AB8" w:rsidRDefault="006923D8" w:rsidP="00F42738">
      <w:pPr>
        <w:pStyle w:val="FooterTableFigure"/>
        <w:keepNext/>
        <w:keepLines/>
      </w:pPr>
      <w:r w:rsidRPr="00FA2AB8">
        <w:rPr>
          <w:shd w:val="clear" w:color="auto" w:fill="B8CCE4"/>
        </w:rPr>
        <w:t>Blue shading</w:t>
      </w:r>
      <w:r w:rsidRPr="00FA2AB8">
        <w:t xml:space="preserve"> indicates information previously seen by the PBAC.</w:t>
      </w:r>
    </w:p>
    <w:p w14:paraId="441EDFA8" w14:textId="77777777" w:rsidR="00546DBD" w:rsidRPr="00FA2AB8" w:rsidRDefault="00546DBD" w:rsidP="00531B7C">
      <w:pPr>
        <w:pStyle w:val="2-SectionHeading"/>
        <w:spacing w:before="160" w:after="160"/>
      </w:pPr>
      <w:bookmarkStart w:id="3" w:name="_Toc202884167"/>
      <w:bookmarkStart w:id="4" w:name="_Toc216710452"/>
      <w:r w:rsidRPr="00FA2AB8">
        <w:t>Background</w:t>
      </w:r>
      <w:bookmarkEnd w:id="3"/>
      <w:bookmarkEnd w:id="4"/>
    </w:p>
    <w:p w14:paraId="6F771914" w14:textId="77777777" w:rsidR="00546DBD" w:rsidRPr="00FA2AB8" w:rsidRDefault="00546DBD" w:rsidP="004D74DA">
      <w:pPr>
        <w:pStyle w:val="4-SubsectionHeading"/>
      </w:pPr>
      <w:bookmarkStart w:id="5" w:name="_Toc22897638"/>
      <w:bookmarkStart w:id="6" w:name="_Toc202884168"/>
      <w:bookmarkStart w:id="7" w:name="_Toc216710453"/>
      <w:r w:rsidRPr="00FA2AB8">
        <w:t>Registration status</w:t>
      </w:r>
      <w:bookmarkEnd w:id="5"/>
      <w:bookmarkEnd w:id="6"/>
      <w:bookmarkEnd w:id="7"/>
    </w:p>
    <w:p w14:paraId="470A076E" w14:textId="082F939E" w:rsidR="00546DBD" w:rsidRPr="00FA2AB8" w:rsidRDefault="00546DBD" w:rsidP="00531B7C">
      <w:pPr>
        <w:pStyle w:val="3-BodyText"/>
        <w:spacing w:before="160" w:after="160"/>
      </w:pPr>
      <w:r w:rsidRPr="00FA2AB8">
        <w:t xml:space="preserve">TGA approval </w:t>
      </w:r>
      <w:r w:rsidR="008E3EEC" w:rsidRPr="00FA2AB8">
        <w:t xml:space="preserve">was granted on 19 May 2025 </w:t>
      </w:r>
      <w:r w:rsidRPr="00FA2AB8">
        <w:t>for NEMO for the treatment of moderate-to-severe AD in combination with topical corticosteroids and/or topical calcineurin inhibitors in adults and in patients aged 12 years and above who weigh at least 30 kg, who are candidates for systemic therapy</w:t>
      </w:r>
      <w:r w:rsidR="008E3EEC" w:rsidRPr="00FA2AB8">
        <w:t>. R</w:t>
      </w:r>
      <w:r w:rsidRPr="00FA2AB8">
        <w:t xml:space="preserve">egistration </w:t>
      </w:r>
      <w:r w:rsidR="008E3EEC" w:rsidRPr="00FA2AB8">
        <w:t xml:space="preserve">was </w:t>
      </w:r>
      <w:r w:rsidRPr="00FA2AB8">
        <w:t xml:space="preserve">finalised on 27 May 2025. The TGA indication is broader than the requested PBS listing in terms of disease severity. </w:t>
      </w:r>
    </w:p>
    <w:p w14:paraId="378A1DFD" w14:textId="10631047" w:rsidR="00546DBD" w:rsidRPr="00FA2AB8" w:rsidRDefault="009F7E03" w:rsidP="00DE1D6B">
      <w:pPr>
        <w:pStyle w:val="3-BodyText"/>
        <w:spacing w:before="160" w:after="160"/>
      </w:pPr>
      <w:bookmarkStart w:id="8" w:name="_Ref225242367"/>
      <w:r>
        <w:t>O</w:t>
      </w:r>
      <w:r w:rsidR="00546DBD" w:rsidRPr="00FA2AB8">
        <w:t xml:space="preserve">n </w:t>
      </w:r>
      <w:r w:rsidR="00FA1659">
        <w:t>23 February 2026</w:t>
      </w:r>
      <w:r w:rsidR="00546DBD" w:rsidRPr="00FA2AB8">
        <w:t xml:space="preserve">, the TGA </w:t>
      </w:r>
      <w:r w:rsidR="00FA1659">
        <w:t xml:space="preserve">Delegate’s Overview supported </w:t>
      </w:r>
      <w:r w:rsidR="00546DBD" w:rsidRPr="00FA2AB8">
        <w:t>the inclusion of the following statement in Section 4.2, Dose and Method of Administration of the Product Information (PI) for AD: “Some patients with initial partial response may further improve with continued treatment beyond 16 weeks</w:t>
      </w:r>
      <w:r w:rsidR="007E3223">
        <w:t xml:space="preserve">. Once clinical response is achieved, the recommended </w:t>
      </w:r>
      <w:r w:rsidR="00FD4E6F">
        <w:t xml:space="preserve">maintenance dose of nemolizumab is 30 mg every 8 </w:t>
      </w:r>
      <w:r w:rsidR="00FD4E6F">
        <w:lastRenderedPageBreak/>
        <w:t>weeks</w:t>
      </w:r>
      <w:r w:rsidR="00546DBD" w:rsidRPr="00FA2AB8">
        <w:t>”</w:t>
      </w:r>
      <w:r w:rsidR="004B27B3" w:rsidRPr="00FA2AB8">
        <w:t>.</w:t>
      </w:r>
      <w:r w:rsidR="00DE1D6B">
        <w:t xml:space="preserve"> </w:t>
      </w:r>
      <w:r w:rsidR="00546DBD" w:rsidRPr="00FA2AB8">
        <w:t xml:space="preserve">The purpose of this addition </w:t>
      </w:r>
      <w:r w:rsidR="00FD4E6F">
        <w:t>is</w:t>
      </w:r>
      <w:r w:rsidR="00FD4E6F" w:rsidRPr="00FA2AB8">
        <w:t xml:space="preserve"> </w:t>
      </w:r>
      <w:r w:rsidR="00546DBD" w:rsidRPr="00FA2AB8">
        <w:t xml:space="preserve">to allow for the extended induction period </w:t>
      </w:r>
      <w:r w:rsidR="0049285B" w:rsidRPr="00FA2AB8">
        <w:t>proposed</w:t>
      </w:r>
      <w:r w:rsidR="00546DBD" w:rsidRPr="00FA2AB8">
        <w:t xml:space="preserve"> in the resubmission.</w:t>
      </w:r>
      <w:bookmarkEnd w:id="8"/>
    </w:p>
    <w:p w14:paraId="3AC53AAA" w14:textId="77777777" w:rsidR="00546DBD" w:rsidRPr="00FA2AB8" w:rsidRDefault="00546DBD" w:rsidP="004D74DA">
      <w:pPr>
        <w:pStyle w:val="4-SubsectionHeading"/>
      </w:pPr>
      <w:bookmarkStart w:id="9" w:name="_Toc22897639"/>
      <w:bookmarkStart w:id="10" w:name="_Toc202884169"/>
      <w:bookmarkStart w:id="11" w:name="_Toc216710454"/>
      <w:r w:rsidRPr="00FA2AB8">
        <w:t>Previous PBAC consideration</w:t>
      </w:r>
      <w:bookmarkEnd w:id="9"/>
      <w:bookmarkEnd w:id="10"/>
      <w:bookmarkEnd w:id="11"/>
    </w:p>
    <w:p w14:paraId="3B6865BF" w14:textId="491F0735" w:rsidR="00546DBD" w:rsidRDefault="00546DBD" w:rsidP="00531B7C">
      <w:pPr>
        <w:pStyle w:val="3-BodyText"/>
        <w:spacing w:before="160" w:after="160"/>
        <w:rPr>
          <w:color w:val="0066FF"/>
        </w:rPr>
      </w:pPr>
      <w:r w:rsidRPr="00FA2AB8">
        <w:t xml:space="preserve">This was the second submission made for NEMO for the treatment of patients with severe AD affecting the whole body, face, and/or hands. NEMO was </w:t>
      </w:r>
      <w:r w:rsidR="00AB39BF" w:rsidRPr="00FA2AB8">
        <w:t>not recommended</w:t>
      </w:r>
      <w:r w:rsidRPr="00FA2AB8">
        <w:t xml:space="preserve"> at the July 2025 PBAC meeting. </w:t>
      </w:r>
      <w:r w:rsidR="00A73DD3" w:rsidRPr="00FA2AB8">
        <w:t xml:space="preserve">The primary reason for this outcome was due to the comparative clinical evidence. The PBAC considered the </w:t>
      </w:r>
      <w:r w:rsidR="00DF3484">
        <w:t xml:space="preserve">July 2025 </w:t>
      </w:r>
      <w:r w:rsidR="00A73DD3" w:rsidRPr="00FA2AB8">
        <w:t xml:space="preserve">submission’s clinical claim of non-inferior effectiveness of NEMO to DUPI was not adequately supported with the primary indirect comparison presented at 16 weeks indicating NEMO is likely inferior to DUPI. The Committee noted the additional clinical data </w:t>
      </w:r>
      <w:r w:rsidR="00E07F9F" w:rsidRPr="00FA2AB8">
        <w:t xml:space="preserve">presented </w:t>
      </w:r>
      <w:r w:rsidR="008E3EEC" w:rsidRPr="00FA2AB8">
        <w:t>in the Pre-</w:t>
      </w:r>
      <w:r w:rsidR="004A0989" w:rsidRPr="00FA2AB8">
        <w:t>Sub</w:t>
      </w:r>
      <w:r w:rsidR="00CE1631" w:rsidRPr="00FA2AB8">
        <w:t>-C</w:t>
      </w:r>
      <w:r w:rsidR="004A0989" w:rsidRPr="00FA2AB8">
        <w:t>ommittee</w:t>
      </w:r>
      <w:r w:rsidR="008E3EEC" w:rsidRPr="00FA2AB8">
        <w:t xml:space="preserve"> Response (PSCR) </w:t>
      </w:r>
      <w:r w:rsidR="00A73DD3" w:rsidRPr="00FA2AB8">
        <w:t xml:space="preserve">on improved patient outcomes with an extended induction period out to 24 </w:t>
      </w:r>
      <w:r w:rsidR="009E1698" w:rsidRPr="00FA2AB8">
        <w:t>weeks but</w:t>
      </w:r>
      <w:r w:rsidR="00A73DD3" w:rsidRPr="00FA2AB8">
        <w:t xml:space="preserve"> </w:t>
      </w:r>
      <w:r w:rsidR="003663E1">
        <w:t>noted</w:t>
      </w:r>
      <w:r w:rsidR="003663E1" w:rsidRPr="00FA2AB8">
        <w:t xml:space="preserve"> </w:t>
      </w:r>
      <w:r w:rsidR="00A73DD3" w:rsidRPr="00FA2AB8">
        <w:t xml:space="preserve">this dosing regimen </w:t>
      </w:r>
      <w:r w:rsidR="00E07F9F" w:rsidRPr="00FA2AB8">
        <w:t>wa</w:t>
      </w:r>
      <w:r w:rsidR="00A73DD3" w:rsidRPr="00FA2AB8">
        <w:t xml:space="preserve">s not consistent with the TGA </w:t>
      </w:r>
      <w:r w:rsidR="00E07F9F" w:rsidRPr="00FA2AB8">
        <w:t>Product Information (</w:t>
      </w:r>
      <w:r w:rsidR="00A73DD3" w:rsidRPr="00FA2AB8">
        <w:t>PI</w:t>
      </w:r>
      <w:r w:rsidR="00E07F9F" w:rsidRPr="00FA2AB8">
        <w:t>)</w:t>
      </w:r>
      <w:r w:rsidR="00A73DD3" w:rsidRPr="00FA2AB8">
        <w:t>, and as such c</w:t>
      </w:r>
      <w:r w:rsidR="009A4DF9" w:rsidRPr="00FA2AB8">
        <w:t>ould not</w:t>
      </w:r>
      <w:r w:rsidR="00A73DD3" w:rsidRPr="00FA2AB8">
        <w:t xml:space="preserve"> be considered as part of the PBS listing (para</w:t>
      </w:r>
      <w:r w:rsidR="00CE1631" w:rsidRPr="00FA2AB8">
        <w:t>graphs</w:t>
      </w:r>
      <w:r w:rsidR="00A73DD3" w:rsidRPr="00FA2AB8">
        <w:t xml:space="preserve"> 7.1 and 7.2, nemolizumab public summary document [PSD], July 2025 PBAC meeting). </w:t>
      </w:r>
      <w:r w:rsidRPr="00FA2AB8">
        <w:fldChar w:fldCharType="begin"/>
      </w:r>
      <w:r w:rsidRPr="00FA2AB8">
        <w:instrText xml:space="preserve"> REF _Ref215754230 \h </w:instrText>
      </w:r>
      <w:r w:rsidR="00FA2AB8" w:rsidRPr="00FA2AB8">
        <w:instrText xml:space="preserve"> \* MERGEFORMAT </w:instrText>
      </w:r>
      <w:r w:rsidRPr="00FA2AB8">
        <w:fldChar w:fldCharType="separate"/>
      </w:r>
      <w:r w:rsidR="00F51AFF" w:rsidRPr="00FA2AB8">
        <w:t xml:space="preserve">Table </w:t>
      </w:r>
      <w:r w:rsidR="00F51AFF" w:rsidRPr="00FA2AB8">
        <w:rPr>
          <w:noProof/>
        </w:rPr>
        <w:t>2</w:t>
      </w:r>
      <w:r w:rsidRPr="00FA2AB8">
        <w:fldChar w:fldCharType="end"/>
      </w:r>
      <w:r w:rsidRPr="00FA2AB8">
        <w:t xml:space="preserve"> details the key matters of concern from the previous submission.</w:t>
      </w:r>
      <w:r w:rsidRPr="00FA2AB8">
        <w:rPr>
          <w:color w:val="0066FF"/>
        </w:rPr>
        <w:t xml:space="preserve"> </w:t>
      </w:r>
    </w:p>
    <w:p w14:paraId="2F142FFF" w14:textId="0811A316" w:rsidR="00546DBD" w:rsidRPr="00FA2AB8" w:rsidRDefault="00546DBD" w:rsidP="00546DBD">
      <w:pPr>
        <w:pStyle w:val="TableFigureHeading"/>
        <w:rPr>
          <w:rStyle w:val="CommentReference"/>
          <w:b/>
          <w:szCs w:val="24"/>
        </w:rPr>
      </w:pPr>
      <w:bookmarkStart w:id="12" w:name="_Ref215754230"/>
      <w:r w:rsidRPr="00FA2AB8">
        <w:t xml:space="preserve">Table </w:t>
      </w:r>
      <w:fldSimple w:instr=" SEQ Table \* ARABIC ">
        <w:r w:rsidR="00CB23C7">
          <w:rPr>
            <w:noProof/>
          </w:rPr>
          <w:t>2</w:t>
        </w:r>
      </w:fldSimple>
      <w:bookmarkEnd w:id="12"/>
      <w:r w:rsidRPr="00FA2AB8">
        <w:t>:</w:t>
      </w:r>
      <w:r w:rsidRPr="00FA2AB8">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1174"/>
        <w:gridCol w:w="5484"/>
        <w:gridCol w:w="2359"/>
      </w:tblGrid>
      <w:tr w:rsidR="00546DBD" w:rsidRPr="00512BD3" w14:paraId="7F68E589" w14:textId="77777777" w:rsidTr="00C41F9A">
        <w:trPr>
          <w:cantSplit/>
          <w:tblHeader/>
        </w:trPr>
        <w:tc>
          <w:tcPr>
            <w:tcW w:w="651" w:type="pct"/>
          </w:tcPr>
          <w:p w14:paraId="34821AC9" w14:textId="77777777" w:rsidR="00546DBD" w:rsidRPr="00AE6296" w:rsidRDefault="00546DBD" w:rsidP="008F0977">
            <w:pPr>
              <w:pStyle w:val="In-tableHeading"/>
              <w:rPr>
                <w:i w:val="0"/>
                <w:iCs w:val="0"/>
              </w:rPr>
            </w:pPr>
            <w:r w:rsidRPr="00AE6296">
              <w:rPr>
                <w:i w:val="0"/>
                <w:iCs w:val="0"/>
              </w:rPr>
              <w:t>Component</w:t>
            </w:r>
          </w:p>
        </w:tc>
        <w:tc>
          <w:tcPr>
            <w:tcW w:w="3041" w:type="pct"/>
            <w:vAlign w:val="center"/>
          </w:tcPr>
          <w:p w14:paraId="7E4A5FFE" w14:textId="1E9081F0" w:rsidR="00546DBD" w:rsidRPr="00AE6296" w:rsidRDefault="00214985" w:rsidP="008F0977">
            <w:pPr>
              <w:pStyle w:val="In-tableHeading"/>
              <w:rPr>
                <w:i w:val="0"/>
                <w:iCs w:val="0"/>
              </w:rPr>
            </w:pPr>
            <w:r w:rsidRPr="00AE6296">
              <w:rPr>
                <w:i w:val="0"/>
                <w:iCs w:val="0"/>
              </w:rPr>
              <w:t>Matter of concern (July 2025 PSD)</w:t>
            </w:r>
          </w:p>
        </w:tc>
        <w:tc>
          <w:tcPr>
            <w:tcW w:w="1308" w:type="pct"/>
            <w:vAlign w:val="center"/>
          </w:tcPr>
          <w:p w14:paraId="06517E5A" w14:textId="77777777" w:rsidR="00546DBD" w:rsidRPr="00AE6296" w:rsidRDefault="00546DBD" w:rsidP="008F0977">
            <w:pPr>
              <w:pStyle w:val="In-tableHeading"/>
              <w:rPr>
                <w:i w:val="0"/>
                <w:iCs w:val="0"/>
              </w:rPr>
            </w:pPr>
            <w:r w:rsidRPr="00AE6296">
              <w:rPr>
                <w:i w:val="0"/>
                <w:iCs w:val="0"/>
              </w:rPr>
              <w:t>How the resubmission addresses it</w:t>
            </w:r>
          </w:p>
        </w:tc>
      </w:tr>
      <w:tr w:rsidR="00546DBD" w:rsidRPr="00FA2AB8" w14:paraId="3BD10A42" w14:textId="77777777" w:rsidTr="00C41F9A">
        <w:trPr>
          <w:cantSplit/>
          <w:trHeight w:val="2352"/>
        </w:trPr>
        <w:tc>
          <w:tcPr>
            <w:tcW w:w="651" w:type="pct"/>
          </w:tcPr>
          <w:p w14:paraId="6DA2DD85" w14:textId="77777777" w:rsidR="00546DBD" w:rsidRPr="00FA2AB8" w:rsidRDefault="00546DBD" w:rsidP="008F0977">
            <w:pPr>
              <w:pStyle w:val="TableText0"/>
            </w:pPr>
            <w:r w:rsidRPr="00FA2AB8">
              <w:t>Clinical effectiveness</w:t>
            </w:r>
          </w:p>
          <w:p w14:paraId="1C191893" w14:textId="77777777" w:rsidR="00546DBD" w:rsidRPr="00FA2AB8" w:rsidRDefault="00546DBD" w:rsidP="008F0977">
            <w:pPr>
              <w:pStyle w:val="TableText0"/>
            </w:pPr>
          </w:p>
        </w:tc>
        <w:tc>
          <w:tcPr>
            <w:tcW w:w="3041" w:type="pct"/>
          </w:tcPr>
          <w:p w14:paraId="09D0908E" w14:textId="79862D72" w:rsidR="00546DBD" w:rsidRPr="00FA2AB8" w:rsidRDefault="00546DBD" w:rsidP="00173029">
            <w:pPr>
              <w:pStyle w:val="TableText0"/>
              <w:rPr>
                <w:rFonts w:eastAsia="Times New Roman" w:cs="Arial"/>
                <w:bCs w:val="0"/>
                <w:snapToGrid w:val="0"/>
                <w:szCs w:val="20"/>
              </w:rPr>
            </w:pPr>
            <w:r w:rsidRPr="00FA2AB8">
              <w:rPr>
                <w:rFonts w:eastAsia="Times New Roman" w:cs="Arial"/>
                <w:bCs w:val="0"/>
                <w:snapToGrid w:val="0"/>
                <w:szCs w:val="20"/>
              </w:rPr>
              <w:t>The indirect treatment comparisons (ITCs) were based on the intention-to-treat (ITT) populations from select NEMO and DUPI trials. These included patients with moderate to severe AD, which was broader than the proposed PBS population which is limited to patients with severe AD</w:t>
            </w:r>
            <w:r w:rsidR="00EA66D4">
              <w:rPr>
                <w:rFonts w:eastAsia="Times New Roman" w:cs="Arial"/>
                <w:bCs w:val="0"/>
                <w:snapToGrid w:val="0"/>
                <w:szCs w:val="20"/>
              </w:rPr>
              <w:t>.</w:t>
            </w:r>
          </w:p>
          <w:p w14:paraId="21464033" w14:textId="77777777" w:rsidR="00546DBD" w:rsidRPr="00FA2AB8" w:rsidRDefault="00546DBD" w:rsidP="00173029">
            <w:pPr>
              <w:pStyle w:val="TableText0"/>
              <w:rPr>
                <w:rFonts w:eastAsia="Times New Roman" w:cs="Arial"/>
                <w:bCs w:val="0"/>
                <w:snapToGrid w:val="0"/>
                <w:szCs w:val="20"/>
              </w:rPr>
            </w:pPr>
          </w:p>
          <w:p w14:paraId="1F19A93D" w14:textId="11346E52" w:rsidR="00546DBD" w:rsidRPr="00FA2AB8" w:rsidRDefault="00546DBD" w:rsidP="00173029">
            <w:pPr>
              <w:pStyle w:val="TableText0"/>
              <w:rPr>
                <w:rFonts w:eastAsia="Times New Roman" w:cs="Arial"/>
                <w:bCs w:val="0"/>
                <w:snapToGrid w:val="0"/>
                <w:szCs w:val="20"/>
              </w:rPr>
            </w:pPr>
            <w:r w:rsidRPr="00FA2AB8">
              <w:rPr>
                <w:rFonts w:eastAsia="Times New Roman" w:cs="Arial"/>
                <w:bCs w:val="0"/>
                <w:snapToGrid w:val="0"/>
                <w:szCs w:val="20"/>
              </w:rPr>
              <w:t>In patients with moderate or severe AD, NEMO had inferior efficacy in comparison to DUPI at Week 16 in terms of (i) eczema area and severity index (EASI)-75 (RR = 0.61; 95% CI: 0.41, 0.90); and (ii) investigators global assessment (IGA) success (RR: 0.48; 95% CI: 0.34, 0.69)</w:t>
            </w:r>
            <w:r w:rsidR="00797BA6" w:rsidRPr="00FA2AB8">
              <w:rPr>
                <w:rFonts w:eastAsia="Times New Roman" w:cs="Arial"/>
                <w:bCs w:val="0"/>
                <w:snapToGrid w:val="0"/>
                <w:szCs w:val="20"/>
              </w:rPr>
              <w:t xml:space="preserve"> (para 7.5).</w:t>
            </w:r>
          </w:p>
        </w:tc>
        <w:tc>
          <w:tcPr>
            <w:tcW w:w="1308" w:type="pct"/>
          </w:tcPr>
          <w:p w14:paraId="2727C583" w14:textId="6209255C" w:rsidR="00546DBD" w:rsidRPr="00FA2AB8" w:rsidRDefault="00546DBD" w:rsidP="00173029">
            <w:pPr>
              <w:pStyle w:val="TableText0"/>
              <w:rPr>
                <w:rFonts w:eastAsia="Times New Roman" w:cs="Arial"/>
                <w:bCs w:val="0"/>
                <w:snapToGrid w:val="0"/>
                <w:szCs w:val="20"/>
              </w:rPr>
            </w:pPr>
            <w:r w:rsidRPr="00FA2AB8">
              <w:rPr>
                <w:rFonts w:eastAsia="Times New Roman" w:cs="Arial"/>
                <w:bCs w:val="0"/>
                <w:snapToGrid w:val="0"/>
                <w:szCs w:val="20"/>
              </w:rPr>
              <w:t xml:space="preserve">The </w:t>
            </w:r>
            <w:r w:rsidR="00166F67" w:rsidRPr="00FA2AB8">
              <w:rPr>
                <w:rFonts w:eastAsia="Times New Roman" w:cs="Arial"/>
                <w:bCs w:val="0"/>
                <w:snapToGrid w:val="0"/>
                <w:szCs w:val="20"/>
              </w:rPr>
              <w:t>re</w:t>
            </w:r>
            <w:r w:rsidRPr="00FA2AB8">
              <w:rPr>
                <w:rFonts w:eastAsia="Times New Roman" w:cs="Arial"/>
                <w:bCs w:val="0"/>
                <w:snapToGrid w:val="0"/>
                <w:szCs w:val="20"/>
              </w:rPr>
              <w:t>submission presented updated comparative data for the PBS aligned subgroup of the trials but only for</w:t>
            </w:r>
            <w:r w:rsidR="00E07F9F" w:rsidRPr="00FA2AB8">
              <w:rPr>
                <w:rFonts w:eastAsia="Times New Roman" w:cs="Arial"/>
                <w:bCs w:val="0"/>
                <w:snapToGrid w:val="0"/>
                <w:szCs w:val="20"/>
              </w:rPr>
              <w:t xml:space="preserve"> the</w:t>
            </w:r>
            <w:r w:rsidRPr="00FA2AB8">
              <w:rPr>
                <w:rFonts w:eastAsia="Times New Roman" w:cs="Arial"/>
                <w:bCs w:val="0"/>
                <w:snapToGrid w:val="0"/>
                <w:szCs w:val="20"/>
              </w:rPr>
              <w:t xml:space="preserve"> EASI-50 outcome. Th</w:t>
            </w:r>
            <w:r w:rsidR="00E07F9F" w:rsidRPr="00FA2AB8">
              <w:rPr>
                <w:rFonts w:eastAsia="Times New Roman" w:cs="Arial"/>
                <w:bCs w:val="0"/>
                <w:snapToGrid w:val="0"/>
                <w:szCs w:val="20"/>
              </w:rPr>
              <w:t>ese</w:t>
            </w:r>
            <w:r w:rsidRPr="00FA2AB8">
              <w:rPr>
                <w:rFonts w:eastAsia="Times New Roman" w:cs="Arial"/>
                <w:bCs w:val="0"/>
                <w:snapToGrid w:val="0"/>
                <w:szCs w:val="20"/>
              </w:rPr>
              <w:t xml:space="preserve"> data included patients who underwent an extended induction period with NEMO if they did not have an adequate response at </w:t>
            </w:r>
            <w:r w:rsidR="00166F67" w:rsidRPr="00FA2AB8">
              <w:rPr>
                <w:rFonts w:eastAsia="Times New Roman" w:cs="Arial"/>
                <w:bCs w:val="0"/>
                <w:snapToGrid w:val="0"/>
                <w:szCs w:val="20"/>
              </w:rPr>
              <w:t xml:space="preserve">Week </w:t>
            </w:r>
            <w:r w:rsidRPr="00FA2AB8">
              <w:rPr>
                <w:rFonts w:eastAsia="Times New Roman" w:cs="Arial"/>
                <w:bCs w:val="0"/>
                <w:snapToGrid w:val="0"/>
                <w:szCs w:val="20"/>
              </w:rPr>
              <w:t xml:space="preserve">16. </w:t>
            </w:r>
          </w:p>
        </w:tc>
      </w:tr>
      <w:tr w:rsidR="00546DBD" w:rsidRPr="00FA2AB8" w14:paraId="668750CD" w14:textId="77777777" w:rsidTr="00C41F9A">
        <w:trPr>
          <w:cantSplit/>
        </w:trPr>
        <w:tc>
          <w:tcPr>
            <w:tcW w:w="651" w:type="pct"/>
          </w:tcPr>
          <w:p w14:paraId="5D834D62" w14:textId="77777777" w:rsidR="00546DBD" w:rsidRPr="00FA2AB8" w:rsidRDefault="00546DBD" w:rsidP="008F0977">
            <w:pPr>
              <w:pStyle w:val="TableText0"/>
            </w:pPr>
            <w:r w:rsidRPr="00FA2AB8">
              <w:t xml:space="preserve">Safety </w:t>
            </w:r>
          </w:p>
        </w:tc>
        <w:tc>
          <w:tcPr>
            <w:tcW w:w="3041" w:type="pct"/>
          </w:tcPr>
          <w:p w14:paraId="113C866A" w14:textId="71E249C1" w:rsidR="00546DBD" w:rsidRPr="00FA2AB8" w:rsidRDefault="00546DBD" w:rsidP="00173029">
            <w:pPr>
              <w:pStyle w:val="TableText0"/>
              <w:rPr>
                <w:rFonts w:eastAsia="Times New Roman" w:cs="Arial"/>
                <w:bCs w:val="0"/>
                <w:snapToGrid w:val="0"/>
                <w:szCs w:val="20"/>
              </w:rPr>
            </w:pPr>
            <w:r w:rsidRPr="00FA2AB8">
              <w:rPr>
                <w:rFonts w:eastAsia="Times New Roman" w:cs="Arial"/>
                <w:bCs w:val="0"/>
                <w:snapToGrid w:val="0"/>
                <w:szCs w:val="20"/>
              </w:rPr>
              <w:t>The ITCs presented for safety outcomes (any treatment-emergent adverse events (TEAEs), serious TEAEs, and TEAEs leading to discontinuation) may not allow for a meaningful comparison of NEMO and DUPI. In addition, the ITCs of serious TEAEs and TEAEs leading to discontinuation were statistically underpowered</w:t>
            </w:r>
            <w:r w:rsidR="00797BA6" w:rsidRPr="00FA2AB8">
              <w:rPr>
                <w:rFonts w:eastAsia="Times New Roman" w:cs="Arial"/>
                <w:bCs w:val="0"/>
                <w:snapToGrid w:val="0"/>
                <w:szCs w:val="20"/>
              </w:rPr>
              <w:t xml:space="preserve"> (para 7.7).</w:t>
            </w:r>
          </w:p>
        </w:tc>
        <w:tc>
          <w:tcPr>
            <w:tcW w:w="1308" w:type="pct"/>
          </w:tcPr>
          <w:p w14:paraId="59FD53DE" w14:textId="42134BA1" w:rsidR="00546DBD" w:rsidRPr="00FA2AB8" w:rsidRDefault="00546DBD" w:rsidP="00173029">
            <w:pPr>
              <w:pStyle w:val="TableText0"/>
              <w:rPr>
                <w:rFonts w:eastAsia="Times New Roman" w:cs="Arial"/>
                <w:bCs w:val="0"/>
                <w:snapToGrid w:val="0"/>
                <w:szCs w:val="20"/>
              </w:rPr>
            </w:pPr>
            <w:r w:rsidRPr="00FA2AB8">
              <w:rPr>
                <w:rFonts w:eastAsia="Times New Roman" w:cs="Arial"/>
                <w:bCs w:val="0"/>
                <w:snapToGrid w:val="0"/>
                <w:szCs w:val="20"/>
              </w:rPr>
              <w:t>No additional comparative safety data w</w:t>
            </w:r>
            <w:r w:rsidR="00533E9B" w:rsidRPr="00FA2AB8">
              <w:rPr>
                <w:rFonts w:eastAsia="Times New Roman" w:cs="Arial"/>
                <w:bCs w:val="0"/>
                <w:snapToGrid w:val="0"/>
                <w:szCs w:val="20"/>
              </w:rPr>
              <w:t>ere</w:t>
            </w:r>
            <w:r w:rsidRPr="00FA2AB8">
              <w:rPr>
                <w:rFonts w:eastAsia="Times New Roman" w:cs="Arial"/>
                <w:bCs w:val="0"/>
                <w:snapToGrid w:val="0"/>
                <w:szCs w:val="20"/>
              </w:rPr>
              <w:t xml:space="preserve"> presented.</w:t>
            </w:r>
          </w:p>
        </w:tc>
      </w:tr>
      <w:tr w:rsidR="00214985" w:rsidRPr="00FA2AB8" w14:paraId="768EDD40" w14:textId="77777777" w:rsidTr="00C41F9A">
        <w:trPr>
          <w:cantSplit/>
        </w:trPr>
        <w:tc>
          <w:tcPr>
            <w:tcW w:w="651" w:type="pct"/>
          </w:tcPr>
          <w:p w14:paraId="3D054590" w14:textId="33726AA1" w:rsidR="00214985" w:rsidRPr="00FA2AB8" w:rsidRDefault="00CF5A5A" w:rsidP="008F0977">
            <w:pPr>
              <w:pStyle w:val="TableText0"/>
            </w:pPr>
            <w:r w:rsidRPr="00FA2AB8">
              <w:t>Financial estimates</w:t>
            </w:r>
          </w:p>
        </w:tc>
        <w:tc>
          <w:tcPr>
            <w:tcW w:w="3041" w:type="pct"/>
          </w:tcPr>
          <w:p w14:paraId="0E4A703F" w14:textId="5B649427" w:rsidR="00214985" w:rsidRPr="00FA2AB8" w:rsidRDefault="003026BD" w:rsidP="00173029">
            <w:pPr>
              <w:pStyle w:val="TableText0"/>
              <w:rPr>
                <w:rFonts w:eastAsia="Times New Roman" w:cs="Arial"/>
                <w:bCs w:val="0"/>
                <w:snapToGrid w:val="0"/>
                <w:szCs w:val="20"/>
              </w:rPr>
            </w:pPr>
            <w:r w:rsidRPr="00FA2AB8">
              <w:rPr>
                <w:rFonts w:eastAsia="Times New Roman" w:cs="Arial"/>
                <w:bCs w:val="0"/>
                <w:snapToGrid w:val="0"/>
                <w:szCs w:val="20"/>
              </w:rPr>
              <w:t>The PBAC considered the uptake rates applied to the financial estimates in the submission were uncertain and likely overestimated, given the evidence suggests that NEMO is inferior compared to DUPI in terms of effectiveness. Overall, the PBAC considered the estimated savings to the PBS/RPBS associated with the listing of NEMO are likely overestimated and unlikely to be realised.</w:t>
            </w:r>
          </w:p>
        </w:tc>
        <w:tc>
          <w:tcPr>
            <w:tcW w:w="1308" w:type="pct"/>
          </w:tcPr>
          <w:p w14:paraId="58C0C693" w14:textId="6F1313F4" w:rsidR="00214985" w:rsidRPr="00FA2AB8" w:rsidRDefault="00944778" w:rsidP="00173029">
            <w:pPr>
              <w:pStyle w:val="TableText0"/>
              <w:rPr>
                <w:rFonts w:eastAsia="Times New Roman" w:cs="Arial"/>
                <w:bCs w:val="0"/>
                <w:snapToGrid w:val="0"/>
                <w:szCs w:val="20"/>
              </w:rPr>
            </w:pPr>
            <w:r w:rsidRPr="00FA2AB8">
              <w:rPr>
                <w:rFonts w:eastAsia="Times New Roman" w:cs="Arial"/>
                <w:bCs w:val="0"/>
                <w:snapToGrid w:val="0"/>
                <w:szCs w:val="20"/>
              </w:rPr>
              <w:t xml:space="preserve">The resubmission reduced the uptake rate by </w:t>
            </w:r>
            <w:r w:rsidR="00807021" w:rsidRPr="00807021">
              <w:rPr>
                <w:rFonts w:eastAsia="Times New Roman" w:cs="Arial"/>
                <w:bCs w:val="0"/>
                <w:snapToGrid w:val="0"/>
                <w:sz w:val="2"/>
                <w:szCs w:val="20"/>
                <w:highlight w:val="black"/>
              </w:rPr>
              <w:t>redacted content</w:t>
            </w:r>
            <w:r w:rsidRPr="00FA2AB8">
              <w:rPr>
                <w:rFonts w:eastAsia="Times New Roman" w:cs="Arial"/>
                <w:bCs w:val="0"/>
                <w:snapToGrid w:val="0"/>
                <w:szCs w:val="20"/>
              </w:rPr>
              <w:t xml:space="preserve">%, but there </w:t>
            </w:r>
            <w:r w:rsidR="00014A86" w:rsidRPr="00FA2AB8">
              <w:rPr>
                <w:rFonts w:eastAsia="Times New Roman" w:cs="Arial"/>
                <w:bCs w:val="0"/>
                <w:snapToGrid w:val="0"/>
                <w:szCs w:val="20"/>
              </w:rPr>
              <w:t xml:space="preserve">was </w:t>
            </w:r>
            <w:r w:rsidRPr="00FA2AB8">
              <w:rPr>
                <w:rFonts w:eastAsia="Times New Roman" w:cs="Arial"/>
                <w:bCs w:val="0"/>
                <w:snapToGrid w:val="0"/>
                <w:szCs w:val="20"/>
              </w:rPr>
              <w:t>no basis provided for the reduction.</w:t>
            </w:r>
          </w:p>
        </w:tc>
      </w:tr>
    </w:tbl>
    <w:p w14:paraId="7033AA8D" w14:textId="77777777" w:rsidR="00546DBD" w:rsidRPr="00FA2AB8" w:rsidRDefault="00546DBD" w:rsidP="00546DBD">
      <w:pPr>
        <w:pStyle w:val="FooterTableFigure"/>
      </w:pPr>
      <w:r w:rsidRPr="00FA2AB8">
        <w:t>Source: Compiled during the evaluation.</w:t>
      </w:r>
    </w:p>
    <w:p w14:paraId="31D7341E" w14:textId="779329D2" w:rsidR="005D301D" w:rsidRDefault="006923D8" w:rsidP="00546DBD">
      <w:pPr>
        <w:pStyle w:val="FooterTableFigure"/>
      </w:pPr>
      <w:r w:rsidRPr="00FA2AB8">
        <w:t xml:space="preserve">AD = atopic dermatitis; </w:t>
      </w:r>
      <w:r w:rsidR="005D301D" w:rsidRPr="00FA2AB8">
        <w:t>CMA = cost-minimis</w:t>
      </w:r>
      <w:r w:rsidR="00E07F9F" w:rsidRPr="00FA2AB8">
        <w:t>ation</w:t>
      </w:r>
      <w:r w:rsidR="005D301D" w:rsidRPr="00FA2AB8">
        <w:t xml:space="preserve"> approach; DUPI = dupilumab; </w:t>
      </w:r>
      <w:r w:rsidR="00706FD6" w:rsidRPr="00FA2AB8">
        <w:t xml:space="preserve">ITC = indirect treatment comparison; </w:t>
      </w:r>
      <w:r w:rsidR="005D301D" w:rsidRPr="00FA2AB8">
        <w:t>NEMO = nemolizumab</w:t>
      </w:r>
      <w:r w:rsidR="00A73DD3" w:rsidRPr="00FA2AB8">
        <w:t xml:space="preserve">; </w:t>
      </w:r>
      <w:r w:rsidRPr="00FA2AB8">
        <w:t xml:space="preserve">PBAC = </w:t>
      </w:r>
      <w:r w:rsidR="00706FD6" w:rsidRPr="00FA2AB8">
        <w:t xml:space="preserve">pharmaceutical benefits advisory committee; PBS/RPBS = pharmaceutical benefits scheme/ repatriation pharmaceutical benefits scheme; </w:t>
      </w:r>
      <w:r w:rsidR="00A73DD3" w:rsidRPr="00FA2AB8">
        <w:t>PSD = public summary document</w:t>
      </w:r>
      <w:r w:rsidR="00706FD6" w:rsidRPr="00FA2AB8">
        <w:t>; TEAE = treatment emergent adverse event.</w:t>
      </w:r>
    </w:p>
    <w:p w14:paraId="54656AFE" w14:textId="77777777" w:rsidR="00EA316B" w:rsidRDefault="00EA316B" w:rsidP="00546DBD">
      <w:pPr>
        <w:pStyle w:val="FooterTableFigure"/>
      </w:pPr>
    </w:p>
    <w:p w14:paraId="1675C527" w14:textId="77777777" w:rsidR="00EA316B" w:rsidRPr="00FA2AB8" w:rsidRDefault="00EA316B" w:rsidP="00EA316B">
      <w:pPr>
        <w:pStyle w:val="3-BodyText"/>
        <w:numPr>
          <w:ilvl w:val="0"/>
          <w:numId w:val="0"/>
        </w:numPr>
        <w:spacing w:before="160" w:after="160"/>
        <w:ind w:left="720"/>
        <w:rPr>
          <w:color w:val="0066FF"/>
        </w:rPr>
      </w:pPr>
      <w:r w:rsidRPr="00EA316B">
        <w:rPr>
          <w:i/>
          <w:iCs/>
        </w:rPr>
        <w:t>For more detail on PBAC’s view, see section 7 PBAC outcome.</w:t>
      </w:r>
    </w:p>
    <w:p w14:paraId="0922DA83" w14:textId="77777777" w:rsidR="00546DBD" w:rsidRDefault="00546DBD" w:rsidP="00531B7C">
      <w:pPr>
        <w:pStyle w:val="2-SectionHeading"/>
        <w:spacing w:before="160" w:after="160"/>
      </w:pPr>
      <w:bookmarkStart w:id="13" w:name="_Toc107902078"/>
      <w:bookmarkStart w:id="14" w:name="_Toc202884170"/>
      <w:bookmarkStart w:id="15" w:name="_Toc216710455"/>
      <w:bookmarkEnd w:id="13"/>
      <w:r w:rsidRPr="00FA2AB8">
        <w:lastRenderedPageBreak/>
        <w:t>Requested listing</w:t>
      </w:r>
      <w:bookmarkEnd w:id="14"/>
      <w:bookmarkEnd w:id="15"/>
    </w:p>
    <w:p w14:paraId="1819A774" w14:textId="7B440CD1" w:rsidR="007C7088" w:rsidRPr="007C7088" w:rsidRDefault="007C7088" w:rsidP="007C7088">
      <w:pPr>
        <w:pStyle w:val="3-BodyText"/>
      </w:pPr>
      <w:r>
        <w:t>The proposed restrictions are presented below. Secretariat suggested addition are in italics and deletions in strikethrough.</w:t>
      </w:r>
    </w:p>
    <w:p w14:paraId="19258DA9" w14:textId="2228D9A6" w:rsidR="00546DBD" w:rsidRPr="00FA2AB8" w:rsidRDefault="00546DBD" w:rsidP="00531B7C">
      <w:pPr>
        <w:pStyle w:val="TableText0"/>
        <w:rPr>
          <w:b/>
          <w:bCs w:val="0"/>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quested listing"/>
      </w:tblPr>
      <w:tblGrid>
        <w:gridCol w:w="2406"/>
        <w:gridCol w:w="992"/>
        <w:gridCol w:w="851"/>
        <w:gridCol w:w="709"/>
        <w:gridCol w:w="1841"/>
        <w:gridCol w:w="2218"/>
      </w:tblGrid>
      <w:tr w:rsidR="005D45B0" w:rsidRPr="00C41F9A" w14:paraId="0D95F209" w14:textId="77777777" w:rsidTr="00C84ACB">
        <w:trPr>
          <w:tblHeader/>
        </w:trPr>
        <w:tc>
          <w:tcPr>
            <w:tcW w:w="1334" w:type="pct"/>
          </w:tcPr>
          <w:p w14:paraId="50B85D77" w14:textId="77777777" w:rsidR="00546DBD" w:rsidRPr="00C41F9A" w:rsidRDefault="00546DBD" w:rsidP="00531B7C">
            <w:pPr>
              <w:pStyle w:val="TableLeft"/>
              <w:keepNext/>
              <w:rPr>
                <w:rFonts w:ascii="Arial Narrow" w:hAnsi="Arial Narrow" w:cstheme="minorHAnsi"/>
                <w:b/>
                <w:bCs/>
                <w:sz w:val="20"/>
                <w:szCs w:val="20"/>
                <w:lang w:val="en-AU"/>
              </w:rPr>
            </w:pPr>
            <w:r w:rsidRPr="00C41F9A">
              <w:rPr>
                <w:rFonts w:ascii="Arial Narrow" w:hAnsi="Arial Narrow" w:cstheme="minorHAnsi"/>
                <w:b/>
                <w:bCs/>
                <w:sz w:val="20"/>
                <w:szCs w:val="20"/>
                <w:lang w:val="en-AU"/>
              </w:rPr>
              <w:t>Name, restriction, manner of administration, form</w:t>
            </w:r>
          </w:p>
        </w:tc>
        <w:tc>
          <w:tcPr>
            <w:tcW w:w="550" w:type="pct"/>
          </w:tcPr>
          <w:p w14:paraId="4BE68C99" w14:textId="5F960A0A" w:rsidR="00546DBD" w:rsidRPr="00C41F9A" w:rsidRDefault="00970E3E" w:rsidP="00531B7C">
            <w:pPr>
              <w:pStyle w:val="TableLeft"/>
              <w:keepNext/>
              <w:jc w:val="center"/>
              <w:rPr>
                <w:rFonts w:ascii="Arial Narrow" w:hAnsi="Arial Narrow" w:cstheme="minorHAnsi"/>
                <w:b/>
                <w:bCs/>
                <w:sz w:val="20"/>
                <w:szCs w:val="20"/>
                <w:lang w:val="en-AU"/>
              </w:rPr>
            </w:pPr>
            <w:r>
              <w:rPr>
                <w:rFonts w:ascii="Arial Narrow" w:hAnsi="Arial Narrow" w:cstheme="minorHAnsi"/>
                <w:b/>
                <w:bCs/>
                <w:sz w:val="20"/>
                <w:szCs w:val="20"/>
                <w:lang w:val="en-AU"/>
              </w:rPr>
              <w:t>Max. qty packs</w:t>
            </w:r>
          </w:p>
        </w:tc>
        <w:tc>
          <w:tcPr>
            <w:tcW w:w="472" w:type="pct"/>
          </w:tcPr>
          <w:p w14:paraId="66ACB8C6" w14:textId="5B67D869" w:rsidR="00546DBD" w:rsidRPr="00C41F9A" w:rsidRDefault="00970E3E" w:rsidP="00531B7C">
            <w:pPr>
              <w:pStyle w:val="TableLeft"/>
              <w:keepNext/>
              <w:jc w:val="center"/>
              <w:rPr>
                <w:rFonts w:ascii="Arial Narrow" w:hAnsi="Arial Narrow" w:cstheme="minorHAnsi"/>
                <w:b/>
                <w:bCs/>
                <w:sz w:val="20"/>
                <w:szCs w:val="20"/>
                <w:lang w:val="en-AU"/>
              </w:rPr>
            </w:pPr>
            <w:r>
              <w:rPr>
                <w:rFonts w:ascii="Arial Narrow" w:hAnsi="Arial Narrow" w:cstheme="minorHAnsi"/>
                <w:b/>
                <w:bCs/>
                <w:sz w:val="20"/>
                <w:szCs w:val="20"/>
                <w:lang w:val="en-AU"/>
              </w:rPr>
              <w:t>Max qty units</w:t>
            </w:r>
          </w:p>
        </w:tc>
        <w:tc>
          <w:tcPr>
            <w:tcW w:w="393" w:type="pct"/>
          </w:tcPr>
          <w:p w14:paraId="0B39730D" w14:textId="082E6F31" w:rsidR="00546DBD" w:rsidRPr="00C41F9A" w:rsidRDefault="00546DBD" w:rsidP="00531B7C">
            <w:pPr>
              <w:pStyle w:val="TableLeft"/>
              <w:keepNext/>
              <w:jc w:val="center"/>
              <w:rPr>
                <w:rFonts w:ascii="Arial Narrow" w:hAnsi="Arial Narrow" w:cstheme="minorHAnsi"/>
                <w:b/>
                <w:bCs/>
                <w:sz w:val="20"/>
                <w:szCs w:val="20"/>
                <w:lang w:val="en-AU"/>
              </w:rPr>
            </w:pPr>
            <w:r w:rsidRPr="00C41F9A">
              <w:rPr>
                <w:rFonts w:ascii="Arial Narrow" w:hAnsi="Arial Narrow" w:cstheme="minorHAnsi"/>
                <w:b/>
                <w:bCs/>
                <w:sz w:val="20"/>
                <w:szCs w:val="20"/>
                <w:lang w:val="en-AU"/>
              </w:rPr>
              <w:t>N</w:t>
            </w:r>
            <w:r w:rsidRPr="00970E3E">
              <w:rPr>
                <w:rFonts w:ascii="Arial Narrow" w:hAnsi="Arial Narrow" w:cstheme="minorHAnsi"/>
                <w:b/>
                <w:bCs/>
                <w:szCs w:val="18"/>
                <w:lang w:val="en-AU"/>
              </w:rPr>
              <w:t>o</w:t>
            </w:r>
            <w:r w:rsidRPr="00C41F9A">
              <w:rPr>
                <w:rFonts w:ascii="Arial Narrow" w:hAnsi="Arial Narrow" w:cstheme="minorHAnsi"/>
                <w:b/>
                <w:bCs/>
                <w:sz w:val="20"/>
                <w:szCs w:val="20"/>
                <w:lang w:val="en-AU"/>
              </w:rPr>
              <w:t xml:space="preserve">. of </w:t>
            </w:r>
            <w:r w:rsidR="00970E3E">
              <w:rPr>
                <w:rFonts w:ascii="Arial Narrow" w:hAnsi="Arial Narrow" w:cstheme="minorHAnsi"/>
                <w:b/>
                <w:bCs/>
                <w:sz w:val="20"/>
                <w:szCs w:val="20"/>
                <w:lang w:val="en-AU"/>
              </w:rPr>
              <w:t>Rpts</w:t>
            </w:r>
          </w:p>
        </w:tc>
        <w:tc>
          <w:tcPr>
            <w:tcW w:w="1021" w:type="pct"/>
          </w:tcPr>
          <w:p w14:paraId="35FF7B83" w14:textId="55D1ECFA" w:rsidR="00546DBD" w:rsidRPr="00C41F9A" w:rsidRDefault="00546DBD" w:rsidP="00531B7C">
            <w:pPr>
              <w:pStyle w:val="TableLeft"/>
              <w:keepNext/>
              <w:jc w:val="center"/>
              <w:rPr>
                <w:rFonts w:ascii="Arial Narrow" w:hAnsi="Arial Narrow" w:cstheme="minorHAnsi"/>
                <w:b/>
                <w:bCs/>
                <w:sz w:val="20"/>
                <w:szCs w:val="20"/>
                <w:lang w:val="en-AU"/>
              </w:rPr>
            </w:pPr>
            <w:r w:rsidRPr="00C41F9A">
              <w:rPr>
                <w:rFonts w:ascii="Arial Narrow" w:hAnsi="Arial Narrow" w:cstheme="minorHAnsi"/>
                <w:b/>
                <w:bCs/>
                <w:sz w:val="20"/>
                <w:szCs w:val="20"/>
                <w:lang w:val="en-AU"/>
              </w:rPr>
              <w:t>DPMQ</w:t>
            </w:r>
          </w:p>
        </w:tc>
        <w:tc>
          <w:tcPr>
            <w:tcW w:w="1230" w:type="pct"/>
          </w:tcPr>
          <w:p w14:paraId="25321680" w14:textId="77777777" w:rsidR="00546DBD" w:rsidRPr="00C41F9A" w:rsidRDefault="00546DBD" w:rsidP="00531B7C">
            <w:pPr>
              <w:pStyle w:val="TableLeft"/>
              <w:keepNext/>
              <w:jc w:val="center"/>
              <w:rPr>
                <w:rFonts w:ascii="Arial Narrow" w:hAnsi="Arial Narrow" w:cstheme="minorHAnsi"/>
                <w:b/>
                <w:bCs/>
                <w:sz w:val="20"/>
                <w:szCs w:val="20"/>
                <w:lang w:val="en-AU"/>
              </w:rPr>
            </w:pPr>
            <w:r w:rsidRPr="00C41F9A">
              <w:rPr>
                <w:rFonts w:ascii="Arial Narrow" w:hAnsi="Arial Narrow" w:cstheme="minorHAnsi"/>
                <w:b/>
                <w:bCs/>
                <w:sz w:val="20"/>
                <w:szCs w:val="20"/>
                <w:lang w:val="en-AU"/>
              </w:rPr>
              <w:t>Proprietary name and manufacturer</w:t>
            </w:r>
          </w:p>
        </w:tc>
      </w:tr>
      <w:tr w:rsidR="00546DBD" w:rsidRPr="00C41F9A" w14:paraId="74ACA9CF" w14:textId="77777777" w:rsidTr="00C84ACB">
        <w:tc>
          <w:tcPr>
            <w:tcW w:w="5000" w:type="pct"/>
            <w:gridSpan w:val="6"/>
          </w:tcPr>
          <w:p w14:paraId="4C730C53" w14:textId="77777777" w:rsidR="00546DBD" w:rsidRPr="00C41F9A" w:rsidRDefault="00546DBD">
            <w:pPr>
              <w:pStyle w:val="TableLeft"/>
              <w:keepNext/>
              <w:rPr>
                <w:rFonts w:ascii="Arial Narrow" w:hAnsi="Arial Narrow" w:cstheme="minorHAnsi"/>
                <w:b/>
                <w:bCs/>
                <w:sz w:val="20"/>
                <w:szCs w:val="20"/>
                <w:lang w:val="en-AU"/>
              </w:rPr>
            </w:pPr>
            <w:r w:rsidRPr="00C41F9A">
              <w:rPr>
                <w:rFonts w:ascii="Arial Narrow" w:hAnsi="Arial Narrow" w:cstheme="minorHAnsi"/>
                <w:b/>
                <w:bCs/>
                <w:sz w:val="20"/>
                <w:szCs w:val="20"/>
                <w:lang w:val="en-AU"/>
              </w:rPr>
              <w:t>Initial treatment</w:t>
            </w:r>
          </w:p>
        </w:tc>
      </w:tr>
      <w:tr w:rsidR="005D45B0" w:rsidRPr="00C41F9A" w14:paraId="2B9D6217" w14:textId="77777777" w:rsidTr="00C84ACB">
        <w:tc>
          <w:tcPr>
            <w:tcW w:w="1334" w:type="pct"/>
          </w:tcPr>
          <w:p w14:paraId="1EFB6C5A" w14:textId="77777777" w:rsidR="00546DBD" w:rsidRPr="00C41F9A" w:rsidRDefault="00546DBD">
            <w:pPr>
              <w:pStyle w:val="TableText0"/>
              <w:ind w:right="-106"/>
              <w:rPr>
                <w:szCs w:val="20"/>
                <w:lang w:val="en-AU"/>
              </w:rPr>
            </w:pPr>
            <w:r w:rsidRPr="00C41F9A">
              <w:rPr>
                <w:szCs w:val="20"/>
                <w:lang w:val="en-AU"/>
              </w:rPr>
              <w:t xml:space="preserve">NEMOLIZUMAB </w:t>
            </w:r>
          </w:p>
          <w:p w14:paraId="2E787FCE" w14:textId="77777777" w:rsidR="00546DBD" w:rsidRPr="00C41F9A" w:rsidRDefault="00546DBD">
            <w:pPr>
              <w:pStyle w:val="TableText0"/>
              <w:ind w:right="-106"/>
              <w:rPr>
                <w:szCs w:val="20"/>
                <w:lang w:val="en-AU"/>
              </w:rPr>
            </w:pPr>
            <w:r w:rsidRPr="00C41F9A">
              <w:rPr>
                <w:szCs w:val="20"/>
                <w:lang w:val="en-AU"/>
              </w:rPr>
              <w:t xml:space="preserve">30 mg/0.49 ml injection, </w:t>
            </w:r>
          </w:p>
          <w:p w14:paraId="5FCBC3C5" w14:textId="77777777" w:rsidR="00546DBD" w:rsidRPr="00C41F9A" w:rsidRDefault="00546DBD">
            <w:pPr>
              <w:pStyle w:val="TableLeft"/>
              <w:keepNext/>
              <w:rPr>
                <w:rFonts w:ascii="Arial Narrow" w:hAnsi="Arial Narrow" w:cstheme="minorHAnsi"/>
                <w:sz w:val="20"/>
                <w:szCs w:val="20"/>
                <w:lang w:val="en-AU"/>
              </w:rPr>
            </w:pPr>
            <w:r w:rsidRPr="00C41F9A">
              <w:rPr>
                <w:rFonts w:ascii="Arial Narrow" w:hAnsi="Arial Narrow"/>
                <w:sz w:val="20"/>
                <w:szCs w:val="20"/>
                <w:lang w:val="en-AU"/>
              </w:rPr>
              <w:t>1 x 0.49 ml pen device</w:t>
            </w:r>
          </w:p>
        </w:tc>
        <w:tc>
          <w:tcPr>
            <w:tcW w:w="550" w:type="pct"/>
            <w:vAlign w:val="center"/>
          </w:tcPr>
          <w:p w14:paraId="272256C7"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2</w:t>
            </w:r>
          </w:p>
        </w:tc>
        <w:tc>
          <w:tcPr>
            <w:tcW w:w="472" w:type="pct"/>
            <w:vAlign w:val="center"/>
          </w:tcPr>
          <w:p w14:paraId="6B67CD95"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2</w:t>
            </w:r>
          </w:p>
        </w:tc>
        <w:tc>
          <w:tcPr>
            <w:tcW w:w="393" w:type="pct"/>
            <w:vAlign w:val="center"/>
          </w:tcPr>
          <w:p w14:paraId="0846BD4D"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2</w:t>
            </w:r>
          </w:p>
        </w:tc>
        <w:tc>
          <w:tcPr>
            <w:tcW w:w="1021" w:type="pct"/>
            <w:vAlign w:val="center"/>
          </w:tcPr>
          <w:p w14:paraId="1CD8E34E"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Effective: TBC</w:t>
            </w:r>
          </w:p>
          <w:p w14:paraId="4794E0E1" w14:textId="5907D1B2" w:rsidR="00546DBD" w:rsidRPr="00C41F9A" w:rsidRDefault="00546DBD">
            <w:pPr>
              <w:pStyle w:val="TableLeft"/>
              <w:keepNext/>
              <w:jc w:val="center"/>
              <w:rPr>
                <w:rStyle w:val="SmallHighlight"/>
                <w:rFonts w:ascii="Arial Narrow" w:hAnsi="Arial Narrow" w:cstheme="minorHAnsi"/>
                <w:szCs w:val="20"/>
                <w:lang w:val="en-AU"/>
              </w:rPr>
            </w:pPr>
            <w:r w:rsidRPr="00C41F9A">
              <w:rPr>
                <w:rFonts w:ascii="Arial Narrow" w:hAnsi="Arial Narrow" w:cstheme="minorHAnsi"/>
                <w:sz w:val="20"/>
                <w:szCs w:val="20"/>
                <w:lang w:val="en-AU"/>
              </w:rPr>
              <w:t xml:space="preserve">Published: $5,418.35 </w:t>
            </w:r>
          </w:p>
        </w:tc>
        <w:tc>
          <w:tcPr>
            <w:tcW w:w="1230" w:type="pct"/>
            <w:vAlign w:val="center"/>
          </w:tcPr>
          <w:p w14:paraId="358404C3"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Nemluvio</w:t>
            </w:r>
          </w:p>
          <w:p w14:paraId="24B76B55"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Galderma Australia Pty Ltd</w:t>
            </w:r>
          </w:p>
        </w:tc>
      </w:tr>
      <w:tr w:rsidR="00546DBD" w:rsidRPr="00C41F9A" w14:paraId="649672FD" w14:textId="77777777" w:rsidTr="00C84ACB">
        <w:tc>
          <w:tcPr>
            <w:tcW w:w="5000" w:type="pct"/>
            <w:gridSpan w:val="6"/>
          </w:tcPr>
          <w:p w14:paraId="4FC8C766" w14:textId="77777777" w:rsidR="00546DBD" w:rsidRPr="00C41F9A" w:rsidRDefault="00546DBD">
            <w:pPr>
              <w:pStyle w:val="TableLeft"/>
              <w:keepNext/>
              <w:rPr>
                <w:rFonts w:ascii="Arial Narrow" w:hAnsi="Arial Narrow" w:cstheme="minorHAnsi"/>
                <w:b/>
                <w:bCs/>
                <w:sz w:val="20"/>
                <w:szCs w:val="20"/>
                <w:lang w:val="en-AU"/>
              </w:rPr>
            </w:pPr>
            <w:r w:rsidRPr="00C41F9A">
              <w:rPr>
                <w:rFonts w:ascii="Arial Narrow" w:hAnsi="Arial Narrow" w:cstheme="minorHAnsi"/>
                <w:b/>
                <w:bCs/>
                <w:sz w:val="20"/>
                <w:szCs w:val="20"/>
                <w:bdr w:val="none" w:sz="0" w:space="0" w:color="auto" w:frame="1"/>
                <w:lang w:val="en-AU"/>
              </w:rPr>
              <w:t>Extended induction treatment</w:t>
            </w:r>
          </w:p>
        </w:tc>
      </w:tr>
      <w:tr w:rsidR="005D45B0" w:rsidRPr="00C41F9A" w14:paraId="2F6F75AF" w14:textId="77777777" w:rsidTr="00C84ACB">
        <w:tc>
          <w:tcPr>
            <w:tcW w:w="1334" w:type="pct"/>
          </w:tcPr>
          <w:p w14:paraId="7AC63311" w14:textId="77777777" w:rsidR="00546DBD" w:rsidRPr="00C41F9A" w:rsidRDefault="00546DBD">
            <w:pPr>
              <w:pStyle w:val="TableText0"/>
              <w:ind w:right="-106"/>
              <w:rPr>
                <w:szCs w:val="20"/>
                <w:lang w:val="en-AU"/>
              </w:rPr>
            </w:pPr>
            <w:r w:rsidRPr="00C41F9A">
              <w:rPr>
                <w:szCs w:val="20"/>
                <w:lang w:val="en-AU"/>
              </w:rPr>
              <w:t xml:space="preserve">NEMOLIZUMAB </w:t>
            </w:r>
          </w:p>
          <w:p w14:paraId="20A2073E" w14:textId="77777777" w:rsidR="00546DBD" w:rsidRPr="00C41F9A" w:rsidRDefault="00546DBD">
            <w:pPr>
              <w:pStyle w:val="TableText0"/>
              <w:ind w:right="-106"/>
              <w:rPr>
                <w:szCs w:val="20"/>
                <w:lang w:val="en-AU"/>
              </w:rPr>
            </w:pPr>
            <w:r w:rsidRPr="00C41F9A">
              <w:rPr>
                <w:szCs w:val="20"/>
                <w:lang w:val="en-AU"/>
              </w:rPr>
              <w:t xml:space="preserve">30 mg/0.49 ml injection, </w:t>
            </w:r>
          </w:p>
          <w:p w14:paraId="02FC96F1" w14:textId="77777777" w:rsidR="00546DBD" w:rsidRPr="00C41F9A" w:rsidRDefault="00546DBD">
            <w:pPr>
              <w:pStyle w:val="TableLeft"/>
              <w:keepNext/>
              <w:rPr>
                <w:rFonts w:ascii="Arial Narrow" w:hAnsi="Arial Narrow" w:cstheme="minorHAnsi"/>
                <w:sz w:val="20"/>
                <w:szCs w:val="20"/>
                <w:lang w:val="en-AU"/>
              </w:rPr>
            </w:pPr>
            <w:r w:rsidRPr="00C41F9A">
              <w:rPr>
                <w:rFonts w:ascii="Arial Narrow" w:hAnsi="Arial Narrow"/>
                <w:sz w:val="20"/>
                <w:szCs w:val="20"/>
                <w:lang w:val="en-AU"/>
              </w:rPr>
              <w:t>1 x 0.49 ml pen device</w:t>
            </w:r>
          </w:p>
        </w:tc>
        <w:tc>
          <w:tcPr>
            <w:tcW w:w="550" w:type="pct"/>
            <w:vAlign w:val="center"/>
          </w:tcPr>
          <w:p w14:paraId="2F373E9E"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2</w:t>
            </w:r>
          </w:p>
        </w:tc>
        <w:tc>
          <w:tcPr>
            <w:tcW w:w="472" w:type="pct"/>
            <w:vAlign w:val="center"/>
          </w:tcPr>
          <w:p w14:paraId="756A0D89"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2</w:t>
            </w:r>
          </w:p>
        </w:tc>
        <w:tc>
          <w:tcPr>
            <w:tcW w:w="393" w:type="pct"/>
            <w:vAlign w:val="center"/>
          </w:tcPr>
          <w:p w14:paraId="00964552"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0</w:t>
            </w:r>
          </w:p>
        </w:tc>
        <w:tc>
          <w:tcPr>
            <w:tcW w:w="1021" w:type="pct"/>
            <w:vAlign w:val="center"/>
          </w:tcPr>
          <w:p w14:paraId="1FEE1AB5"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Effective: TBC</w:t>
            </w:r>
          </w:p>
          <w:p w14:paraId="0C8342E9" w14:textId="3E2FB6E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 xml:space="preserve">Published: $5,418.35 </w:t>
            </w:r>
          </w:p>
        </w:tc>
        <w:tc>
          <w:tcPr>
            <w:tcW w:w="1230" w:type="pct"/>
            <w:vAlign w:val="center"/>
          </w:tcPr>
          <w:p w14:paraId="22AAA99E"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Nemluvio</w:t>
            </w:r>
          </w:p>
          <w:p w14:paraId="0839E0BD"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Galderma Australia Pty Ltd</w:t>
            </w:r>
          </w:p>
        </w:tc>
      </w:tr>
      <w:tr w:rsidR="00546DBD" w:rsidRPr="00C41F9A" w14:paraId="17E369AB" w14:textId="77777777" w:rsidTr="00C84ACB">
        <w:tc>
          <w:tcPr>
            <w:tcW w:w="5000" w:type="pct"/>
            <w:gridSpan w:val="6"/>
          </w:tcPr>
          <w:p w14:paraId="6202938D" w14:textId="77777777" w:rsidR="00546DBD" w:rsidRPr="00C41F9A" w:rsidRDefault="00546DBD">
            <w:pPr>
              <w:pStyle w:val="TableLeft"/>
              <w:keepNext/>
              <w:rPr>
                <w:rFonts w:ascii="Arial Narrow" w:hAnsi="Arial Narrow" w:cstheme="minorHAnsi"/>
                <w:sz w:val="20"/>
                <w:szCs w:val="20"/>
                <w:lang w:val="en-AU"/>
              </w:rPr>
            </w:pPr>
            <w:r w:rsidRPr="00C41F9A">
              <w:rPr>
                <w:rFonts w:ascii="Arial Narrow" w:hAnsi="Arial Narrow" w:cstheme="minorHAnsi"/>
                <w:b/>
                <w:bCs/>
                <w:sz w:val="20"/>
                <w:szCs w:val="20"/>
                <w:lang w:val="en-AU"/>
              </w:rPr>
              <w:t>Grandfather treatment</w:t>
            </w:r>
          </w:p>
        </w:tc>
      </w:tr>
      <w:tr w:rsidR="005D45B0" w:rsidRPr="00C41F9A" w14:paraId="5210F9DE" w14:textId="77777777" w:rsidTr="00C84ACB">
        <w:tc>
          <w:tcPr>
            <w:tcW w:w="1334" w:type="pct"/>
          </w:tcPr>
          <w:p w14:paraId="0A599466" w14:textId="77777777" w:rsidR="00546DBD" w:rsidRPr="00C41F9A" w:rsidRDefault="00546DBD">
            <w:pPr>
              <w:pStyle w:val="TableText0"/>
              <w:ind w:right="-106"/>
              <w:rPr>
                <w:szCs w:val="20"/>
                <w:lang w:val="en-AU"/>
              </w:rPr>
            </w:pPr>
            <w:r w:rsidRPr="00C41F9A">
              <w:rPr>
                <w:szCs w:val="20"/>
                <w:lang w:val="en-AU"/>
              </w:rPr>
              <w:t xml:space="preserve">NEMOLIZUMAB </w:t>
            </w:r>
          </w:p>
          <w:p w14:paraId="299EC747" w14:textId="77777777" w:rsidR="00546DBD" w:rsidRPr="00C41F9A" w:rsidRDefault="00546DBD">
            <w:pPr>
              <w:pStyle w:val="TableText0"/>
              <w:ind w:right="-106"/>
              <w:rPr>
                <w:szCs w:val="20"/>
                <w:lang w:val="en-AU"/>
              </w:rPr>
            </w:pPr>
            <w:r w:rsidRPr="00C41F9A">
              <w:rPr>
                <w:szCs w:val="20"/>
                <w:lang w:val="en-AU"/>
              </w:rPr>
              <w:t xml:space="preserve">30 mg/0.49 ml injection, </w:t>
            </w:r>
          </w:p>
          <w:p w14:paraId="4B4FA770" w14:textId="77777777" w:rsidR="00546DBD" w:rsidRPr="00C41F9A" w:rsidRDefault="00546DBD">
            <w:pPr>
              <w:pStyle w:val="TableLeft"/>
              <w:keepNext/>
              <w:rPr>
                <w:rFonts w:ascii="Arial Narrow" w:hAnsi="Arial Narrow" w:cstheme="minorHAnsi"/>
                <w:sz w:val="20"/>
                <w:szCs w:val="20"/>
                <w:lang w:val="en-AU"/>
              </w:rPr>
            </w:pPr>
            <w:r w:rsidRPr="00C41F9A">
              <w:rPr>
                <w:rFonts w:ascii="Arial Narrow" w:hAnsi="Arial Narrow"/>
                <w:sz w:val="20"/>
                <w:szCs w:val="20"/>
                <w:lang w:val="en-AU"/>
              </w:rPr>
              <w:t>1 x 0.49 ml pen device</w:t>
            </w:r>
          </w:p>
        </w:tc>
        <w:tc>
          <w:tcPr>
            <w:tcW w:w="550" w:type="pct"/>
            <w:vAlign w:val="center"/>
          </w:tcPr>
          <w:p w14:paraId="49D759D1"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1</w:t>
            </w:r>
          </w:p>
        </w:tc>
        <w:tc>
          <w:tcPr>
            <w:tcW w:w="472" w:type="pct"/>
            <w:vAlign w:val="center"/>
          </w:tcPr>
          <w:p w14:paraId="659D7081"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1</w:t>
            </w:r>
          </w:p>
        </w:tc>
        <w:tc>
          <w:tcPr>
            <w:tcW w:w="393" w:type="pct"/>
            <w:vAlign w:val="center"/>
          </w:tcPr>
          <w:p w14:paraId="63F1ECF0"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3</w:t>
            </w:r>
          </w:p>
        </w:tc>
        <w:tc>
          <w:tcPr>
            <w:tcW w:w="1021" w:type="pct"/>
            <w:vAlign w:val="center"/>
          </w:tcPr>
          <w:p w14:paraId="531B987D"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Effective: TBC</w:t>
            </w:r>
          </w:p>
          <w:p w14:paraId="64B5E36D" w14:textId="443AC6D3"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 xml:space="preserve">Published: $2,790.64 </w:t>
            </w:r>
          </w:p>
        </w:tc>
        <w:tc>
          <w:tcPr>
            <w:tcW w:w="1230" w:type="pct"/>
            <w:vAlign w:val="center"/>
          </w:tcPr>
          <w:p w14:paraId="30E2BBA5"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Nemluvio</w:t>
            </w:r>
          </w:p>
          <w:p w14:paraId="054563C4"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Galderma Australia Pty Ltd</w:t>
            </w:r>
          </w:p>
        </w:tc>
      </w:tr>
      <w:tr w:rsidR="00546DBD" w:rsidRPr="00C41F9A" w14:paraId="14235590" w14:textId="77777777" w:rsidTr="00C84ACB">
        <w:tc>
          <w:tcPr>
            <w:tcW w:w="5000" w:type="pct"/>
            <w:gridSpan w:val="6"/>
          </w:tcPr>
          <w:p w14:paraId="704EA52B" w14:textId="77777777" w:rsidR="00546DBD" w:rsidRPr="00C41F9A" w:rsidRDefault="00546DBD">
            <w:pPr>
              <w:pStyle w:val="TableLeft"/>
              <w:keepNext/>
              <w:rPr>
                <w:rFonts w:ascii="Arial Narrow" w:hAnsi="Arial Narrow" w:cstheme="minorHAnsi"/>
                <w:sz w:val="20"/>
                <w:szCs w:val="20"/>
                <w:lang w:val="en-AU"/>
              </w:rPr>
            </w:pPr>
            <w:r w:rsidRPr="00C41F9A">
              <w:rPr>
                <w:rFonts w:ascii="Arial Narrow" w:hAnsi="Arial Narrow" w:cstheme="minorHAnsi"/>
                <w:b/>
                <w:bCs/>
                <w:sz w:val="20"/>
                <w:szCs w:val="20"/>
                <w:lang w:val="en-AU"/>
              </w:rPr>
              <w:t>Continuing treatment</w:t>
            </w:r>
          </w:p>
        </w:tc>
      </w:tr>
      <w:tr w:rsidR="005D45B0" w:rsidRPr="00C41F9A" w14:paraId="34ABCDB4" w14:textId="77777777" w:rsidTr="00C84ACB">
        <w:tc>
          <w:tcPr>
            <w:tcW w:w="1334" w:type="pct"/>
          </w:tcPr>
          <w:p w14:paraId="2A96415E" w14:textId="77777777" w:rsidR="00546DBD" w:rsidRPr="00C41F9A" w:rsidRDefault="00546DBD">
            <w:pPr>
              <w:pStyle w:val="TableText0"/>
              <w:ind w:right="-106"/>
              <w:rPr>
                <w:szCs w:val="20"/>
                <w:lang w:val="en-AU"/>
              </w:rPr>
            </w:pPr>
            <w:r w:rsidRPr="00C41F9A">
              <w:rPr>
                <w:szCs w:val="20"/>
                <w:lang w:val="en-AU"/>
              </w:rPr>
              <w:t xml:space="preserve">NEMOLIZUMAB </w:t>
            </w:r>
          </w:p>
          <w:p w14:paraId="615674A2" w14:textId="77777777" w:rsidR="00546DBD" w:rsidRPr="00C41F9A" w:rsidRDefault="00546DBD">
            <w:pPr>
              <w:pStyle w:val="TableText0"/>
              <w:ind w:right="-106"/>
              <w:rPr>
                <w:szCs w:val="20"/>
                <w:lang w:val="en-AU"/>
              </w:rPr>
            </w:pPr>
            <w:r w:rsidRPr="00C41F9A">
              <w:rPr>
                <w:szCs w:val="20"/>
                <w:lang w:val="en-AU"/>
              </w:rPr>
              <w:t xml:space="preserve">30 mg/0.49 ml injection, </w:t>
            </w:r>
          </w:p>
          <w:p w14:paraId="4CC5619D" w14:textId="77777777" w:rsidR="00546DBD" w:rsidRPr="00C41F9A" w:rsidRDefault="00546DBD">
            <w:pPr>
              <w:pStyle w:val="TableLeft"/>
              <w:keepNext/>
              <w:rPr>
                <w:rFonts w:ascii="Arial Narrow" w:hAnsi="Arial Narrow" w:cstheme="minorHAnsi"/>
                <w:b/>
                <w:bCs/>
                <w:sz w:val="20"/>
                <w:szCs w:val="20"/>
                <w:lang w:val="en-AU"/>
              </w:rPr>
            </w:pPr>
            <w:r w:rsidRPr="00C41F9A">
              <w:rPr>
                <w:rFonts w:ascii="Arial Narrow" w:hAnsi="Arial Narrow"/>
                <w:sz w:val="20"/>
                <w:szCs w:val="20"/>
                <w:lang w:val="en-AU"/>
              </w:rPr>
              <w:t>1 x 0.49 ml pen device</w:t>
            </w:r>
          </w:p>
        </w:tc>
        <w:tc>
          <w:tcPr>
            <w:tcW w:w="550" w:type="pct"/>
            <w:vAlign w:val="center"/>
          </w:tcPr>
          <w:p w14:paraId="4B3E9A0D"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1</w:t>
            </w:r>
          </w:p>
        </w:tc>
        <w:tc>
          <w:tcPr>
            <w:tcW w:w="472" w:type="pct"/>
            <w:vAlign w:val="center"/>
          </w:tcPr>
          <w:p w14:paraId="3BA8D2A5"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1</w:t>
            </w:r>
          </w:p>
        </w:tc>
        <w:tc>
          <w:tcPr>
            <w:tcW w:w="393" w:type="pct"/>
            <w:vAlign w:val="center"/>
          </w:tcPr>
          <w:p w14:paraId="56A5C953"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2</w:t>
            </w:r>
          </w:p>
        </w:tc>
        <w:tc>
          <w:tcPr>
            <w:tcW w:w="1021" w:type="pct"/>
            <w:vAlign w:val="center"/>
          </w:tcPr>
          <w:p w14:paraId="312956A3"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Effective: TBC</w:t>
            </w:r>
          </w:p>
          <w:p w14:paraId="19ED6AC2" w14:textId="3528473B"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 xml:space="preserve">Published: $2,790.64 </w:t>
            </w:r>
          </w:p>
        </w:tc>
        <w:tc>
          <w:tcPr>
            <w:tcW w:w="1230" w:type="pct"/>
            <w:vAlign w:val="center"/>
          </w:tcPr>
          <w:p w14:paraId="44254927"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Nemluvio</w:t>
            </w:r>
          </w:p>
          <w:p w14:paraId="65742B3E" w14:textId="77777777" w:rsidR="00546DBD" w:rsidRPr="00C41F9A" w:rsidRDefault="00546DBD">
            <w:pPr>
              <w:pStyle w:val="TableLeft"/>
              <w:keepNext/>
              <w:jc w:val="center"/>
              <w:rPr>
                <w:rFonts w:ascii="Arial Narrow" w:hAnsi="Arial Narrow" w:cstheme="minorHAnsi"/>
                <w:sz w:val="20"/>
                <w:szCs w:val="20"/>
                <w:lang w:val="en-AU"/>
              </w:rPr>
            </w:pPr>
            <w:r w:rsidRPr="00C41F9A">
              <w:rPr>
                <w:rFonts w:ascii="Arial Narrow" w:hAnsi="Arial Narrow" w:cstheme="minorHAnsi"/>
                <w:sz w:val="20"/>
                <w:szCs w:val="20"/>
                <w:lang w:val="en-AU"/>
              </w:rPr>
              <w:t>Galderma Australia Pty Ltd</w:t>
            </w:r>
          </w:p>
        </w:tc>
      </w:tr>
    </w:tbl>
    <w:p w14:paraId="3DFF469C" w14:textId="77777777" w:rsidR="00546DBD" w:rsidRDefault="00546DBD" w:rsidP="00546DBD">
      <w:pPr>
        <w:widowControl w:val="0"/>
      </w:pPr>
      <w:bookmarkStart w:id="16" w:name="_Hlk104809082"/>
    </w:p>
    <w:p w14:paraId="7A591FD5" w14:textId="03D761EA" w:rsidR="008445F4" w:rsidRDefault="008445F4" w:rsidP="00D674F6">
      <w:pPr>
        <w:pStyle w:val="3-BodyText"/>
      </w:pPr>
      <w:r>
        <w:t xml:space="preserve">For </w:t>
      </w:r>
      <w:r w:rsidR="00C10C5F">
        <w:t>brevity reasons</w:t>
      </w:r>
      <w:r>
        <w:t xml:space="preserve">, the </w:t>
      </w:r>
      <w:r w:rsidR="00597F96">
        <w:t xml:space="preserve">following </w:t>
      </w:r>
      <w:r>
        <w:t xml:space="preserve">administrative advice notes </w:t>
      </w:r>
      <w:r w:rsidR="0050276B">
        <w:t>that</w:t>
      </w:r>
      <w:r>
        <w:t xml:space="preserve"> apply </w:t>
      </w:r>
      <w:r w:rsidR="00D22FBB">
        <w:t>across</w:t>
      </w:r>
      <w:r>
        <w:t xml:space="preserve"> all treatment phases of </w:t>
      </w:r>
      <w:r w:rsidR="00D674F6">
        <w:t>NEMO</w:t>
      </w:r>
      <w:r>
        <w:t xml:space="preserve"> (whole body and face/eyelids)</w:t>
      </w:r>
      <w:r w:rsidR="0050276B">
        <w:t xml:space="preserve">, have not been reproduced </w:t>
      </w:r>
      <w:r w:rsidR="00484D05">
        <w:t>in full</w:t>
      </w:r>
      <w:r w:rsidR="00791679">
        <w:t xml:space="preserve"> in the restrictions:</w:t>
      </w:r>
    </w:p>
    <w:p w14:paraId="37C519FE" w14:textId="77777777" w:rsidR="00791679" w:rsidRDefault="00791679" w:rsidP="00546DBD">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Requested listing - Administrative advice notes"/>
      </w:tblPr>
      <w:tblGrid>
        <w:gridCol w:w="1271"/>
        <w:gridCol w:w="7746"/>
      </w:tblGrid>
      <w:tr w:rsidR="00791679" w:rsidRPr="003F2A83" w14:paraId="3BB85B8E" w14:textId="77777777" w:rsidTr="00AF29CF">
        <w:trPr>
          <w:trHeight w:val="184"/>
        </w:trPr>
        <w:tc>
          <w:tcPr>
            <w:tcW w:w="705" w:type="pct"/>
            <w:tcBorders>
              <w:left w:val="single" w:sz="4" w:space="0" w:color="auto"/>
              <w:bottom w:val="single" w:sz="4" w:space="0" w:color="auto"/>
              <w:right w:val="single" w:sz="4" w:space="0" w:color="auto"/>
            </w:tcBorders>
          </w:tcPr>
          <w:p w14:paraId="212B540E" w14:textId="7023EFAC" w:rsidR="00791679" w:rsidRPr="00D674F6" w:rsidRDefault="00791679" w:rsidP="007157C0">
            <w:pPr>
              <w:jc w:val="center"/>
              <w:rPr>
                <w:rFonts w:ascii="Arial Narrow" w:hAnsi="Arial Narrow"/>
                <w:sz w:val="20"/>
                <w:szCs w:val="20"/>
              </w:rPr>
            </w:pPr>
          </w:p>
        </w:tc>
        <w:tc>
          <w:tcPr>
            <w:tcW w:w="4295" w:type="pct"/>
            <w:tcBorders>
              <w:top w:val="single" w:sz="4" w:space="0" w:color="auto"/>
              <w:left w:val="single" w:sz="4" w:space="0" w:color="auto"/>
              <w:bottom w:val="single" w:sz="4" w:space="0" w:color="auto"/>
              <w:right w:val="single" w:sz="4" w:space="0" w:color="auto"/>
            </w:tcBorders>
            <w:vAlign w:val="center"/>
          </w:tcPr>
          <w:p w14:paraId="16446146" w14:textId="77777777" w:rsidR="00791679" w:rsidRPr="00D674F6" w:rsidRDefault="00791679" w:rsidP="007157C0">
            <w:pPr>
              <w:rPr>
                <w:rFonts w:ascii="Arial Narrow" w:hAnsi="Arial Narrow"/>
                <w:b/>
                <w:bCs/>
                <w:color w:val="333333"/>
                <w:sz w:val="20"/>
                <w:szCs w:val="20"/>
              </w:rPr>
            </w:pPr>
            <w:r w:rsidRPr="00D674F6">
              <w:rPr>
                <w:rFonts w:ascii="Arial Narrow" w:hAnsi="Arial Narrow"/>
                <w:b/>
                <w:bCs/>
                <w:color w:val="333333"/>
                <w:sz w:val="20"/>
                <w:szCs w:val="20"/>
              </w:rPr>
              <w:t>Administrative Advice:</w:t>
            </w:r>
          </w:p>
          <w:p w14:paraId="58547925" w14:textId="77777777" w:rsidR="00791679" w:rsidRPr="00D674F6" w:rsidRDefault="00791679" w:rsidP="007157C0">
            <w:pPr>
              <w:pStyle w:val="pf0"/>
              <w:spacing w:before="0" w:beforeAutospacing="0" w:after="0" w:afterAutospacing="0"/>
              <w:rPr>
                <w:rFonts w:ascii="Arial Narrow" w:hAnsi="Arial Narrow" w:cs="Arial"/>
                <w:b/>
                <w:sz w:val="20"/>
                <w:szCs w:val="20"/>
              </w:rPr>
            </w:pPr>
            <w:r w:rsidRPr="00D674F6">
              <w:rPr>
                <w:rFonts w:ascii="Arial Narrow" w:eastAsia="Calibri" w:hAnsi="Arial Narrow" w:cs="Arial"/>
                <w:sz w:val="20"/>
                <w:szCs w:val="20"/>
                <w14:ligatures w14:val="standardContextual"/>
              </w:rPr>
              <w:t>No increase in the maximum quantity or number of units may be authorised.</w:t>
            </w:r>
          </w:p>
        </w:tc>
      </w:tr>
      <w:tr w:rsidR="00791679" w:rsidRPr="003F2A83" w14:paraId="2BD748C1" w14:textId="77777777" w:rsidTr="00AF29CF">
        <w:trPr>
          <w:trHeight w:val="184"/>
        </w:trPr>
        <w:tc>
          <w:tcPr>
            <w:tcW w:w="705" w:type="pct"/>
            <w:tcBorders>
              <w:left w:val="single" w:sz="4" w:space="0" w:color="auto"/>
              <w:bottom w:val="single" w:sz="4" w:space="0" w:color="auto"/>
              <w:right w:val="single" w:sz="4" w:space="0" w:color="auto"/>
            </w:tcBorders>
          </w:tcPr>
          <w:p w14:paraId="2A9D2BA2" w14:textId="3F32B778" w:rsidR="00791679" w:rsidRPr="00D674F6" w:rsidRDefault="00791679" w:rsidP="007157C0">
            <w:pPr>
              <w:jc w:val="center"/>
              <w:rPr>
                <w:rFonts w:ascii="Arial Narrow" w:hAnsi="Arial Narrow"/>
                <w:sz w:val="20"/>
                <w:szCs w:val="20"/>
              </w:rPr>
            </w:pPr>
          </w:p>
        </w:tc>
        <w:tc>
          <w:tcPr>
            <w:tcW w:w="4295" w:type="pct"/>
            <w:tcBorders>
              <w:top w:val="single" w:sz="4" w:space="0" w:color="auto"/>
              <w:left w:val="single" w:sz="4" w:space="0" w:color="auto"/>
              <w:bottom w:val="single" w:sz="4" w:space="0" w:color="auto"/>
              <w:right w:val="single" w:sz="4" w:space="0" w:color="auto"/>
            </w:tcBorders>
            <w:vAlign w:val="center"/>
          </w:tcPr>
          <w:p w14:paraId="6A9F9F8B" w14:textId="77777777" w:rsidR="00791679" w:rsidRPr="00D674F6" w:rsidRDefault="00791679" w:rsidP="007157C0">
            <w:pPr>
              <w:rPr>
                <w:rFonts w:ascii="Arial Narrow" w:eastAsia="Calibri" w:hAnsi="Arial Narrow"/>
                <w:b/>
                <w:bCs/>
                <w:sz w:val="20"/>
                <w:szCs w:val="20"/>
              </w:rPr>
            </w:pPr>
            <w:r w:rsidRPr="00D674F6">
              <w:rPr>
                <w:rFonts w:ascii="Arial Narrow" w:eastAsia="Calibri" w:hAnsi="Arial Narrow"/>
                <w:b/>
                <w:bCs/>
                <w:sz w:val="20"/>
                <w:szCs w:val="20"/>
              </w:rPr>
              <w:t>Administrative Advice:</w:t>
            </w:r>
          </w:p>
          <w:p w14:paraId="08B89275" w14:textId="77777777" w:rsidR="00791679" w:rsidRPr="00D674F6" w:rsidRDefault="00791679" w:rsidP="007157C0">
            <w:pPr>
              <w:pStyle w:val="pf0"/>
              <w:spacing w:before="0" w:beforeAutospacing="0" w:after="0" w:afterAutospacing="0"/>
              <w:rPr>
                <w:rFonts w:ascii="Arial Narrow" w:eastAsia="Calibri" w:hAnsi="Arial Narrow" w:cs="Arial"/>
                <w:sz w:val="20"/>
                <w:szCs w:val="20"/>
                <w14:ligatures w14:val="standardContextual"/>
              </w:rPr>
            </w:pPr>
            <w:r w:rsidRPr="00D674F6">
              <w:rPr>
                <w:rFonts w:ascii="Arial Narrow" w:eastAsia="Calibri" w:hAnsi="Arial Narrow" w:cs="Arial"/>
                <w:sz w:val="20"/>
                <w:szCs w:val="20"/>
                <w14:ligatures w14:val="standardContextual"/>
              </w:rPr>
              <w:t>No increase in the maximum number of repeats may be authorised.</w:t>
            </w:r>
          </w:p>
        </w:tc>
      </w:tr>
      <w:tr w:rsidR="00791679" w:rsidRPr="003F2A83" w14:paraId="42614E03" w14:textId="77777777" w:rsidTr="00AF29CF">
        <w:trPr>
          <w:trHeight w:val="184"/>
        </w:trPr>
        <w:tc>
          <w:tcPr>
            <w:tcW w:w="705" w:type="pct"/>
            <w:tcBorders>
              <w:left w:val="single" w:sz="4" w:space="0" w:color="auto"/>
              <w:bottom w:val="single" w:sz="4" w:space="0" w:color="auto"/>
              <w:right w:val="single" w:sz="4" w:space="0" w:color="auto"/>
            </w:tcBorders>
          </w:tcPr>
          <w:p w14:paraId="7D0EDB11" w14:textId="364B0F12" w:rsidR="00791679" w:rsidRPr="00D674F6" w:rsidRDefault="00791679" w:rsidP="007157C0">
            <w:pPr>
              <w:jc w:val="center"/>
              <w:rPr>
                <w:rFonts w:ascii="Arial Narrow" w:hAnsi="Arial Narrow"/>
                <w:sz w:val="20"/>
                <w:szCs w:val="20"/>
              </w:rPr>
            </w:pPr>
          </w:p>
        </w:tc>
        <w:tc>
          <w:tcPr>
            <w:tcW w:w="4295" w:type="pct"/>
            <w:tcBorders>
              <w:top w:val="single" w:sz="4" w:space="0" w:color="auto"/>
              <w:left w:val="single" w:sz="4" w:space="0" w:color="auto"/>
              <w:bottom w:val="single" w:sz="4" w:space="0" w:color="auto"/>
              <w:right w:val="single" w:sz="4" w:space="0" w:color="auto"/>
            </w:tcBorders>
            <w:vAlign w:val="center"/>
          </w:tcPr>
          <w:p w14:paraId="3DF71BE7" w14:textId="77777777" w:rsidR="00791679" w:rsidRPr="00D674F6" w:rsidRDefault="00791679" w:rsidP="007157C0">
            <w:pPr>
              <w:rPr>
                <w:rFonts w:ascii="Arial Narrow" w:eastAsia="Calibri" w:hAnsi="Arial Narrow"/>
                <w:b/>
                <w:bCs/>
                <w:sz w:val="20"/>
                <w:szCs w:val="20"/>
              </w:rPr>
            </w:pPr>
            <w:r w:rsidRPr="00D674F6">
              <w:rPr>
                <w:rFonts w:ascii="Arial Narrow" w:eastAsia="Calibri" w:hAnsi="Arial Narrow"/>
                <w:b/>
                <w:bCs/>
                <w:sz w:val="20"/>
                <w:szCs w:val="20"/>
              </w:rPr>
              <w:t>Administrative Advice:</w:t>
            </w:r>
          </w:p>
          <w:p w14:paraId="4BF64927" w14:textId="77777777" w:rsidR="00791679" w:rsidRPr="00D674F6" w:rsidRDefault="00791679" w:rsidP="007157C0">
            <w:pPr>
              <w:pStyle w:val="pf0"/>
              <w:spacing w:before="0" w:beforeAutospacing="0" w:after="0" w:afterAutospacing="0"/>
              <w:rPr>
                <w:rFonts w:ascii="Arial Narrow" w:eastAsia="Calibri" w:hAnsi="Arial Narrow" w:cs="Arial"/>
                <w:sz w:val="20"/>
                <w:szCs w:val="20"/>
                <w14:ligatures w14:val="standardContextual"/>
              </w:rPr>
            </w:pPr>
            <w:r w:rsidRPr="00D674F6">
              <w:rPr>
                <w:rFonts w:ascii="Arial Narrow" w:eastAsia="Calibri" w:hAnsi="Arial Narrow" w:cs="Arial"/>
                <w:sz w:val="20"/>
                <w:szCs w:val="20"/>
                <w14:ligatures w14:val="standardContextual"/>
              </w:rPr>
              <w:t>Special Pricing Arrangements apply.</w:t>
            </w:r>
          </w:p>
        </w:tc>
      </w:tr>
      <w:tr w:rsidR="00791679" w:rsidRPr="003F2A83" w14:paraId="69F536AC" w14:textId="77777777" w:rsidTr="00AF29CF">
        <w:trPr>
          <w:trHeight w:val="20"/>
        </w:trPr>
        <w:tc>
          <w:tcPr>
            <w:tcW w:w="705" w:type="pct"/>
            <w:tcBorders>
              <w:left w:val="single" w:sz="4" w:space="0" w:color="auto"/>
              <w:bottom w:val="single" w:sz="4" w:space="0" w:color="auto"/>
              <w:right w:val="single" w:sz="4" w:space="0" w:color="auto"/>
            </w:tcBorders>
          </w:tcPr>
          <w:p w14:paraId="29FA91B2" w14:textId="34CEDA15" w:rsidR="00791679" w:rsidRPr="00D674F6" w:rsidRDefault="00791679" w:rsidP="007157C0">
            <w:pPr>
              <w:jc w:val="center"/>
              <w:rPr>
                <w:rFonts w:ascii="Arial Narrow" w:hAnsi="Arial Narrow"/>
                <w:sz w:val="20"/>
                <w:szCs w:val="20"/>
              </w:rPr>
            </w:pPr>
          </w:p>
        </w:tc>
        <w:tc>
          <w:tcPr>
            <w:tcW w:w="4295" w:type="pct"/>
            <w:tcBorders>
              <w:top w:val="single" w:sz="4" w:space="0" w:color="auto"/>
              <w:left w:val="single" w:sz="4" w:space="0" w:color="auto"/>
              <w:bottom w:val="single" w:sz="4" w:space="0" w:color="auto"/>
              <w:right w:val="single" w:sz="4" w:space="0" w:color="auto"/>
            </w:tcBorders>
            <w:vAlign w:val="center"/>
          </w:tcPr>
          <w:p w14:paraId="0CB433E2" w14:textId="77777777" w:rsidR="00791679" w:rsidRPr="00D674F6" w:rsidRDefault="00791679" w:rsidP="007157C0">
            <w:pPr>
              <w:rPr>
                <w:rFonts w:ascii="Arial Narrow" w:hAnsi="Arial Narrow"/>
                <w:b/>
                <w:bCs/>
                <w:color w:val="333333"/>
                <w:sz w:val="20"/>
                <w:szCs w:val="20"/>
              </w:rPr>
            </w:pPr>
            <w:r w:rsidRPr="00D674F6">
              <w:rPr>
                <w:rFonts w:ascii="Arial Narrow" w:hAnsi="Arial Narrow"/>
                <w:b/>
                <w:bCs/>
                <w:color w:val="333333"/>
                <w:sz w:val="20"/>
                <w:szCs w:val="20"/>
              </w:rPr>
              <w:t>Administrative Advice:</w:t>
            </w:r>
          </w:p>
          <w:p w14:paraId="78370CE3" w14:textId="77777777" w:rsidR="00791679" w:rsidRPr="00D674F6" w:rsidRDefault="00791679" w:rsidP="007157C0">
            <w:pPr>
              <w:pStyle w:val="TableCentre"/>
              <w:jc w:val="left"/>
              <w:rPr>
                <w:rFonts w:ascii="Arial Narrow" w:eastAsia="Calibri" w:hAnsi="Arial Narrow" w:cs="Arial"/>
                <w:sz w:val="20"/>
                <w:szCs w:val="20"/>
                <w:lang w:eastAsia="en-AU" w:bidi="ar-SA"/>
                <w14:ligatures w14:val="standardContextual"/>
              </w:rPr>
            </w:pPr>
            <w:r w:rsidRPr="00D674F6">
              <w:rPr>
                <w:rFonts w:ascii="Arial Narrow" w:eastAsia="Calibri" w:hAnsi="Arial Narrow" w:cs="Arial"/>
                <w:sz w:val="20"/>
                <w:szCs w:val="20"/>
                <w:lang w:eastAsia="en-AU" w:bidi="ar-SA"/>
                <w14:ligatures w14:val="standardContextual"/>
              </w:rPr>
              <w:t>The Eczema Area and Severity Index (EASI) referenced in this restriction is that described in the following literature publications:</w:t>
            </w:r>
          </w:p>
          <w:p w14:paraId="72F64B9C" w14:textId="77777777" w:rsidR="00791679" w:rsidRPr="00D674F6" w:rsidRDefault="00791679" w:rsidP="007157C0">
            <w:pPr>
              <w:pStyle w:val="TableCentre"/>
              <w:jc w:val="left"/>
              <w:rPr>
                <w:rFonts w:ascii="Arial Narrow" w:eastAsia="Calibri" w:hAnsi="Arial Narrow" w:cs="Arial"/>
                <w:sz w:val="20"/>
                <w:szCs w:val="20"/>
                <w:lang w:eastAsia="en-AU" w:bidi="ar-SA"/>
                <w14:ligatures w14:val="standardContextual"/>
              </w:rPr>
            </w:pPr>
            <w:r w:rsidRPr="00D674F6">
              <w:rPr>
                <w:rFonts w:ascii="Arial Narrow" w:eastAsia="Calibri" w:hAnsi="Arial Narrow" w:cs="Arial"/>
                <w:sz w:val="20"/>
                <w:szCs w:val="20"/>
                <w:lang w:eastAsia="en-AU" w:bidi="ar-SA"/>
                <w14:ligatures w14:val="standardContextual"/>
              </w:rPr>
              <w:t>Chalmers JR et al. Report from the third international consensus meeting to harmonise core outcome measures for atopic eczema/dermatitis clinical trials (HOME). </w:t>
            </w:r>
            <w:r w:rsidRPr="00D674F6">
              <w:rPr>
                <w:rFonts w:ascii="Arial Narrow" w:eastAsia="Calibri" w:hAnsi="Arial Narrow" w:cs="Arial"/>
                <w:i/>
                <w:iCs/>
                <w:sz w:val="20"/>
                <w:szCs w:val="20"/>
                <w:lang w:eastAsia="en-AU" w:bidi="ar-SA"/>
                <w14:ligatures w14:val="standardContextual"/>
              </w:rPr>
              <w:t>British Journal of Dermatology</w:t>
            </w:r>
            <w:r w:rsidRPr="00D674F6">
              <w:rPr>
                <w:rFonts w:ascii="Arial Narrow" w:eastAsia="Calibri" w:hAnsi="Arial Narrow" w:cs="Arial"/>
                <w:sz w:val="20"/>
                <w:szCs w:val="20"/>
                <w:lang w:eastAsia="en-AU" w:bidi="ar-SA"/>
                <w14:ligatures w14:val="standardContextual"/>
              </w:rPr>
              <w:t> 2014 December;171(6):1318-25.</w:t>
            </w:r>
          </w:p>
          <w:p w14:paraId="6DBF9648" w14:textId="77777777" w:rsidR="00791679" w:rsidRPr="00D674F6" w:rsidRDefault="00791679" w:rsidP="007157C0">
            <w:pPr>
              <w:rPr>
                <w:rFonts w:ascii="Arial Narrow" w:hAnsi="Arial Narrow"/>
                <w:color w:val="333333"/>
                <w:sz w:val="20"/>
                <w:szCs w:val="20"/>
              </w:rPr>
            </w:pPr>
            <w:r w:rsidRPr="00D674F6">
              <w:rPr>
                <w:rFonts w:ascii="Arial Narrow" w:eastAsia="Calibri" w:hAnsi="Arial Narrow"/>
                <w:sz w:val="20"/>
                <w:szCs w:val="20"/>
              </w:rPr>
              <w:t>Schmitt J et al. HOME initiative collaborators. The Harmonising Outcome Measures for Eczema (HOME) statement to assess clinical signs of atopic eczema in trials. </w:t>
            </w:r>
            <w:r w:rsidRPr="00D674F6">
              <w:rPr>
                <w:rFonts w:ascii="Arial Narrow" w:eastAsia="Calibri" w:hAnsi="Arial Narrow"/>
                <w:i/>
                <w:iCs/>
                <w:sz w:val="20"/>
                <w:szCs w:val="20"/>
              </w:rPr>
              <w:t>The Journal of Allergy and Clinical Immunology</w:t>
            </w:r>
            <w:r w:rsidRPr="00D674F6">
              <w:rPr>
                <w:rFonts w:ascii="Arial Narrow" w:eastAsia="Calibri" w:hAnsi="Arial Narrow"/>
                <w:sz w:val="20"/>
                <w:szCs w:val="20"/>
              </w:rPr>
              <w:t> 2014 October;134(4):800-7</w:t>
            </w:r>
          </w:p>
        </w:tc>
      </w:tr>
      <w:tr w:rsidR="00791679" w:rsidRPr="003F2A83" w14:paraId="123CEAAC" w14:textId="77777777" w:rsidTr="00AF29CF">
        <w:trPr>
          <w:trHeight w:val="20"/>
        </w:trPr>
        <w:tc>
          <w:tcPr>
            <w:tcW w:w="705" w:type="pct"/>
            <w:tcBorders>
              <w:left w:val="single" w:sz="4" w:space="0" w:color="auto"/>
              <w:bottom w:val="single" w:sz="4" w:space="0" w:color="auto"/>
              <w:right w:val="single" w:sz="4" w:space="0" w:color="auto"/>
            </w:tcBorders>
          </w:tcPr>
          <w:p w14:paraId="7F3F61B0" w14:textId="3C7C561A" w:rsidR="00791679" w:rsidRPr="00D674F6" w:rsidRDefault="00791679" w:rsidP="007157C0">
            <w:pPr>
              <w:jc w:val="center"/>
              <w:rPr>
                <w:rFonts w:ascii="Arial Narrow" w:hAnsi="Arial Narrow"/>
                <w:sz w:val="20"/>
                <w:szCs w:val="20"/>
              </w:rPr>
            </w:pPr>
          </w:p>
        </w:tc>
        <w:tc>
          <w:tcPr>
            <w:tcW w:w="4295" w:type="pct"/>
            <w:tcBorders>
              <w:top w:val="single" w:sz="4" w:space="0" w:color="auto"/>
              <w:left w:val="single" w:sz="4" w:space="0" w:color="auto"/>
              <w:bottom w:val="single" w:sz="4" w:space="0" w:color="auto"/>
              <w:right w:val="single" w:sz="4" w:space="0" w:color="auto"/>
            </w:tcBorders>
            <w:vAlign w:val="center"/>
          </w:tcPr>
          <w:p w14:paraId="3D938AC8" w14:textId="77777777" w:rsidR="00791679" w:rsidRPr="00D674F6" w:rsidRDefault="00791679" w:rsidP="007157C0">
            <w:pPr>
              <w:keepLines/>
              <w:rPr>
                <w:rFonts w:ascii="Arial Narrow" w:hAnsi="Arial Narrow"/>
                <w:b/>
                <w:bCs/>
                <w:color w:val="333333"/>
                <w:sz w:val="20"/>
                <w:szCs w:val="20"/>
              </w:rPr>
            </w:pPr>
            <w:r w:rsidRPr="00D674F6">
              <w:rPr>
                <w:rFonts w:ascii="Arial Narrow" w:hAnsi="Arial Narrow"/>
                <w:b/>
                <w:bCs/>
                <w:color w:val="333333"/>
                <w:sz w:val="20"/>
                <w:szCs w:val="20"/>
              </w:rPr>
              <w:t>Administrative Advice:</w:t>
            </w:r>
          </w:p>
          <w:p w14:paraId="603FFF95" w14:textId="3948E680" w:rsidR="00791679" w:rsidRPr="00D674F6" w:rsidRDefault="00791679" w:rsidP="007157C0">
            <w:pPr>
              <w:keepLines/>
              <w:rPr>
                <w:rFonts w:ascii="Arial Narrow" w:hAnsi="Arial Narrow"/>
                <w:b/>
                <w:sz w:val="20"/>
                <w:szCs w:val="20"/>
              </w:rPr>
            </w:pPr>
            <w:r w:rsidRPr="00D674F6">
              <w:rPr>
                <w:rFonts w:ascii="Arial Narrow" w:eastAsia="Calibri" w:hAnsi="Arial Narrow"/>
                <w:sz w:val="20"/>
                <w:szCs w:val="20"/>
              </w:rPr>
              <w:t xml:space="preserve">Instructions on the use of the Dermatology Life Quality Index and copyright details can be found here: </w:t>
            </w:r>
            <w:hyperlink r:id="rId11" w:history="1">
              <w:r w:rsidRPr="00D674F6">
                <w:rPr>
                  <w:rFonts w:ascii="Arial Narrow" w:eastAsia="Calibri" w:hAnsi="Arial Narrow"/>
                  <w:sz w:val="20"/>
                  <w:szCs w:val="20"/>
                </w:rPr>
                <w:t>https://www.cardiff.ac.uk/medicine/resources/quality-of-life-questionnaires/dermatology-life-quality-index</w:t>
              </w:r>
            </w:hyperlink>
            <w:r w:rsidR="00807021">
              <w:rPr>
                <w:rFonts w:ascii="Arial Narrow" w:eastAsia="Calibri" w:hAnsi="Arial Narrow"/>
                <w:sz w:val="20"/>
                <w:szCs w:val="20"/>
              </w:rPr>
              <w:t xml:space="preserve"> </w:t>
            </w:r>
          </w:p>
        </w:tc>
      </w:tr>
      <w:tr w:rsidR="00791679" w:rsidRPr="003F2A83" w14:paraId="7738252E" w14:textId="77777777" w:rsidTr="00AF29CF">
        <w:trPr>
          <w:trHeight w:val="20"/>
        </w:trPr>
        <w:tc>
          <w:tcPr>
            <w:tcW w:w="705" w:type="pct"/>
            <w:tcBorders>
              <w:left w:val="single" w:sz="4" w:space="0" w:color="auto"/>
              <w:bottom w:val="single" w:sz="4" w:space="0" w:color="auto"/>
              <w:right w:val="single" w:sz="4" w:space="0" w:color="auto"/>
            </w:tcBorders>
          </w:tcPr>
          <w:p w14:paraId="46037F68" w14:textId="52E61A55" w:rsidR="00791679" w:rsidRPr="00D674F6" w:rsidRDefault="00791679" w:rsidP="007157C0">
            <w:pPr>
              <w:jc w:val="center"/>
              <w:rPr>
                <w:rFonts w:ascii="Arial Narrow" w:hAnsi="Arial Narrow"/>
                <w:color w:val="333333"/>
                <w:sz w:val="20"/>
                <w:szCs w:val="20"/>
              </w:rPr>
            </w:pPr>
          </w:p>
        </w:tc>
        <w:tc>
          <w:tcPr>
            <w:tcW w:w="4295" w:type="pct"/>
            <w:tcBorders>
              <w:top w:val="single" w:sz="4" w:space="0" w:color="auto"/>
              <w:left w:val="single" w:sz="4" w:space="0" w:color="auto"/>
              <w:bottom w:val="single" w:sz="4" w:space="0" w:color="auto"/>
              <w:right w:val="single" w:sz="4" w:space="0" w:color="auto"/>
            </w:tcBorders>
            <w:vAlign w:val="center"/>
          </w:tcPr>
          <w:p w14:paraId="0F3B9818" w14:textId="77777777" w:rsidR="00791679" w:rsidRPr="00D674F6" w:rsidRDefault="00791679" w:rsidP="007157C0">
            <w:pPr>
              <w:keepLines/>
              <w:rPr>
                <w:rFonts w:ascii="Arial Narrow" w:hAnsi="Arial Narrow"/>
                <w:b/>
                <w:bCs/>
                <w:color w:val="333333"/>
                <w:sz w:val="20"/>
                <w:szCs w:val="20"/>
              </w:rPr>
            </w:pPr>
            <w:r w:rsidRPr="00D674F6">
              <w:rPr>
                <w:rFonts w:ascii="Arial Narrow" w:hAnsi="Arial Narrow"/>
                <w:b/>
                <w:bCs/>
                <w:color w:val="333333"/>
                <w:sz w:val="20"/>
                <w:szCs w:val="20"/>
              </w:rPr>
              <w:t>Administrative Advice:</w:t>
            </w:r>
          </w:p>
          <w:p w14:paraId="7C4685FD" w14:textId="77777777" w:rsidR="00791679" w:rsidRPr="00D674F6" w:rsidRDefault="00791679" w:rsidP="007157C0">
            <w:pPr>
              <w:pStyle w:val="TableCentre"/>
              <w:jc w:val="left"/>
              <w:rPr>
                <w:rFonts w:ascii="Arial Narrow" w:eastAsia="Calibri" w:hAnsi="Arial Narrow" w:cs="Arial"/>
                <w:sz w:val="20"/>
                <w:szCs w:val="20"/>
                <w:lang w:eastAsia="en-AU" w:bidi="ar-SA"/>
                <w14:ligatures w14:val="standardContextual"/>
              </w:rPr>
            </w:pPr>
            <w:r w:rsidRPr="00D674F6">
              <w:rPr>
                <w:rFonts w:ascii="Arial Narrow" w:eastAsia="Calibri" w:hAnsi="Arial Narrow" w:cs="Arial"/>
                <w:sz w:val="20"/>
                <w:szCs w:val="20"/>
                <w:lang w:eastAsia="en-AU" w:bidi="ar-SA"/>
                <w14:ligatures w14:val="standardContextual"/>
              </w:rPr>
              <w:t>The Physician's Global Assessment (5-point scale) referenced in this restriction is that described in the following literature publication:</w:t>
            </w:r>
          </w:p>
          <w:p w14:paraId="388F40BC" w14:textId="77777777" w:rsidR="00791679" w:rsidRPr="00D674F6" w:rsidRDefault="00791679" w:rsidP="007157C0">
            <w:pPr>
              <w:pStyle w:val="TableCentre"/>
              <w:jc w:val="left"/>
              <w:rPr>
                <w:rFonts w:ascii="Arial Narrow" w:eastAsia="Calibri" w:hAnsi="Arial Narrow" w:cs="Arial"/>
                <w:sz w:val="20"/>
                <w:szCs w:val="20"/>
                <w:lang w:eastAsia="en-AU" w:bidi="ar-SA"/>
                <w14:ligatures w14:val="standardContextual"/>
              </w:rPr>
            </w:pPr>
            <w:proofErr w:type="spellStart"/>
            <w:r w:rsidRPr="00D674F6">
              <w:rPr>
                <w:rFonts w:ascii="Arial Narrow" w:eastAsia="Calibri" w:hAnsi="Arial Narrow" w:cs="Arial"/>
                <w:sz w:val="20"/>
                <w:szCs w:val="20"/>
                <w:lang w:eastAsia="en-AU" w:bidi="ar-SA"/>
                <w14:ligatures w14:val="standardContextual"/>
              </w:rPr>
              <w:lastRenderedPageBreak/>
              <w:t>Fatumura</w:t>
            </w:r>
            <w:proofErr w:type="spellEnd"/>
            <w:r w:rsidRPr="00D674F6">
              <w:rPr>
                <w:rFonts w:ascii="Arial Narrow" w:eastAsia="Calibri" w:hAnsi="Arial Narrow" w:cs="Arial"/>
                <w:sz w:val="20"/>
                <w:szCs w:val="20"/>
                <w:lang w:eastAsia="en-AU" w:bidi="ar-SA"/>
                <w14:ligatures w14:val="standardContextual"/>
              </w:rPr>
              <w:t xml:space="preserve"> M et al. A systematic review of Investigator Global Assessment (IGA) in atopic dermatitis (AD) trials: Many options, no standards Journal of the American Academy of Dermatology 2016; 674(2): 288-94 </w:t>
            </w:r>
          </w:p>
          <w:p w14:paraId="6AB32FA8" w14:textId="77777777" w:rsidR="00791679" w:rsidRPr="00D674F6" w:rsidRDefault="00791679" w:rsidP="007157C0">
            <w:pPr>
              <w:keepLines/>
              <w:rPr>
                <w:rFonts w:ascii="Arial Narrow" w:hAnsi="Arial Narrow"/>
                <w:b/>
                <w:bCs/>
                <w:color w:val="333333"/>
                <w:sz w:val="20"/>
                <w:szCs w:val="20"/>
              </w:rPr>
            </w:pPr>
            <w:r w:rsidRPr="00D674F6">
              <w:rPr>
                <w:rFonts w:ascii="Arial Narrow" w:eastAsia="Calibri" w:hAnsi="Arial Narrow"/>
                <w:sz w:val="20"/>
                <w:szCs w:val="20"/>
              </w:rPr>
              <w:t>The overall appearance of dermatitis lesions is rated as 4 (severe) if the lesions are best described as featuring: deep/dark red erythema, with marked and extensive induration/papulation; excoriation and oozing/crusting are present.</w:t>
            </w:r>
          </w:p>
        </w:tc>
      </w:tr>
      <w:tr w:rsidR="00791679" w:rsidRPr="003F2A83" w14:paraId="720F995D" w14:textId="77777777" w:rsidTr="00AF29CF">
        <w:trPr>
          <w:trHeight w:val="20"/>
        </w:trPr>
        <w:tc>
          <w:tcPr>
            <w:tcW w:w="705" w:type="pct"/>
            <w:tcBorders>
              <w:left w:val="single" w:sz="4" w:space="0" w:color="auto"/>
              <w:bottom w:val="single" w:sz="4" w:space="0" w:color="auto"/>
              <w:right w:val="single" w:sz="4" w:space="0" w:color="auto"/>
            </w:tcBorders>
          </w:tcPr>
          <w:p w14:paraId="3FF75E28" w14:textId="73677BB5" w:rsidR="00791679" w:rsidRPr="00D674F6" w:rsidRDefault="00791679" w:rsidP="007157C0">
            <w:pPr>
              <w:jc w:val="center"/>
              <w:rPr>
                <w:rFonts w:ascii="Arial Narrow" w:hAnsi="Arial Narrow"/>
                <w:sz w:val="20"/>
                <w:szCs w:val="20"/>
              </w:rPr>
            </w:pPr>
          </w:p>
        </w:tc>
        <w:tc>
          <w:tcPr>
            <w:tcW w:w="4295" w:type="pct"/>
            <w:tcBorders>
              <w:top w:val="single" w:sz="4" w:space="0" w:color="auto"/>
              <w:left w:val="single" w:sz="4" w:space="0" w:color="auto"/>
              <w:bottom w:val="single" w:sz="4" w:space="0" w:color="auto"/>
              <w:right w:val="single" w:sz="4" w:space="0" w:color="auto"/>
            </w:tcBorders>
            <w:vAlign w:val="center"/>
          </w:tcPr>
          <w:p w14:paraId="0FE3F588" w14:textId="77777777" w:rsidR="00791679" w:rsidRPr="00D674F6" w:rsidRDefault="00791679" w:rsidP="007157C0">
            <w:pPr>
              <w:keepLines/>
              <w:rPr>
                <w:rFonts w:ascii="Arial Narrow" w:hAnsi="Arial Narrow"/>
                <w:b/>
                <w:bCs/>
                <w:color w:val="333333"/>
                <w:sz w:val="20"/>
                <w:szCs w:val="20"/>
              </w:rPr>
            </w:pPr>
            <w:r w:rsidRPr="00D674F6">
              <w:rPr>
                <w:rFonts w:ascii="Arial Narrow" w:hAnsi="Arial Narrow"/>
                <w:b/>
                <w:bCs/>
                <w:color w:val="333333"/>
                <w:sz w:val="20"/>
                <w:szCs w:val="20"/>
              </w:rPr>
              <w:t>Administrative Advice:</w:t>
            </w:r>
          </w:p>
          <w:p w14:paraId="374F2372" w14:textId="77777777" w:rsidR="00791679" w:rsidRPr="00D674F6" w:rsidRDefault="00791679" w:rsidP="007157C0">
            <w:pPr>
              <w:keepLines/>
              <w:rPr>
                <w:rFonts w:ascii="Arial Narrow" w:hAnsi="Arial Narrow"/>
                <w:b/>
                <w:sz w:val="20"/>
                <w:szCs w:val="20"/>
              </w:rPr>
            </w:pPr>
            <w:r w:rsidRPr="00D674F6">
              <w:rPr>
                <w:rFonts w:ascii="Arial Narrow" w:eastAsia="Calibri" w:hAnsi="Arial Narrow"/>
                <w:sz w:val="20"/>
                <w:szCs w:val="20"/>
              </w:rPr>
              <w:t xml:space="preserve">Applications for authorisation under this restriction may be made in real time using the Online PBS Authorities system (see www.servicesaustralia.gov.au/HPOS) or by telephone by contacting Services Australia on 1800 888 333. </w:t>
            </w:r>
          </w:p>
        </w:tc>
      </w:tr>
    </w:tbl>
    <w:p w14:paraId="27D33EEF" w14:textId="77777777" w:rsidR="00791679" w:rsidRDefault="00791679" w:rsidP="00546DBD">
      <w:pPr>
        <w:widowControl w:val="0"/>
      </w:pPr>
    </w:p>
    <w:p w14:paraId="41F05C68" w14:textId="77777777" w:rsidR="008B68A4" w:rsidRPr="00185AAB" w:rsidRDefault="008B68A4" w:rsidP="00185AAB">
      <w:pPr>
        <w:rPr>
          <w:b/>
          <w:bCs/>
          <w:i/>
        </w:rPr>
      </w:pPr>
      <w:bookmarkStart w:id="17" w:name="_Hlk104809470"/>
      <w:bookmarkEnd w:id="16"/>
      <w:r w:rsidRPr="00185AAB">
        <w:rPr>
          <w:b/>
          <w:bCs/>
        </w:rPr>
        <w:t>Initial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Initial"/>
      </w:tblPr>
      <w:tblGrid>
        <w:gridCol w:w="3919"/>
        <w:gridCol w:w="806"/>
        <w:gridCol w:w="808"/>
        <w:gridCol w:w="806"/>
        <w:gridCol w:w="808"/>
        <w:gridCol w:w="1870"/>
      </w:tblGrid>
      <w:tr w:rsidR="008B68A4" w:rsidRPr="00446E53" w14:paraId="37094461" w14:textId="77777777" w:rsidTr="00AF29CF">
        <w:trPr>
          <w:cantSplit/>
          <w:trHeight w:val="20"/>
        </w:trPr>
        <w:tc>
          <w:tcPr>
            <w:tcW w:w="2173" w:type="pct"/>
            <w:vAlign w:val="center"/>
          </w:tcPr>
          <w:p w14:paraId="3D15EAD5" w14:textId="77777777" w:rsidR="008B68A4" w:rsidRPr="00446E53" w:rsidRDefault="008B68A4" w:rsidP="007157C0">
            <w:pPr>
              <w:keepLines/>
              <w:rPr>
                <w:rFonts w:ascii="Arial Narrow" w:hAnsi="Arial Narrow"/>
                <w:b/>
                <w:bCs/>
                <w:sz w:val="20"/>
                <w:szCs w:val="20"/>
              </w:rPr>
            </w:pPr>
            <w:r w:rsidRPr="00446E53">
              <w:rPr>
                <w:rFonts w:ascii="Arial Narrow" w:hAnsi="Arial Narrow"/>
                <w:b/>
                <w:bCs/>
                <w:sz w:val="20"/>
                <w:szCs w:val="20"/>
              </w:rPr>
              <w:t>MEDICINAL PRODUCT</w:t>
            </w:r>
          </w:p>
          <w:p w14:paraId="0CDEBA2F" w14:textId="77777777" w:rsidR="008B68A4" w:rsidRPr="00446E53" w:rsidRDefault="008B68A4" w:rsidP="007157C0">
            <w:pPr>
              <w:keepLines/>
              <w:rPr>
                <w:rFonts w:ascii="Arial Narrow" w:hAnsi="Arial Narrow"/>
                <w:b/>
                <w:sz w:val="20"/>
                <w:szCs w:val="20"/>
              </w:rPr>
            </w:pPr>
            <w:r w:rsidRPr="00446E53">
              <w:rPr>
                <w:rFonts w:ascii="Arial Narrow" w:hAnsi="Arial Narrow"/>
                <w:b/>
                <w:bCs/>
                <w:sz w:val="20"/>
                <w:szCs w:val="20"/>
              </w:rPr>
              <w:t>medicinal product pack</w:t>
            </w:r>
          </w:p>
        </w:tc>
        <w:tc>
          <w:tcPr>
            <w:tcW w:w="447" w:type="pct"/>
            <w:vAlign w:val="center"/>
          </w:tcPr>
          <w:p w14:paraId="57995784"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PBS item code</w:t>
            </w:r>
          </w:p>
        </w:tc>
        <w:tc>
          <w:tcPr>
            <w:tcW w:w="448" w:type="pct"/>
            <w:vAlign w:val="center"/>
          </w:tcPr>
          <w:p w14:paraId="30BF56DE"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Max. qty packs</w:t>
            </w:r>
          </w:p>
        </w:tc>
        <w:tc>
          <w:tcPr>
            <w:tcW w:w="447" w:type="pct"/>
            <w:vAlign w:val="center"/>
          </w:tcPr>
          <w:p w14:paraId="37745C6A" w14:textId="31C0EC63"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Max. qty units</w:t>
            </w:r>
          </w:p>
        </w:tc>
        <w:tc>
          <w:tcPr>
            <w:tcW w:w="448" w:type="pct"/>
            <w:vAlign w:val="center"/>
          </w:tcPr>
          <w:p w14:paraId="060A1937"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№.of</w:t>
            </w:r>
          </w:p>
          <w:p w14:paraId="4C760A21"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Rpts</w:t>
            </w:r>
          </w:p>
        </w:tc>
        <w:tc>
          <w:tcPr>
            <w:tcW w:w="1037" w:type="pct"/>
            <w:vAlign w:val="center"/>
          </w:tcPr>
          <w:p w14:paraId="676F61D6" w14:textId="77777777" w:rsidR="008B68A4" w:rsidRPr="00446E53" w:rsidRDefault="008B68A4" w:rsidP="007157C0">
            <w:pPr>
              <w:keepLines/>
              <w:rPr>
                <w:rFonts w:ascii="Arial Narrow" w:hAnsi="Arial Narrow"/>
                <w:b/>
                <w:sz w:val="20"/>
                <w:szCs w:val="20"/>
                <w:lang w:val="fr-FR"/>
              </w:rPr>
            </w:pPr>
            <w:r w:rsidRPr="00446E53">
              <w:rPr>
                <w:rFonts w:ascii="Arial Narrow" w:hAnsi="Arial Narrow"/>
                <w:b/>
                <w:sz w:val="20"/>
                <w:szCs w:val="20"/>
              </w:rPr>
              <w:t>Available brands</w:t>
            </w:r>
          </w:p>
        </w:tc>
      </w:tr>
      <w:tr w:rsidR="008B68A4" w:rsidRPr="00446E53" w14:paraId="4F31E04C" w14:textId="77777777" w:rsidTr="00AF29CF">
        <w:trPr>
          <w:cantSplit/>
          <w:trHeight w:val="20"/>
        </w:trPr>
        <w:tc>
          <w:tcPr>
            <w:tcW w:w="5000" w:type="pct"/>
            <w:gridSpan w:val="6"/>
            <w:vAlign w:val="center"/>
          </w:tcPr>
          <w:p w14:paraId="79911DD1" w14:textId="77777777" w:rsidR="008B68A4" w:rsidRPr="00446E53" w:rsidRDefault="008B68A4" w:rsidP="007157C0">
            <w:pPr>
              <w:keepLines/>
              <w:rPr>
                <w:rFonts w:ascii="Arial Narrow" w:hAnsi="Arial Narrow"/>
                <w:sz w:val="20"/>
                <w:szCs w:val="20"/>
              </w:rPr>
            </w:pPr>
            <w:r>
              <w:rPr>
                <w:rFonts w:ascii="Arial Narrow" w:hAnsi="Arial Narrow"/>
                <w:sz w:val="20"/>
                <w:szCs w:val="20"/>
              </w:rPr>
              <w:t>NEMOLIZUMAB</w:t>
            </w:r>
          </w:p>
        </w:tc>
      </w:tr>
      <w:tr w:rsidR="008B68A4" w:rsidRPr="00E168B8" w14:paraId="39FB0898" w14:textId="77777777" w:rsidTr="00AF29CF">
        <w:trPr>
          <w:cantSplit/>
          <w:trHeight w:val="20"/>
        </w:trPr>
        <w:tc>
          <w:tcPr>
            <w:tcW w:w="2173" w:type="pct"/>
            <w:vAlign w:val="center"/>
          </w:tcPr>
          <w:p w14:paraId="4776A9BD" w14:textId="77777777" w:rsidR="008B68A4" w:rsidRPr="00CA4390" w:rsidRDefault="008B68A4" w:rsidP="007157C0">
            <w:pPr>
              <w:keepLines/>
              <w:rPr>
                <w:rFonts w:ascii="Arial Narrow" w:hAnsi="Arial Narrow"/>
                <w:sz w:val="20"/>
                <w:szCs w:val="20"/>
              </w:rPr>
            </w:pPr>
            <w:r w:rsidRPr="00CA4390">
              <w:rPr>
                <w:rFonts w:ascii="Arial Narrow" w:hAnsi="Arial Narrow"/>
                <w:sz w:val="20"/>
                <w:szCs w:val="20"/>
              </w:rPr>
              <w:t xml:space="preserve">nemolizumab 30 mg injection [1 chamber] (&amp;) inert substance diluent [1 chamber], 1 dual chamber pen device </w:t>
            </w:r>
          </w:p>
        </w:tc>
        <w:tc>
          <w:tcPr>
            <w:tcW w:w="447" w:type="pct"/>
            <w:vAlign w:val="center"/>
          </w:tcPr>
          <w:p w14:paraId="2E5A813E" w14:textId="77777777" w:rsidR="008B68A4" w:rsidRPr="00E168B8" w:rsidRDefault="008B68A4" w:rsidP="007157C0">
            <w:pPr>
              <w:keepLines/>
              <w:jc w:val="center"/>
              <w:rPr>
                <w:rFonts w:ascii="Arial Narrow" w:hAnsi="Arial Narrow"/>
                <w:sz w:val="20"/>
                <w:szCs w:val="20"/>
              </w:rPr>
            </w:pPr>
            <w:r w:rsidRPr="00E168B8">
              <w:rPr>
                <w:rFonts w:ascii="Arial Narrow" w:hAnsi="Arial Narrow"/>
                <w:sz w:val="20"/>
                <w:szCs w:val="20"/>
              </w:rPr>
              <w:t>NEW</w:t>
            </w:r>
          </w:p>
        </w:tc>
        <w:tc>
          <w:tcPr>
            <w:tcW w:w="448" w:type="pct"/>
            <w:vAlign w:val="center"/>
          </w:tcPr>
          <w:p w14:paraId="611CE93C" w14:textId="77777777" w:rsidR="008B68A4" w:rsidRPr="00E168B8" w:rsidRDefault="008B68A4" w:rsidP="007157C0">
            <w:pPr>
              <w:keepLines/>
              <w:jc w:val="center"/>
              <w:rPr>
                <w:rFonts w:ascii="Arial Narrow" w:hAnsi="Arial Narrow"/>
                <w:sz w:val="20"/>
                <w:szCs w:val="20"/>
              </w:rPr>
            </w:pPr>
            <w:r w:rsidRPr="00E168B8">
              <w:rPr>
                <w:rFonts w:ascii="Arial Narrow" w:hAnsi="Arial Narrow"/>
                <w:sz w:val="20"/>
                <w:szCs w:val="20"/>
              </w:rPr>
              <w:t>2</w:t>
            </w:r>
          </w:p>
        </w:tc>
        <w:tc>
          <w:tcPr>
            <w:tcW w:w="447" w:type="pct"/>
            <w:vAlign w:val="center"/>
          </w:tcPr>
          <w:p w14:paraId="2D2C881A" w14:textId="77777777" w:rsidR="008B68A4" w:rsidRPr="00E168B8" w:rsidRDefault="008B68A4" w:rsidP="007157C0">
            <w:pPr>
              <w:keepLines/>
              <w:jc w:val="center"/>
              <w:rPr>
                <w:rFonts w:ascii="Arial Narrow" w:hAnsi="Arial Narrow"/>
                <w:sz w:val="20"/>
                <w:szCs w:val="20"/>
              </w:rPr>
            </w:pPr>
            <w:r w:rsidRPr="00E168B8">
              <w:rPr>
                <w:rFonts w:ascii="Arial Narrow" w:hAnsi="Arial Narrow"/>
                <w:sz w:val="20"/>
                <w:szCs w:val="20"/>
              </w:rPr>
              <w:t>2</w:t>
            </w:r>
          </w:p>
        </w:tc>
        <w:tc>
          <w:tcPr>
            <w:tcW w:w="448" w:type="pct"/>
            <w:vAlign w:val="center"/>
          </w:tcPr>
          <w:p w14:paraId="206E171A" w14:textId="77777777" w:rsidR="008B68A4" w:rsidRPr="00E168B8" w:rsidRDefault="008B68A4" w:rsidP="007157C0">
            <w:pPr>
              <w:keepLines/>
              <w:jc w:val="center"/>
              <w:rPr>
                <w:rFonts w:ascii="Arial Narrow" w:hAnsi="Arial Narrow"/>
                <w:sz w:val="20"/>
                <w:szCs w:val="20"/>
              </w:rPr>
            </w:pPr>
            <w:r w:rsidRPr="00E168B8">
              <w:rPr>
                <w:rFonts w:ascii="Arial Narrow" w:hAnsi="Arial Narrow"/>
                <w:sz w:val="20"/>
                <w:szCs w:val="20"/>
              </w:rPr>
              <w:t>2</w:t>
            </w:r>
          </w:p>
        </w:tc>
        <w:tc>
          <w:tcPr>
            <w:tcW w:w="1037" w:type="pct"/>
            <w:vAlign w:val="center"/>
          </w:tcPr>
          <w:p w14:paraId="3A790920" w14:textId="77777777" w:rsidR="008B68A4" w:rsidRPr="00E168B8" w:rsidRDefault="008B68A4" w:rsidP="007157C0">
            <w:pPr>
              <w:keepLines/>
              <w:jc w:val="center"/>
              <w:rPr>
                <w:rFonts w:ascii="Arial Narrow" w:hAnsi="Arial Narrow"/>
                <w:sz w:val="20"/>
                <w:szCs w:val="20"/>
              </w:rPr>
            </w:pPr>
          </w:p>
          <w:p w14:paraId="505FF1CE" w14:textId="77777777" w:rsidR="008B68A4" w:rsidRPr="00E168B8" w:rsidRDefault="008B68A4" w:rsidP="007157C0">
            <w:pPr>
              <w:keepLines/>
              <w:jc w:val="center"/>
              <w:rPr>
                <w:rFonts w:ascii="Arial Narrow" w:hAnsi="Arial Narrow"/>
                <w:sz w:val="20"/>
                <w:szCs w:val="20"/>
              </w:rPr>
            </w:pPr>
            <w:r w:rsidRPr="00E168B8">
              <w:rPr>
                <w:rFonts w:ascii="Arial Narrow" w:hAnsi="Arial Narrow"/>
                <w:sz w:val="20"/>
                <w:szCs w:val="20"/>
              </w:rPr>
              <w:t>Nemluvio</w:t>
            </w:r>
          </w:p>
          <w:p w14:paraId="0BCC5C3B" w14:textId="77777777" w:rsidR="008B68A4" w:rsidRPr="00E168B8" w:rsidRDefault="008B68A4" w:rsidP="007157C0">
            <w:pPr>
              <w:keepLines/>
              <w:rPr>
                <w:rFonts w:ascii="Arial Narrow" w:hAnsi="Arial Narrow"/>
                <w:sz w:val="20"/>
                <w:szCs w:val="20"/>
              </w:rPr>
            </w:pPr>
          </w:p>
        </w:tc>
      </w:tr>
      <w:tr w:rsidR="008B68A4" w:rsidRPr="00E168B8" w14:paraId="11EB0D04"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6E857BCB" w14:textId="77777777" w:rsidR="008B68A4" w:rsidRPr="00E168B8" w:rsidRDefault="008B68A4" w:rsidP="007157C0">
            <w:pPr>
              <w:rPr>
                <w:rFonts w:ascii="Arial Narrow" w:hAnsi="Arial Narrow"/>
                <w:sz w:val="20"/>
                <w:szCs w:val="20"/>
              </w:rPr>
            </w:pPr>
          </w:p>
        </w:tc>
      </w:tr>
      <w:tr w:rsidR="00E66E86" w:rsidRPr="00E168B8" w14:paraId="2B6CF51F"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FEFBE85" w14:textId="77777777" w:rsidR="00E66E86" w:rsidRPr="00E168B8" w:rsidRDefault="00E66E86" w:rsidP="007157C0">
            <w:pPr>
              <w:keepLines/>
              <w:jc w:val="left"/>
              <w:rPr>
                <w:rFonts w:ascii="Arial Narrow" w:hAnsi="Arial Narrow"/>
                <w:sz w:val="20"/>
                <w:szCs w:val="20"/>
              </w:rPr>
            </w:pPr>
            <w:r w:rsidRPr="00E168B8">
              <w:rPr>
                <w:rFonts w:ascii="Arial Narrow" w:hAnsi="Arial Narrow"/>
                <w:b/>
                <w:sz w:val="20"/>
                <w:szCs w:val="20"/>
              </w:rPr>
              <w:t>Category / Program:</w:t>
            </w:r>
            <w:r w:rsidRPr="00E168B8">
              <w:rPr>
                <w:rFonts w:ascii="Arial Narrow" w:hAnsi="Arial Narrow"/>
                <w:sz w:val="20"/>
                <w:szCs w:val="20"/>
              </w:rPr>
              <w:t xml:space="preserv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 xml:space="preserve">GENERAL - General Schedule (Code GE) </w:t>
            </w:r>
          </w:p>
        </w:tc>
      </w:tr>
      <w:tr w:rsidR="00E66E86" w:rsidRPr="00E168B8" w14:paraId="1C9DD5B7"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957E94B" w14:textId="77777777" w:rsidR="00E66E86" w:rsidRPr="00E168B8" w:rsidRDefault="00E66E86" w:rsidP="007157C0">
            <w:pPr>
              <w:keepLines/>
              <w:jc w:val="left"/>
              <w:rPr>
                <w:rFonts w:ascii="Arial Narrow" w:hAnsi="Arial Narrow"/>
                <w:b/>
                <w:sz w:val="20"/>
                <w:szCs w:val="20"/>
              </w:rPr>
            </w:pPr>
            <w:r w:rsidRPr="00E168B8">
              <w:rPr>
                <w:rFonts w:ascii="Arial Narrow" w:hAnsi="Arial Narrow"/>
                <w:b/>
                <w:sz w:val="20"/>
                <w:szCs w:val="20"/>
              </w:rPr>
              <w:t xml:space="preserve">Prescriber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Medical Practitioners </w:t>
            </w:r>
          </w:p>
        </w:tc>
      </w:tr>
      <w:tr w:rsidR="00E66E86" w:rsidRPr="00E168B8" w14:paraId="16483D74"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604EEC1" w14:textId="77777777" w:rsidR="00E66E86" w:rsidRPr="00E168B8" w:rsidRDefault="00E66E86" w:rsidP="007157C0">
            <w:pPr>
              <w:keepLines/>
              <w:jc w:val="left"/>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Telephone/Online PBS Authorities System) </w:t>
            </w:r>
          </w:p>
        </w:tc>
      </w:tr>
      <w:tr w:rsidR="00E66E86" w:rsidRPr="00AC5ED2" w14:paraId="2E1383AC"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84D8A" w14:textId="77777777" w:rsidR="00E66E86" w:rsidRPr="00AC5ED2" w:rsidRDefault="00E66E86" w:rsidP="007157C0">
            <w:pPr>
              <w:keepLines/>
              <w:rPr>
                <w:rFonts w:ascii="Arial Narrow" w:hAnsi="Arial Narrow"/>
                <w:b/>
                <w:bCs/>
                <w:sz w:val="20"/>
                <w:szCs w:val="20"/>
              </w:rPr>
            </w:pPr>
            <w:r w:rsidRPr="00AC5ED2">
              <w:rPr>
                <w:rFonts w:ascii="Arial Narrow" w:hAnsi="Arial Narrow"/>
                <w:b/>
                <w:sz w:val="20"/>
                <w:szCs w:val="20"/>
              </w:rPr>
              <w:t>Restriction Summary [new1] / Treatment of Concept: [new1A]</w:t>
            </w:r>
          </w:p>
        </w:tc>
      </w:tr>
      <w:tr w:rsidR="00E66E86" w:rsidRPr="0069367A" w14:paraId="69478FC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20A8972" w14:textId="77777777" w:rsidR="00E66E86" w:rsidRPr="0069367A" w:rsidRDefault="00E66E86" w:rsidP="007157C0">
            <w:pPr>
              <w:keepLines/>
              <w:rPr>
                <w:rFonts w:ascii="Arial Narrow" w:hAnsi="Arial Narrow"/>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E66E86" w:rsidRPr="0069367A" w14:paraId="443F6E7F"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8C0B728" w14:textId="77777777" w:rsidR="00E66E86" w:rsidRPr="0069367A" w:rsidRDefault="00E66E86" w:rsidP="007157C0">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Initial treatment of the whole body </w:t>
            </w:r>
          </w:p>
        </w:tc>
      </w:tr>
      <w:tr w:rsidR="00E66E86" w:rsidRPr="00446E53" w14:paraId="79C27DD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A8CE1E3" w14:textId="77777777" w:rsidR="00E66E86" w:rsidRPr="00446E53" w:rsidRDefault="00E66E86" w:rsidP="007157C0">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E66E86" w:rsidRPr="00EB5ECC" w14:paraId="5974F44E"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hideMark/>
          </w:tcPr>
          <w:p w14:paraId="37628429" w14:textId="77777777" w:rsidR="00E66E86" w:rsidRPr="00EB5ECC" w:rsidRDefault="00E66E86" w:rsidP="007157C0">
            <w:pPr>
              <w:rPr>
                <w:rFonts w:ascii="Arial Narrow" w:eastAsia="Calibri" w:hAnsi="Arial Narrow"/>
                <w:i/>
                <w:iCs/>
                <w:sz w:val="20"/>
                <w:szCs w:val="20"/>
              </w:rPr>
            </w:pPr>
            <w:r w:rsidRPr="00D801D8">
              <w:rPr>
                <w:rFonts w:ascii="Arial Narrow" w:eastAsia="Calibri" w:hAnsi="Arial Narrow"/>
                <w:sz w:val="20"/>
                <w:szCs w:val="20"/>
              </w:rPr>
              <w:t>Patient must have a Physicians Global Assessment (PGA) (5-point scale) baseline score of at least 4 as evidence of severe disease despite treatment with daily topical therapy (corticosteroid of medium to high potency/calcineurin inhibitor), for at least 28 day</w:t>
            </w:r>
            <w:r>
              <w:rPr>
                <w:rFonts w:ascii="Arial Narrow" w:eastAsia="Calibri" w:hAnsi="Arial Narrow"/>
                <w:i/>
                <w:iCs/>
                <w:sz w:val="20"/>
                <w:szCs w:val="20"/>
              </w:rPr>
              <w:t>s</w:t>
            </w:r>
          </w:p>
        </w:tc>
      </w:tr>
      <w:tr w:rsidR="00E66E86" w:rsidRPr="00446E53" w14:paraId="194F6DAF"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BE69E30" w14:textId="77777777" w:rsidR="00E66E86" w:rsidRPr="00446E53" w:rsidRDefault="00E66E86" w:rsidP="007157C0">
            <w:pPr>
              <w:rPr>
                <w:rFonts w:ascii="Arial Narrow" w:hAnsi="Arial Narrow"/>
                <w:color w:val="333333"/>
                <w:sz w:val="20"/>
                <w:szCs w:val="20"/>
              </w:rPr>
            </w:pPr>
            <w:r w:rsidRPr="00446E53">
              <w:rPr>
                <w:rFonts w:ascii="Arial Narrow" w:hAnsi="Arial Narrow"/>
                <w:b/>
                <w:bCs/>
                <w:color w:val="333333"/>
                <w:sz w:val="20"/>
                <w:szCs w:val="20"/>
              </w:rPr>
              <w:t>AND</w:t>
            </w:r>
          </w:p>
        </w:tc>
      </w:tr>
      <w:tr w:rsidR="00E66E86" w:rsidRPr="00446E53" w14:paraId="786FE04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59B0DDF" w14:textId="77777777" w:rsidR="00E66E86" w:rsidRPr="00446E53" w:rsidRDefault="00E66E86" w:rsidP="007157C0">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E66E86" w:rsidRPr="00446E53" w14:paraId="0AA0A0B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152D6C4E" w14:textId="77777777" w:rsidR="00E66E86" w:rsidRPr="00446E53" w:rsidRDefault="00E66E86" w:rsidP="007157C0">
            <w:pPr>
              <w:rPr>
                <w:rFonts w:ascii="Arial Narrow" w:hAnsi="Arial Narrow"/>
                <w:color w:val="FF0000"/>
                <w:sz w:val="20"/>
                <w:szCs w:val="20"/>
              </w:rPr>
            </w:pPr>
            <w:r w:rsidRPr="00E42807">
              <w:rPr>
                <w:rFonts w:ascii="Arial Narrow" w:eastAsia="Calibri" w:hAnsi="Arial Narrow"/>
                <w:sz w:val="20"/>
                <w:szCs w:val="20"/>
              </w:rPr>
              <w:t>Patient must have an Eczema Area and Severity Index (EASI) baseline score of at least 20 despite treatment with daily topical therapy (corticosteroid of medium to high potency/calcineurin inhibitor), for at least 28 days</w:t>
            </w:r>
          </w:p>
        </w:tc>
      </w:tr>
      <w:tr w:rsidR="00E66E86" w:rsidRPr="00446E53" w14:paraId="282E9D1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B6B8DE0" w14:textId="77777777" w:rsidR="00E66E86" w:rsidRPr="00446E53" w:rsidRDefault="00E66E86" w:rsidP="007157C0">
            <w:pPr>
              <w:rPr>
                <w:rFonts w:ascii="Arial Narrow" w:hAnsi="Arial Narrow"/>
                <w:color w:val="333333"/>
                <w:sz w:val="20"/>
                <w:szCs w:val="20"/>
              </w:rPr>
            </w:pPr>
            <w:r w:rsidRPr="00446E53">
              <w:rPr>
                <w:rFonts w:ascii="Arial Narrow" w:hAnsi="Arial Narrow"/>
                <w:b/>
                <w:bCs/>
                <w:color w:val="333333"/>
                <w:sz w:val="20"/>
                <w:szCs w:val="20"/>
              </w:rPr>
              <w:t>AND</w:t>
            </w:r>
          </w:p>
        </w:tc>
      </w:tr>
      <w:tr w:rsidR="00E66E86" w:rsidRPr="00446E53" w14:paraId="4364A56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D97CB71" w14:textId="77777777" w:rsidR="00E66E86" w:rsidRPr="00446E53" w:rsidRDefault="00E66E86" w:rsidP="007157C0">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E66E86" w:rsidRPr="00446E53" w14:paraId="63F3DCD5"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hideMark/>
          </w:tcPr>
          <w:p w14:paraId="07946BAF" w14:textId="77777777" w:rsidR="00E66E86" w:rsidRPr="00446E53" w:rsidRDefault="00E66E86" w:rsidP="007157C0">
            <w:pPr>
              <w:rPr>
                <w:rFonts w:ascii="Arial Narrow" w:hAnsi="Arial Narrow"/>
                <w:color w:val="333333"/>
                <w:sz w:val="20"/>
                <w:szCs w:val="20"/>
              </w:rPr>
            </w:pPr>
            <w:r w:rsidRPr="00BD4DC5">
              <w:rPr>
                <w:rFonts w:ascii="Arial Narrow" w:eastAsia="Calibri" w:hAnsi="Arial Narrow"/>
                <w:sz w:val="20"/>
                <w:szCs w:val="20"/>
              </w:rPr>
              <w:t>Patient must have an age</w:t>
            </w:r>
            <w:r>
              <w:rPr>
                <w:rFonts w:ascii="Arial Narrow" w:eastAsia="Calibri" w:hAnsi="Arial Narrow"/>
                <w:sz w:val="20"/>
                <w:szCs w:val="20"/>
              </w:rPr>
              <w:t xml:space="preserve"> </w:t>
            </w:r>
            <w:r w:rsidRPr="00BD4DC5">
              <w:rPr>
                <w:rFonts w:ascii="Arial Narrow" w:eastAsia="Calibri" w:hAnsi="Arial Narrow"/>
                <w:sz w:val="20"/>
                <w:szCs w:val="20"/>
              </w:rPr>
              <w:t>appropriate Dermatology Life Quality Index (DLQI) baseline score (of any value) measured following treatment with daily topical therapy (corticosteroid of medium to high potency/calcineurin inhibitor), for at least 28 days</w:t>
            </w:r>
          </w:p>
        </w:tc>
      </w:tr>
      <w:tr w:rsidR="00E66E86" w:rsidRPr="00446E53" w14:paraId="6ED78D45"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A350397" w14:textId="77777777" w:rsidR="00E66E86" w:rsidRPr="00446E53" w:rsidRDefault="00E66E86" w:rsidP="007157C0">
            <w:pPr>
              <w:rPr>
                <w:rFonts w:ascii="Arial Narrow" w:hAnsi="Arial Narrow"/>
                <w:color w:val="FF0000"/>
                <w:sz w:val="20"/>
                <w:szCs w:val="20"/>
              </w:rPr>
            </w:pPr>
            <w:r w:rsidRPr="00446E53">
              <w:rPr>
                <w:rFonts w:ascii="Arial Narrow" w:hAnsi="Arial Narrow" w:cs="Arial Narrow"/>
                <w:b/>
                <w:bCs/>
                <w:iCs/>
                <w:sz w:val="20"/>
                <w:szCs w:val="20"/>
              </w:rPr>
              <w:t>AND</w:t>
            </w:r>
          </w:p>
        </w:tc>
      </w:tr>
      <w:tr w:rsidR="00E66E86" w:rsidRPr="00446E53" w14:paraId="155887FD"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739F428" w14:textId="77777777" w:rsidR="00E66E86" w:rsidRPr="00446E53" w:rsidRDefault="00E66E86" w:rsidP="007157C0">
            <w:pPr>
              <w:keepNext/>
              <w:rPr>
                <w:rFonts w:ascii="Arial Narrow" w:hAnsi="Arial Narrow"/>
                <w:color w:val="333333"/>
                <w:sz w:val="20"/>
                <w:szCs w:val="20"/>
              </w:rPr>
            </w:pPr>
            <w:r>
              <w:rPr>
                <w:rFonts w:ascii="Arial Narrow" w:hAnsi="Arial Narrow"/>
                <w:b/>
                <w:bCs/>
                <w:color w:val="333333"/>
                <w:sz w:val="20"/>
                <w:szCs w:val="20"/>
              </w:rPr>
              <w:t>Clinical</w:t>
            </w:r>
            <w:r w:rsidRPr="00446E53">
              <w:rPr>
                <w:rFonts w:ascii="Arial Narrow" w:hAnsi="Arial Narrow"/>
                <w:b/>
                <w:bCs/>
                <w:color w:val="333333"/>
                <w:sz w:val="20"/>
                <w:szCs w:val="20"/>
              </w:rPr>
              <w:t xml:space="preserve"> criteria:</w:t>
            </w:r>
          </w:p>
        </w:tc>
      </w:tr>
      <w:tr w:rsidR="00E66E86" w:rsidRPr="00E60D92" w14:paraId="579370E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6A37384" w14:textId="77777777" w:rsidR="00E66E86" w:rsidRPr="00E60D92" w:rsidRDefault="00E66E86" w:rsidP="007157C0">
            <w:pPr>
              <w:autoSpaceDE w:val="0"/>
              <w:autoSpaceDN w:val="0"/>
              <w:adjustRightInd w:val="0"/>
              <w:rPr>
                <w:rFonts w:ascii="Arial Narrow" w:eastAsia="Calibri" w:hAnsi="Arial Narrow"/>
                <w:sz w:val="20"/>
                <w:szCs w:val="20"/>
              </w:rPr>
            </w:pPr>
            <w:r w:rsidRPr="00E60D92">
              <w:rPr>
                <w:rFonts w:ascii="Arial Narrow" w:eastAsia="Calibri" w:hAnsi="Arial Narrow"/>
                <w:sz w:val="20"/>
                <w:szCs w:val="20"/>
              </w:rPr>
              <w:t>The condition must have had lesions for at least 6 months from the time of the initial diagnosis of chronic severe atopic dermatitis affecting either of: (i) the whole body, (ii) face/hands</w:t>
            </w:r>
          </w:p>
        </w:tc>
      </w:tr>
      <w:tr w:rsidR="00E66E86" w:rsidRPr="00446E53" w14:paraId="323F207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B4146A0" w14:textId="77777777" w:rsidR="00E66E86" w:rsidRPr="00446E53" w:rsidRDefault="00E66E86" w:rsidP="007157C0">
            <w:pPr>
              <w:autoSpaceDE w:val="0"/>
              <w:autoSpaceDN w:val="0"/>
              <w:adjustRightInd w:val="0"/>
              <w:rPr>
                <w:rFonts w:ascii="Arial Narrow" w:hAnsi="Arial Narrow" w:cs="Arial Narrow"/>
                <w:b/>
                <w:bCs/>
                <w:iCs/>
                <w:color w:val="FF0000"/>
                <w:sz w:val="20"/>
                <w:szCs w:val="20"/>
              </w:rPr>
            </w:pPr>
            <w:r w:rsidRPr="00446E53">
              <w:rPr>
                <w:rFonts w:ascii="Arial Narrow" w:hAnsi="Arial Narrow" w:cs="Arial Narrow"/>
                <w:b/>
                <w:bCs/>
                <w:iCs/>
                <w:sz w:val="20"/>
                <w:szCs w:val="20"/>
              </w:rPr>
              <w:t>AND</w:t>
            </w:r>
          </w:p>
        </w:tc>
      </w:tr>
      <w:tr w:rsidR="00E66E86" w:rsidRPr="00446E53" w14:paraId="6D4772C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A88CDAE" w14:textId="77777777" w:rsidR="00E66E86" w:rsidRPr="00446E53" w:rsidRDefault="00E66E86" w:rsidP="007157C0">
            <w:pPr>
              <w:autoSpaceDE w:val="0"/>
              <w:autoSpaceDN w:val="0"/>
              <w:adjustRightInd w:val="0"/>
              <w:rPr>
                <w:rFonts w:ascii="Arial Narrow" w:hAnsi="Arial Narrow" w:cs="Arial Narrow"/>
                <w:iCs/>
                <w:color w:val="FF0000"/>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E66E86" w:rsidRPr="00446E53" w14:paraId="17F9EE1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78B37770" w14:textId="77777777" w:rsidR="00E66E86" w:rsidRPr="00446E53" w:rsidRDefault="00E66E86" w:rsidP="007157C0">
            <w:pPr>
              <w:autoSpaceDE w:val="0"/>
              <w:autoSpaceDN w:val="0"/>
              <w:adjustRightInd w:val="0"/>
              <w:rPr>
                <w:rFonts w:ascii="Arial Narrow" w:hAnsi="Arial Narrow" w:cs="Arial Narrow"/>
                <w:iCs/>
                <w:color w:val="FF0000"/>
                <w:sz w:val="20"/>
                <w:szCs w:val="20"/>
              </w:rPr>
            </w:pPr>
            <w:r w:rsidRPr="00E62CC5">
              <w:rPr>
                <w:rFonts w:ascii="Arial Narrow" w:eastAsia="Calibri" w:hAnsi="Arial Narrow"/>
                <w:sz w:val="20"/>
                <w:szCs w:val="20"/>
              </w:rPr>
              <w:t>Patient must not have experienced an inadequate response to this biological medicine in this PBS indication</w:t>
            </w:r>
          </w:p>
        </w:tc>
      </w:tr>
      <w:tr w:rsidR="00E66E86" w:rsidRPr="00D835B8" w14:paraId="4646440C"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3F1290B5" w14:textId="77777777" w:rsidR="00E66E86" w:rsidRPr="00D835B8" w:rsidRDefault="00E66E86" w:rsidP="007157C0">
            <w:pPr>
              <w:autoSpaceDE w:val="0"/>
              <w:autoSpaceDN w:val="0"/>
              <w:adjustRightInd w:val="0"/>
              <w:rPr>
                <w:rFonts w:ascii="Arial Narrow" w:eastAsia="Calibri" w:hAnsi="Arial Narrow"/>
                <w:sz w:val="20"/>
                <w:szCs w:val="20"/>
              </w:rPr>
            </w:pPr>
            <w:r w:rsidRPr="00D835B8">
              <w:rPr>
                <w:rFonts w:ascii="Arial Narrow" w:hAnsi="Arial Narrow" w:cs="Arial Narrow"/>
                <w:b/>
                <w:bCs/>
                <w:iCs/>
                <w:sz w:val="20"/>
                <w:szCs w:val="20"/>
              </w:rPr>
              <w:t>AND</w:t>
            </w:r>
          </w:p>
        </w:tc>
      </w:tr>
      <w:tr w:rsidR="00E66E86" w:rsidRPr="00E62CC5" w14:paraId="73443C9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6766F14E" w14:textId="77777777" w:rsidR="00E66E86" w:rsidRPr="00E62CC5" w:rsidRDefault="00E66E86" w:rsidP="007157C0">
            <w:pPr>
              <w:autoSpaceDE w:val="0"/>
              <w:autoSpaceDN w:val="0"/>
              <w:adjustRightInd w:val="0"/>
              <w:rPr>
                <w:rFonts w:ascii="Arial Narrow" w:eastAsia="Calibri" w:hAnsi="Arial Narrow"/>
                <w:sz w:val="20"/>
                <w:szCs w:val="20"/>
              </w:rPr>
            </w:pPr>
            <w:r w:rsidRPr="009A5E54">
              <w:rPr>
                <w:rFonts w:ascii="Arial Narrow" w:eastAsia="Calibri" w:hAnsi="Arial Narrow"/>
                <w:b/>
                <w:bCs/>
                <w:sz w:val="20"/>
                <w:szCs w:val="20"/>
              </w:rPr>
              <w:t xml:space="preserve">Clinical </w:t>
            </w:r>
            <w:r>
              <w:rPr>
                <w:rFonts w:ascii="Arial Narrow" w:eastAsia="Calibri" w:hAnsi="Arial Narrow"/>
                <w:b/>
                <w:bCs/>
                <w:sz w:val="20"/>
                <w:szCs w:val="20"/>
              </w:rPr>
              <w:t xml:space="preserve">criteria: </w:t>
            </w:r>
          </w:p>
        </w:tc>
      </w:tr>
      <w:tr w:rsidR="00E66E86" w:rsidRPr="00E62CC5" w14:paraId="6C770C8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3A3A5FB9" w14:textId="77777777" w:rsidR="00E66E86" w:rsidRPr="00E62CC5" w:rsidRDefault="00E66E86" w:rsidP="007157C0">
            <w:pPr>
              <w:autoSpaceDE w:val="0"/>
              <w:autoSpaceDN w:val="0"/>
              <w:adjustRightInd w:val="0"/>
              <w:rPr>
                <w:rFonts w:ascii="Arial Narrow" w:eastAsia="Calibri" w:hAnsi="Arial Narrow"/>
                <w:sz w:val="20"/>
                <w:szCs w:val="20"/>
              </w:rPr>
            </w:pPr>
            <w:r w:rsidRPr="00A14516">
              <w:rPr>
                <w:rFonts w:ascii="Arial Narrow" w:eastAsia="Calibri" w:hAnsi="Arial Narrow"/>
                <w:sz w:val="20"/>
                <w:szCs w:val="20"/>
              </w:rPr>
              <w:t>The treatment must be the sole PBS-subsidised biological medicine for this PBS indication</w:t>
            </w:r>
          </w:p>
        </w:tc>
      </w:tr>
      <w:tr w:rsidR="00E66E86" w:rsidRPr="00E62CC5" w14:paraId="16C51FF5"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64A13041" w14:textId="77777777" w:rsidR="00E66E86" w:rsidRPr="00E62CC5" w:rsidRDefault="00E66E86" w:rsidP="007157C0">
            <w:pPr>
              <w:autoSpaceDE w:val="0"/>
              <w:autoSpaceDN w:val="0"/>
              <w:adjustRightInd w:val="0"/>
              <w:rPr>
                <w:rFonts w:ascii="Arial Narrow" w:eastAsia="Calibri" w:hAnsi="Arial Narrow"/>
                <w:b/>
                <w:bCs/>
                <w:sz w:val="20"/>
                <w:szCs w:val="20"/>
              </w:rPr>
            </w:pPr>
            <w:r>
              <w:rPr>
                <w:rFonts w:ascii="Arial Narrow" w:eastAsia="Calibri" w:hAnsi="Arial Narrow"/>
                <w:b/>
                <w:bCs/>
                <w:sz w:val="20"/>
                <w:szCs w:val="20"/>
              </w:rPr>
              <w:lastRenderedPageBreak/>
              <w:t xml:space="preserve">Treatment criteria: </w:t>
            </w:r>
          </w:p>
        </w:tc>
      </w:tr>
      <w:tr w:rsidR="00E66E86" w:rsidRPr="00E62CC5" w14:paraId="00EF732D"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5C854D33" w14:textId="77777777" w:rsidR="00E66E86" w:rsidRPr="00E62CC5" w:rsidRDefault="00E66E86" w:rsidP="007157C0">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dermatologist; or</w:t>
            </w:r>
          </w:p>
        </w:tc>
      </w:tr>
      <w:tr w:rsidR="00E66E86" w:rsidRPr="00176579" w14:paraId="01E480B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22B481CE" w14:textId="77777777" w:rsidR="00E66E86" w:rsidRPr="00176579" w:rsidRDefault="00E66E86" w:rsidP="007157C0">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clinical immunologist</w:t>
            </w:r>
          </w:p>
        </w:tc>
      </w:tr>
      <w:tr w:rsidR="00E66E86" w:rsidRPr="00446E53" w14:paraId="52B2AE35"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4DDF954" w14:textId="77777777" w:rsidR="00E66E86" w:rsidRPr="00446E53" w:rsidRDefault="00E66E86" w:rsidP="007157C0">
            <w:pPr>
              <w:rPr>
                <w:rFonts w:ascii="Arial Narrow" w:hAnsi="Arial Narrow"/>
                <w:color w:val="333333"/>
                <w:sz w:val="20"/>
                <w:szCs w:val="20"/>
              </w:rPr>
            </w:pPr>
            <w:r w:rsidRPr="00446E53">
              <w:rPr>
                <w:rFonts w:ascii="Arial Narrow" w:hAnsi="Arial Narrow"/>
                <w:b/>
                <w:bCs/>
                <w:color w:val="333333"/>
                <w:sz w:val="20"/>
                <w:szCs w:val="20"/>
              </w:rPr>
              <w:t>Population criteria:</w:t>
            </w:r>
          </w:p>
        </w:tc>
      </w:tr>
      <w:tr w:rsidR="00E66E86" w:rsidRPr="002B3075" w14:paraId="09753925"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31360CC" w14:textId="77777777" w:rsidR="00E66E86" w:rsidRPr="002B3075" w:rsidRDefault="00E66E86" w:rsidP="007157C0">
            <w:pPr>
              <w:rPr>
                <w:rFonts w:ascii="Arial Narrow" w:eastAsia="Calibri" w:hAnsi="Arial Narrow"/>
                <w:sz w:val="20"/>
                <w:szCs w:val="20"/>
              </w:rPr>
            </w:pPr>
            <w:r w:rsidRPr="002B3075">
              <w:rPr>
                <w:rFonts w:ascii="Arial Narrow" w:eastAsia="Calibri" w:hAnsi="Arial Narrow"/>
                <w:sz w:val="20"/>
                <w:szCs w:val="20"/>
              </w:rPr>
              <w:t>Patient must be 12 years of age or older</w:t>
            </w:r>
          </w:p>
        </w:tc>
      </w:tr>
      <w:tr w:rsidR="00E66E86" w:rsidRPr="0069367A" w14:paraId="01C4F77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642C31D" w14:textId="77777777" w:rsidR="00E66E86" w:rsidRPr="0069367A" w:rsidRDefault="00E66E86" w:rsidP="007157C0">
            <w:pPr>
              <w:rPr>
                <w:rFonts w:ascii="Arial Narrow" w:eastAsia="Calibri" w:hAnsi="Arial Narrow"/>
                <w:sz w:val="20"/>
                <w:szCs w:val="20"/>
              </w:rPr>
            </w:pPr>
            <w:r w:rsidRPr="00446E53">
              <w:rPr>
                <w:rFonts w:ascii="Arial Narrow" w:hAnsi="Arial Narrow"/>
                <w:b/>
                <w:bCs/>
                <w:color w:val="333333"/>
                <w:sz w:val="20"/>
                <w:szCs w:val="20"/>
              </w:rPr>
              <w:t>Prescribing Instructions:</w:t>
            </w:r>
          </w:p>
          <w:p w14:paraId="6A43EC99" w14:textId="77777777" w:rsidR="00E66E86" w:rsidRPr="0069367A" w:rsidRDefault="00E66E86" w:rsidP="007157C0">
            <w:pPr>
              <w:rPr>
                <w:rFonts w:ascii="Arial Narrow" w:eastAsia="Calibri" w:hAnsi="Arial Narrow"/>
                <w:sz w:val="20"/>
                <w:szCs w:val="20"/>
              </w:rPr>
            </w:pPr>
            <w:r w:rsidRPr="0069367A">
              <w:rPr>
                <w:rFonts w:ascii="Arial Narrow" w:eastAsia="Calibri" w:hAnsi="Arial Narrow"/>
                <w:sz w:val="20"/>
                <w:szCs w:val="20"/>
              </w:rPr>
              <w:t>State each of the qualifying (i) PGA, (ii) EASI and (iii) DLQI scores in the authority application.</w:t>
            </w:r>
          </w:p>
          <w:p w14:paraId="4AD8AB35" w14:textId="77777777" w:rsidR="00E66E86" w:rsidRPr="0069367A" w:rsidRDefault="00E66E86" w:rsidP="007157C0">
            <w:pPr>
              <w:rPr>
                <w:rFonts w:ascii="Arial Narrow" w:eastAsia="Calibri" w:hAnsi="Arial Narrow"/>
                <w:sz w:val="20"/>
                <w:szCs w:val="20"/>
              </w:rPr>
            </w:pPr>
            <w:r w:rsidRPr="0069367A">
              <w:rPr>
                <w:rFonts w:ascii="Arial Narrow" w:eastAsia="Calibri" w:hAnsi="Arial Narrow"/>
                <w:sz w:val="20"/>
                <w:szCs w:val="20"/>
              </w:rPr>
              <w:t>Acceptable scores can be:</w:t>
            </w:r>
          </w:p>
          <w:p w14:paraId="752CF33B" w14:textId="77777777" w:rsidR="00E66E86" w:rsidRPr="0069367A" w:rsidRDefault="00E66E86" w:rsidP="007157C0">
            <w:pPr>
              <w:rPr>
                <w:rFonts w:ascii="Arial Narrow" w:eastAsia="Calibri" w:hAnsi="Arial Narrow"/>
                <w:sz w:val="20"/>
                <w:szCs w:val="20"/>
              </w:rPr>
            </w:pPr>
            <w:r w:rsidRPr="0069367A">
              <w:rPr>
                <w:rFonts w:ascii="Arial Narrow" w:eastAsia="Calibri" w:hAnsi="Arial Narrow"/>
                <w:sz w:val="20"/>
                <w:szCs w:val="20"/>
              </w:rPr>
              <w:t>(a) current scores; or</w:t>
            </w:r>
          </w:p>
          <w:p w14:paraId="587C1C9D" w14:textId="77777777" w:rsidR="00E66E86" w:rsidRDefault="00E66E86" w:rsidP="007157C0">
            <w:pPr>
              <w:rPr>
                <w:rFonts w:ascii="Arial Narrow" w:eastAsia="Calibri" w:hAnsi="Arial Narrow"/>
                <w:sz w:val="20"/>
                <w:szCs w:val="20"/>
              </w:rPr>
            </w:pPr>
            <w:r w:rsidRPr="0069367A">
              <w:rPr>
                <w:rFonts w:ascii="Arial Narrow" w:eastAsia="Calibri" w:hAnsi="Arial Narrow"/>
                <w:sz w:val="20"/>
                <w:szCs w:val="20"/>
              </w:rPr>
              <w:t>(b) past scores, including those previously quoted in a PBS authority application for another drug listed for this indication.</w:t>
            </w:r>
          </w:p>
          <w:p w14:paraId="2C628861" w14:textId="77777777" w:rsidR="00E66E86" w:rsidRPr="0069367A" w:rsidRDefault="00E66E86" w:rsidP="007157C0">
            <w:pPr>
              <w:rPr>
                <w:rFonts w:ascii="Arial Narrow" w:eastAsia="Calibri" w:hAnsi="Arial Narrow"/>
                <w:sz w:val="20"/>
                <w:szCs w:val="20"/>
              </w:rPr>
            </w:pPr>
          </w:p>
          <w:p w14:paraId="5B16C6CE" w14:textId="77777777" w:rsidR="00E66E86" w:rsidRDefault="00E66E86" w:rsidP="007157C0">
            <w:pPr>
              <w:rPr>
                <w:rFonts w:ascii="Arial Narrow" w:eastAsia="Calibri" w:hAnsi="Arial Narrow"/>
                <w:sz w:val="20"/>
                <w:szCs w:val="20"/>
              </w:rPr>
            </w:pPr>
            <w:r w:rsidRPr="0069367A">
              <w:rPr>
                <w:rFonts w:ascii="Arial Narrow" w:eastAsia="Calibri" w:hAnsi="Arial Narrow"/>
                <w:sz w:val="20"/>
                <w:szCs w:val="20"/>
              </w:rPr>
              <w:t>The EASI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13D5B750" w14:textId="77777777" w:rsidR="00E66E86" w:rsidRPr="0069367A" w:rsidRDefault="00E66E86" w:rsidP="007157C0">
            <w:pPr>
              <w:rPr>
                <w:rFonts w:ascii="Arial Narrow" w:eastAsia="Calibri" w:hAnsi="Arial Narrow"/>
                <w:sz w:val="20"/>
                <w:szCs w:val="20"/>
              </w:rPr>
            </w:pPr>
          </w:p>
          <w:p w14:paraId="08E62FD0" w14:textId="77777777" w:rsidR="00E66E86" w:rsidRPr="0069367A" w:rsidRDefault="00E66E86" w:rsidP="007157C0">
            <w:pPr>
              <w:rPr>
                <w:rFonts w:ascii="Arial Narrow" w:eastAsia="Calibri" w:hAnsi="Arial Narrow"/>
                <w:sz w:val="20"/>
                <w:szCs w:val="20"/>
              </w:rPr>
            </w:pPr>
            <w:r w:rsidRPr="0069367A">
              <w:rPr>
                <w:rFonts w:ascii="Arial Narrow" w:eastAsia="Calibri" w:hAnsi="Arial Narrow"/>
                <w:sz w:val="20"/>
                <w:szCs w:val="20"/>
              </w:rPr>
              <w:t>Document the details of the medium to high potency topical corticosteroids (or calcineurin inhibitors) initially trialled in the patient's medical records.</w:t>
            </w:r>
          </w:p>
        </w:tc>
      </w:tr>
      <w:tr w:rsidR="00E66E86" w:rsidRPr="0069367A" w14:paraId="666EF9CD"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6B6BC0DA" w14:textId="77777777" w:rsidR="00E66E86" w:rsidRPr="00257CAF" w:rsidRDefault="00E66E86" w:rsidP="007157C0">
            <w:pPr>
              <w:rPr>
                <w:rFonts w:ascii="Arial Narrow" w:eastAsia="Calibri" w:hAnsi="Arial Narrow"/>
                <w:b/>
                <w:bCs/>
                <w:i/>
                <w:iCs/>
                <w:sz w:val="20"/>
                <w:szCs w:val="20"/>
              </w:rPr>
            </w:pPr>
            <w:r w:rsidRPr="00257CAF">
              <w:rPr>
                <w:rFonts w:ascii="Arial Narrow" w:eastAsia="Calibri" w:hAnsi="Arial Narrow"/>
                <w:b/>
                <w:bCs/>
                <w:i/>
                <w:iCs/>
                <w:sz w:val="20"/>
                <w:szCs w:val="20"/>
              </w:rPr>
              <w:t>Prescribing Instructions:</w:t>
            </w:r>
          </w:p>
          <w:p w14:paraId="1FD26B66" w14:textId="77777777" w:rsidR="00E66E86" w:rsidRPr="00E7527B" w:rsidRDefault="00E66E86" w:rsidP="007157C0">
            <w:pPr>
              <w:rPr>
                <w:rFonts w:ascii="Arial Narrow" w:hAnsi="Arial Narrow"/>
                <w:b/>
                <w:bCs/>
                <w:color w:val="333333"/>
                <w:sz w:val="20"/>
                <w:szCs w:val="20"/>
              </w:rPr>
            </w:pPr>
            <w:r w:rsidRPr="00257CAF">
              <w:rPr>
                <w:rFonts w:ascii="Arial Narrow" w:eastAsia="Calibri" w:hAnsi="Arial Narrow"/>
                <w:i/>
                <w:iCs/>
                <w:sz w:val="20"/>
                <w:szCs w:val="20"/>
              </w:rPr>
              <w:t>At the time of assessment of response, i.e., within 16 weeks of initial treatment, if adequate response hasn’t been achieved, the prescriber can apply for an extended induction treatment (up to further 8 weeks of therapy) where there has been a partial response and the prescriber considers that extended induction doses could result in achieving adequate response.</w:t>
            </w:r>
          </w:p>
        </w:tc>
      </w:tr>
      <w:tr w:rsidR="00E66E86" w:rsidRPr="0069367A" w14:paraId="696F16CC"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shd w:val="clear" w:color="auto" w:fill="D9D9D9" w:themeFill="background1" w:themeFillShade="D9"/>
            <w:vAlign w:val="center"/>
          </w:tcPr>
          <w:p w14:paraId="1B06A831" w14:textId="77777777" w:rsidR="00E66E86" w:rsidRPr="0069367A" w:rsidRDefault="00E66E86" w:rsidP="007157C0">
            <w:pPr>
              <w:keepNext/>
              <w:keepLines/>
              <w:rPr>
                <w:rFonts w:ascii="Arial Narrow" w:hAnsi="Arial Narrow"/>
                <w:b/>
                <w:bCs/>
                <w:color w:val="FF0000"/>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2</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2A</w:t>
            </w:r>
            <w:r w:rsidRPr="00446E53">
              <w:rPr>
                <w:rFonts w:ascii="Arial Narrow" w:hAnsi="Arial Narrow"/>
                <w:b/>
                <w:bCs/>
                <w:color w:val="333333"/>
                <w:sz w:val="20"/>
                <w:szCs w:val="20"/>
              </w:rPr>
              <w:t>]</w:t>
            </w:r>
          </w:p>
        </w:tc>
      </w:tr>
      <w:tr w:rsidR="00E66E86" w:rsidRPr="00446E53" w14:paraId="7EEFCD8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32C8B7C" w14:textId="77777777" w:rsidR="00E66E86" w:rsidRPr="00446E53" w:rsidRDefault="00E66E86" w:rsidP="007157C0">
            <w:pPr>
              <w:rPr>
                <w:rFonts w:ascii="Arial Narrow" w:hAnsi="Arial Narrow"/>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E66E86" w:rsidRPr="00446E53" w14:paraId="680DA12E"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7613A7C" w14:textId="77777777" w:rsidR="00E66E86" w:rsidRPr="00446E53" w:rsidRDefault="00E66E86" w:rsidP="007157C0">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Initial treatment of the </w:t>
            </w:r>
            <w:r>
              <w:rPr>
                <w:rFonts w:ascii="Arial Narrow" w:hAnsi="Arial Narrow"/>
                <w:sz w:val="20"/>
                <w:szCs w:val="20"/>
              </w:rPr>
              <w:t>face and/or hands</w:t>
            </w:r>
            <w:r w:rsidRPr="0069367A">
              <w:rPr>
                <w:rFonts w:ascii="Arial Narrow" w:hAnsi="Arial Narrow"/>
                <w:sz w:val="20"/>
                <w:szCs w:val="20"/>
              </w:rPr>
              <w:t xml:space="preserve"> </w:t>
            </w:r>
          </w:p>
        </w:tc>
      </w:tr>
      <w:tr w:rsidR="00E66E86" w:rsidRPr="00446E53" w14:paraId="3442F35C"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1855CB9"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66E86" w:rsidRPr="00CD7E60" w14:paraId="7720B73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27C6225B" w14:textId="77777777" w:rsidR="00E66E86" w:rsidRPr="00596F26" w:rsidRDefault="00E66E86" w:rsidP="007157C0">
            <w:pPr>
              <w:rPr>
                <w:rFonts w:ascii="Arial Narrow" w:hAnsi="Arial Narrow"/>
                <w:sz w:val="20"/>
                <w:szCs w:val="20"/>
              </w:rPr>
            </w:pPr>
            <w:r w:rsidRPr="00596F26">
              <w:rPr>
                <w:rFonts w:ascii="Arial Narrow" w:hAnsi="Arial Narrow"/>
                <w:sz w:val="20"/>
                <w:szCs w:val="20"/>
              </w:rPr>
              <w:t xml:space="preserve">The condition must have at least 2 of the following Eczema Area and Severity Index (EASI) symptom sub-scores for erythema, oedema/papulation, excoriation, </w:t>
            </w:r>
            <w:proofErr w:type="spellStart"/>
            <w:r w:rsidRPr="00596F26">
              <w:rPr>
                <w:rFonts w:ascii="Arial Narrow" w:hAnsi="Arial Narrow"/>
                <w:sz w:val="20"/>
                <w:szCs w:val="20"/>
              </w:rPr>
              <w:t>lichenification</w:t>
            </w:r>
            <w:proofErr w:type="spellEnd"/>
            <w:r w:rsidRPr="00596F26">
              <w:rPr>
                <w:rFonts w:ascii="Arial Narrow" w:hAnsi="Arial Narrow"/>
                <w:sz w:val="20"/>
                <w:szCs w:val="20"/>
              </w:rPr>
              <w:t xml:space="preserve"> rated as severe despite treatment with daily topical therapy (corticosteroid of medium to high potency/calcineurin inhibitor), for at least 28 days; or</w:t>
            </w:r>
          </w:p>
        </w:tc>
      </w:tr>
      <w:tr w:rsidR="00E66E86" w:rsidRPr="00CD7E60" w14:paraId="46317831"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3A861DC9" w14:textId="77777777" w:rsidR="00E66E86" w:rsidRPr="00596F26" w:rsidRDefault="00E66E86" w:rsidP="007157C0">
            <w:pPr>
              <w:rPr>
                <w:rFonts w:ascii="Arial Narrow" w:hAnsi="Arial Narrow"/>
                <w:sz w:val="20"/>
                <w:szCs w:val="20"/>
              </w:rPr>
            </w:pPr>
            <w:r w:rsidRPr="00596F26">
              <w:rPr>
                <w:rFonts w:ascii="Arial Narrow" w:hAnsi="Arial Narrow"/>
                <w:sz w:val="20"/>
                <w:szCs w:val="20"/>
              </w:rPr>
              <w:t>The condition must have affected at least 30% of the face/hands surface area despite treatment with daily topical therapy (corticosteroid of medium to high potency/calcineurin inhibitor), for at least 28 days</w:t>
            </w:r>
          </w:p>
        </w:tc>
      </w:tr>
      <w:tr w:rsidR="00E66E86" w:rsidRPr="00446E53" w14:paraId="11783ABE"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D3B92B7" w14:textId="77777777" w:rsidR="00E66E86" w:rsidRPr="00596F26" w:rsidRDefault="00E66E86" w:rsidP="007157C0">
            <w:pPr>
              <w:rPr>
                <w:rFonts w:ascii="Arial Narrow" w:hAnsi="Arial Narrow"/>
                <w:b/>
                <w:bCs/>
                <w:sz w:val="20"/>
                <w:szCs w:val="20"/>
              </w:rPr>
            </w:pPr>
            <w:r w:rsidRPr="00596F26">
              <w:rPr>
                <w:rFonts w:ascii="Arial Narrow" w:hAnsi="Arial Narrow"/>
                <w:b/>
                <w:bCs/>
                <w:sz w:val="20"/>
                <w:szCs w:val="20"/>
              </w:rPr>
              <w:t>AND</w:t>
            </w:r>
          </w:p>
        </w:tc>
      </w:tr>
      <w:tr w:rsidR="00E66E86" w:rsidRPr="00446E53" w14:paraId="0202A2CF"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88F06BF" w14:textId="77777777" w:rsidR="00E66E86" w:rsidRPr="00596F26" w:rsidRDefault="00E66E86" w:rsidP="007157C0">
            <w:pPr>
              <w:rPr>
                <w:rFonts w:ascii="Arial Narrow" w:hAnsi="Arial Narrow"/>
                <w:b/>
                <w:bCs/>
                <w:sz w:val="20"/>
                <w:szCs w:val="20"/>
              </w:rPr>
            </w:pPr>
            <w:r w:rsidRPr="00596F26">
              <w:rPr>
                <w:rFonts w:ascii="Arial Narrow" w:hAnsi="Arial Narrow"/>
                <w:b/>
                <w:bCs/>
                <w:sz w:val="20"/>
                <w:szCs w:val="20"/>
              </w:rPr>
              <w:t xml:space="preserve">Clinical criteria: </w:t>
            </w:r>
          </w:p>
        </w:tc>
      </w:tr>
      <w:tr w:rsidR="00E66E86" w:rsidRPr="00446E53" w14:paraId="3D176AC6"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5B6B43DD" w14:textId="77777777" w:rsidR="00E66E86" w:rsidRPr="00596F26" w:rsidRDefault="00E66E86" w:rsidP="007157C0">
            <w:pPr>
              <w:rPr>
                <w:rFonts w:ascii="Arial Narrow" w:hAnsi="Arial Narrow"/>
                <w:b/>
                <w:bCs/>
                <w:sz w:val="20"/>
                <w:szCs w:val="20"/>
              </w:rPr>
            </w:pPr>
            <w:r w:rsidRPr="00596F26">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r>
      <w:tr w:rsidR="00E66E86" w:rsidRPr="000A7AD1" w14:paraId="35D2620C"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EEAEEA8" w14:textId="77777777" w:rsidR="00E66E86" w:rsidRPr="00596F26" w:rsidRDefault="00E66E86" w:rsidP="007157C0">
            <w:pPr>
              <w:rPr>
                <w:rFonts w:ascii="Arial Narrow" w:hAnsi="Arial Narrow"/>
                <w:sz w:val="20"/>
                <w:szCs w:val="20"/>
              </w:rPr>
            </w:pPr>
            <w:r w:rsidRPr="00596F26">
              <w:rPr>
                <w:rFonts w:ascii="Arial Narrow" w:hAnsi="Arial Narrow" w:cs="Arial Narrow"/>
                <w:b/>
                <w:bCs/>
                <w:iCs/>
                <w:sz w:val="20"/>
                <w:szCs w:val="20"/>
              </w:rPr>
              <w:t>AND</w:t>
            </w:r>
          </w:p>
        </w:tc>
      </w:tr>
      <w:tr w:rsidR="00E66E86" w:rsidRPr="000A7AD1" w14:paraId="17ECBB5E"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D32261B" w14:textId="77777777" w:rsidR="00E66E86" w:rsidRPr="00596F26" w:rsidRDefault="00E66E86" w:rsidP="007157C0">
            <w:pPr>
              <w:rPr>
                <w:rFonts w:ascii="Arial Narrow" w:hAnsi="Arial Narrow"/>
                <w:sz w:val="20"/>
                <w:szCs w:val="20"/>
              </w:rPr>
            </w:pPr>
            <w:r w:rsidRPr="00596F26">
              <w:rPr>
                <w:rFonts w:ascii="Arial Narrow" w:hAnsi="Arial Narrow"/>
                <w:b/>
                <w:bCs/>
                <w:sz w:val="20"/>
                <w:szCs w:val="20"/>
              </w:rPr>
              <w:t>Clinical criteria:</w:t>
            </w:r>
          </w:p>
        </w:tc>
      </w:tr>
      <w:tr w:rsidR="00E66E86" w:rsidRPr="000A7AD1" w14:paraId="67ACB2BA"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47DC2F4" w14:textId="77777777" w:rsidR="00E66E86" w:rsidRPr="00596F26" w:rsidRDefault="00E66E86" w:rsidP="007157C0">
            <w:pPr>
              <w:rPr>
                <w:rFonts w:ascii="Arial Narrow" w:hAnsi="Arial Narrow"/>
                <w:sz w:val="20"/>
                <w:szCs w:val="20"/>
              </w:rPr>
            </w:pPr>
            <w:r w:rsidRPr="00596F26">
              <w:rPr>
                <w:rFonts w:ascii="Arial Narrow" w:eastAsia="Calibri" w:hAnsi="Arial Narrow"/>
                <w:sz w:val="20"/>
                <w:szCs w:val="20"/>
              </w:rPr>
              <w:t>The condition must have had lesions for at least 6 months from the time of the initial diagnosis of chronic severe atopic dermatitis affecting either of: (i) the whole body, (ii) face/hands</w:t>
            </w:r>
          </w:p>
        </w:tc>
      </w:tr>
      <w:tr w:rsidR="00E66E86" w:rsidRPr="000A7AD1" w14:paraId="767EC35D"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965190C" w14:textId="77777777" w:rsidR="00E66E86" w:rsidRPr="00596F26" w:rsidRDefault="00E66E86" w:rsidP="007157C0">
            <w:pPr>
              <w:rPr>
                <w:rFonts w:ascii="Arial Narrow" w:hAnsi="Arial Narrow"/>
                <w:sz w:val="20"/>
                <w:szCs w:val="20"/>
              </w:rPr>
            </w:pPr>
            <w:r w:rsidRPr="00596F26">
              <w:rPr>
                <w:rFonts w:ascii="Arial Narrow" w:hAnsi="Arial Narrow" w:cs="Arial Narrow"/>
                <w:b/>
                <w:bCs/>
                <w:iCs/>
                <w:sz w:val="20"/>
                <w:szCs w:val="20"/>
              </w:rPr>
              <w:t>AND</w:t>
            </w:r>
          </w:p>
        </w:tc>
      </w:tr>
      <w:tr w:rsidR="00E66E86" w:rsidRPr="000A7AD1" w14:paraId="3F70C1A5"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D924514" w14:textId="77777777" w:rsidR="00E66E86" w:rsidRPr="00596F26" w:rsidRDefault="00E66E86" w:rsidP="007157C0">
            <w:pPr>
              <w:rPr>
                <w:rFonts w:ascii="Arial Narrow" w:hAnsi="Arial Narrow"/>
                <w:sz w:val="20"/>
                <w:szCs w:val="20"/>
              </w:rPr>
            </w:pPr>
            <w:r w:rsidRPr="00596F26">
              <w:rPr>
                <w:rFonts w:ascii="Arial Narrow" w:hAnsi="Arial Narrow"/>
                <w:b/>
                <w:bCs/>
                <w:sz w:val="20"/>
                <w:szCs w:val="20"/>
              </w:rPr>
              <w:t>Clinical criteria:</w:t>
            </w:r>
          </w:p>
        </w:tc>
      </w:tr>
      <w:tr w:rsidR="00E66E86" w:rsidRPr="000A7AD1" w14:paraId="0D8EB8A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16EFEE1E" w14:textId="77777777" w:rsidR="00E66E86" w:rsidRPr="00596F26" w:rsidRDefault="00E66E86" w:rsidP="007157C0">
            <w:pPr>
              <w:rPr>
                <w:rFonts w:ascii="Arial Narrow" w:hAnsi="Arial Narrow"/>
                <w:sz w:val="20"/>
                <w:szCs w:val="20"/>
              </w:rPr>
            </w:pPr>
            <w:r w:rsidRPr="00596F26">
              <w:rPr>
                <w:rFonts w:ascii="Arial Narrow" w:eastAsia="Calibri" w:hAnsi="Arial Narrow"/>
                <w:sz w:val="20"/>
                <w:szCs w:val="20"/>
              </w:rPr>
              <w:t>The treatment must be the sole PBS-subsidised biological medicine for this PBS indication</w:t>
            </w:r>
          </w:p>
        </w:tc>
      </w:tr>
      <w:tr w:rsidR="00E66E86" w:rsidRPr="00C14CB9" w14:paraId="2051817A"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6756286" w14:textId="77777777" w:rsidR="00E66E86" w:rsidRPr="00C14CB9" w:rsidRDefault="00E66E86" w:rsidP="007157C0">
            <w:pPr>
              <w:rPr>
                <w:rFonts w:ascii="Arial Narrow" w:eastAsia="Calibri" w:hAnsi="Arial Narrow"/>
                <w:sz w:val="20"/>
                <w:szCs w:val="20"/>
              </w:rPr>
            </w:pPr>
            <w:r w:rsidRPr="00446E53">
              <w:rPr>
                <w:rFonts w:ascii="Arial Narrow" w:hAnsi="Arial Narrow" w:cs="Arial Narrow"/>
                <w:b/>
                <w:bCs/>
                <w:iCs/>
                <w:sz w:val="20"/>
                <w:szCs w:val="20"/>
              </w:rPr>
              <w:t>AND</w:t>
            </w:r>
          </w:p>
        </w:tc>
      </w:tr>
      <w:tr w:rsidR="00E66E86" w:rsidRPr="00C14CB9" w14:paraId="36065B3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E030C93" w14:textId="77777777" w:rsidR="00E66E86" w:rsidRPr="00C14CB9" w:rsidRDefault="00E66E86" w:rsidP="007157C0">
            <w:pPr>
              <w:rPr>
                <w:rFonts w:ascii="Arial Narrow" w:eastAsia="Calibri" w:hAnsi="Arial Narrow"/>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E66E86" w:rsidRPr="00C14CB9" w14:paraId="4D7C2EE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1138DCD2" w14:textId="77777777" w:rsidR="00E66E86" w:rsidRPr="00C14CB9" w:rsidRDefault="00E66E86" w:rsidP="007157C0">
            <w:pPr>
              <w:rPr>
                <w:rFonts w:ascii="Arial Narrow" w:eastAsia="Calibri" w:hAnsi="Arial Narrow"/>
                <w:sz w:val="20"/>
                <w:szCs w:val="20"/>
              </w:rPr>
            </w:pPr>
            <w:r w:rsidRPr="00BA58E1">
              <w:rPr>
                <w:rFonts w:ascii="Arial Narrow" w:eastAsia="Calibri" w:hAnsi="Arial Narrow"/>
                <w:sz w:val="20"/>
                <w:szCs w:val="20"/>
              </w:rPr>
              <w:t>Patient must not have experienced an inadequate response to this biological medicine in this PBS indication</w:t>
            </w:r>
          </w:p>
        </w:tc>
      </w:tr>
      <w:tr w:rsidR="00E66E86" w:rsidRPr="00446E53" w14:paraId="0DD3A116"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7408B9FA" w14:textId="77777777" w:rsidR="00E66E86" w:rsidRPr="00446E53" w:rsidRDefault="00E66E86" w:rsidP="007157C0">
            <w:pPr>
              <w:rPr>
                <w:rFonts w:ascii="Arial Narrow" w:hAnsi="Arial Narrow"/>
                <w:b/>
                <w:bCs/>
                <w:color w:val="333333"/>
                <w:sz w:val="20"/>
                <w:szCs w:val="20"/>
              </w:rPr>
            </w:pPr>
            <w:r>
              <w:rPr>
                <w:rFonts w:ascii="Arial Narrow" w:eastAsia="Calibri" w:hAnsi="Arial Narrow"/>
                <w:b/>
                <w:bCs/>
                <w:sz w:val="20"/>
                <w:szCs w:val="20"/>
              </w:rPr>
              <w:t xml:space="preserve">Treatment criteria: </w:t>
            </w:r>
          </w:p>
        </w:tc>
      </w:tr>
      <w:tr w:rsidR="00E66E86" w:rsidRPr="00446E53" w14:paraId="1766F40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095B876C" w14:textId="77777777" w:rsidR="00E66E86" w:rsidRPr="00446E53" w:rsidRDefault="00E66E86" w:rsidP="007157C0">
            <w:pPr>
              <w:rPr>
                <w:rFonts w:ascii="Arial Narrow" w:hAnsi="Arial Narrow"/>
                <w:b/>
                <w:bCs/>
                <w:color w:val="333333"/>
                <w:sz w:val="20"/>
                <w:szCs w:val="20"/>
              </w:rPr>
            </w:pPr>
            <w:r w:rsidRPr="00176579">
              <w:rPr>
                <w:rFonts w:ascii="Arial Narrow" w:eastAsia="Calibri" w:hAnsi="Arial Narrow"/>
                <w:sz w:val="20"/>
                <w:szCs w:val="20"/>
              </w:rPr>
              <w:t>Must be treated by a dermatologist; or</w:t>
            </w:r>
          </w:p>
        </w:tc>
      </w:tr>
      <w:tr w:rsidR="00E66E86" w:rsidRPr="00446E53" w14:paraId="3EF2613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4B094D96" w14:textId="77777777" w:rsidR="00E66E86" w:rsidRPr="00446E53" w:rsidRDefault="00E66E86" w:rsidP="007157C0">
            <w:pPr>
              <w:rPr>
                <w:rFonts w:ascii="Arial Narrow" w:hAnsi="Arial Narrow" w:cs="Arial Narrow"/>
                <w:iCs/>
                <w:color w:val="FF0000"/>
                <w:sz w:val="20"/>
                <w:szCs w:val="20"/>
              </w:rPr>
            </w:pPr>
            <w:r w:rsidRPr="00176579">
              <w:rPr>
                <w:rFonts w:ascii="Arial Narrow" w:eastAsia="Calibri" w:hAnsi="Arial Narrow"/>
                <w:sz w:val="20"/>
                <w:szCs w:val="20"/>
              </w:rPr>
              <w:t>Must be treated by a clinical immunologist</w:t>
            </w:r>
          </w:p>
        </w:tc>
      </w:tr>
      <w:tr w:rsidR="00E66E86" w:rsidRPr="00446E53" w14:paraId="00612C26"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779A2A4" w14:textId="77777777" w:rsidR="00E66E86" w:rsidRPr="00446E53" w:rsidRDefault="00E66E86" w:rsidP="007157C0">
            <w:pPr>
              <w:rPr>
                <w:rFonts w:ascii="Arial Narrow" w:hAnsi="Arial Narrow" w:cs="Arial Narrow"/>
                <w:iCs/>
                <w:color w:val="FF0000"/>
                <w:sz w:val="20"/>
                <w:szCs w:val="20"/>
              </w:rPr>
            </w:pPr>
            <w:r w:rsidRPr="00446E53">
              <w:rPr>
                <w:rFonts w:ascii="Arial Narrow" w:hAnsi="Arial Narrow"/>
                <w:b/>
                <w:bCs/>
                <w:color w:val="333333"/>
                <w:sz w:val="20"/>
                <w:szCs w:val="20"/>
              </w:rPr>
              <w:t>Population criteria:</w:t>
            </w:r>
          </w:p>
        </w:tc>
      </w:tr>
      <w:tr w:rsidR="00E66E86" w:rsidRPr="00C05175" w14:paraId="088E3D46"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7A60EB0" w14:textId="77777777" w:rsidR="00E66E86" w:rsidRPr="00C05175" w:rsidRDefault="00E66E86" w:rsidP="007157C0">
            <w:pPr>
              <w:rPr>
                <w:rFonts w:ascii="Arial Narrow" w:eastAsia="Calibri" w:hAnsi="Arial Narrow"/>
                <w:sz w:val="20"/>
                <w:szCs w:val="20"/>
              </w:rPr>
            </w:pPr>
            <w:r w:rsidRPr="00C05175">
              <w:rPr>
                <w:rFonts w:ascii="Arial Narrow" w:eastAsia="Calibri" w:hAnsi="Arial Narrow"/>
                <w:sz w:val="20"/>
                <w:szCs w:val="20"/>
              </w:rPr>
              <w:lastRenderedPageBreak/>
              <w:t>Patient must be 12 years of age or older</w:t>
            </w:r>
          </w:p>
        </w:tc>
      </w:tr>
      <w:tr w:rsidR="00E66E86" w:rsidRPr="00446E53" w14:paraId="0A48D8AC"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0FFF021" w14:textId="77777777" w:rsidR="00E66E86" w:rsidRPr="0069367A" w:rsidRDefault="00E66E86" w:rsidP="007157C0">
            <w:pPr>
              <w:rPr>
                <w:rFonts w:ascii="Arial Narrow" w:eastAsia="Calibri" w:hAnsi="Arial Narrow"/>
                <w:sz w:val="20"/>
                <w:szCs w:val="20"/>
              </w:rPr>
            </w:pPr>
            <w:r w:rsidRPr="00446E53">
              <w:rPr>
                <w:rFonts w:ascii="Arial Narrow" w:hAnsi="Arial Narrow"/>
                <w:b/>
                <w:bCs/>
                <w:color w:val="333333"/>
                <w:sz w:val="20"/>
                <w:szCs w:val="20"/>
              </w:rPr>
              <w:t>Prescribing Instructions:</w:t>
            </w:r>
          </w:p>
          <w:p w14:paraId="15ABE068" w14:textId="77777777" w:rsidR="00E66E86" w:rsidRPr="006455BE" w:rsidRDefault="00E66E86" w:rsidP="007157C0">
            <w:pPr>
              <w:rPr>
                <w:rFonts w:ascii="Arial Narrow" w:eastAsia="Calibri" w:hAnsi="Arial Narrow"/>
                <w:sz w:val="20"/>
                <w:szCs w:val="20"/>
              </w:rPr>
            </w:pPr>
            <w:r w:rsidRPr="006455BE">
              <w:rPr>
                <w:rFonts w:ascii="Arial Narrow" w:eastAsia="Calibri" w:hAnsi="Arial Narrow"/>
                <w:sz w:val="20"/>
                <w:szCs w:val="20"/>
              </w:rPr>
              <w:t>State each of the 4 Eczema Area and Severity Index (EASI) symptom sub-score ratings (0 = none, 1 = mild, 2 = moderate, 3 = severe) for:</w:t>
            </w:r>
          </w:p>
          <w:p w14:paraId="7DCCB504" w14:textId="77777777" w:rsidR="00E66E86" w:rsidRPr="00381C24" w:rsidRDefault="00E66E86" w:rsidP="007157C0">
            <w:pPr>
              <w:rPr>
                <w:rFonts w:ascii="Arial Narrow" w:eastAsia="Calibri" w:hAnsi="Arial Narrow"/>
                <w:sz w:val="20"/>
                <w:szCs w:val="20"/>
                <w:lang w:val="fr-FR"/>
              </w:rPr>
            </w:pPr>
            <w:r w:rsidRPr="00381C24">
              <w:rPr>
                <w:rFonts w:ascii="Arial Narrow" w:eastAsia="Calibri" w:hAnsi="Arial Narrow"/>
                <w:sz w:val="20"/>
                <w:szCs w:val="20"/>
                <w:lang w:val="fr-FR"/>
              </w:rPr>
              <w:t xml:space="preserve">(i) </w:t>
            </w:r>
            <w:proofErr w:type="spellStart"/>
            <w:r w:rsidRPr="00381C24">
              <w:rPr>
                <w:rFonts w:ascii="Arial Narrow" w:eastAsia="Calibri" w:hAnsi="Arial Narrow"/>
                <w:sz w:val="20"/>
                <w:szCs w:val="20"/>
                <w:lang w:val="fr-FR"/>
              </w:rPr>
              <w:t>erythema</w:t>
            </w:r>
            <w:proofErr w:type="spellEnd"/>
            <w:r w:rsidRPr="00381C24">
              <w:rPr>
                <w:rFonts w:ascii="Arial Narrow" w:eastAsia="Calibri" w:hAnsi="Arial Narrow"/>
                <w:sz w:val="20"/>
                <w:szCs w:val="20"/>
                <w:lang w:val="fr-FR"/>
              </w:rPr>
              <w:t>,</w:t>
            </w:r>
          </w:p>
          <w:p w14:paraId="31496658" w14:textId="77777777" w:rsidR="00E66E86" w:rsidRPr="00381C24" w:rsidRDefault="00E66E86" w:rsidP="007157C0">
            <w:pPr>
              <w:rPr>
                <w:rFonts w:ascii="Arial Narrow" w:eastAsia="Calibri" w:hAnsi="Arial Narrow"/>
                <w:sz w:val="20"/>
                <w:szCs w:val="20"/>
                <w:lang w:val="fr-FR"/>
              </w:rPr>
            </w:pPr>
            <w:r w:rsidRPr="00381C24">
              <w:rPr>
                <w:rFonts w:ascii="Arial Narrow" w:eastAsia="Calibri" w:hAnsi="Arial Narrow"/>
                <w:sz w:val="20"/>
                <w:szCs w:val="20"/>
                <w:lang w:val="fr-FR"/>
              </w:rPr>
              <w:t xml:space="preserve">(ii) </w:t>
            </w:r>
            <w:proofErr w:type="spellStart"/>
            <w:r w:rsidRPr="00381C24">
              <w:rPr>
                <w:rFonts w:ascii="Arial Narrow" w:eastAsia="Calibri" w:hAnsi="Arial Narrow"/>
                <w:sz w:val="20"/>
                <w:szCs w:val="20"/>
                <w:lang w:val="fr-FR"/>
              </w:rPr>
              <w:t>oedema</w:t>
            </w:r>
            <w:proofErr w:type="spellEnd"/>
            <w:r w:rsidRPr="00381C24">
              <w:rPr>
                <w:rFonts w:ascii="Arial Narrow" w:eastAsia="Calibri" w:hAnsi="Arial Narrow"/>
                <w:sz w:val="20"/>
                <w:szCs w:val="20"/>
                <w:lang w:val="fr-FR"/>
              </w:rPr>
              <w:t>/</w:t>
            </w:r>
            <w:proofErr w:type="spellStart"/>
            <w:r w:rsidRPr="00381C24">
              <w:rPr>
                <w:rFonts w:ascii="Arial Narrow" w:eastAsia="Calibri" w:hAnsi="Arial Narrow"/>
                <w:sz w:val="20"/>
                <w:szCs w:val="20"/>
                <w:lang w:val="fr-FR"/>
              </w:rPr>
              <w:t>papulation</w:t>
            </w:r>
            <w:proofErr w:type="spellEnd"/>
            <w:r w:rsidRPr="00381C24">
              <w:rPr>
                <w:rFonts w:ascii="Arial Narrow" w:eastAsia="Calibri" w:hAnsi="Arial Narrow"/>
                <w:sz w:val="20"/>
                <w:szCs w:val="20"/>
                <w:lang w:val="fr-FR"/>
              </w:rPr>
              <w:t>,</w:t>
            </w:r>
          </w:p>
          <w:p w14:paraId="67E81C9A" w14:textId="77777777" w:rsidR="00E66E86" w:rsidRPr="00381C24" w:rsidRDefault="00E66E86" w:rsidP="007157C0">
            <w:pPr>
              <w:rPr>
                <w:rFonts w:ascii="Arial Narrow" w:eastAsia="Calibri" w:hAnsi="Arial Narrow"/>
                <w:sz w:val="20"/>
                <w:szCs w:val="20"/>
                <w:lang w:val="fr-FR"/>
              </w:rPr>
            </w:pPr>
            <w:r w:rsidRPr="00381C24">
              <w:rPr>
                <w:rFonts w:ascii="Arial Narrow" w:eastAsia="Calibri" w:hAnsi="Arial Narrow"/>
                <w:sz w:val="20"/>
                <w:szCs w:val="20"/>
                <w:lang w:val="fr-FR"/>
              </w:rPr>
              <w:t>(iii) excoriation,</w:t>
            </w:r>
          </w:p>
          <w:p w14:paraId="4E9E2998" w14:textId="77777777" w:rsidR="00E66E86" w:rsidRPr="00381C24" w:rsidRDefault="00E66E86" w:rsidP="007157C0">
            <w:pPr>
              <w:rPr>
                <w:rFonts w:ascii="Arial Narrow" w:eastAsia="Calibri" w:hAnsi="Arial Narrow"/>
                <w:sz w:val="20"/>
                <w:szCs w:val="20"/>
                <w:lang w:val="fr-FR"/>
              </w:rPr>
            </w:pPr>
            <w:r w:rsidRPr="00381C24">
              <w:rPr>
                <w:rFonts w:ascii="Arial Narrow" w:eastAsia="Calibri" w:hAnsi="Arial Narrow"/>
                <w:sz w:val="20"/>
                <w:szCs w:val="20"/>
                <w:lang w:val="fr-FR"/>
              </w:rPr>
              <w:t xml:space="preserve">(iv) </w:t>
            </w:r>
            <w:proofErr w:type="spellStart"/>
            <w:r w:rsidRPr="00381C24">
              <w:rPr>
                <w:rFonts w:ascii="Arial Narrow" w:eastAsia="Calibri" w:hAnsi="Arial Narrow"/>
                <w:sz w:val="20"/>
                <w:szCs w:val="20"/>
                <w:lang w:val="fr-FR"/>
              </w:rPr>
              <w:t>lichenification</w:t>
            </w:r>
            <w:proofErr w:type="spellEnd"/>
          </w:p>
          <w:p w14:paraId="24AE8A68" w14:textId="77777777" w:rsidR="00E66E86" w:rsidRPr="006455BE" w:rsidRDefault="00E66E86" w:rsidP="007157C0">
            <w:pPr>
              <w:rPr>
                <w:rFonts w:ascii="Arial Narrow" w:eastAsia="Calibri" w:hAnsi="Arial Narrow"/>
                <w:sz w:val="20"/>
                <w:szCs w:val="20"/>
              </w:rPr>
            </w:pPr>
            <w:r w:rsidRPr="006455BE">
              <w:rPr>
                <w:rFonts w:ascii="Arial Narrow" w:eastAsia="Calibri" w:hAnsi="Arial Narrow"/>
                <w:sz w:val="20"/>
                <w:szCs w:val="20"/>
              </w:rPr>
              <w:t>Acceptable scores can be:</w:t>
            </w:r>
          </w:p>
          <w:p w14:paraId="5700779E" w14:textId="77777777" w:rsidR="00E66E86" w:rsidRPr="006455BE" w:rsidRDefault="00E66E86" w:rsidP="007157C0">
            <w:pPr>
              <w:rPr>
                <w:rFonts w:ascii="Arial Narrow" w:eastAsia="Calibri" w:hAnsi="Arial Narrow"/>
                <w:sz w:val="20"/>
                <w:szCs w:val="20"/>
              </w:rPr>
            </w:pPr>
            <w:r w:rsidRPr="006455BE">
              <w:rPr>
                <w:rFonts w:ascii="Arial Narrow" w:eastAsia="Calibri" w:hAnsi="Arial Narrow"/>
                <w:sz w:val="20"/>
                <w:szCs w:val="20"/>
              </w:rPr>
              <w:t>(a) current scores; or</w:t>
            </w:r>
          </w:p>
          <w:p w14:paraId="47F9DF4F" w14:textId="77777777" w:rsidR="00E66E86" w:rsidRPr="006455BE" w:rsidRDefault="00E66E86" w:rsidP="007157C0">
            <w:pPr>
              <w:rPr>
                <w:rFonts w:ascii="Arial Narrow" w:eastAsia="Calibri" w:hAnsi="Arial Narrow"/>
                <w:sz w:val="20"/>
                <w:szCs w:val="20"/>
              </w:rPr>
            </w:pPr>
            <w:r w:rsidRPr="006455BE">
              <w:rPr>
                <w:rFonts w:ascii="Arial Narrow" w:eastAsia="Calibri" w:hAnsi="Arial Narrow"/>
                <w:sz w:val="20"/>
                <w:szCs w:val="20"/>
              </w:rPr>
              <w:t>(b) past scores, including those previously quoted in a PBS authority application for another drug listed for this indication.</w:t>
            </w:r>
          </w:p>
          <w:p w14:paraId="57F8BDA7" w14:textId="77777777" w:rsidR="00E66E86" w:rsidRPr="006455BE" w:rsidRDefault="00E66E86" w:rsidP="007157C0">
            <w:pPr>
              <w:rPr>
                <w:rFonts w:ascii="Arial Narrow" w:eastAsia="Calibri" w:hAnsi="Arial Narrow"/>
                <w:sz w:val="20"/>
                <w:szCs w:val="20"/>
              </w:rPr>
            </w:pPr>
            <w:r w:rsidRPr="006455BE">
              <w:rPr>
                <w:rFonts w:ascii="Arial Narrow" w:eastAsia="Calibri" w:hAnsi="Arial Narrow"/>
                <w:sz w:val="20"/>
                <w:szCs w:val="20"/>
              </w:rPr>
              <w:t>State the percentage face/hand surface area affected by the condition (must be at least 30%) where EASI symptom sub-scores are not provided. This percentage surface area can also be stated in addition to the EASI symptom sub-scores.</w:t>
            </w:r>
          </w:p>
          <w:p w14:paraId="7C909558" w14:textId="77777777" w:rsidR="00E66E86" w:rsidRPr="006455BE" w:rsidRDefault="00E66E86" w:rsidP="007157C0">
            <w:pPr>
              <w:rPr>
                <w:rFonts w:ascii="Arial Narrow" w:eastAsia="Calibri" w:hAnsi="Arial Narrow"/>
                <w:sz w:val="20"/>
                <w:szCs w:val="20"/>
              </w:rPr>
            </w:pPr>
            <w:r w:rsidRPr="006455BE">
              <w:rPr>
                <w:rFonts w:ascii="Arial Narrow" w:eastAsia="Calibri" w:hAnsi="Arial Narrow"/>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51BE3D77" w14:textId="77777777" w:rsidR="00E66E86" w:rsidRPr="00446E53" w:rsidRDefault="00E66E86" w:rsidP="007157C0">
            <w:pPr>
              <w:rPr>
                <w:rFonts w:ascii="Arial Narrow" w:hAnsi="Arial Narrow" w:cs="Arial Narrow"/>
                <w:iCs/>
                <w:color w:val="FF0000"/>
                <w:sz w:val="20"/>
                <w:szCs w:val="20"/>
              </w:rPr>
            </w:pPr>
            <w:r w:rsidRPr="006455BE">
              <w:rPr>
                <w:rFonts w:ascii="Arial Narrow" w:eastAsia="Calibri" w:hAnsi="Arial Narrow"/>
                <w:sz w:val="20"/>
                <w:szCs w:val="20"/>
              </w:rPr>
              <w:t>Document the details of the medium to high potency topical corticosteroids (or calcineurin inhibitors) initially trialled are in the patient's medical records.</w:t>
            </w:r>
          </w:p>
        </w:tc>
      </w:tr>
      <w:tr w:rsidR="00E66E86" w:rsidRPr="00446E53" w14:paraId="4502AE58"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322CCC22" w14:textId="77777777" w:rsidR="00E66E86" w:rsidRPr="00257CAF" w:rsidRDefault="00E66E86" w:rsidP="007157C0">
            <w:pPr>
              <w:rPr>
                <w:rFonts w:ascii="Arial Narrow" w:eastAsia="Calibri" w:hAnsi="Arial Narrow"/>
                <w:b/>
                <w:bCs/>
                <w:i/>
                <w:iCs/>
                <w:sz w:val="20"/>
                <w:szCs w:val="20"/>
              </w:rPr>
            </w:pPr>
            <w:r w:rsidRPr="00257CAF">
              <w:rPr>
                <w:rFonts w:ascii="Arial Narrow" w:eastAsia="Calibri" w:hAnsi="Arial Narrow"/>
                <w:b/>
                <w:bCs/>
                <w:i/>
                <w:iCs/>
                <w:sz w:val="20"/>
                <w:szCs w:val="20"/>
              </w:rPr>
              <w:t>Prescribing Instructions:</w:t>
            </w:r>
          </w:p>
          <w:p w14:paraId="7BA00592" w14:textId="77777777" w:rsidR="00E66E86" w:rsidRPr="00446E53" w:rsidRDefault="00E66E86" w:rsidP="007157C0">
            <w:pPr>
              <w:rPr>
                <w:rFonts w:ascii="Arial Narrow" w:hAnsi="Arial Narrow"/>
                <w:b/>
                <w:bCs/>
                <w:color w:val="333333"/>
                <w:sz w:val="20"/>
                <w:szCs w:val="20"/>
              </w:rPr>
            </w:pPr>
            <w:r w:rsidRPr="00257CAF">
              <w:rPr>
                <w:rFonts w:ascii="Arial Narrow" w:eastAsia="Calibri" w:hAnsi="Arial Narrow"/>
                <w:i/>
                <w:iCs/>
                <w:sz w:val="20"/>
                <w:szCs w:val="20"/>
              </w:rPr>
              <w:t>At the time of assessment of response, i.e., within 16 weeks of initial treatment, if adequate response hasn’t been achieved, the prescriber can apply for an extended induction treatment (up to further 8 weeks of therapy) where there has been a partial response and the prescriber considers that extended induction doses could result in achieving adequate response.</w:t>
            </w:r>
          </w:p>
        </w:tc>
      </w:tr>
    </w:tbl>
    <w:p w14:paraId="12E74D00" w14:textId="77777777" w:rsidR="008B68A4" w:rsidRPr="00156BC8" w:rsidRDefault="008B68A4" w:rsidP="008B68A4"/>
    <w:p w14:paraId="4E81A31C" w14:textId="77777777" w:rsidR="008B68A4" w:rsidRPr="007C7088" w:rsidRDefault="008B68A4" w:rsidP="007C7088">
      <w:pPr>
        <w:rPr>
          <w:b/>
          <w:bCs/>
        </w:rPr>
      </w:pPr>
      <w:r w:rsidRPr="007C7088">
        <w:rPr>
          <w:b/>
          <w:bCs/>
        </w:rPr>
        <w:t>Extended induction restriction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Extended induction"/>
      </w:tblPr>
      <w:tblGrid>
        <w:gridCol w:w="3919"/>
        <w:gridCol w:w="806"/>
        <w:gridCol w:w="808"/>
        <w:gridCol w:w="806"/>
        <w:gridCol w:w="808"/>
        <w:gridCol w:w="1870"/>
      </w:tblGrid>
      <w:tr w:rsidR="008B68A4" w:rsidRPr="00972B06" w14:paraId="3D4A3F19" w14:textId="77777777" w:rsidTr="00AF29CF">
        <w:trPr>
          <w:cantSplit/>
          <w:trHeight w:val="20"/>
        </w:trPr>
        <w:tc>
          <w:tcPr>
            <w:tcW w:w="2173" w:type="pct"/>
            <w:vAlign w:val="center"/>
          </w:tcPr>
          <w:p w14:paraId="5E5B4628" w14:textId="77777777" w:rsidR="008B68A4" w:rsidRPr="00972B06" w:rsidRDefault="008B68A4" w:rsidP="007157C0">
            <w:pPr>
              <w:keepLines/>
              <w:rPr>
                <w:rFonts w:ascii="Arial Narrow" w:hAnsi="Arial Narrow"/>
                <w:b/>
                <w:bCs/>
                <w:sz w:val="20"/>
                <w:szCs w:val="20"/>
              </w:rPr>
            </w:pPr>
            <w:r w:rsidRPr="00972B06">
              <w:rPr>
                <w:rFonts w:ascii="Arial Narrow" w:hAnsi="Arial Narrow"/>
                <w:b/>
                <w:bCs/>
                <w:sz w:val="20"/>
                <w:szCs w:val="20"/>
              </w:rPr>
              <w:t>MEDICINAL PRODUCT</w:t>
            </w:r>
          </w:p>
          <w:p w14:paraId="6E9F5654" w14:textId="77777777" w:rsidR="008B68A4" w:rsidRPr="00972B06" w:rsidRDefault="008B68A4" w:rsidP="007157C0">
            <w:pPr>
              <w:keepLines/>
              <w:rPr>
                <w:rFonts w:ascii="Arial Narrow" w:hAnsi="Arial Narrow"/>
                <w:b/>
                <w:sz w:val="20"/>
                <w:szCs w:val="20"/>
              </w:rPr>
            </w:pPr>
            <w:r w:rsidRPr="00972B06">
              <w:rPr>
                <w:rFonts w:ascii="Arial Narrow" w:hAnsi="Arial Narrow"/>
                <w:b/>
                <w:bCs/>
                <w:sz w:val="20"/>
                <w:szCs w:val="20"/>
              </w:rPr>
              <w:t>medicinal product pack</w:t>
            </w:r>
          </w:p>
        </w:tc>
        <w:tc>
          <w:tcPr>
            <w:tcW w:w="447" w:type="pct"/>
            <w:vAlign w:val="center"/>
          </w:tcPr>
          <w:p w14:paraId="71BFC0A2" w14:textId="77777777" w:rsidR="008B68A4" w:rsidRPr="00972B06" w:rsidRDefault="008B68A4" w:rsidP="007157C0">
            <w:pPr>
              <w:keepLines/>
              <w:jc w:val="center"/>
              <w:rPr>
                <w:rFonts w:ascii="Arial Narrow" w:hAnsi="Arial Narrow"/>
                <w:b/>
                <w:sz w:val="20"/>
                <w:szCs w:val="20"/>
              </w:rPr>
            </w:pPr>
            <w:r w:rsidRPr="00972B06">
              <w:rPr>
                <w:rFonts w:ascii="Arial Narrow" w:hAnsi="Arial Narrow"/>
                <w:b/>
                <w:sz w:val="20"/>
                <w:szCs w:val="20"/>
              </w:rPr>
              <w:t>PBS item code</w:t>
            </w:r>
          </w:p>
        </w:tc>
        <w:tc>
          <w:tcPr>
            <w:tcW w:w="448" w:type="pct"/>
            <w:vAlign w:val="center"/>
          </w:tcPr>
          <w:p w14:paraId="644E0B3F" w14:textId="77777777" w:rsidR="008B68A4" w:rsidRPr="00972B06" w:rsidRDefault="008B68A4" w:rsidP="007157C0">
            <w:pPr>
              <w:keepLines/>
              <w:jc w:val="center"/>
              <w:rPr>
                <w:rFonts w:ascii="Arial Narrow" w:hAnsi="Arial Narrow"/>
                <w:b/>
                <w:sz w:val="20"/>
                <w:szCs w:val="20"/>
              </w:rPr>
            </w:pPr>
            <w:r w:rsidRPr="00972B06">
              <w:rPr>
                <w:rFonts w:ascii="Arial Narrow" w:hAnsi="Arial Narrow"/>
                <w:b/>
                <w:sz w:val="20"/>
                <w:szCs w:val="20"/>
              </w:rPr>
              <w:t>Max. qty packs</w:t>
            </w:r>
          </w:p>
        </w:tc>
        <w:tc>
          <w:tcPr>
            <w:tcW w:w="447" w:type="pct"/>
            <w:vAlign w:val="center"/>
          </w:tcPr>
          <w:p w14:paraId="21126E98" w14:textId="77777777" w:rsidR="008B68A4" w:rsidRPr="00972B06" w:rsidRDefault="008B68A4" w:rsidP="007157C0">
            <w:pPr>
              <w:keepLines/>
              <w:jc w:val="center"/>
              <w:rPr>
                <w:rFonts w:ascii="Arial Narrow" w:hAnsi="Arial Narrow"/>
                <w:b/>
                <w:sz w:val="20"/>
                <w:szCs w:val="20"/>
              </w:rPr>
            </w:pPr>
            <w:r w:rsidRPr="00972B06">
              <w:rPr>
                <w:rFonts w:ascii="Arial Narrow" w:hAnsi="Arial Narrow"/>
                <w:b/>
                <w:sz w:val="20"/>
                <w:szCs w:val="20"/>
              </w:rPr>
              <w:t>Max. qty units</w:t>
            </w:r>
          </w:p>
        </w:tc>
        <w:tc>
          <w:tcPr>
            <w:tcW w:w="448" w:type="pct"/>
            <w:vAlign w:val="center"/>
          </w:tcPr>
          <w:p w14:paraId="5B29769D" w14:textId="77777777" w:rsidR="008B68A4" w:rsidRPr="00972B06" w:rsidRDefault="008B68A4" w:rsidP="007157C0">
            <w:pPr>
              <w:keepLines/>
              <w:jc w:val="center"/>
              <w:rPr>
                <w:rFonts w:ascii="Arial Narrow" w:hAnsi="Arial Narrow"/>
                <w:b/>
                <w:sz w:val="20"/>
                <w:szCs w:val="20"/>
              </w:rPr>
            </w:pPr>
            <w:r w:rsidRPr="00972B06">
              <w:rPr>
                <w:rFonts w:ascii="Arial Narrow" w:hAnsi="Arial Narrow"/>
                <w:b/>
                <w:sz w:val="20"/>
                <w:szCs w:val="20"/>
              </w:rPr>
              <w:t>№.of</w:t>
            </w:r>
          </w:p>
          <w:p w14:paraId="60B8441E" w14:textId="77777777" w:rsidR="008B68A4" w:rsidRPr="00972B06" w:rsidRDefault="008B68A4" w:rsidP="007157C0">
            <w:pPr>
              <w:keepLines/>
              <w:jc w:val="center"/>
              <w:rPr>
                <w:rFonts w:ascii="Arial Narrow" w:hAnsi="Arial Narrow"/>
                <w:b/>
                <w:sz w:val="20"/>
                <w:szCs w:val="20"/>
              </w:rPr>
            </w:pPr>
            <w:r w:rsidRPr="00972B06">
              <w:rPr>
                <w:rFonts w:ascii="Arial Narrow" w:hAnsi="Arial Narrow"/>
                <w:b/>
                <w:sz w:val="20"/>
                <w:szCs w:val="20"/>
              </w:rPr>
              <w:t>Rpts</w:t>
            </w:r>
          </w:p>
        </w:tc>
        <w:tc>
          <w:tcPr>
            <w:tcW w:w="1037" w:type="pct"/>
            <w:vAlign w:val="center"/>
          </w:tcPr>
          <w:p w14:paraId="181A1FFF" w14:textId="77777777" w:rsidR="008B68A4" w:rsidRPr="00972B06" w:rsidRDefault="008B68A4" w:rsidP="007157C0">
            <w:pPr>
              <w:keepLines/>
              <w:rPr>
                <w:rFonts w:ascii="Arial Narrow" w:hAnsi="Arial Narrow"/>
                <w:b/>
                <w:sz w:val="20"/>
                <w:szCs w:val="20"/>
                <w:lang w:val="fr-FR"/>
              </w:rPr>
            </w:pPr>
            <w:r w:rsidRPr="00972B06">
              <w:rPr>
                <w:rFonts w:ascii="Arial Narrow" w:hAnsi="Arial Narrow"/>
                <w:b/>
                <w:sz w:val="20"/>
                <w:szCs w:val="20"/>
              </w:rPr>
              <w:t>Available brands</w:t>
            </w:r>
          </w:p>
        </w:tc>
      </w:tr>
      <w:tr w:rsidR="008B68A4" w:rsidRPr="00972B06" w14:paraId="5406A767" w14:textId="77777777" w:rsidTr="00AF29CF">
        <w:trPr>
          <w:cantSplit/>
          <w:trHeight w:val="20"/>
        </w:trPr>
        <w:tc>
          <w:tcPr>
            <w:tcW w:w="5000" w:type="pct"/>
            <w:gridSpan w:val="6"/>
            <w:vAlign w:val="center"/>
          </w:tcPr>
          <w:p w14:paraId="6463642B" w14:textId="77777777" w:rsidR="008B68A4" w:rsidRPr="00972B06" w:rsidRDefault="008B68A4" w:rsidP="007157C0">
            <w:pPr>
              <w:keepLines/>
              <w:rPr>
                <w:rFonts w:ascii="Arial Narrow" w:hAnsi="Arial Narrow"/>
                <w:sz w:val="20"/>
                <w:szCs w:val="20"/>
              </w:rPr>
            </w:pPr>
            <w:r w:rsidRPr="00972B06">
              <w:rPr>
                <w:rFonts w:ascii="Arial Narrow" w:hAnsi="Arial Narrow"/>
                <w:sz w:val="20"/>
                <w:szCs w:val="20"/>
              </w:rPr>
              <w:t>NEMOLIZUMAB</w:t>
            </w:r>
          </w:p>
        </w:tc>
      </w:tr>
      <w:tr w:rsidR="008B68A4" w:rsidRPr="00972B06" w14:paraId="3C3DC335" w14:textId="77777777" w:rsidTr="00AF29CF">
        <w:trPr>
          <w:cantSplit/>
          <w:trHeight w:val="20"/>
        </w:trPr>
        <w:tc>
          <w:tcPr>
            <w:tcW w:w="2173" w:type="pct"/>
            <w:vAlign w:val="center"/>
          </w:tcPr>
          <w:p w14:paraId="1E50F5D5" w14:textId="77777777" w:rsidR="008B68A4" w:rsidRPr="00972B06" w:rsidRDefault="008B68A4" w:rsidP="007157C0">
            <w:pPr>
              <w:keepLines/>
              <w:rPr>
                <w:rFonts w:ascii="Arial Narrow" w:hAnsi="Arial Narrow"/>
                <w:sz w:val="20"/>
                <w:szCs w:val="20"/>
              </w:rPr>
            </w:pPr>
            <w:r w:rsidRPr="00972B06">
              <w:rPr>
                <w:rFonts w:ascii="Arial Narrow" w:hAnsi="Arial Narrow"/>
                <w:sz w:val="20"/>
                <w:szCs w:val="20"/>
              </w:rPr>
              <w:t xml:space="preserve">nemolizumab 30 mg injection [1 chamber] (&amp;) inert substance diluent [1 chamber], 1 dual chamber pen device </w:t>
            </w:r>
          </w:p>
        </w:tc>
        <w:tc>
          <w:tcPr>
            <w:tcW w:w="447" w:type="pct"/>
            <w:vAlign w:val="center"/>
          </w:tcPr>
          <w:p w14:paraId="22F3B6EF" w14:textId="77777777" w:rsidR="008B68A4" w:rsidRPr="00972B06" w:rsidRDefault="008B68A4" w:rsidP="007157C0">
            <w:pPr>
              <w:keepLines/>
              <w:jc w:val="center"/>
              <w:rPr>
                <w:rFonts w:ascii="Arial Narrow" w:hAnsi="Arial Narrow"/>
                <w:sz w:val="20"/>
                <w:szCs w:val="20"/>
              </w:rPr>
            </w:pPr>
            <w:r w:rsidRPr="00972B06">
              <w:rPr>
                <w:rFonts w:ascii="Arial Narrow" w:hAnsi="Arial Narrow"/>
                <w:sz w:val="20"/>
                <w:szCs w:val="20"/>
              </w:rPr>
              <w:t>NEW</w:t>
            </w:r>
          </w:p>
        </w:tc>
        <w:tc>
          <w:tcPr>
            <w:tcW w:w="448" w:type="pct"/>
            <w:vAlign w:val="center"/>
          </w:tcPr>
          <w:p w14:paraId="7ABDBE65" w14:textId="77777777" w:rsidR="008B68A4" w:rsidRPr="00972B06" w:rsidRDefault="008B68A4" w:rsidP="007157C0">
            <w:pPr>
              <w:keepLines/>
              <w:jc w:val="center"/>
              <w:rPr>
                <w:rFonts w:ascii="Arial Narrow" w:hAnsi="Arial Narrow"/>
                <w:sz w:val="20"/>
                <w:szCs w:val="20"/>
              </w:rPr>
            </w:pPr>
            <w:r w:rsidRPr="00972B06">
              <w:rPr>
                <w:rFonts w:ascii="Arial Narrow" w:hAnsi="Arial Narrow"/>
                <w:sz w:val="20"/>
                <w:szCs w:val="20"/>
              </w:rPr>
              <w:t>2</w:t>
            </w:r>
          </w:p>
        </w:tc>
        <w:tc>
          <w:tcPr>
            <w:tcW w:w="447" w:type="pct"/>
            <w:vAlign w:val="center"/>
          </w:tcPr>
          <w:p w14:paraId="5C3E2525" w14:textId="77777777" w:rsidR="008B68A4" w:rsidRPr="00972B06" w:rsidRDefault="008B68A4" w:rsidP="007157C0">
            <w:pPr>
              <w:keepLines/>
              <w:jc w:val="center"/>
              <w:rPr>
                <w:rFonts w:ascii="Arial Narrow" w:hAnsi="Arial Narrow"/>
                <w:sz w:val="20"/>
                <w:szCs w:val="20"/>
              </w:rPr>
            </w:pPr>
            <w:r w:rsidRPr="00972B06">
              <w:rPr>
                <w:rFonts w:ascii="Arial Narrow" w:hAnsi="Arial Narrow"/>
                <w:sz w:val="20"/>
                <w:szCs w:val="20"/>
              </w:rPr>
              <w:t>2</w:t>
            </w:r>
          </w:p>
        </w:tc>
        <w:tc>
          <w:tcPr>
            <w:tcW w:w="448" w:type="pct"/>
            <w:vAlign w:val="center"/>
          </w:tcPr>
          <w:p w14:paraId="5723F167" w14:textId="77777777" w:rsidR="008B68A4" w:rsidRPr="00972B06" w:rsidRDefault="008B68A4" w:rsidP="007157C0">
            <w:pPr>
              <w:keepLines/>
              <w:jc w:val="center"/>
              <w:rPr>
                <w:rFonts w:ascii="Arial Narrow" w:hAnsi="Arial Narrow"/>
                <w:sz w:val="20"/>
                <w:szCs w:val="20"/>
              </w:rPr>
            </w:pPr>
            <w:r>
              <w:rPr>
                <w:rFonts w:ascii="Arial Narrow" w:hAnsi="Arial Narrow"/>
                <w:sz w:val="20"/>
                <w:szCs w:val="20"/>
              </w:rPr>
              <w:t>0</w:t>
            </w:r>
          </w:p>
        </w:tc>
        <w:tc>
          <w:tcPr>
            <w:tcW w:w="1037" w:type="pct"/>
            <w:vAlign w:val="center"/>
          </w:tcPr>
          <w:p w14:paraId="18F0EB04" w14:textId="77777777" w:rsidR="008B68A4" w:rsidRPr="00972B06" w:rsidRDefault="008B68A4" w:rsidP="007157C0">
            <w:pPr>
              <w:keepLines/>
              <w:jc w:val="center"/>
              <w:rPr>
                <w:rFonts w:ascii="Arial Narrow" w:hAnsi="Arial Narrow"/>
                <w:sz w:val="20"/>
                <w:szCs w:val="20"/>
              </w:rPr>
            </w:pPr>
          </w:p>
          <w:p w14:paraId="6D74AFD3" w14:textId="77777777" w:rsidR="008B68A4" w:rsidRPr="00972B06" w:rsidRDefault="008B68A4" w:rsidP="007157C0">
            <w:pPr>
              <w:keepLines/>
              <w:jc w:val="center"/>
              <w:rPr>
                <w:rFonts w:ascii="Arial Narrow" w:hAnsi="Arial Narrow"/>
                <w:sz w:val="20"/>
                <w:szCs w:val="20"/>
              </w:rPr>
            </w:pPr>
            <w:r w:rsidRPr="00972B06">
              <w:rPr>
                <w:rFonts w:ascii="Arial Narrow" w:hAnsi="Arial Narrow"/>
                <w:sz w:val="20"/>
                <w:szCs w:val="20"/>
              </w:rPr>
              <w:t>Nemluvio</w:t>
            </w:r>
          </w:p>
          <w:p w14:paraId="308A1469" w14:textId="77777777" w:rsidR="008B68A4" w:rsidRPr="00972B06" w:rsidRDefault="008B68A4" w:rsidP="007157C0">
            <w:pPr>
              <w:keepLines/>
              <w:rPr>
                <w:rFonts w:ascii="Arial Narrow" w:hAnsi="Arial Narrow"/>
                <w:sz w:val="20"/>
                <w:szCs w:val="20"/>
              </w:rPr>
            </w:pPr>
          </w:p>
        </w:tc>
      </w:tr>
      <w:tr w:rsidR="008B68A4" w:rsidRPr="00972B06" w14:paraId="67BA00F8"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28769189" w14:textId="77777777" w:rsidR="008B68A4" w:rsidRPr="00972B06" w:rsidRDefault="008B68A4" w:rsidP="007157C0">
            <w:pPr>
              <w:rPr>
                <w:rFonts w:ascii="Arial Narrow" w:hAnsi="Arial Narrow"/>
                <w:sz w:val="20"/>
                <w:szCs w:val="20"/>
              </w:rPr>
            </w:pPr>
          </w:p>
        </w:tc>
      </w:tr>
      <w:tr w:rsidR="00E66E86" w:rsidRPr="00972B06" w14:paraId="3641E2E7"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A8C5FBF" w14:textId="77777777" w:rsidR="00E66E86" w:rsidRPr="00972B06" w:rsidRDefault="00E66E86" w:rsidP="007157C0">
            <w:pPr>
              <w:keepLines/>
              <w:rPr>
                <w:rFonts w:ascii="Arial Narrow" w:hAnsi="Arial Narrow"/>
                <w:sz w:val="20"/>
                <w:szCs w:val="20"/>
              </w:rPr>
            </w:pPr>
            <w:r w:rsidRPr="00972B06">
              <w:rPr>
                <w:rFonts w:ascii="Arial Narrow" w:hAnsi="Arial Narrow"/>
                <w:b/>
                <w:sz w:val="20"/>
                <w:szCs w:val="20"/>
              </w:rPr>
              <w:t>Category / Program:</w:t>
            </w:r>
            <w:r w:rsidRPr="00972B06">
              <w:rPr>
                <w:rFonts w:ascii="Arial Narrow" w:hAnsi="Arial Narrow"/>
                <w:sz w:val="20"/>
                <w:szCs w:val="20"/>
              </w:rPr>
              <w:t xml:space="preserve"> </w:t>
            </w:r>
            <w:r w:rsidRPr="00972B06">
              <w:rPr>
                <w:rFonts w:ascii="Arial Narrow" w:hAnsi="Arial Narrow"/>
                <w:sz w:val="20"/>
                <w:szCs w:val="20"/>
              </w:rPr>
              <w:fldChar w:fldCharType="begin">
                <w:ffData>
                  <w:name w:val=""/>
                  <w:enabled/>
                  <w:calcOnExit w:val="0"/>
                  <w:checkBox>
                    <w:sizeAuto/>
                    <w:default w:val="1"/>
                  </w:checkBox>
                </w:ffData>
              </w:fldChar>
            </w:r>
            <w:r w:rsidRPr="00972B06">
              <w:rPr>
                <w:rFonts w:ascii="Arial Narrow" w:hAnsi="Arial Narrow"/>
                <w:sz w:val="20"/>
                <w:szCs w:val="20"/>
              </w:rPr>
              <w:instrText xml:space="preserve"> FORMCHECKBOX </w:instrText>
            </w:r>
            <w:r w:rsidRPr="00972B06">
              <w:rPr>
                <w:rFonts w:ascii="Arial Narrow" w:hAnsi="Arial Narrow"/>
                <w:sz w:val="20"/>
                <w:szCs w:val="20"/>
              </w:rPr>
            </w:r>
            <w:r w:rsidRPr="00972B06">
              <w:rPr>
                <w:rFonts w:ascii="Arial Narrow" w:hAnsi="Arial Narrow"/>
                <w:sz w:val="20"/>
                <w:szCs w:val="20"/>
              </w:rPr>
              <w:fldChar w:fldCharType="separate"/>
            </w:r>
            <w:r w:rsidRPr="00972B06">
              <w:rPr>
                <w:rFonts w:ascii="Arial Narrow" w:hAnsi="Arial Narrow"/>
                <w:sz w:val="20"/>
                <w:szCs w:val="20"/>
              </w:rPr>
              <w:fldChar w:fldCharType="end"/>
            </w:r>
            <w:r w:rsidRPr="00972B06">
              <w:rPr>
                <w:rFonts w:ascii="Arial Narrow" w:hAnsi="Arial Narrow"/>
                <w:sz w:val="20"/>
                <w:szCs w:val="20"/>
              </w:rPr>
              <w:t xml:space="preserve"> </w:t>
            </w:r>
            <w:r w:rsidRPr="00972B06">
              <w:rPr>
                <w:rFonts w:ascii="Arial Narrow" w:eastAsia="Calibri" w:hAnsi="Arial Narrow"/>
                <w:sz w:val="20"/>
                <w:szCs w:val="20"/>
              </w:rPr>
              <w:t xml:space="preserve">GENERAL - General Schedule (Code GE) </w:t>
            </w:r>
          </w:p>
        </w:tc>
      </w:tr>
      <w:tr w:rsidR="00E66E86" w:rsidRPr="00972B06" w14:paraId="33909433"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F28995E" w14:textId="77777777" w:rsidR="00E66E86" w:rsidRPr="00972B06" w:rsidRDefault="00E66E86" w:rsidP="007157C0">
            <w:pPr>
              <w:keepLines/>
              <w:rPr>
                <w:rFonts w:ascii="Arial Narrow" w:hAnsi="Arial Narrow"/>
                <w:b/>
                <w:sz w:val="20"/>
                <w:szCs w:val="20"/>
              </w:rPr>
            </w:pPr>
            <w:r w:rsidRPr="00972B06">
              <w:rPr>
                <w:rFonts w:ascii="Arial Narrow" w:hAnsi="Arial Narrow"/>
                <w:b/>
                <w:sz w:val="20"/>
                <w:szCs w:val="20"/>
              </w:rPr>
              <w:t xml:space="preserve">Prescriber type: </w:t>
            </w:r>
            <w:r w:rsidRPr="00972B06">
              <w:rPr>
                <w:rFonts w:ascii="Arial Narrow" w:hAnsi="Arial Narrow"/>
                <w:sz w:val="20"/>
                <w:szCs w:val="20"/>
              </w:rPr>
              <w:fldChar w:fldCharType="begin">
                <w:ffData>
                  <w:name w:val=""/>
                  <w:enabled/>
                  <w:calcOnExit w:val="0"/>
                  <w:checkBox>
                    <w:sizeAuto/>
                    <w:default w:val="1"/>
                  </w:checkBox>
                </w:ffData>
              </w:fldChar>
            </w:r>
            <w:r w:rsidRPr="00972B06">
              <w:rPr>
                <w:rFonts w:ascii="Arial Narrow" w:hAnsi="Arial Narrow"/>
                <w:sz w:val="20"/>
                <w:szCs w:val="20"/>
              </w:rPr>
              <w:instrText xml:space="preserve"> FORMCHECKBOX </w:instrText>
            </w:r>
            <w:r w:rsidRPr="00972B06">
              <w:rPr>
                <w:rFonts w:ascii="Arial Narrow" w:hAnsi="Arial Narrow"/>
                <w:sz w:val="20"/>
                <w:szCs w:val="20"/>
              </w:rPr>
            </w:r>
            <w:r w:rsidRPr="00972B06">
              <w:rPr>
                <w:rFonts w:ascii="Arial Narrow" w:hAnsi="Arial Narrow"/>
                <w:sz w:val="20"/>
                <w:szCs w:val="20"/>
              </w:rPr>
              <w:fldChar w:fldCharType="separate"/>
            </w:r>
            <w:r w:rsidRPr="00972B06">
              <w:rPr>
                <w:rFonts w:ascii="Arial Narrow" w:hAnsi="Arial Narrow"/>
                <w:sz w:val="20"/>
                <w:szCs w:val="20"/>
              </w:rPr>
              <w:fldChar w:fldCharType="end"/>
            </w:r>
            <w:r w:rsidRPr="00972B06">
              <w:rPr>
                <w:rFonts w:ascii="Arial Narrow" w:hAnsi="Arial Narrow"/>
                <w:sz w:val="20"/>
                <w:szCs w:val="20"/>
              </w:rPr>
              <w:t xml:space="preserve"> Medical Practitioners </w:t>
            </w:r>
          </w:p>
        </w:tc>
      </w:tr>
      <w:tr w:rsidR="00E66E86" w:rsidRPr="00972B06" w14:paraId="55F015B4"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014B853" w14:textId="77777777" w:rsidR="00E66E86" w:rsidRPr="00972B06" w:rsidRDefault="00E66E86" w:rsidP="007157C0">
            <w:pPr>
              <w:keepLines/>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Telephone/Online PBS Authorities System) </w:t>
            </w:r>
          </w:p>
        </w:tc>
      </w:tr>
      <w:tr w:rsidR="00E66E86" w:rsidRPr="00972B06" w14:paraId="7DF77434"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3C3B2" w14:textId="77777777" w:rsidR="00E66E86" w:rsidRPr="00972B06" w:rsidRDefault="00E66E86" w:rsidP="007157C0">
            <w:pPr>
              <w:keepLines/>
              <w:rPr>
                <w:rFonts w:ascii="Arial Narrow" w:hAnsi="Arial Narrow"/>
                <w:b/>
                <w:bCs/>
                <w:sz w:val="20"/>
                <w:szCs w:val="20"/>
              </w:rPr>
            </w:pPr>
            <w:r w:rsidRPr="00972B06">
              <w:rPr>
                <w:rFonts w:ascii="Arial Narrow" w:hAnsi="Arial Narrow"/>
                <w:b/>
                <w:sz w:val="20"/>
                <w:szCs w:val="20"/>
              </w:rPr>
              <w:t>Restriction Summary [new</w:t>
            </w:r>
            <w:r>
              <w:rPr>
                <w:rFonts w:ascii="Arial Narrow" w:hAnsi="Arial Narrow"/>
                <w:b/>
                <w:sz w:val="20"/>
                <w:szCs w:val="20"/>
              </w:rPr>
              <w:t>3</w:t>
            </w:r>
            <w:r w:rsidRPr="00972B06">
              <w:rPr>
                <w:rFonts w:ascii="Arial Narrow" w:hAnsi="Arial Narrow"/>
                <w:b/>
                <w:sz w:val="20"/>
                <w:szCs w:val="20"/>
              </w:rPr>
              <w:t>] / Treatment of Concept: [new</w:t>
            </w:r>
            <w:r>
              <w:rPr>
                <w:rFonts w:ascii="Arial Narrow" w:hAnsi="Arial Narrow"/>
                <w:b/>
                <w:sz w:val="20"/>
                <w:szCs w:val="20"/>
              </w:rPr>
              <w:t>3</w:t>
            </w:r>
            <w:r w:rsidRPr="00972B06">
              <w:rPr>
                <w:rFonts w:ascii="Arial Narrow" w:hAnsi="Arial Narrow"/>
                <w:b/>
                <w:sz w:val="20"/>
                <w:szCs w:val="20"/>
              </w:rPr>
              <w:t>A]</w:t>
            </w:r>
          </w:p>
        </w:tc>
      </w:tr>
      <w:tr w:rsidR="00E66E86" w:rsidRPr="00972B06" w14:paraId="6E447835"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AB148D9" w14:textId="77777777" w:rsidR="00E66E86" w:rsidRPr="00972B06" w:rsidRDefault="00E66E86" w:rsidP="007157C0">
            <w:pPr>
              <w:keepLines/>
              <w:rPr>
                <w:rFonts w:ascii="Arial Narrow" w:hAnsi="Arial Narrow"/>
                <w:sz w:val="20"/>
                <w:szCs w:val="20"/>
              </w:rPr>
            </w:pPr>
            <w:r w:rsidRPr="00972B06">
              <w:rPr>
                <w:rFonts w:ascii="Arial Narrow" w:hAnsi="Arial Narrow"/>
                <w:b/>
                <w:bCs/>
                <w:sz w:val="20"/>
                <w:szCs w:val="20"/>
              </w:rPr>
              <w:t>Indication:</w:t>
            </w:r>
            <w:r w:rsidRPr="00972B06">
              <w:rPr>
                <w:rFonts w:ascii="Arial Narrow" w:hAnsi="Arial Narrow"/>
                <w:sz w:val="20"/>
                <w:szCs w:val="20"/>
              </w:rPr>
              <w:t xml:space="preserve"> Chronic severe atopic dermatitis </w:t>
            </w:r>
          </w:p>
        </w:tc>
      </w:tr>
      <w:tr w:rsidR="00E66E86" w:rsidRPr="00972B06" w14:paraId="19F8A5B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44D7119" w14:textId="77777777" w:rsidR="00E66E86" w:rsidRPr="00972B06" w:rsidRDefault="00E66E86" w:rsidP="007157C0">
            <w:pPr>
              <w:rPr>
                <w:rFonts w:ascii="Arial Narrow" w:hAnsi="Arial Narrow"/>
                <w:sz w:val="20"/>
                <w:szCs w:val="20"/>
              </w:rPr>
            </w:pPr>
            <w:r w:rsidRPr="00972B06">
              <w:rPr>
                <w:rFonts w:ascii="Arial Narrow" w:hAnsi="Arial Narrow"/>
                <w:b/>
                <w:bCs/>
                <w:sz w:val="20"/>
                <w:szCs w:val="20"/>
              </w:rPr>
              <w:t>Treatment Phase:</w:t>
            </w:r>
            <w:r w:rsidRPr="00972B06">
              <w:rPr>
                <w:rFonts w:ascii="Arial Narrow" w:hAnsi="Arial Narrow"/>
                <w:sz w:val="20"/>
                <w:szCs w:val="20"/>
              </w:rPr>
              <w:t xml:space="preserve"> </w:t>
            </w:r>
            <w:r>
              <w:rPr>
                <w:rFonts w:ascii="Arial Narrow" w:hAnsi="Arial Narrow"/>
                <w:sz w:val="20"/>
                <w:szCs w:val="20"/>
              </w:rPr>
              <w:t>Extended induction treatment (further 8 weeks of initial treatment of the whole body or the face and/or hands)</w:t>
            </w:r>
          </w:p>
        </w:tc>
      </w:tr>
      <w:tr w:rsidR="00E66E86" w:rsidRPr="00972B06" w14:paraId="6147E8C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8CED17F" w14:textId="77777777" w:rsidR="00E66E86" w:rsidRPr="00972B06" w:rsidRDefault="00E66E86" w:rsidP="007157C0">
            <w:pPr>
              <w:rPr>
                <w:rFonts w:ascii="Arial Narrow" w:hAnsi="Arial Narrow"/>
                <w:sz w:val="20"/>
                <w:szCs w:val="20"/>
              </w:rPr>
            </w:pPr>
            <w:r w:rsidRPr="00972B06">
              <w:rPr>
                <w:rFonts w:ascii="Arial Narrow" w:hAnsi="Arial Narrow"/>
                <w:b/>
                <w:bCs/>
                <w:color w:val="333333"/>
                <w:sz w:val="20"/>
                <w:szCs w:val="20"/>
              </w:rPr>
              <w:t xml:space="preserve">Clinical criteria: </w:t>
            </w:r>
          </w:p>
        </w:tc>
      </w:tr>
      <w:tr w:rsidR="00E66E86" w:rsidRPr="00972B06" w14:paraId="14E15C3D"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hideMark/>
          </w:tcPr>
          <w:p w14:paraId="3828EB8D" w14:textId="77777777" w:rsidR="00E66E86" w:rsidRPr="00972B06" w:rsidRDefault="00E66E86" w:rsidP="007157C0">
            <w:pPr>
              <w:rPr>
                <w:rFonts w:ascii="Arial Narrow" w:eastAsia="Calibri" w:hAnsi="Arial Narrow"/>
                <w:sz w:val="20"/>
                <w:szCs w:val="20"/>
              </w:rPr>
            </w:pPr>
            <w:r w:rsidRPr="003171A4">
              <w:rPr>
                <w:rFonts w:ascii="Arial Narrow" w:hAnsi="Arial Narrow"/>
                <w:sz w:val="20"/>
                <w:szCs w:val="20"/>
              </w:rPr>
              <w:t xml:space="preserve">Patient must have received PBS-subsidised treatment with this biological medicine for the treatment of chronic severe atopic dermatitis under the initial treatment </w:t>
            </w:r>
            <w:r>
              <w:rPr>
                <w:rFonts w:ascii="Arial Narrow" w:hAnsi="Arial Narrow"/>
                <w:sz w:val="20"/>
                <w:szCs w:val="20"/>
              </w:rPr>
              <w:t xml:space="preserve">or grandfather treatment </w:t>
            </w:r>
            <w:r w:rsidRPr="003171A4">
              <w:rPr>
                <w:rFonts w:ascii="Arial Narrow" w:hAnsi="Arial Narrow"/>
                <w:sz w:val="20"/>
                <w:szCs w:val="20"/>
              </w:rPr>
              <w:t>phase of the whole body or the face and/or hands</w:t>
            </w:r>
          </w:p>
        </w:tc>
      </w:tr>
      <w:tr w:rsidR="00E66E86" w:rsidRPr="00972B06" w14:paraId="27C593C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A2C1245" w14:textId="77777777" w:rsidR="00E66E86" w:rsidRPr="00972B06" w:rsidRDefault="00E66E86" w:rsidP="007157C0">
            <w:pPr>
              <w:rPr>
                <w:rFonts w:ascii="Arial Narrow" w:hAnsi="Arial Narrow"/>
                <w:color w:val="333333"/>
                <w:sz w:val="20"/>
                <w:szCs w:val="20"/>
              </w:rPr>
            </w:pPr>
            <w:r w:rsidRPr="00972B06">
              <w:rPr>
                <w:rFonts w:ascii="Arial Narrow" w:hAnsi="Arial Narrow"/>
                <w:b/>
                <w:bCs/>
                <w:color w:val="333333"/>
                <w:sz w:val="20"/>
                <w:szCs w:val="20"/>
              </w:rPr>
              <w:t>AND</w:t>
            </w:r>
          </w:p>
        </w:tc>
      </w:tr>
      <w:tr w:rsidR="00E66E86" w:rsidRPr="00972B06" w14:paraId="4AAB984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A95AA1B" w14:textId="77777777" w:rsidR="00E66E86" w:rsidRPr="00972B06" w:rsidRDefault="00E66E86" w:rsidP="007157C0">
            <w:pPr>
              <w:rPr>
                <w:rFonts w:ascii="Arial Narrow" w:hAnsi="Arial Narrow"/>
                <w:color w:val="333333"/>
                <w:sz w:val="20"/>
                <w:szCs w:val="20"/>
              </w:rPr>
            </w:pPr>
            <w:r w:rsidRPr="00972B06">
              <w:rPr>
                <w:rFonts w:ascii="Arial Narrow" w:hAnsi="Arial Narrow"/>
                <w:b/>
                <w:bCs/>
                <w:color w:val="333333"/>
                <w:sz w:val="20"/>
                <w:szCs w:val="20"/>
              </w:rPr>
              <w:t>Clinical criteria:</w:t>
            </w:r>
          </w:p>
        </w:tc>
      </w:tr>
      <w:tr w:rsidR="00E66E86" w:rsidRPr="00972B06" w14:paraId="3836F84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35D7F0A0" w14:textId="77777777" w:rsidR="00E66E86" w:rsidRPr="00972B06" w:rsidRDefault="00E66E86" w:rsidP="007157C0">
            <w:pPr>
              <w:rPr>
                <w:rFonts w:ascii="Arial Narrow" w:hAnsi="Arial Narrow"/>
                <w:color w:val="FF0000"/>
                <w:sz w:val="20"/>
                <w:szCs w:val="20"/>
              </w:rPr>
            </w:pPr>
            <w:r w:rsidRPr="001B4697">
              <w:rPr>
                <w:rFonts w:ascii="Arial Narrow" w:hAnsi="Arial Narrow"/>
                <w:sz w:val="20"/>
                <w:szCs w:val="20"/>
              </w:rPr>
              <w:t>Patient must not be undergoing each of: (i) commencing treatment through this treatment phase listing, (ii) treatment accessed through this treatment phase more than once;</w:t>
            </w:r>
          </w:p>
        </w:tc>
      </w:tr>
      <w:tr w:rsidR="00E66E86" w:rsidRPr="00972B06" w14:paraId="406D67C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C547DDE" w14:textId="77777777" w:rsidR="00E66E86" w:rsidRPr="00972B06" w:rsidRDefault="00E66E86" w:rsidP="007157C0">
            <w:pPr>
              <w:rPr>
                <w:rFonts w:ascii="Arial Narrow" w:hAnsi="Arial Narrow"/>
                <w:color w:val="333333"/>
                <w:sz w:val="20"/>
                <w:szCs w:val="20"/>
              </w:rPr>
            </w:pPr>
            <w:r w:rsidRPr="00972B06">
              <w:rPr>
                <w:rFonts w:ascii="Arial Narrow" w:hAnsi="Arial Narrow"/>
                <w:b/>
                <w:bCs/>
                <w:color w:val="333333"/>
                <w:sz w:val="20"/>
                <w:szCs w:val="20"/>
              </w:rPr>
              <w:t>AND</w:t>
            </w:r>
          </w:p>
        </w:tc>
      </w:tr>
      <w:tr w:rsidR="00E66E86" w:rsidRPr="00972B06" w14:paraId="3F190346"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9C53F45" w14:textId="77777777" w:rsidR="00E66E86" w:rsidRPr="00972B06" w:rsidRDefault="00E66E86" w:rsidP="007157C0">
            <w:pPr>
              <w:rPr>
                <w:rFonts w:ascii="Arial Narrow" w:hAnsi="Arial Narrow"/>
                <w:color w:val="333333"/>
                <w:sz w:val="20"/>
                <w:szCs w:val="20"/>
              </w:rPr>
            </w:pPr>
            <w:r w:rsidRPr="00972B06">
              <w:rPr>
                <w:rFonts w:ascii="Arial Narrow" w:hAnsi="Arial Narrow"/>
                <w:b/>
                <w:bCs/>
                <w:color w:val="333333"/>
                <w:sz w:val="20"/>
                <w:szCs w:val="20"/>
              </w:rPr>
              <w:t>Clinical criteria:</w:t>
            </w:r>
          </w:p>
        </w:tc>
      </w:tr>
      <w:tr w:rsidR="00E66E86" w:rsidRPr="00972B06" w14:paraId="1542521F"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hideMark/>
          </w:tcPr>
          <w:p w14:paraId="253FA24E" w14:textId="77777777" w:rsidR="00E66E86" w:rsidRPr="00972B06" w:rsidRDefault="00E66E86" w:rsidP="007157C0">
            <w:pPr>
              <w:rPr>
                <w:rFonts w:ascii="Arial Narrow" w:hAnsi="Arial Narrow"/>
                <w:color w:val="333333"/>
                <w:sz w:val="20"/>
                <w:szCs w:val="20"/>
              </w:rPr>
            </w:pPr>
            <w:r w:rsidRPr="00991515">
              <w:rPr>
                <w:rFonts w:ascii="Arial Narrow" w:hAnsi="Arial Narrow"/>
                <w:sz w:val="20"/>
                <w:szCs w:val="20"/>
              </w:rPr>
              <w:t xml:space="preserve">Patient must not have achieved adequate response after 16 weeks of </w:t>
            </w:r>
            <w:r w:rsidRPr="009E0ADF">
              <w:rPr>
                <w:rFonts w:ascii="Arial Narrow" w:hAnsi="Arial Narrow"/>
                <w:strike/>
                <w:sz w:val="20"/>
                <w:szCs w:val="20"/>
              </w:rPr>
              <w:t xml:space="preserve">initial </w:t>
            </w:r>
            <w:r w:rsidRPr="00991515">
              <w:rPr>
                <w:rFonts w:ascii="Arial Narrow" w:hAnsi="Arial Narrow"/>
                <w:sz w:val="20"/>
                <w:szCs w:val="20"/>
              </w:rPr>
              <w:t xml:space="preserve">treatment with this drug </w:t>
            </w:r>
            <w:r w:rsidRPr="00326478">
              <w:rPr>
                <w:rFonts w:ascii="Arial Narrow" w:hAnsi="Arial Narrow"/>
                <w:strike/>
                <w:sz w:val="20"/>
                <w:szCs w:val="20"/>
              </w:rPr>
              <w:t>in</w:t>
            </w:r>
            <w:r w:rsidRPr="00991515">
              <w:rPr>
                <w:rFonts w:ascii="Arial Narrow" w:hAnsi="Arial Narrow"/>
                <w:sz w:val="20"/>
                <w:szCs w:val="20"/>
              </w:rPr>
              <w:t xml:space="preserve"> </w:t>
            </w:r>
            <w:r>
              <w:rPr>
                <w:rFonts w:ascii="Arial Narrow" w:hAnsi="Arial Narrow"/>
                <w:i/>
                <w:iCs/>
                <w:sz w:val="20"/>
                <w:szCs w:val="20"/>
              </w:rPr>
              <w:t xml:space="preserve">for </w:t>
            </w:r>
            <w:r w:rsidRPr="00991515">
              <w:rPr>
                <w:rFonts w:ascii="Arial Narrow" w:hAnsi="Arial Narrow"/>
                <w:sz w:val="20"/>
                <w:szCs w:val="20"/>
              </w:rPr>
              <w:t>this PBS indication;</w:t>
            </w:r>
          </w:p>
        </w:tc>
      </w:tr>
      <w:tr w:rsidR="00E66E86" w:rsidRPr="00972B06" w14:paraId="30FBD79D"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933BD8E" w14:textId="77777777" w:rsidR="00E66E86" w:rsidRPr="00972B06" w:rsidRDefault="00E66E86" w:rsidP="007157C0">
            <w:pPr>
              <w:rPr>
                <w:rFonts w:ascii="Arial Narrow" w:hAnsi="Arial Narrow"/>
                <w:color w:val="FF0000"/>
                <w:sz w:val="20"/>
                <w:szCs w:val="20"/>
              </w:rPr>
            </w:pPr>
            <w:r w:rsidRPr="00972B06">
              <w:rPr>
                <w:rFonts w:ascii="Arial Narrow" w:hAnsi="Arial Narrow" w:cs="Arial Narrow"/>
                <w:b/>
                <w:bCs/>
                <w:iCs/>
                <w:sz w:val="20"/>
                <w:szCs w:val="20"/>
              </w:rPr>
              <w:lastRenderedPageBreak/>
              <w:t>AND</w:t>
            </w:r>
          </w:p>
        </w:tc>
      </w:tr>
      <w:tr w:rsidR="00E66E86" w:rsidRPr="00972B06" w14:paraId="398B7B6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8B4C237" w14:textId="77777777" w:rsidR="00E66E86" w:rsidRPr="00972B06" w:rsidRDefault="00E66E86" w:rsidP="007157C0">
            <w:pPr>
              <w:keepNext/>
              <w:rPr>
                <w:rFonts w:ascii="Arial Narrow" w:hAnsi="Arial Narrow"/>
                <w:color w:val="333333"/>
                <w:sz w:val="20"/>
                <w:szCs w:val="20"/>
              </w:rPr>
            </w:pPr>
            <w:r w:rsidRPr="00972B06">
              <w:rPr>
                <w:rFonts w:ascii="Arial Narrow" w:hAnsi="Arial Narrow"/>
                <w:b/>
                <w:bCs/>
                <w:color w:val="333333"/>
                <w:sz w:val="20"/>
                <w:szCs w:val="20"/>
              </w:rPr>
              <w:t>Clinical criteria:</w:t>
            </w:r>
          </w:p>
        </w:tc>
      </w:tr>
      <w:tr w:rsidR="00E66E86" w:rsidRPr="00972B06" w14:paraId="2DC7781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8826773" w14:textId="77777777" w:rsidR="00E66E86" w:rsidRPr="00972B06" w:rsidRDefault="00E66E86" w:rsidP="007157C0">
            <w:pPr>
              <w:autoSpaceDE w:val="0"/>
              <w:autoSpaceDN w:val="0"/>
              <w:adjustRightInd w:val="0"/>
              <w:rPr>
                <w:rFonts w:ascii="Arial Narrow" w:hAnsi="Arial Narrow"/>
                <w:sz w:val="20"/>
                <w:szCs w:val="20"/>
              </w:rPr>
            </w:pPr>
            <w:r w:rsidRPr="00586FD4">
              <w:rPr>
                <w:rFonts w:ascii="Arial Narrow" w:hAnsi="Arial Narrow"/>
                <w:sz w:val="20"/>
                <w:szCs w:val="20"/>
              </w:rPr>
              <w:t>The treatment must be the sole PBS-subsidised biological medicine for this PBS indication</w:t>
            </w:r>
          </w:p>
        </w:tc>
      </w:tr>
      <w:tr w:rsidR="00E66E86" w:rsidRPr="00972B06" w14:paraId="09CC779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01F40766" w14:textId="77777777" w:rsidR="00E66E86" w:rsidRPr="00972B06" w:rsidRDefault="00E66E86" w:rsidP="007157C0">
            <w:pPr>
              <w:autoSpaceDE w:val="0"/>
              <w:autoSpaceDN w:val="0"/>
              <w:adjustRightInd w:val="0"/>
              <w:rPr>
                <w:rFonts w:ascii="Arial Narrow" w:eastAsia="Calibri" w:hAnsi="Arial Narrow"/>
                <w:b/>
                <w:bCs/>
                <w:sz w:val="20"/>
                <w:szCs w:val="20"/>
              </w:rPr>
            </w:pPr>
            <w:r w:rsidRPr="00972B06">
              <w:rPr>
                <w:rFonts w:ascii="Arial Narrow" w:eastAsia="Calibri" w:hAnsi="Arial Narrow"/>
                <w:b/>
                <w:bCs/>
                <w:sz w:val="20"/>
                <w:szCs w:val="20"/>
              </w:rPr>
              <w:t xml:space="preserve">Treatment criteria: </w:t>
            </w:r>
          </w:p>
        </w:tc>
      </w:tr>
      <w:tr w:rsidR="00E66E86" w:rsidRPr="00972B06" w14:paraId="2B19826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0D5C5AF1" w14:textId="77777777" w:rsidR="00E66E86" w:rsidRPr="00972B06" w:rsidRDefault="00E66E86" w:rsidP="007157C0">
            <w:pPr>
              <w:autoSpaceDE w:val="0"/>
              <w:autoSpaceDN w:val="0"/>
              <w:adjustRightInd w:val="0"/>
              <w:rPr>
                <w:rFonts w:ascii="Arial Narrow" w:eastAsia="Calibri" w:hAnsi="Arial Narrow"/>
                <w:sz w:val="20"/>
                <w:szCs w:val="20"/>
              </w:rPr>
            </w:pPr>
            <w:r w:rsidRPr="00972B06">
              <w:rPr>
                <w:rFonts w:ascii="Arial Narrow" w:eastAsia="Calibri" w:hAnsi="Arial Narrow"/>
                <w:sz w:val="20"/>
                <w:szCs w:val="20"/>
              </w:rPr>
              <w:t>Must be treated by a dermatologist; or</w:t>
            </w:r>
          </w:p>
        </w:tc>
      </w:tr>
      <w:tr w:rsidR="00E66E86" w:rsidRPr="00972B06" w14:paraId="5025DC3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30B2A30C" w14:textId="77777777" w:rsidR="00E66E86" w:rsidRPr="00972B06" w:rsidRDefault="00E66E86" w:rsidP="007157C0">
            <w:pPr>
              <w:autoSpaceDE w:val="0"/>
              <w:autoSpaceDN w:val="0"/>
              <w:adjustRightInd w:val="0"/>
              <w:rPr>
                <w:rFonts w:ascii="Arial Narrow" w:eastAsia="Calibri" w:hAnsi="Arial Narrow"/>
                <w:sz w:val="20"/>
                <w:szCs w:val="20"/>
              </w:rPr>
            </w:pPr>
            <w:r w:rsidRPr="00972B06">
              <w:rPr>
                <w:rFonts w:ascii="Arial Narrow" w:eastAsia="Calibri" w:hAnsi="Arial Narrow"/>
                <w:sz w:val="20"/>
                <w:szCs w:val="20"/>
              </w:rPr>
              <w:t>Must be treated by a clinical immunologist</w:t>
            </w:r>
          </w:p>
        </w:tc>
      </w:tr>
      <w:tr w:rsidR="00E66E86" w:rsidRPr="00972B06" w14:paraId="05E352F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26578057" w14:textId="77777777" w:rsidR="00E66E86" w:rsidRPr="00972B06" w:rsidRDefault="00E66E86" w:rsidP="007157C0">
            <w:pPr>
              <w:rPr>
                <w:rFonts w:ascii="Arial Narrow" w:eastAsia="Calibri" w:hAnsi="Arial Narrow"/>
                <w:sz w:val="20"/>
                <w:szCs w:val="20"/>
              </w:rPr>
            </w:pPr>
            <w:r w:rsidRPr="00972B06">
              <w:rPr>
                <w:rFonts w:ascii="Arial Narrow" w:hAnsi="Arial Narrow" w:cs="Arial Narrow"/>
                <w:b/>
                <w:bCs/>
                <w:iCs/>
                <w:strike/>
                <w:sz w:val="20"/>
                <w:szCs w:val="20"/>
              </w:rPr>
              <w:t>AND</w:t>
            </w:r>
          </w:p>
        </w:tc>
      </w:tr>
      <w:tr w:rsidR="00E66E86" w:rsidRPr="00972B06" w14:paraId="12B0504C"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D53CB6F" w14:textId="77777777" w:rsidR="00E66E86" w:rsidRPr="00972B06" w:rsidRDefault="00E66E86" w:rsidP="007157C0">
            <w:pPr>
              <w:rPr>
                <w:rFonts w:ascii="Arial Narrow" w:hAnsi="Arial Narrow"/>
                <w:color w:val="333333"/>
                <w:sz w:val="20"/>
                <w:szCs w:val="20"/>
              </w:rPr>
            </w:pPr>
            <w:r w:rsidRPr="00972B06">
              <w:rPr>
                <w:rFonts w:ascii="Arial Narrow" w:hAnsi="Arial Narrow"/>
                <w:b/>
                <w:bCs/>
                <w:color w:val="333333"/>
                <w:sz w:val="20"/>
                <w:szCs w:val="20"/>
              </w:rPr>
              <w:t>Population criteria:</w:t>
            </w:r>
          </w:p>
        </w:tc>
      </w:tr>
      <w:tr w:rsidR="00E66E86" w:rsidRPr="00972B06" w14:paraId="2DCBF67E"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DCA87E4" w14:textId="77777777" w:rsidR="00E66E86" w:rsidRPr="00972B06" w:rsidRDefault="00E66E86" w:rsidP="007157C0">
            <w:pPr>
              <w:rPr>
                <w:rFonts w:ascii="Arial Narrow" w:eastAsia="Calibri" w:hAnsi="Arial Narrow"/>
                <w:sz w:val="20"/>
                <w:szCs w:val="20"/>
              </w:rPr>
            </w:pPr>
            <w:r w:rsidRPr="00972B06">
              <w:rPr>
                <w:rFonts w:ascii="Arial Narrow" w:eastAsia="Calibri" w:hAnsi="Arial Narrow"/>
                <w:sz w:val="20"/>
                <w:szCs w:val="20"/>
              </w:rPr>
              <w:t>Patient must be 12 years of age or older</w:t>
            </w:r>
          </w:p>
        </w:tc>
      </w:tr>
      <w:tr w:rsidR="00E66E86" w:rsidRPr="00972B06" w14:paraId="161E4AE6"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DC81DE0" w14:textId="77777777" w:rsidR="00E66E86" w:rsidRPr="00972B06" w:rsidRDefault="00E66E86" w:rsidP="007157C0">
            <w:pPr>
              <w:rPr>
                <w:rFonts w:ascii="Arial Narrow" w:eastAsia="Calibri" w:hAnsi="Arial Narrow"/>
                <w:b/>
                <w:bCs/>
                <w:sz w:val="20"/>
                <w:szCs w:val="20"/>
              </w:rPr>
            </w:pPr>
            <w:r w:rsidRPr="00972B06">
              <w:rPr>
                <w:rFonts w:ascii="Arial Narrow" w:eastAsia="Calibri" w:hAnsi="Arial Narrow"/>
                <w:b/>
                <w:bCs/>
                <w:sz w:val="20"/>
                <w:szCs w:val="20"/>
              </w:rPr>
              <w:t>Prescribing Instructions:</w:t>
            </w:r>
          </w:p>
          <w:p w14:paraId="412EDDD0" w14:textId="77777777" w:rsidR="00E66E86" w:rsidRPr="00B80C0D" w:rsidRDefault="00E66E86" w:rsidP="007157C0">
            <w:pPr>
              <w:rPr>
                <w:rFonts w:ascii="Arial Narrow" w:eastAsia="Calibri" w:hAnsi="Arial Narrow"/>
                <w:sz w:val="20"/>
                <w:szCs w:val="20"/>
              </w:rPr>
            </w:pPr>
            <w:r w:rsidRPr="00B80C0D">
              <w:rPr>
                <w:rFonts w:ascii="Arial Narrow" w:eastAsia="Calibri" w:hAnsi="Arial Narrow"/>
                <w:sz w:val="20"/>
                <w:szCs w:val="20"/>
              </w:rPr>
              <w:t>For the purposes of this restriction, an adequate response to treatment of the face/hands is defined as:</w:t>
            </w:r>
          </w:p>
          <w:p w14:paraId="3E003A52" w14:textId="77777777" w:rsidR="00E66E86" w:rsidRPr="00B80C0D" w:rsidRDefault="00E66E86" w:rsidP="007157C0">
            <w:pPr>
              <w:rPr>
                <w:rFonts w:ascii="Arial Narrow" w:eastAsia="Calibri" w:hAnsi="Arial Narrow"/>
                <w:sz w:val="20"/>
                <w:szCs w:val="20"/>
              </w:rPr>
            </w:pPr>
            <w:r w:rsidRPr="00B80C0D">
              <w:rPr>
                <w:rFonts w:ascii="Arial Narrow" w:eastAsia="Calibri" w:hAnsi="Arial Narrow"/>
                <w:sz w:val="20"/>
                <w:szCs w:val="20"/>
              </w:rPr>
              <w:t xml:space="preserve">(a) (i) A rating of either mild (1) to none (0) on at least 3 of the assessments of erythema, oedema/papulation, excoriation and </w:t>
            </w:r>
            <w:proofErr w:type="spellStart"/>
            <w:r w:rsidRPr="00B80C0D">
              <w:rPr>
                <w:rFonts w:ascii="Arial Narrow" w:eastAsia="Calibri" w:hAnsi="Arial Narrow"/>
                <w:sz w:val="20"/>
                <w:szCs w:val="20"/>
              </w:rPr>
              <w:t>lichenification</w:t>
            </w:r>
            <w:proofErr w:type="spellEnd"/>
            <w:r w:rsidRPr="00B80C0D">
              <w:rPr>
                <w:rFonts w:ascii="Arial Narrow" w:eastAsia="Calibri" w:hAnsi="Arial Narrow"/>
                <w:sz w:val="20"/>
                <w:szCs w:val="20"/>
              </w:rPr>
              <w:t xml:space="preserve"> mentioned in the Eczema Area and Severity Index (EASI); or</w:t>
            </w:r>
          </w:p>
          <w:p w14:paraId="29CA39C0" w14:textId="77777777" w:rsidR="00E66E86" w:rsidRPr="00B80C0D" w:rsidRDefault="00E66E86" w:rsidP="007157C0">
            <w:pPr>
              <w:rPr>
                <w:rFonts w:ascii="Arial Narrow" w:eastAsia="Calibri" w:hAnsi="Arial Narrow"/>
                <w:sz w:val="20"/>
                <w:szCs w:val="20"/>
              </w:rPr>
            </w:pPr>
            <w:r w:rsidRPr="00B80C0D">
              <w:rPr>
                <w:rFonts w:ascii="Arial Narrow" w:eastAsia="Calibri" w:hAnsi="Arial Narrow"/>
                <w:sz w:val="20"/>
                <w:szCs w:val="20"/>
              </w:rPr>
              <w:t>(ii) At least a 75% reduction in the skin area affected by this condition compared to baseline; and</w:t>
            </w:r>
          </w:p>
          <w:p w14:paraId="4E164C0C" w14:textId="77777777" w:rsidR="00E66E86" w:rsidRPr="00B80C0D" w:rsidRDefault="00E66E86" w:rsidP="007157C0">
            <w:pPr>
              <w:rPr>
                <w:rFonts w:ascii="Arial Narrow" w:eastAsia="Calibri" w:hAnsi="Arial Narrow"/>
                <w:sz w:val="20"/>
                <w:szCs w:val="20"/>
              </w:rPr>
            </w:pPr>
            <w:r w:rsidRPr="00B80C0D">
              <w:rPr>
                <w:rFonts w:ascii="Arial Narrow" w:eastAsia="Calibri" w:hAnsi="Arial Narrow"/>
                <w:sz w:val="20"/>
                <w:szCs w:val="20"/>
              </w:rPr>
              <w:t>(b) An improvement in Dermatology Life Quality Index (DLQI) score of at least 4 points compared to baseline</w:t>
            </w:r>
          </w:p>
          <w:p w14:paraId="48704545" w14:textId="77777777" w:rsidR="00E66E86" w:rsidRPr="00972B06" w:rsidRDefault="00E66E86" w:rsidP="007157C0">
            <w:pPr>
              <w:rPr>
                <w:rFonts w:ascii="Arial Narrow" w:eastAsia="Calibri" w:hAnsi="Arial Narrow"/>
                <w:sz w:val="20"/>
                <w:szCs w:val="20"/>
              </w:rPr>
            </w:pPr>
            <w:r w:rsidRPr="00B80C0D">
              <w:rPr>
                <w:rFonts w:ascii="Arial Narrow" w:eastAsia="Calibri" w:hAnsi="Arial Narrow"/>
                <w:sz w:val="20"/>
                <w:szCs w:val="20"/>
              </w:rPr>
              <w:t>Document each qualifying response measure in the patient's medical records for PBS compliance auditing purposes</w:t>
            </w:r>
          </w:p>
        </w:tc>
      </w:tr>
      <w:tr w:rsidR="00E66E86" w:rsidRPr="00972B06" w14:paraId="4C1B3C36"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F5836E8" w14:textId="77777777" w:rsidR="00E66E86" w:rsidRPr="00F52FD6" w:rsidRDefault="00E66E86" w:rsidP="007157C0">
            <w:pPr>
              <w:rPr>
                <w:rFonts w:ascii="Arial Narrow" w:eastAsia="Calibri" w:hAnsi="Arial Narrow"/>
                <w:b/>
                <w:bCs/>
                <w:sz w:val="20"/>
                <w:szCs w:val="20"/>
              </w:rPr>
            </w:pPr>
            <w:r w:rsidRPr="00F52FD6">
              <w:rPr>
                <w:rFonts w:ascii="Arial Narrow" w:eastAsia="Calibri" w:hAnsi="Arial Narrow"/>
                <w:b/>
                <w:bCs/>
                <w:sz w:val="20"/>
                <w:szCs w:val="20"/>
              </w:rPr>
              <w:t>Prescribing Instructions:</w:t>
            </w:r>
          </w:p>
          <w:p w14:paraId="263F5D77" w14:textId="77777777" w:rsidR="00E66E86" w:rsidRPr="00F52FD6" w:rsidRDefault="00E66E86" w:rsidP="007157C0">
            <w:pPr>
              <w:rPr>
                <w:rFonts w:ascii="Arial Narrow" w:eastAsia="Calibri" w:hAnsi="Arial Narrow"/>
                <w:sz w:val="20"/>
                <w:szCs w:val="20"/>
              </w:rPr>
            </w:pPr>
            <w:r w:rsidRPr="00F52FD6">
              <w:rPr>
                <w:rFonts w:ascii="Arial Narrow" w:eastAsia="Calibri" w:hAnsi="Arial Narrow"/>
                <w:sz w:val="20"/>
                <w:szCs w:val="20"/>
              </w:rPr>
              <w:t>For the purposes of this restriction, an adequate response to treatment of whole body is defined as:</w:t>
            </w:r>
          </w:p>
          <w:p w14:paraId="67F16962" w14:textId="77777777" w:rsidR="00E66E86" w:rsidRPr="00F52FD6" w:rsidRDefault="00E66E86" w:rsidP="007157C0">
            <w:pPr>
              <w:rPr>
                <w:rFonts w:ascii="Arial Narrow" w:eastAsia="Calibri" w:hAnsi="Arial Narrow"/>
                <w:sz w:val="20"/>
                <w:szCs w:val="20"/>
              </w:rPr>
            </w:pPr>
            <w:r w:rsidRPr="00F52FD6">
              <w:rPr>
                <w:rFonts w:ascii="Arial Narrow" w:eastAsia="Calibri" w:hAnsi="Arial Narrow"/>
                <w:sz w:val="20"/>
                <w:szCs w:val="20"/>
              </w:rPr>
              <w:t>(a) An improvement/maintenance in the Eczema Area and Severity Index (EASI) score of at least 50% compared to baseline; and</w:t>
            </w:r>
          </w:p>
          <w:p w14:paraId="3364B58F" w14:textId="77777777" w:rsidR="00E66E86" w:rsidRPr="00F52FD6" w:rsidRDefault="00E66E86" w:rsidP="007157C0">
            <w:pPr>
              <w:rPr>
                <w:rFonts w:ascii="Arial Narrow" w:eastAsia="Calibri" w:hAnsi="Arial Narrow"/>
                <w:sz w:val="20"/>
                <w:szCs w:val="20"/>
              </w:rPr>
            </w:pPr>
            <w:r w:rsidRPr="00F52FD6">
              <w:rPr>
                <w:rFonts w:ascii="Arial Narrow" w:eastAsia="Calibri" w:hAnsi="Arial Narrow"/>
                <w:sz w:val="20"/>
                <w:szCs w:val="20"/>
              </w:rPr>
              <w:t>(b) An improvement/maintenance in Dermatology Life Quality Index (DLQI) score of at least 4 points compared to baseline</w:t>
            </w:r>
          </w:p>
          <w:p w14:paraId="39960A70" w14:textId="77777777" w:rsidR="00E66E86" w:rsidRPr="00972B06" w:rsidRDefault="00E66E86" w:rsidP="007157C0">
            <w:pPr>
              <w:rPr>
                <w:rFonts w:ascii="Arial Narrow" w:eastAsia="Calibri" w:hAnsi="Arial Narrow"/>
                <w:b/>
                <w:bCs/>
                <w:sz w:val="20"/>
                <w:szCs w:val="20"/>
              </w:rPr>
            </w:pPr>
            <w:r w:rsidRPr="00F52FD6">
              <w:rPr>
                <w:rFonts w:ascii="Arial Narrow" w:eastAsia="Calibri" w:hAnsi="Arial Narrow"/>
                <w:sz w:val="20"/>
                <w:szCs w:val="20"/>
              </w:rPr>
              <w:t>State each of the current EASI and DLQI scores for this authority application.</w:t>
            </w:r>
          </w:p>
        </w:tc>
      </w:tr>
      <w:tr w:rsidR="00E66E86" w:rsidRPr="00972B06" w14:paraId="57CC2FF4"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C061C02" w14:textId="77777777" w:rsidR="00E66E86" w:rsidRPr="00CB6C58" w:rsidRDefault="00E66E86" w:rsidP="007157C0">
            <w:pPr>
              <w:rPr>
                <w:rFonts w:ascii="Arial Narrow" w:eastAsia="Calibri" w:hAnsi="Arial Narrow"/>
                <w:b/>
                <w:bCs/>
                <w:sz w:val="20"/>
                <w:szCs w:val="20"/>
              </w:rPr>
            </w:pPr>
            <w:r w:rsidRPr="00CB6C58">
              <w:rPr>
                <w:rFonts w:ascii="Arial Narrow" w:eastAsia="Calibri" w:hAnsi="Arial Narrow"/>
                <w:b/>
                <w:bCs/>
                <w:sz w:val="20"/>
                <w:szCs w:val="20"/>
              </w:rPr>
              <w:t>Prescribing Instructions:</w:t>
            </w:r>
          </w:p>
          <w:p w14:paraId="016D43BC" w14:textId="77777777" w:rsidR="00E66E86" w:rsidRPr="00972B06" w:rsidRDefault="00E66E86" w:rsidP="007157C0">
            <w:pPr>
              <w:rPr>
                <w:rFonts w:ascii="Arial Narrow" w:hAnsi="Arial Narrow"/>
                <w:b/>
                <w:bCs/>
                <w:color w:val="333333"/>
                <w:sz w:val="20"/>
                <w:szCs w:val="20"/>
              </w:rPr>
            </w:pPr>
            <w:r w:rsidRPr="00CB6C58">
              <w:rPr>
                <w:rFonts w:ascii="Arial Narrow" w:eastAsia="Calibri" w:hAnsi="Arial Narrow"/>
                <w:sz w:val="20"/>
                <w:szCs w:val="20"/>
              </w:rPr>
              <w:t>Prescriber must only apply for this treatment phase if the patient has had a partial response to treatment and the prescriber considers that further induction treatment (further 8 weeks of therapy) with this drug is likely to result in an adequate response.</w:t>
            </w:r>
          </w:p>
        </w:tc>
      </w:tr>
      <w:tr w:rsidR="00E66E86" w:rsidRPr="00A57DC9" w14:paraId="50BF6B0A"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24E23C0" w14:textId="77777777" w:rsidR="00E66E86" w:rsidRPr="00A57DC9" w:rsidRDefault="00E66E86" w:rsidP="007157C0">
            <w:pPr>
              <w:rPr>
                <w:rFonts w:ascii="Arial Narrow" w:eastAsia="Calibri" w:hAnsi="Arial Narrow"/>
                <w:b/>
                <w:bCs/>
                <w:sz w:val="20"/>
                <w:szCs w:val="20"/>
              </w:rPr>
            </w:pPr>
            <w:r w:rsidRPr="00A57DC9">
              <w:rPr>
                <w:rFonts w:ascii="Arial Narrow" w:eastAsia="Calibri" w:hAnsi="Arial Narrow"/>
                <w:b/>
                <w:bCs/>
                <w:sz w:val="20"/>
                <w:szCs w:val="20"/>
              </w:rPr>
              <w:t>Prescribing Instructions:</w:t>
            </w:r>
          </w:p>
          <w:p w14:paraId="5ABE473A" w14:textId="77777777" w:rsidR="00E66E86" w:rsidRPr="00A57DC9" w:rsidRDefault="00E66E86" w:rsidP="007157C0">
            <w:pPr>
              <w:rPr>
                <w:rFonts w:ascii="Arial Narrow" w:hAnsi="Arial Narrow"/>
                <w:color w:val="333333"/>
                <w:sz w:val="20"/>
                <w:szCs w:val="20"/>
              </w:rPr>
            </w:pPr>
            <w:r w:rsidRPr="00A57DC9">
              <w:rPr>
                <w:rFonts w:ascii="Arial Narrow" w:eastAsia="Calibri" w:hAnsi="Arial Narrow"/>
                <w:sz w:val="20"/>
                <w:szCs w:val="20"/>
              </w:rPr>
              <w:t>A second assessment of response must be conducted between 24 to 28 weeks from the first administered dose of this drug to determine the patient’s eligibility for continuing treatment. Where an assessment is not undertaken, the patient will not be eligible for ongoing treatment.</w:t>
            </w:r>
          </w:p>
        </w:tc>
      </w:tr>
    </w:tbl>
    <w:p w14:paraId="5A7A38D8" w14:textId="77777777" w:rsidR="008B68A4" w:rsidRPr="00A60D5A" w:rsidRDefault="008B68A4" w:rsidP="008B68A4"/>
    <w:p w14:paraId="1DE3AAFC" w14:textId="77777777" w:rsidR="008B68A4" w:rsidRPr="007C7088" w:rsidRDefault="008B68A4" w:rsidP="007C7088">
      <w:pPr>
        <w:rPr>
          <w:b/>
          <w:bCs/>
        </w:rPr>
      </w:pPr>
      <w:r w:rsidRPr="007C7088">
        <w:rPr>
          <w:b/>
          <w:bCs/>
        </w:rPr>
        <w:t xml:space="preserve">Continuing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Continuing"/>
      </w:tblPr>
      <w:tblGrid>
        <w:gridCol w:w="3919"/>
        <w:gridCol w:w="806"/>
        <w:gridCol w:w="808"/>
        <w:gridCol w:w="806"/>
        <w:gridCol w:w="808"/>
        <w:gridCol w:w="1870"/>
      </w:tblGrid>
      <w:tr w:rsidR="008B68A4" w:rsidRPr="00446E53" w14:paraId="2A65B7A6" w14:textId="77777777" w:rsidTr="00AF29CF">
        <w:trPr>
          <w:cantSplit/>
          <w:trHeight w:val="20"/>
        </w:trPr>
        <w:tc>
          <w:tcPr>
            <w:tcW w:w="2173" w:type="pct"/>
            <w:vAlign w:val="center"/>
          </w:tcPr>
          <w:p w14:paraId="42234A55" w14:textId="77777777" w:rsidR="008B68A4" w:rsidRPr="00446E53" w:rsidRDefault="008B68A4" w:rsidP="007157C0">
            <w:pPr>
              <w:keepLines/>
              <w:rPr>
                <w:rFonts w:ascii="Arial Narrow" w:hAnsi="Arial Narrow"/>
                <w:b/>
                <w:bCs/>
                <w:sz w:val="20"/>
                <w:szCs w:val="20"/>
              </w:rPr>
            </w:pPr>
            <w:r w:rsidRPr="00446E53">
              <w:rPr>
                <w:rFonts w:ascii="Arial Narrow" w:hAnsi="Arial Narrow"/>
                <w:b/>
                <w:bCs/>
                <w:sz w:val="20"/>
                <w:szCs w:val="20"/>
              </w:rPr>
              <w:t>MEDICINAL PRODUCT</w:t>
            </w:r>
          </w:p>
          <w:p w14:paraId="5EE76EFA" w14:textId="77777777" w:rsidR="008B68A4" w:rsidRPr="00446E53" w:rsidRDefault="008B68A4" w:rsidP="007157C0">
            <w:pPr>
              <w:keepLines/>
              <w:rPr>
                <w:rFonts w:ascii="Arial Narrow" w:hAnsi="Arial Narrow"/>
                <w:b/>
                <w:sz w:val="20"/>
                <w:szCs w:val="20"/>
              </w:rPr>
            </w:pPr>
            <w:r w:rsidRPr="00446E53">
              <w:rPr>
                <w:rFonts w:ascii="Arial Narrow" w:hAnsi="Arial Narrow"/>
                <w:b/>
                <w:bCs/>
                <w:sz w:val="20"/>
                <w:szCs w:val="20"/>
              </w:rPr>
              <w:t>medicinal product pack</w:t>
            </w:r>
          </w:p>
        </w:tc>
        <w:tc>
          <w:tcPr>
            <w:tcW w:w="447" w:type="pct"/>
            <w:vAlign w:val="center"/>
          </w:tcPr>
          <w:p w14:paraId="6F994D53"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PBS item code</w:t>
            </w:r>
          </w:p>
        </w:tc>
        <w:tc>
          <w:tcPr>
            <w:tcW w:w="448" w:type="pct"/>
            <w:vAlign w:val="center"/>
          </w:tcPr>
          <w:p w14:paraId="6738678E"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Max. qty packs</w:t>
            </w:r>
          </w:p>
        </w:tc>
        <w:tc>
          <w:tcPr>
            <w:tcW w:w="447" w:type="pct"/>
            <w:vAlign w:val="center"/>
          </w:tcPr>
          <w:p w14:paraId="79E99CE8"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Max. qty units</w:t>
            </w:r>
          </w:p>
        </w:tc>
        <w:tc>
          <w:tcPr>
            <w:tcW w:w="448" w:type="pct"/>
            <w:vAlign w:val="center"/>
          </w:tcPr>
          <w:p w14:paraId="123566D2"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№.of</w:t>
            </w:r>
          </w:p>
          <w:p w14:paraId="25B6478E"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Rpts</w:t>
            </w:r>
          </w:p>
        </w:tc>
        <w:tc>
          <w:tcPr>
            <w:tcW w:w="1037" w:type="pct"/>
            <w:vAlign w:val="center"/>
          </w:tcPr>
          <w:p w14:paraId="5CE3CE14" w14:textId="77777777" w:rsidR="008B68A4" w:rsidRPr="00446E53" w:rsidRDefault="008B68A4" w:rsidP="007157C0">
            <w:pPr>
              <w:keepLines/>
              <w:rPr>
                <w:rFonts w:ascii="Arial Narrow" w:hAnsi="Arial Narrow"/>
                <w:b/>
                <w:sz w:val="20"/>
                <w:szCs w:val="20"/>
                <w:lang w:val="fr-FR"/>
              </w:rPr>
            </w:pPr>
            <w:r w:rsidRPr="00446E53">
              <w:rPr>
                <w:rFonts w:ascii="Arial Narrow" w:hAnsi="Arial Narrow"/>
                <w:b/>
                <w:sz w:val="20"/>
                <w:szCs w:val="20"/>
              </w:rPr>
              <w:t>Available brands</w:t>
            </w:r>
          </w:p>
        </w:tc>
      </w:tr>
      <w:tr w:rsidR="008B68A4" w:rsidRPr="00446E53" w14:paraId="79721F9B" w14:textId="77777777" w:rsidTr="00AF29CF">
        <w:trPr>
          <w:cantSplit/>
          <w:trHeight w:val="20"/>
        </w:trPr>
        <w:tc>
          <w:tcPr>
            <w:tcW w:w="5000" w:type="pct"/>
            <w:gridSpan w:val="6"/>
            <w:vAlign w:val="center"/>
          </w:tcPr>
          <w:p w14:paraId="1B4321BD" w14:textId="77777777" w:rsidR="008B68A4" w:rsidRPr="00446E53" w:rsidRDefault="008B68A4" w:rsidP="007157C0">
            <w:pPr>
              <w:keepLines/>
              <w:rPr>
                <w:rFonts w:ascii="Arial Narrow" w:hAnsi="Arial Narrow"/>
                <w:sz w:val="20"/>
                <w:szCs w:val="20"/>
              </w:rPr>
            </w:pPr>
            <w:r>
              <w:rPr>
                <w:rFonts w:ascii="Arial Narrow" w:hAnsi="Arial Narrow"/>
                <w:sz w:val="20"/>
                <w:szCs w:val="20"/>
              </w:rPr>
              <w:t>NEMOLIZUMAB</w:t>
            </w:r>
          </w:p>
        </w:tc>
      </w:tr>
      <w:tr w:rsidR="008B68A4" w:rsidRPr="00E168B8" w14:paraId="44D04302" w14:textId="77777777" w:rsidTr="00AF29CF">
        <w:trPr>
          <w:cantSplit/>
          <w:trHeight w:val="20"/>
        </w:trPr>
        <w:tc>
          <w:tcPr>
            <w:tcW w:w="2173" w:type="pct"/>
            <w:vAlign w:val="center"/>
          </w:tcPr>
          <w:p w14:paraId="2A33763F" w14:textId="77777777" w:rsidR="008B68A4" w:rsidRPr="00813FFB" w:rsidRDefault="008B68A4" w:rsidP="007157C0">
            <w:pPr>
              <w:keepLines/>
              <w:rPr>
                <w:rFonts w:ascii="Arial Narrow" w:hAnsi="Arial Narrow"/>
                <w:sz w:val="20"/>
                <w:szCs w:val="20"/>
              </w:rPr>
            </w:pPr>
            <w:r w:rsidRPr="00813FFB">
              <w:rPr>
                <w:rFonts w:ascii="Arial Narrow" w:hAnsi="Arial Narrow"/>
                <w:sz w:val="20"/>
                <w:szCs w:val="20"/>
              </w:rPr>
              <w:t xml:space="preserve">nemolizumab 30 mg injection [1 chamber] (&amp;) inert substance diluent [1 chamber], 1 dual chamber pen device </w:t>
            </w:r>
          </w:p>
        </w:tc>
        <w:tc>
          <w:tcPr>
            <w:tcW w:w="447" w:type="pct"/>
            <w:vAlign w:val="center"/>
          </w:tcPr>
          <w:p w14:paraId="134C08F6" w14:textId="77777777" w:rsidR="008B68A4" w:rsidRPr="00E168B8" w:rsidRDefault="008B68A4" w:rsidP="007157C0">
            <w:pPr>
              <w:keepLines/>
              <w:jc w:val="center"/>
              <w:rPr>
                <w:rFonts w:ascii="Arial Narrow" w:hAnsi="Arial Narrow"/>
                <w:sz w:val="20"/>
                <w:szCs w:val="20"/>
              </w:rPr>
            </w:pPr>
            <w:r w:rsidRPr="00E168B8">
              <w:rPr>
                <w:rFonts w:ascii="Arial Narrow" w:hAnsi="Arial Narrow"/>
                <w:sz w:val="20"/>
                <w:szCs w:val="20"/>
              </w:rPr>
              <w:t>NEW</w:t>
            </w:r>
          </w:p>
        </w:tc>
        <w:tc>
          <w:tcPr>
            <w:tcW w:w="448" w:type="pct"/>
            <w:vAlign w:val="center"/>
          </w:tcPr>
          <w:p w14:paraId="67007013" w14:textId="77777777" w:rsidR="008B68A4" w:rsidRPr="00E168B8" w:rsidRDefault="008B68A4" w:rsidP="007157C0">
            <w:pPr>
              <w:keepLines/>
              <w:jc w:val="center"/>
              <w:rPr>
                <w:rFonts w:ascii="Arial Narrow" w:hAnsi="Arial Narrow"/>
                <w:sz w:val="20"/>
                <w:szCs w:val="20"/>
              </w:rPr>
            </w:pPr>
            <w:r>
              <w:rPr>
                <w:rFonts w:ascii="Arial Narrow" w:hAnsi="Arial Narrow"/>
                <w:sz w:val="20"/>
                <w:szCs w:val="20"/>
              </w:rPr>
              <w:t>1</w:t>
            </w:r>
          </w:p>
        </w:tc>
        <w:tc>
          <w:tcPr>
            <w:tcW w:w="447" w:type="pct"/>
            <w:vAlign w:val="center"/>
          </w:tcPr>
          <w:p w14:paraId="16D87746" w14:textId="77777777" w:rsidR="008B68A4" w:rsidRPr="00E168B8" w:rsidRDefault="008B68A4" w:rsidP="007157C0">
            <w:pPr>
              <w:keepLines/>
              <w:jc w:val="center"/>
              <w:rPr>
                <w:rFonts w:ascii="Arial Narrow" w:hAnsi="Arial Narrow"/>
                <w:sz w:val="20"/>
                <w:szCs w:val="20"/>
              </w:rPr>
            </w:pPr>
            <w:r>
              <w:rPr>
                <w:rFonts w:ascii="Arial Narrow" w:hAnsi="Arial Narrow"/>
                <w:sz w:val="20"/>
                <w:szCs w:val="20"/>
              </w:rPr>
              <w:t>1</w:t>
            </w:r>
          </w:p>
        </w:tc>
        <w:tc>
          <w:tcPr>
            <w:tcW w:w="448" w:type="pct"/>
            <w:vAlign w:val="center"/>
          </w:tcPr>
          <w:p w14:paraId="09648143" w14:textId="77777777" w:rsidR="008B68A4" w:rsidRPr="00E168B8" w:rsidRDefault="008B68A4" w:rsidP="007157C0">
            <w:pPr>
              <w:keepLines/>
              <w:jc w:val="center"/>
              <w:rPr>
                <w:rFonts w:ascii="Arial Narrow" w:hAnsi="Arial Narrow"/>
                <w:sz w:val="20"/>
                <w:szCs w:val="20"/>
              </w:rPr>
            </w:pPr>
            <w:r w:rsidRPr="00E168B8">
              <w:rPr>
                <w:rFonts w:ascii="Arial Narrow" w:hAnsi="Arial Narrow"/>
                <w:sz w:val="20"/>
                <w:szCs w:val="20"/>
              </w:rPr>
              <w:t>2</w:t>
            </w:r>
          </w:p>
        </w:tc>
        <w:tc>
          <w:tcPr>
            <w:tcW w:w="1037" w:type="pct"/>
            <w:vAlign w:val="center"/>
          </w:tcPr>
          <w:p w14:paraId="6FBFB018" w14:textId="77777777" w:rsidR="008B68A4" w:rsidRPr="00E168B8" w:rsidRDefault="008B68A4" w:rsidP="007157C0">
            <w:pPr>
              <w:keepLines/>
              <w:jc w:val="center"/>
              <w:rPr>
                <w:rFonts w:ascii="Arial Narrow" w:hAnsi="Arial Narrow"/>
                <w:sz w:val="20"/>
                <w:szCs w:val="20"/>
              </w:rPr>
            </w:pPr>
          </w:p>
          <w:p w14:paraId="27D370DF" w14:textId="77777777" w:rsidR="008B68A4" w:rsidRPr="00E168B8" w:rsidRDefault="008B68A4" w:rsidP="007157C0">
            <w:pPr>
              <w:keepLines/>
              <w:jc w:val="center"/>
              <w:rPr>
                <w:rFonts w:ascii="Arial Narrow" w:hAnsi="Arial Narrow"/>
                <w:sz w:val="20"/>
                <w:szCs w:val="20"/>
              </w:rPr>
            </w:pPr>
            <w:r w:rsidRPr="00E168B8">
              <w:rPr>
                <w:rFonts w:ascii="Arial Narrow" w:hAnsi="Arial Narrow"/>
                <w:sz w:val="20"/>
                <w:szCs w:val="20"/>
              </w:rPr>
              <w:t>Nemluvio</w:t>
            </w:r>
          </w:p>
          <w:p w14:paraId="759DE111" w14:textId="77777777" w:rsidR="008B68A4" w:rsidRPr="00E168B8" w:rsidRDefault="008B68A4" w:rsidP="007157C0">
            <w:pPr>
              <w:keepLines/>
              <w:rPr>
                <w:rFonts w:ascii="Arial Narrow" w:hAnsi="Arial Narrow"/>
                <w:sz w:val="20"/>
                <w:szCs w:val="20"/>
              </w:rPr>
            </w:pPr>
          </w:p>
        </w:tc>
      </w:tr>
      <w:tr w:rsidR="008B68A4" w:rsidRPr="00E168B8" w14:paraId="2A8E5E12"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04A78B0E" w14:textId="77777777" w:rsidR="008B68A4" w:rsidRPr="00E168B8" w:rsidRDefault="008B68A4" w:rsidP="007157C0">
            <w:pPr>
              <w:rPr>
                <w:rFonts w:ascii="Arial Narrow" w:hAnsi="Arial Narrow"/>
                <w:sz w:val="20"/>
                <w:szCs w:val="20"/>
              </w:rPr>
            </w:pPr>
          </w:p>
        </w:tc>
      </w:tr>
      <w:tr w:rsidR="00E66E86" w:rsidRPr="00E168B8" w14:paraId="3E16BB67"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C4E9780" w14:textId="77777777" w:rsidR="00E66E86" w:rsidRPr="00E168B8" w:rsidRDefault="00E66E86" w:rsidP="007157C0">
            <w:pPr>
              <w:keepLines/>
              <w:jc w:val="left"/>
              <w:rPr>
                <w:rFonts w:ascii="Arial Narrow" w:hAnsi="Arial Narrow"/>
                <w:sz w:val="20"/>
                <w:szCs w:val="20"/>
              </w:rPr>
            </w:pPr>
            <w:r w:rsidRPr="00E168B8">
              <w:rPr>
                <w:rFonts w:ascii="Arial Narrow" w:hAnsi="Arial Narrow"/>
                <w:b/>
                <w:sz w:val="20"/>
                <w:szCs w:val="20"/>
              </w:rPr>
              <w:t>Category / Program:</w:t>
            </w:r>
            <w:r w:rsidRPr="00E168B8">
              <w:rPr>
                <w:rFonts w:ascii="Arial Narrow" w:hAnsi="Arial Narrow"/>
                <w:sz w:val="20"/>
                <w:szCs w:val="20"/>
              </w:rPr>
              <w:t xml:space="preserv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 xml:space="preserve">GENERAL - General Schedule (Code GE) </w:t>
            </w:r>
          </w:p>
        </w:tc>
      </w:tr>
      <w:tr w:rsidR="00E66E86" w:rsidRPr="00E168B8" w14:paraId="050DA83B"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3F2CF76" w14:textId="77777777" w:rsidR="00E66E86" w:rsidRPr="00E168B8" w:rsidRDefault="00E66E86" w:rsidP="007157C0">
            <w:pPr>
              <w:keepLines/>
              <w:jc w:val="left"/>
              <w:rPr>
                <w:rFonts w:ascii="Arial Narrow" w:hAnsi="Arial Narrow"/>
                <w:b/>
                <w:sz w:val="20"/>
                <w:szCs w:val="20"/>
              </w:rPr>
            </w:pPr>
            <w:r w:rsidRPr="00E168B8">
              <w:rPr>
                <w:rFonts w:ascii="Arial Narrow" w:hAnsi="Arial Narrow"/>
                <w:b/>
                <w:sz w:val="20"/>
                <w:szCs w:val="20"/>
              </w:rPr>
              <w:t xml:space="preserve">Prescriber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Medical Practitioners </w:t>
            </w:r>
          </w:p>
        </w:tc>
      </w:tr>
      <w:tr w:rsidR="00E66E86" w:rsidRPr="00E168B8" w14:paraId="02C4D97F"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6B9036B" w14:textId="77777777" w:rsidR="00E66E86" w:rsidRPr="00E168B8" w:rsidRDefault="00E66E86" w:rsidP="007157C0">
            <w:pPr>
              <w:keepLines/>
              <w:jc w:val="left"/>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Telephone/Online PBS Authorities System) </w:t>
            </w:r>
          </w:p>
        </w:tc>
      </w:tr>
      <w:tr w:rsidR="00E66E86" w:rsidRPr="00AC5ED2" w14:paraId="2F3C8D31"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BEE94" w14:textId="77777777" w:rsidR="00E66E86" w:rsidRPr="00AC5ED2" w:rsidRDefault="00E66E86" w:rsidP="007157C0">
            <w:pPr>
              <w:keepLines/>
              <w:rPr>
                <w:rFonts w:ascii="Arial Narrow" w:hAnsi="Arial Narrow"/>
                <w:b/>
                <w:bCs/>
                <w:sz w:val="20"/>
                <w:szCs w:val="20"/>
              </w:rPr>
            </w:pPr>
            <w:r w:rsidRPr="00AC5ED2">
              <w:rPr>
                <w:rFonts w:ascii="Arial Narrow" w:hAnsi="Arial Narrow"/>
                <w:b/>
                <w:sz w:val="20"/>
                <w:szCs w:val="20"/>
              </w:rPr>
              <w:t>Restriction Summary [new</w:t>
            </w:r>
            <w:r>
              <w:rPr>
                <w:rFonts w:ascii="Arial Narrow" w:hAnsi="Arial Narrow"/>
                <w:b/>
                <w:sz w:val="20"/>
                <w:szCs w:val="20"/>
              </w:rPr>
              <w:t>4</w:t>
            </w:r>
            <w:r w:rsidRPr="00AC5ED2">
              <w:rPr>
                <w:rFonts w:ascii="Arial Narrow" w:hAnsi="Arial Narrow"/>
                <w:b/>
                <w:sz w:val="20"/>
                <w:szCs w:val="20"/>
              </w:rPr>
              <w:t>] / Treatment of Concept: [new</w:t>
            </w:r>
            <w:r>
              <w:rPr>
                <w:rFonts w:ascii="Arial Narrow" w:hAnsi="Arial Narrow"/>
                <w:b/>
                <w:sz w:val="20"/>
                <w:szCs w:val="20"/>
              </w:rPr>
              <w:t>4</w:t>
            </w:r>
            <w:r w:rsidRPr="00AC5ED2">
              <w:rPr>
                <w:rFonts w:ascii="Arial Narrow" w:hAnsi="Arial Narrow"/>
                <w:b/>
                <w:sz w:val="20"/>
                <w:szCs w:val="20"/>
              </w:rPr>
              <w:t>A]</w:t>
            </w:r>
          </w:p>
        </w:tc>
      </w:tr>
      <w:tr w:rsidR="00E66E86" w:rsidRPr="0069367A" w14:paraId="6B855BB1"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BEC83B3" w14:textId="77777777" w:rsidR="00E66E86" w:rsidRPr="0069367A" w:rsidRDefault="00E66E86" w:rsidP="007157C0">
            <w:pPr>
              <w:keepLines/>
              <w:rPr>
                <w:rFonts w:ascii="Arial Narrow" w:hAnsi="Arial Narrow"/>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E66E86" w:rsidRPr="0069367A" w14:paraId="6BDBE94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8AE255C" w14:textId="77777777" w:rsidR="00E66E86" w:rsidRPr="0069367A" w:rsidRDefault="00E66E86" w:rsidP="007157C0">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w:t>
            </w:r>
            <w:r>
              <w:rPr>
                <w:rFonts w:ascii="Arial Narrow" w:hAnsi="Arial Narrow"/>
                <w:sz w:val="20"/>
                <w:szCs w:val="20"/>
              </w:rPr>
              <w:t>Continuing or resuming</w:t>
            </w:r>
            <w:r w:rsidRPr="0069367A">
              <w:rPr>
                <w:rFonts w:ascii="Arial Narrow" w:hAnsi="Arial Narrow"/>
                <w:sz w:val="20"/>
                <w:szCs w:val="20"/>
              </w:rPr>
              <w:t xml:space="preserve"> treatment of the whole body </w:t>
            </w:r>
          </w:p>
        </w:tc>
      </w:tr>
      <w:tr w:rsidR="00E66E86" w:rsidRPr="00446E53" w14:paraId="536B2498"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BB17F3D" w14:textId="77777777" w:rsidR="00E66E86" w:rsidRPr="00446E53" w:rsidRDefault="00E66E86" w:rsidP="007157C0">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E66E86" w:rsidRPr="00C630E3" w14:paraId="7A5BEA54"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hideMark/>
          </w:tcPr>
          <w:p w14:paraId="388250A0" w14:textId="77777777" w:rsidR="00E66E86" w:rsidRPr="00C630E3" w:rsidRDefault="00E66E86" w:rsidP="007157C0">
            <w:pPr>
              <w:rPr>
                <w:rFonts w:ascii="Arial Narrow" w:hAnsi="Arial Narrow"/>
                <w:sz w:val="20"/>
                <w:szCs w:val="20"/>
              </w:rPr>
            </w:pPr>
            <w:r w:rsidRPr="00C630E3">
              <w:rPr>
                <w:rFonts w:ascii="Arial Narrow" w:hAnsi="Arial Narrow"/>
                <w:sz w:val="20"/>
                <w:szCs w:val="20"/>
              </w:rPr>
              <w:t>Patient must have received PBS-subsidised treatment with this biological medicine for the treatment of chronic severe atopic dermatitis affecting the whole body</w:t>
            </w:r>
          </w:p>
        </w:tc>
      </w:tr>
      <w:tr w:rsidR="00E66E86" w:rsidRPr="00446E53" w14:paraId="15002888"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4F20D97" w14:textId="77777777" w:rsidR="00E66E86" w:rsidRPr="00446E53" w:rsidRDefault="00E66E86" w:rsidP="007157C0">
            <w:pPr>
              <w:rPr>
                <w:rFonts w:ascii="Arial Narrow" w:hAnsi="Arial Narrow"/>
                <w:color w:val="333333"/>
                <w:sz w:val="20"/>
                <w:szCs w:val="20"/>
              </w:rPr>
            </w:pPr>
            <w:r w:rsidRPr="00446E53">
              <w:rPr>
                <w:rFonts w:ascii="Arial Narrow" w:hAnsi="Arial Narrow"/>
                <w:b/>
                <w:bCs/>
                <w:color w:val="333333"/>
                <w:sz w:val="20"/>
                <w:szCs w:val="20"/>
              </w:rPr>
              <w:lastRenderedPageBreak/>
              <w:t>AND</w:t>
            </w:r>
          </w:p>
        </w:tc>
      </w:tr>
      <w:tr w:rsidR="00E66E86" w:rsidRPr="00446E53" w14:paraId="6FDC9FDD"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5F9EBEC" w14:textId="77777777" w:rsidR="00E66E86" w:rsidRPr="00446E53" w:rsidRDefault="00E66E86" w:rsidP="007157C0">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E66E86" w:rsidRPr="00820B98" w14:paraId="73449D6E"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25F997E3" w14:textId="77777777" w:rsidR="00E66E86" w:rsidRPr="00F00D7C" w:rsidRDefault="00E66E86" w:rsidP="007157C0">
            <w:pPr>
              <w:rPr>
                <w:rFonts w:ascii="Arial Narrow" w:hAnsi="Arial Narrow"/>
                <w:sz w:val="20"/>
                <w:szCs w:val="20"/>
              </w:rPr>
            </w:pPr>
            <w:r w:rsidRPr="00F00D7C">
              <w:rPr>
                <w:rFonts w:ascii="Arial Narrow" w:hAnsi="Arial Narrow"/>
                <w:sz w:val="20"/>
                <w:szCs w:val="20"/>
              </w:rPr>
              <w:t xml:space="preserve">Patient must have achieved an adequate response </w:t>
            </w:r>
            <w:r w:rsidRPr="00FE386D">
              <w:rPr>
                <w:rFonts w:ascii="Arial Narrow" w:hAnsi="Arial Narrow"/>
                <w:i/>
                <w:iCs/>
                <w:sz w:val="20"/>
                <w:szCs w:val="20"/>
              </w:rPr>
              <w:t>prior to this first continuing treatment authority application;</w:t>
            </w:r>
            <w:r>
              <w:rPr>
                <w:rFonts w:ascii="Arial Narrow" w:hAnsi="Arial Narrow"/>
                <w:sz w:val="20"/>
                <w:szCs w:val="20"/>
              </w:rPr>
              <w:t xml:space="preserve"> </w:t>
            </w:r>
            <w:r w:rsidRPr="00FE386D">
              <w:rPr>
                <w:rFonts w:ascii="Arial Narrow" w:hAnsi="Arial Narrow"/>
                <w:strike/>
                <w:sz w:val="20"/>
                <w:szCs w:val="20"/>
              </w:rPr>
              <w:t>within the first 24 weeks of treatment;</w:t>
            </w:r>
            <w:r w:rsidRPr="00F00D7C">
              <w:rPr>
                <w:rFonts w:ascii="Arial Narrow" w:hAnsi="Arial Narrow"/>
                <w:sz w:val="20"/>
                <w:szCs w:val="20"/>
              </w:rPr>
              <w:t xml:space="preserve"> or</w:t>
            </w:r>
          </w:p>
        </w:tc>
      </w:tr>
      <w:tr w:rsidR="00E66E86" w:rsidRPr="00C630E3" w14:paraId="5FB4FE6F"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1C78C1F1" w14:textId="77777777" w:rsidR="00E66E86" w:rsidRPr="00C630E3" w:rsidRDefault="00E66E86" w:rsidP="007157C0">
            <w:pPr>
              <w:rPr>
                <w:rFonts w:ascii="Arial Narrow" w:hAnsi="Arial Narrow"/>
                <w:sz w:val="20"/>
                <w:szCs w:val="20"/>
              </w:rPr>
            </w:pPr>
            <w:r w:rsidRPr="00C630E3">
              <w:rPr>
                <w:rFonts w:ascii="Arial Narrow" w:hAnsi="Arial Narrow"/>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tc>
      </w:tr>
      <w:tr w:rsidR="00E66E86" w:rsidRPr="00C630E3" w14:paraId="64B8F624"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1F14316D" w14:textId="77777777" w:rsidR="00E66E86" w:rsidRPr="00C630E3" w:rsidRDefault="00E66E86" w:rsidP="007157C0">
            <w:pPr>
              <w:rPr>
                <w:rFonts w:ascii="Arial Narrow" w:hAnsi="Arial Narrow"/>
                <w:sz w:val="20"/>
                <w:szCs w:val="20"/>
              </w:rPr>
            </w:pPr>
            <w:r w:rsidRPr="00C630E3">
              <w:rPr>
                <w:rFonts w:ascii="Arial Narrow" w:hAnsi="Arial Narrow"/>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E66E86" w:rsidRPr="00446E53" w14:paraId="0E4758C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5E6B1FF" w14:textId="77777777" w:rsidR="00E66E86" w:rsidRPr="00446E53" w:rsidRDefault="00E66E86" w:rsidP="007157C0">
            <w:pPr>
              <w:autoSpaceDE w:val="0"/>
              <w:autoSpaceDN w:val="0"/>
              <w:adjustRightInd w:val="0"/>
              <w:rPr>
                <w:rFonts w:ascii="Arial Narrow" w:hAnsi="Arial Narrow" w:cs="Arial Narrow"/>
                <w:b/>
                <w:bCs/>
                <w:iCs/>
                <w:color w:val="FF0000"/>
                <w:sz w:val="20"/>
                <w:szCs w:val="20"/>
              </w:rPr>
            </w:pPr>
            <w:r w:rsidRPr="00446E53">
              <w:rPr>
                <w:rFonts w:ascii="Arial Narrow" w:hAnsi="Arial Narrow" w:cs="Arial Narrow"/>
                <w:b/>
                <w:bCs/>
                <w:iCs/>
                <w:sz w:val="20"/>
                <w:szCs w:val="20"/>
              </w:rPr>
              <w:t>AND</w:t>
            </w:r>
          </w:p>
        </w:tc>
      </w:tr>
      <w:tr w:rsidR="00E66E86" w:rsidRPr="00446E53" w14:paraId="525FA235"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891F48D" w14:textId="77777777" w:rsidR="00E66E86" w:rsidRPr="00446E53" w:rsidRDefault="00E66E86" w:rsidP="007157C0">
            <w:pPr>
              <w:autoSpaceDE w:val="0"/>
              <w:autoSpaceDN w:val="0"/>
              <w:adjustRightInd w:val="0"/>
              <w:rPr>
                <w:rFonts w:ascii="Arial Narrow" w:hAnsi="Arial Narrow" w:cs="Arial Narrow"/>
                <w:iCs/>
                <w:color w:val="FF0000"/>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E66E86" w:rsidRPr="00ED1588" w14:paraId="0B04FF6F"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2FD49FD8" w14:textId="77777777" w:rsidR="00E66E86" w:rsidRPr="00ED1588" w:rsidRDefault="00E66E86" w:rsidP="007157C0">
            <w:pPr>
              <w:autoSpaceDE w:val="0"/>
              <w:autoSpaceDN w:val="0"/>
              <w:adjustRightInd w:val="0"/>
              <w:rPr>
                <w:rFonts w:ascii="Arial Narrow" w:hAnsi="Arial Narrow"/>
                <w:sz w:val="20"/>
                <w:szCs w:val="20"/>
              </w:rPr>
            </w:pPr>
            <w:r w:rsidRPr="00ED1588">
              <w:rPr>
                <w:rFonts w:ascii="Arial Narrow" w:hAnsi="Arial Narrow"/>
                <w:sz w:val="20"/>
                <w:szCs w:val="20"/>
              </w:rPr>
              <w:t>The treatment must be the sole PBS-subsidised biological medicine for this PBS indication</w:t>
            </w:r>
          </w:p>
        </w:tc>
      </w:tr>
      <w:tr w:rsidR="00E66E86" w:rsidRPr="00E62CC5" w14:paraId="7D1E174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6658F0E3" w14:textId="77777777" w:rsidR="00E66E86" w:rsidRPr="00E62CC5" w:rsidRDefault="00E66E86" w:rsidP="007157C0">
            <w:pPr>
              <w:autoSpaceDE w:val="0"/>
              <w:autoSpaceDN w:val="0"/>
              <w:adjustRightInd w:val="0"/>
              <w:rPr>
                <w:rFonts w:ascii="Arial Narrow" w:eastAsia="Calibri" w:hAnsi="Arial Narrow"/>
                <w:b/>
                <w:bCs/>
                <w:sz w:val="20"/>
                <w:szCs w:val="20"/>
              </w:rPr>
            </w:pPr>
            <w:r>
              <w:rPr>
                <w:rFonts w:ascii="Arial Narrow" w:eastAsia="Calibri" w:hAnsi="Arial Narrow"/>
                <w:b/>
                <w:bCs/>
                <w:sz w:val="20"/>
                <w:szCs w:val="20"/>
              </w:rPr>
              <w:t xml:space="preserve">Treatment criteria: </w:t>
            </w:r>
          </w:p>
        </w:tc>
      </w:tr>
      <w:tr w:rsidR="00E66E86" w:rsidRPr="00E62CC5" w14:paraId="4105CB3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26310126" w14:textId="77777777" w:rsidR="00E66E86" w:rsidRPr="00E62CC5" w:rsidRDefault="00E66E86" w:rsidP="007157C0">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dermatologist; or</w:t>
            </w:r>
          </w:p>
        </w:tc>
      </w:tr>
      <w:tr w:rsidR="00E66E86" w:rsidRPr="00176579" w14:paraId="24E38F2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423C7865" w14:textId="77777777" w:rsidR="00E66E86" w:rsidRPr="00176579" w:rsidRDefault="00E66E86" w:rsidP="007157C0">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clinical immunologist</w:t>
            </w:r>
          </w:p>
        </w:tc>
      </w:tr>
      <w:tr w:rsidR="00E66E86" w:rsidRPr="00867098" w14:paraId="6647462C"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6D6CB87" w14:textId="77777777" w:rsidR="00E66E86" w:rsidRPr="00867098" w:rsidRDefault="00E66E86" w:rsidP="007157C0">
            <w:pPr>
              <w:rPr>
                <w:rFonts w:ascii="Arial Narrow" w:eastAsia="Calibri" w:hAnsi="Arial Narrow"/>
                <w:sz w:val="20"/>
                <w:szCs w:val="20"/>
              </w:rPr>
            </w:pPr>
            <w:r w:rsidRPr="00867098">
              <w:rPr>
                <w:rFonts w:ascii="Arial Narrow" w:hAnsi="Arial Narrow"/>
                <w:b/>
                <w:bCs/>
                <w:color w:val="333333"/>
                <w:sz w:val="20"/>
                <w:szCs w:val="20"/>
              </w:rPr>
              <w:t>Prescribing Instructions:</w:t>
            </w:r>
          </w:p>
          <w:p w14:paraId="394AD3A8" w14:textId="77777777" w:rsidR="00E66E86" w:rsidRPr="00867098" w:rsidRDefault="00E66E86" w:rsidP="007157C0">
            <w:pPr>
              <w:rPr>
                <w:rFonts w:ascii="Arial Narrow" w:eastAsia="Calibri" w:hAnsi="Arial Narrow"/>
                <w:sz w:val="20"/>
                <w:szCs w:val="20"/>
              </w:rPr>
            </w:pPr>
            <w:r w:rsidRPr="00867098">
              <w:rPr>
                <w:rFonts w:ascii="Arial Narrow" w:eastAsia="Calibri" w:hAnsi="Arial Narrow"/>
                <w:sz w:val="20"/>
                <w:szCs w:val="20"/>
              </w:rPr>
              <w:t>For the purposes of this restriction, an adequate response to treatment of the whole body is defined as:</w:t>
            </w:r>
          </w:p>
          <w:p w14:paraId="06A6B72A" w14:textId="77777777" w:rsidR="00E66E86" w:rsidRPr="00867098" w:rsidRDefault="00E66E86" w:rsidP="007157C0">
            <w:pPr>
              <w:rPr>
                <w:rFonts w:ascii="Arial Narrow" w:eastAsia="Calibri" w:hAnsi="Arial Narrow"/>
                <w:sz w:val="20"/>
                <w:szCs w:val="20"/>
              </w:rPr>
            </w:pPr>
            <w:r w:rsidRPr="00867098">
              <w:rPr>
                <w:rFonts w:ascii="Arial Narrow" w:eastAsia="Calibri" w:hAnsi="Arial Narrow"/>
                <w:sz w:val="20"/>
                <w:szCs w:val="20"/>
              </w:rPr>
              <w:t>(a) An improvement/maintenance in the Eczema Area and Severity Index (EASI) score of at least 50% compared to baseline; and</w:t>
            </w:r>
          </w:p>
          <w:p w14:paraId="44CD85A6" w14:textId="77777777" w:rsidR="00E66E86" w:rsidRDefault="00E66E86" w:rsidP="007157C0">
            <w:pPr>
              <w:rPr>
                <w:rFonts w:ascii="Arial Narrow" w:eastAsia="Calibri" w:hAnsi="Arial Narrow"/>
                <w:sz w:val="20"/>
                <w:szCs w:val="20"/>
              </w:rPr>
            </w:pPr>
            <w:r w:rsidRPr="00867098">
              <w:rPr>
                <w:rFonts w:ascii="Arial Narrow" w:eastAsia="Calibri" w:hAnsi="Arial Narrow"/>
                <w:sz w:val="20"/>
                <w:szCs w:val="20"/>
              </w:rPr>
              <w:t>(b) An improvement/maintenance in Dermatology Life Quality Index (DLQI) score of at least 4 points compared to baseline</w:t>
            </w:r>
          </w:p>
          <w:p w14:paraId="1B8CFE69" w14:textId="77777777" w:rsidR="00E66E86" w:rsidRDefault="00E66E86" w:rsidP="007157C0">
            <w:pPr>
              <w:rPr>
                <w:rFonts w:ascii="Arial Narrow" w:eastAsia="Calibri" w:hAnsi="Arial Narrow"/>
                <w:sz w:val="20"/>
                <w:szCs w:val="20"/>
              </w:rPr>
            </w:pPr>
          </w:p>
          <w:p w14:paraId="0B08B21A" w14:textId="77777777" w:rsidR="00E66E86" w:rsidRPr="009C678F" w:rsidRDefault="00E66E86" w:rsidP="007157C0">
            <w:pPr>
              <w:rPr>
                <w:rFonts w:ascii="Arial Narrow" w:eastAsia="Calibri" w:hAnsi="Arial Narrow"/>
                <w:sz w:val="20"/>
                <w:szCs w:val="20"/>
              </w:rPr>
            </w:pPr>
            <w:r w:rsidRPr="009C678F">
              <w:rPr>
                <w:rFonts w:ascii="Arial Narrow" w:eastAsia="Calibri" w:hAnsi="Arial Narrow"/>
                <w:sz w:val="20"/>
                <w:szCs w:val="20"/>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14:paraId="67A54C83" w14:textId="77777777" w:rsidR="00E66E86" w:rsidRPr="00867098" w:rsidRDefault="00E66E86" w:rsidP="007157C0">
            <w:pPr>
              <w:rPr>
                <w:rFonts w:ascii="Arial Narrow" w:eastAsia="Calibri" w:hAnsi="Arial Narrow"/>
                <w:sz w:val="20"/>
                <w:szCs w:val="20"/>
              </w:rPr>
            </w:pPr>
          </w:p>
          <w:p w14:paraId="4B7518DA" w14:textId="77777777" w:rsidR="00E66E86" w:rsidRPr="00867098" w:rsidRDefault="00E66E86" w:rsidP="007157C0">
            <w:pPr>
              <w:rPr>
                <w:rFonts w:ascii="Arial Narrow" w:eastAsia="Calibri" w:hAnsi="Arial Narrow"/>
                <w:sz w:val="20"/>
                <w:szCs w:val="20"/>
              </w:rPr>
            </w:pPr>
            <w:r w:rsidRPr="00867098">
              <w:rPr>
                <w:rFonts w:ascii="Arial Narrow" w:eastAsia="Calibri" w:hAnsi="Arial Narrow"/>
                <w:sz w:val="20"/>
                <w:szCs w:val="20"/>
              </w:rPr>
              <w:t>State each of the current EASI and DLQI scores for this authority application.</w:t>
            </w:r>
          </w:p>
        </w:tc>
      </w:tr>
      <w:tr w:rsidR="008B68A4" w:rsidRPr="00446E53" w14:paraId="4A09AD8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575C042A" w14:textId="77777777" w:rsidR="008B68A4" w:rsidRDefault="008B68A4" w:rsidP="007157C0">
            <w:pPr>
              <w:jc w:val="center"/>
              <w:rPr>
                <w:rFonts w:ascii="Arial Narrow" w:eastAsia="Calibri" w:hAnsi="Arial Narrow"/>
                <w:sz w:val="20"/>
                <w:szCs w:val="20"/>
              </w:rPr>
            </w:pPr>
          </w:p>
          <w:p w14:paraId="0018949B" w14:textId="77777777" w:rsidR="008B68A4" w:rsidRPr="00446E53" w:rsidRDefault="008B68A4" w:rsidP="007157C0">
            <w:pPr>
              <w:rPr>
                <w:rFonts w:ascii="Arial Narrow" w:hAnsi="Arial Narrow"/>
                <w:b/>
                <w:bCs/>
                <w:color w:val="333333"/>
                <w:sz w:val="20"/>
                <w:szCs w:val="20"/>
              </w:rPr>
            </w:pPr>
          </w:p>
        </w:tc>
      </w:tr>
      <w:tr w:rsidR="00E66E86" w:rsidRPr="0069367A" w14:paraId="15FB0995"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shd w:val="clear" w:color="auto" w:fill="D9D9D9" w:themeFill="background1" w:themeFillShade="D9"/>
            <w:vAlign w:val="center"/>
          </w:tcPr>
          <w:p w14:paraId="23FC0290" w14:textId="77777777" w:rsidR="00E66E86" w:rsidRPr="0069367A" w:rsidRDefault="00E66E86" w:rsidP="007157C0">
            <w:pPr>
              <w:keepNext/>
              <w:keepLines/>
              <w:rPr>
                <w:rFonts w:ascii="Arial Narrow" w:hAnsi="Arial Narrow"/>
                <w:b/>
                <w:bCs/>
                <w:color w:val="FF0000"/>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5</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5A</w:t>
            </w:r>
            <w:r w:rsidRPr="00446E53">
              <w:rPr>
                <w:rFonts w:ascii="Arial Narrow" w:hAnsi="Arial Narrow"/>
                <w:b/>
                <w:bCs/>
                <w:color w:val="333333"/>
                <w:sz w:val="20"/>
                <w:szCs w:val="20"/>
              </w:rPr>
              <w:t>]</w:t>
            </w:r>
          </w:p>
        </w:tc>
      </w:tr>
      <w:tr w:rsidR="00E66E86" w:rsidRPr="00446E53" w14:paraId="25F8A9A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C8C1B1A" w14:textId="77777777" w:rsidR="00E66E86" w:rsidRPr="00446E53" w:rsidRDefault="00E66E86" w:rsidP="007157C0">
            <w:pPr>
              <w:rPr>
                <w:rFonts w:ascii="Arial Narrow" w:hAnsi="Arial Narrow"/>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E66E86" w:rsidRPr="00446E53" w14:paraId="292A650A"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6E42347" w14:textId="77777777" w:rsidR="00E66E86" w:rsidRPr="00446E53" w:rsidRDefault="00E66E86" w:rsidP="007157C0">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w:t>
            </w:r>
            <w:r>
              <w:rPr>
                <w:rFonts w:ascii="Arial Narrow" w:hAnsi="Arial Narrow"/>
                <w:sz w:val="20"/>
                <w:szCs w:val="20"/>
              </w:rPr>
              <w:t>Continuing or resuming</w:t>
            </w:r>
            <w:r w:rsidRPr="0069367A">
              <w:rPr>
                <w:rFonts w:ascii="Arial Narrow" w:hAnsi="Arial Narrow"/>
                <w:sz w:val="20"/>
                <w:szCs w:val="20"/>
              </w:rPr>
              <w:t xml:space="preserve"> treatment of the </w:t>
            </w:r>
            <w:r>
              <w:rPr>
                <w:rFonts w:ascii="Arial Narrow" w:hAnsi="Arial Narrow"/>
                <w:sz w:val="20"/>
                <w:szCs w:val="20"/>
              </w:rPr>
              <w:t>face and/or hands</w:t>
            </w:r>
            <w:r w:rsidRPr="0069367A">
              <w:rPr>
                <w:rFonts w:ascii="Arial Narrow" w:hAnsi="Arial Narrow"/>
                <w:sz w:val="20"/>
                <w:szCs w:val="20"/>
              </w:rPr>
              <w:t xml:space="preserve"> </w:t>
            </w:r>
          </w:p>
        </w:tc>
      </w:tr>
      <w:tr w:rsidR="00E66E86" w:rsidRPr="00446E53" w14:paraId="577D9FA4"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5638F50"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66E86" w:rsidRPr="00CD7E60" w14:paraId="4AA2F2C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18DF53EA" w14:textId="77777777" w:rsidR="00E66E86" w:rsidRPr="00CD7E60" w:rsidRDefault="00E66E86" w:rsidP="007157C0">
            <w:pPr>
              <w:rPr>
                <w:rFonts w:ascii="Arial Narrow" w:hAnsi="Arial Narrow"/>
                <w:color w:val="333333"/>
                <w:sz w:val="20"/>
                <w:szCs w:val="20"/>
              </w:rPr>
            </w:pPr>
            <w:r w:rsidRPr="00354B12">
              <w:rPr>
                <w:rFonts w:ascii="Arial Narrow" w:hAnsi="Arial Narrow"/>
                <w:sz w:val="20"/>
                <w:szCs w:val="20"/>
              </w:rPr>
              <w:t>Patient must have received PBS-subsidised treatment with this biological medicine for the treatment of chronic severe atopic dermatitis affecting the face/hands</w:t>
            </w:r>
          </w:p>
        </w:tc>
      </w:tr>
      <w:tr w:rsidR="00E66E86" w:rsidRPr="00446E53" w14:paraId="3A7318B1"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DCC1CA1"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E66E86" w:rsidRPr="00446E53" w14:paraId="1F59966A"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42660BB"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66E86" w:rsidRPr="00653865" w14:paraId="4C65BA8A"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60C6F9B0" w14:textId="77777777" w:rsidR="00E66E86" w:rsidRPr="00653865" w:rsidRDefault="00E66E86" w:rsidP="007157C0">
            <w:pPr>
              <w:rPr>
                <w:rFonts w:ascii="Arial Narrow" w:hAnsi="Arial Narrow"/>
                <w:i/>
                <w:iCs/>
                <w:color w:val="333333"/>
                <w:sz w:val="20"/>
                <w:szCs w:val="20"/>
              </w:rPr>
            </w:pPr>
            <w:r w:rsidRPr="00F00D7C">
              <w:rPr>
                <w:rFonts w:ascii="Arial Narrow" w:hAnsi="Arial Narrow"/>
                <w:sz w:val="20"/>
                <w:szCs w:val="20"/>
              </w:rPr>
              <w:t xml:space="preserve">Patient must have achieved an adequate response </w:t>
            </w:r>
            <w:r w:rsidRPr="00FE386D">
              <w:rPr>
                <w:rFonts w:ascii="Arial Narrow" w:hAnsi="Arial Narrow"/>
                <w:i/>
                <w:iCs/>
                <w:sz w:val="20"/>
                <w:szCs w:val="20"/>
              </w:rPr>
              <w:t>prior to this first continuing treatment authority application;</w:t>
            </w:r>
            <w:r>
              <w:rPr>
                <w:rFonts w:ascii="Arial Narrow" w:hAnsi="Arial Narrow"/>
                <w:sz w:val="20"/>
                <w:szCs w:val="20"/>
              </w:rPr>
              <w:t xml:space="preserve"> </w:t>
            </w:r>
            <w:r w:rsidRPr="00FE386D">
              <w:rPr>
                <w:rFonts w:ascii="Arial Narrow" w:hAnsi="Arial Narrow"/>
                <w:strike/>
                <w:sz w:val="20"/>
                <w:szCs w:val="20"/>
              </w:rPr>
              <w:t>within the first 24 weeks of treatment</w:t>
            </w:r>
            <w:r w:rsidRPr="00F00D7C">
              <w:rPr>
                <w:rFonts w:ascii="Arial Narrow" w:hAnsi="Arial Narrow"/>
                <w:sz w:val="20"/>
                <w:szCs w:val="20"/>
              </w:rPr>
              <w:t>; or</w:t>
            </w:r>
          </w:p>
        </w:tc>
      </w:tr>
      <w:tr w:rsidR="00E66E86" w:rsidRPr="00A80426" w14:paraId="2C874D7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4E5BA2F4" w14:textId="77777777" w:rsidR="00E66E86" w:rsidRPr="00A80426" w:rsidRDefault="00E66E86" w:rsidP="007157C0">
            <w:pPr>
              <w:rPr>
                <w:rFonts w:ascii="Arial Narrow" w:hAnsi="Arial Narrow"/>
                <w:sz w:val="20"/>
                <w:szCs w:val="20"/>
              </w:rPr>
            </w:pPr>
            <w:r w:rsidRPr="003D10E5">
              <w:rPr>
                <w:rFonts w:ascii="Arial Narrow" w:hAnsi="Arial Narrow"/>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tc>
      </w:tr>
      <w:tr w:rsidR="00E66E86" w:rsidRPr="00A80426" w14:paraId="23784256"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595EC354" w14:textId="77777777" w:rsidR="00E66E86" w:rsidRPr="00A80426" w:rsidRDefault="00E66E86" w:rsidP="007157C0">
            <w:pPr>
              <w:rPr>
                <w:rFonts w:ascii="Arial Narrow" w:hAnsi="Arial Narrow"/>
                <w:sz w:val="20"/>
                <w:szCs w:val="20"/>
              </w:rPr>
            </w:pPr>
            <w:r w:rsidRPr="003D10E5">
              <w:rPr>
                <w:rFonts w:ascii="Arial Narrow" w:hAnsi="Arial Narrow"/>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E66E86" w:rsidRPr="000A7AD1" w14:paraId="364DBAC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36A0BA7" w14:textId="77777777" w:rsidR="00E66E86" w:rsidRPr="000A7AD1" w:rsidRDefault="00E66E86" w:rsidP="007157C0">
            <w:pPr>
              <w:rPr>
                <w:rFonts w:ascii="Arial Narrow" w:hAnsi="Arial Narrow"/>
                <w:sz w:val="20"/>
                <w:szCs w:val="20"/>
              </w:rPr>
            </w:pPr>
            <w:r w:rsidRPr="00446E53">
              <w:rPr>
                <w:rFonts w:ascii="Arial Narrow" w:hAnsi="Arial Narrow" w:cs="Arial Narrow"/>
                <w:b/>
                <w:bCs/>
                <w:iCs/>
                <w:sz w:val="20"/>
                <w:szCs w:val="20"/>
              </w:rPr>
              <w:t>AND</w:t>
            </w:r>
          </w:p>
        </w:tc>
      </w:tr>
      <w:tr w:rsidR="00E66E86" w:rsidRPr="000A7AD1" w14:paraId="3C64A5C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0335585" w14:textId="77777777" w:rsidR="00E66E86" w:rsidRPr="000A7AD1" w:rsidRDefault="00E66E86" w:rsidP="007157C0">
            <w:pPr>
              <w:rPr>
                <w:rFonts w:ascii="Arial Narrow" w:hAnsi="Arial Narrow"/>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E66E86" w:rsidRPr="000A7AD1" w14:paraId="5FD9B041"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2C374834" w14:textId="77777777" w:rsidR="00E66E86" w:rsidRPr="000A7AD1" w:rsidRDefault="00E66E86" w:rsidP="007157C0">
            <w:pPr>
              <w:rPr>
                <w:rFonts w:ascii="Arial Narrow" w:hAnsi="Arial Narrow"/>
                <w:sz w:val="20"/>
                <w:szCs w:val="20"/>
              </w:rPr>
            </w:pPr>
            <w:r w:rsidRPr="00C14CB9">
              <w:rPr>
                <w:rFonts w:ascii="Arial Narrow" w:eastAsia="Calibri" w:hAnsi="Arial Narrow"/>
                <w:sz w:val="20"/>
                <w:szCs w:val="20"/>
              </w:rPr>
              <w:t>The treatment must be the sole PBS-subsidised biological medicine for this PBS indication</w:t>
            </w:r>
          </w:p>
        </w:tc>
      </w:tr>
      <w:tr w:rsidR="00E66E86" w:rsidRPr="00C14CB9" w14:paraId="7A3A463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19FC2C40" w14:textId="77777777" w:rsidR="00E66E86" w:rsidRPr="00C14CB9" w:rsidRDefault="00E66E86" w:rsidP="007157C0">
            <w:pPr>
              <w:rPr>
                <w:rFonts w:ascii="Arial Narrow" w:eastAsia="Calibri" w:hAnsi="Arial Narrow"/>
                <w:sz w:val="20"/>
                <w:szCs w:val="20"/>
              </w:rPr>
            </w:pPr>
            <w:r w:rsidRPr="005A3A65">
              <w:rPr>
                <w:rFonts w:ascii="Arial Narrow" w:hAnsi="Arial Narrow" w:cs="Arial Narrow"/>
                <w:b/>
                <w:bCs/>
                <w:iCs/>
                <w:strike/>
                <w:sz w:val="20"/>
                <w:szCs w:val="20"/>
              </w:rPr>
              <w:lastRenderedPageBreak/>
              <w:t>AND</w:t>
            </w:r>
          </w:p>
        </w:tc>
      </w:tr>
      <w:tr w:rsidR="00E66E86" w:rsidRPr="00446E53" w14:paraId="2CCC9BB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36A681C1" w14:textId="77777777" w:rsidR="00E66E86" w:rsidRPr="00446E53" w:rsidRDefault="00E66E86" w:rsidP="007157C0">
            <w:pPr>
              <w:rPr>
                <w:rFonts w:ascii="Arial Narrow" w:hAnsi="Arial Narrow"/>
                <w:b/>
                <w:bCs/>
                <w:color w:val="333333"/>
                <w:sz w:val="20"/>
                <w:szCs w:val="20"/>
              </w:rPr>
            </w:pPr>
            <w:r>
              <w:rPr>
                <w:rFonts w:ascii="Arial Narrow" w:eastAsia="Calibri" w:hAnsi="Arial Narrow"/>
                <w:b/>
                <w:bCs/>
                <w:sz w:val="20"/>
                <w:szCs w:val="20"/>
              </w:rPr>
              <w:t xml:space="preserve">Treatment criteria: </w:t>
            </w:r>
          </w:p>
        </w:tc>
      </w:tr>
      <w:tr w:rsidR="00E66E86" w:rsidRPr="00446E53" w14:paraId="14ACA6B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262C830F" w14:textId="77777777" w:rsidR="00E66E86" w:rsidRPr="00446E53" w:rsidRDefault="00E66E86" w:rsidP="007157C0">
            <w:pPr>
              <w:rPr>
                <w:rFonts w:ascii="Arial Narrow" w:hAnsi="Arial Narrow"/>
                <w:b/>
                <w:bCs/>
                <w:color w:val="333333"/>
                <w:sz w:val="20"/>
                <w:szCs w:val="20"/>
              </w:rPr>
            </w:pPr>
            <w:r w:rsidRPr="00176579">
              <w:rPr>
                <w:rFonts w:ascii="Arial Narrow" w:eastAsia="Calibri" w:hAnsi="Arial Narrow"/>
                <w:sz w:val="20"/>
                <w:szCs w:val="20"/>
              </w:rPr>
              <w:t>Must be treated by a dermatologist; or</w:t>
            </w:r>
          </w:p>
        </w:tc>
      </w:tr>
      <w:tr w:rsidR="00E66E86" w:rsidRPr="00446E53" w14:paraId="461C631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6592A6F8" w14:textId="77777777" w:rsidR="00E66E86" w:rsidRPr="00446E53" w:rsidRDefault="00E66E86" w:rsidP="007157C0">
            <w:pPr>
              <w:rPr>
                <w:rFonts w:ascii="Arial Narrow" w:hAnsi="Arial Narrow" w:cs="Arial Narrow"/>
                <w:iCs/>
                <w:color w:val="FF0000"/>
                <w:sz w:val="20"/>
                <w:szCs w:val="20"/>
              </w:rPr>
            </w:pPr>
            <w:r w:rsidRPr="00176579">
              <w:rPr>
                <w:rFonts w:ascii="Arial Narrow" w:eastAsia="Calibri" w:hAnsi="Arial Narrow"/>
                <w:sz w:val="20"/>
                <w:szCs w:val="20"/>
              </w:rPr>
              <w:t>Must be treated by a clinical immunologist</w:t>
            </w:r>
          </w:p>
        </w:tc>
      </w:tr>
      <w:tr w:rsidR="00E66E86" w:rsidRPr="00744208" w14:paraId="3AE975B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BDC0D7D" w14:textId="77777777" w:rsidR="00E66E86" w:rsidRPr="002D6D18" w:rsidRDefault="00E66E86" w:rsidP="007157C0">
            <w:pPr>
              <w:rPr>
                <w:rFonts w:ascii="Arial Narrow" w:eastAsia="Calibri" w:hAnsi="Arial Narrow"/>
                <w:sz w:val="20"/>
                <w:szCs w:val="20"/>
              </w:rPr>
            </w:pPr>
            <w:r w:rsidRPr="002D6D18">
              <w:rPr>
                <w:rFonts w:ascii="Arial Narrow" w:hAnsi="Arial Narrow"/>
                <w:b/>
                <w:bCs/>
                <w:color w:val="333333"/>
                <w:sz w:val="20"/>
                <w:szCs w:val="20"/>
              </w:rPr>
              <w:t>Prescribing Instructions:</w:t>
            </w:r>
          </w:p>
          <w:p w14:paraId="03FE4BB5" w14:textId="77777777" w:rsidR="00E66E86" w:rsidRPr="002D6D18" w:rsidRDefault="00E66E86" w:rsidP="007157C0">
            <w:pPr>
              <w:rPr>
                <w:rFonts w:ascii="Arial Narrow" w:eastAsia="Calibri" w:hAnsi="Arial Narrow"/>
                <w:sz w:val="20"/>
                <w:szCs w:val="20"/>
              </w:rPr>
            </w:pPr>
            <w:r w:rsidRPr="002D6D18">
              <w:rPr>
                <w:rFonts w:ascii="Arial Narrow" w:eastAsia="Calibri" w:hAnsi="Arial Narrow"/>
                <w:sz w:val="20"/>
                <w:szCs w:val="20"/>
              </w:rPr>
              <w:t>For the purposes of this restriction, an adequate response to treatment of the face/hands is defined as:</w:t>
            </w:r>
          </w:p>
          <w:p w14:paraId="4DAB0352" w14:textId="77777777" w:rsidR="00E66E86" w:rsidRPr="002D6D18" w:rsidRDefault="00E66E86" w:rsidP="007157C0">
            <w:pPr>
              <w:rPr>
                <w:rFonts w:ascii="Arial Narrow" w:eastAsia="Calibri" w:hAnsi="Arial Narrow"/>
                <w:sz w:val="20"/>
                <w:szCs w:val="20"/>
              </w:rPr>
            </w:pPr>
            <w:r w:rsidRPr="002D6D18">
              <w:rPr>
                <w:rFonts w:ascii="Arial Narrow" w:eastAsia="Calibri" w:hAnsi="Arial Narrow"/>
                <w:sz w:val="20"/>
                <w:szCs w:val="20"/>
              </w:rPr>
              <w:t xml:space="preserve">(a) (i) A rating of either mild (1) to none (0) on at least 3 of the assessments of erythema, oedema/papulation, excoriation and </w:t>
            </w:r>
            <w:proofErr w:type="spellStart"/>
            <w:r w:rsidRPr="002D6D18">
              <w:rPr>
                <w:rFonts w:ascii="Arial Narrow" w:eastAsia="Calibri" w:hAnsi="Arial Narrow"/>
                <w:sz w:val="20"/>
                <w:szCs w:val="20"/>
              </w:rPr>
              <w:t>lichenification</w:t>
            </w:r>
            <w:proofErr w:type="spellEnd"/>
            <w:r w:rsidRPr="002D6D18">
              <w:rPr>
                <w:rFonts w:ascii="Arial Narrow" w:eastAsia="Calibri" w:hAnsi="Arial Narrow"/>
                <w:sz w:val="20"/>
                <w:szCs w:val="20"/>
              </w:rPr>
              <w:t xml:space="preserve"> mentioned in the Eczema Area and Severity Index (EASI); or</w:t>
            </w:r>
          </w:p>
          <w:p w14:paraId="34AB2CD8" w14:textId="77777777" w:rsidR="00E66E86" w:rsidRPr="002D6D18" w:rsidRDefault="00E66E86" w:rsidP="007157C0">
            <w:pPr>
              <w:rPr>
                <w:rFonts w:ascii="Arial Narrow" w:eastAsia="Calibri" w:hAnsi="Arial Narrow"/>
                <w:sz w:val="20"/>
                <w:szCs w:val="20"/>
              </w:rPr>
            </w:pPr>
            <w:r w:rsidRPr="002D6D18">
              <w:rPr>
                <w:rFonts w:ascii="Arial Narrow" w:eastAsia="Calibri" w:hAnsi="Arial Narrow"/>
                <w:sz w:val="20"/>
                <w:szCs w:val="20"/>
              </w:rPr>
              <w:t>(ii) At least a 75% reduction in the skin area affected by this condition compared to baseline; and</w:t>
            </w:r>
          </w:p>
          <w:p w14:paraId="25E41BF5" w14:textId="77777777" w:rsidR="00E66E86" w:rsidRDefault="00E66E86" w:rsidP="007157C0">
            <w:pPr>
              <w:rPr>
                <w:rFonts w:ascii="Arial Narrow" w:eastAsia="Calibri" w:hAnsi="Arial Narrow"/>
                <w:sz w:val="20"/>
                <w:szCs w:val="20"/>
              </w:rPr>
            </w:pPr>
            <w:r w:rsidRPr="002D6D18">
              <w:rPr>
                <w:rFonts w:ascii="Arial Narrow" w:eastAsia="Calibri" w:hAnsi="Arial Narrow"/>
                <w:sz w:val="20"/>
                <w:szCs w:val="20"/>
              </w:rPr>
              <w:t>(b) An improvement in Dermatology Life Quality Index (DLQI) score of at least 4 points compared to baseline</w:t>
            </w:r>
            <w:r>
              <w:rPr>
                <w:rFonts w:ascii="Arial Narrow" w:eastAsia="Calibri" w:hAnsi="Arial Narrow"/>
                <w:sz w:val="20"/>
                <w:szCs w:val="20"/>
              </w:rPr>
              <w:t>.</w:t>
            </w:r>
          </w:p>
          <w:p w14:paraId="3B115667" w14:textId="77777777" w:rsidR="00E66E86" w:rsidRDefault="00E66E86" w:rsidP="007157C0">
            <w:pPr>
              <w:rPr>
                <w:rFonts w:ascii="Arial Narrow" w:eastAsia="Calibri" w:hAnsi="Arial Narrow"/>
                <w:sz w:val="20"/>
                <w:szCs w:val="20"/>
              </w:rPr>
            </w:pPr>
          </w:p>
          <w:p w14:paraId="232C8370" w14:textId="77777777" w:rsidR="00E66E86" w:rsidRPr="00230EBF" w:rsidRDefault="00E66E86" w:rsidP="007157C0">
            <w:pPr>
              <w:rPr>
                <w:rFonts w:ascii="Arial Narrow" w:eastAsia="Calibri" w:hAnsi="Arial Narrow"/>
                <w:sz w:val="20"/>
                <w:szCs w:val="20"/>
              </w:rPr>
            </w:pPr>
            <w:r w:rsidRPr="00230EBF">
              <w:rPr>
                <w:rFonts w:ascii="Arial Narrow" w:eastAsia="Calibri" w:hAnsi="Arial Narrow"/>
                <w:sz w:val="20"/>
                <w:szCs w:val="20"/>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14:paraId="7DBB273E" w14:textId="77777777" w:rsidR="00E66E86" w:rsidRPr="002D6D18" w:rsidRDefault="00E66E86" w:rsidP="007157C0">
            <w:pPr>
              <w:rPr>
                <w:rFonts w:ascii="Arial Narrow" w:eastAsia="Calibri" w:hAnsi="Arial Narrow"/>
                <w:sz w:val="20"/>
                <w:szCs w:val="20"/>
              </w:rPr>
            </w:pPr>
          </w:p>
          <w:p w14:paraId="0FDD6146" w14:textId="77777777" w:rsidR="00E66E86" w:rsidRPr="00744208" w:rsidRDefault="00E66E86" w:rsidP="007157C0">
            <w:pPr>
              <w:rPr>
                <w:rFonts w:ascii="Arial Narrow" w:hAnsi="Arial Narrow" w:cs="Arial Narrow"/>
                <w:iCs/>
                <w:color w:val="FF0000"/>
                <w:sz w:val="20"/>
                <w:szCs w:val="20"/>
                <w:highlight w:val="yellow"/>
              </w:rPr>
            </w:pPr>
            <w:r w:rsidRPr="002D6D18">
              <w:rPr>
                <w:rFonts w:ascii="Arial Narrow" w:eastAsia="Calibri" w:hAnsi="Arial Narrow"/>
                <w:sz w:val="20"/>
                <w:szCs w:val="20"/>
              </w:rPr>
              <w:t>State the current EASI ratings or the percentage of face/hand surface area affected by the condition. Also state the</w:t>
            </w:r>
            <w:r>
              <w:rPr>
                <w:rFonts w:ascii="Arial Narrow" w:eastAsia="Calibri" w:hAnsi="Arial Narrow"/>
                <w:sz w:val="20"/>
                <w:szCs w:val="20"/>
              </w:rPr>
              <w:t xml:space="preserve"> current</w:t>
            </w:r>
            <w:r w:rsidRPr="002D6D18">
              <w:rPr>
                <w:rFonts w:ascii="Arial Narrow" w:eastAsia="Calibri" w:hAnsi="Arial Narrow"/>
                <w:sz w:val="20"/>
                <w:szCs w:val="20"/>
              </w:rPr>
              <w:t xml:space="preserve"> DLQI score for this authority application.</w:t>
            </w:r>
          </w:p>
        </w:tc>
      </w:tr>
    </w:tbl>
    <w:p w14:paraId="29552181" w14:textId="77777777" w:rsidR="008B68A4" w:rsidRDefault="008B68A4" w:rsidP="008B68A4"/>
    <w:p w14:paraId="41F324A9" w14:textId="77777777" w:rsidR="008B68A4" w:rsidRPr="007C7088" w:rsidRDefault="008B68A4" w:rsidP="007C7088">
      <w:pPr>
        <w:rPr>
          <w:b/>
          <w:bCs/>
        </w:rPr>
      </w:pPr>
      <w:r w:rsidRPr="007C7088">
        <w:rPr>
          <w:b/>
          <w:bCs/>
        </w:rPr>
        <w:t>Grandfather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Grandfather treatment"/>
      </w:tblPr>
      <w:tblGrid>
        <w:gridCol w:w="3919"/>
        <w:gridCol w:w="806"/>
        <w:gridCol w:w="808"/>
        <w:gridCol w:w="806"/>
        <w:gridCol w:w="808"/>
        <w:gridCol w:w="1870"/>
      </w:tblGrid>
      <w:tr w:rsidR="008B68A4" w:rsidRPr="00446E53" w14:paraId="54D476F4" w14:textId="77777777" w:rsidTr="00AF29CF">
        <w:trPr>
          <w:cantSplit/>
          <w:trHeight w:val="20"/>
        </w:trPr>
        <w:tc>
          <w:tcPr>
            <w:tcW w:w="2173" w:type="pct"/>
            <w:vAlign w:val="center"/>
          </w:tcPr>
          <w:p w14:paraId="27D23639" w14:textId="77777777" w:rsidR="008B68A4" w:rsidRPr="00446E53" w:rsidRDefault="008B68A4" w:rsidP="007157C0">
            <w:pPr>
              <w:keepLines/>
              <w:rPr>
                <w:rFonts w:ascii="Arial Narrow" w:hAnsi="Arial Narrow"/>
                <w:b/>
                <w:bCs/>
                <w:sz w:val="20"/>
                <w:szCs w:val="20"/>
              </w:rPr>
            </w:pPr>
            <w:r w:rsidRPr="00446E53">
              <w:rPr>
                <w:rFonts w:ascii="Arial Narrow" w:hAnsi="Arial Narrow"/>
                <w:b/>
                <w:bCs/>
                <w:sz w:val="20"/>
                <w:szCs w:val="20"/>
              </w:rPr>
              <w:t>MEDICINAL PRODUCT</w:t>
            </w:r>
          </w:p>
          <w:p w14:paraId="4676DF7B" w14:textId="77777777" w:rsidR="008B68A4" w:rsidRPr="00446E53" w:rsidRDefault="008B68A4" w:rsidP="007157C0">
            <w:pPr>
              <w:keepLines/>
              <w:rPr>
                <w:rFonts w:ascii="Arial Narrow" w:hAnsi="Arial Narrow"/>
                <w:b/>
                <w:sz w:val="20"/>
                <w:szCs w:val="20"/>
              </w:rPr>
            </w:pPr>
            <w:r w:rsidRPr="00446E53">
              <w:rPr>
                <w:rFonts w:ascii="Arial Narrow" w:hAnsi="Arial Narrow"/>
                <w:b/>
                <w:bCs/>
                <w:sz w:val="20"/>
                <w:szCs w:val="20"/>
              </w:rPr>
              <w:t>medicinal product pack</w:t>
            </w:r>
          </w:p>
        </w:tc>
        <w:tc>
          <w:tcPr>
            <w:tcW w:w="447" w:type="pct"/>
            <w:vAlign w:val="center"/>
          </w:tcPr>
          <w:p w14:paraId="5968430E"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PBS item code</w:t>
            </w:r>
          </w:p>
        </w:tc>
        <w:tc>
          <w:tcPr>
            <w:tcW w:w="448" w:type="pct"/>
            <w:vAlign w:val="center"/>
          </w:tcPr>
          <w:p w14:paraId="0FE153F8"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Max. qty packs</w:t>
            </w:r>
          </w:p>
        </w:tc>
        <w:tc>
          <w:tcPr>
            <w:tcW w:w="447" w:type="pct"/>
            <w:vAlign w:val="center"/>
          </w:tcPr>
          <w:p w14:paraId="525F0970"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Max. qty units</w:t>
            </w:r>
          </w:p>
        </w:tc>
        <w:tc>
          <w:tcPr>
            <w:tcW w:w="448" w:type="pct"/>
            <w:vAlign w:val="center"/>
          </w:tcPr>
          <w:p w14:paraId="22F9FE4F"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№.of</w:t>
            </w:r>
          </w:p>
          <w:p w14:paraId="6B9DD066" w14:textId="77777777" w:rsidR="008B68A4" w:rsidRPr="00446E53" w:rsidRDefault="008B68A4" w:rsidP="007157C0">
            <w:pPr>
              <w:keepLines/>
              <w:jc w:val="center"/>
              <w:rPr>
                <w:rFonts w:ascii="Arial Narrow" w:hAnsi="Arial Narrow"/>
                <w:b/>
                <w:sz w:val="20"/>
                <w:szCs w:val="20"/>
              </w:rPr>
            </w:pPr>
            <w:r w:rsidRPr="00446E53">
              <w:rPr>
                <w:rFonts w:ascii="Arial Narrow" w:hAnsi="Arial Narrow"/>
                <w:b/>
                <w:sz w:val="20"/>
                <w:szCs w:val="20"/>
              </w:rPr>
              <w:t>Rpts</w:t>
            </w:r>
          </w:p>
        </w:tc>
        <w:tc>
          <w:tcPr>
            <w:tcW w:w="1037" w:type="pct"/>
            <w:vAlign w:val="center"/>
          </w:tcPr>
          <w:p w14:paraId="2050BFA2" w14:textId="77777777" w:rsidR="008B68A4" w:rsidRPr="00446E53" w:rsidRDefault="008B68A4" w:rsidP="007157C0">
            <w:pPr>
              <w:keepLines/>
              <w:rPr>
                <w:rFonts w:ascii="Arial Narrow" w:hAnsi="Arial Narrow"/>
                <w:b/>
                <w:sz w:val="20"/>
                <w:szCs w:val="20"/>
                <w:lang w:val="fr-FR"/>
              </w:rPr>
            </w:pPr>
            <w:r w:rsidRPr="00446E53">
              <w:rPr>
                <w:rFonts w:ascii="Arial Narrow" w:hAnsi="Arial Narrow"/>
                <w:b/>
                <w:sz w:val="20"/>
                <w:szCs w:val="20"/>
              </w:rPr>
              <w:t>Available brands</w:t>
            </w:r>
          </w:p>
        </w:tc>
      </w:tr>
      <w:tr w:rsidR="008B68A4" w:rsidRPr="00446E53" w14:paraId="51364E6F" w14:textId="77777777" w:rsidTr="00AF29CF">
        <w:trPr>
          <w:cantSplit/>
          <w:trHeight w:val="20"/>
        </w:trPr>
        <w:tc>
          <w:tcPr>
            <w:tcW w:w="5000" w:type="pct"/>
            <w:gridSpan w:val="6"/>
            <w:vAlign w:val="center"/>
          </w:tcPr>
          <w:p w14:paraId="75E444F4" w14:textId="77777777" w:rsidR="008B68A4" w:rsidRPr="00446E53" w:rsidRDefault="008B68A4" w:rsidP="007157C0">
            <w:pPr>
              <w:keepLines/>
              <w:rPr>
                <w:rFonts w:ascii="Arial Narrow" w:hAnsi="Arial Narrow"/>
                <w:sz w:val="20"/>
                <w:szCs w:val="20"/>
              </w:rPr>
            </w:pPr>
            <w:r>
              <w:rPr>
                <w:rFonts w:ascii="Arial Narrow" w:hAnsi="Arial Narrow"/>
                <w:sz w:val="20"/>
                <w:szCs w:val="20"/>
              </w:rPr>
              <w:t>NEMOLIZUMAB</w:t>
            </w:r>
          </w:p>
        </w:tc>
      </w:tr>
      <w:tr w:rsidR="008B68A4" w:rsidRPr="00E168B8" w14:paraId="440954CC" w14:textId="77777777" w:rsidTr="00AF29CF">
        <w:trPr>
          <w:cantSplit/>
          <w:trHeight w:val="20"/>
        </w:trPr>
        <w:tc>
          <w:tcPr>
            <w:tcW w:w="2173" w:type="pct"/>
            <w:vAlign w:val="center"/>
          </w:tcPr>
          <w:p w14:paraId="2B6BD3AA" w14:textId="77777777" w:rsidR="008B68A4" w:rsidRPr="00CA4390" w:rsidRDefault="008B68A4" w:rsidP="007157C0">
            <w:pPr>
              <w:keepLines/>
              <w:rPr>
                <w:rFonts w:ascii="Arial Narrow" w:hAnsi="Arial Narrow"/>
                <w:sz w:val="20"/>
                <w:szCs w:val="20"/>
              </w:rPr>
            </w:pPr>
            <w:r w:rsidRPr="00CA4390">
              <w:rPr>
                <w:rFonts w:ascii="Arial Narrow" w:hAnsi="Arial Narrow"/>
                <w:sz w:val="20"/>
                <w:szCs w:val="20"/>
              </w:rPr>
              <w:t xml:space="preserve">nemolizumab 30 mg injection [1 chamber] (&amp;) inert substance diluent [1 chamber], 1 dual chamber pen device </w:t>
            </w:r>
          </w:p>
        </w:tc>
        <w:tc>
          <w:tcPr>
            <w:tcW w:w="447" w:type="pct"/>
            <w:vAlign w:val="center"/>
          </w:tcPr>
          <w:p w14:paraId="62A3E457" w14:textId="77777777" w:rsidR="008B68A4" w:rsidRPr="00E168B8" w:rsidRDefault="008B68A4" w:rsidP="007157C0">
            <w:pPr>
              <w:keepLines/>
              <w:jc w:val="center"/>
              <w:rPr>
                <w:rFonts w:ascii="Arial Narrow" w:hAnsi="Arial Narrow"/>
                <w:sz w:val="20"/>
                <w:szCs w:val="20"/>
              </w:rPr>
            </w:pPr>
            <w:r w:rsidRPr="00E168B8">
              <w:rPr>
                <w:rFonts w:ascii="Arial Narrow" w:hAnsi="Arial Narrow"/>
                <w:sz w:val="20"/>
                <w:szCs w:val="20"/>
              </w:rPr>
              <w:t>NEW</w:t>
            </w:r>
          </w:p>
        </w:tc>
        <w:tc>
          <w:tcPr>
            <w:tcW w:w="448" w:type="pct"/>
            <w:vAlign w:val="center"/>
          </w:tcPr>
          <w:p w14:paraId="447BD7AA" w14:textId="77777777" w:rsidR="008B68A4" w:rsidRPr="00E168B8" w:rsidRDefault="008B68A4" w:rsidP="007157C0">
            <w:pPr>
              <w:keepLines/>
              <w:jc w:val="center"/>
              <w:rPr>
                <w:rFonts w:ascii="Arial Narrow" w:hAnsi="Arial Narrow"/>
                <w:sz w:val="20"/>
                <w:szCs w:val="20"/>
              </w:rPr>
            </w:pPr>
            <w:r>
              <w:rPr>
                <w:rFonts w:ascii="Arial Narrow" w:hAnsi="Arial Narrow"/>
                <w:sz w:val="20"/>
                <w:szCs w:val="20"/>
              </w:rPr>
              <w:t>1</w:t>
            </w:r>
          </w:p>
        </w:tc>
        <w:tc>
          <w:tcPr>
            <w:tcW w:w="447" w:type="pct"/>
            <w:vAlign w:val="center"/>
          </w:tcPr>
          <w:p w14:paraId="5E0D6A79" w14:textId="77777777" w:rsidR="008B68A4" w:rsidRPr="00E168B8" w:rsidRDefault="008B68A4" w:rsidP="007157C0">
            <w:pPr>
              <w:keepLines/>
              <w:jc w:val="center"/>
              <w:rPr>
                <w:rFonts w:ascii="Arial Narrow" w:hAnsi="Arial Narrow"/>
                <w:sz w:val="20"/>
                <w:szCs w:val="20"/>
              </w:rPr>
            </w:pPr>
            <w:r>
              <w:rPr>
                <w:rFonts w:ascii="Arial Narrow" w:hAnsi="Arial Narrow"/>
                <w:sz w:val="20"/>
                <w:szCs w:val="20"/>
              </w:rPr>
              <w:t>1</w:t>
            </w:r>
          </w:p>
        </w:tc>
        <w:tc>
          <w:tcPr>
            <w:tcW w:w="448" w:type="pct"/>
            <w:vAlign w:val="center"/>
          </w:tcPr>
          <w:p w14:paraId="43BA9C5E" w14:textId="77777777" w:rsidR="008B68A4" w:rsidRPr="00B94C67" w:rsidRDefault="008B68A4" w:rsidP="007157C0">
            <w:pPr>
              <w:keepLines/>
              <w:jc w:val="center"/>
              <w:rPr>
                <w:rFonts w:ascii="Arial Narrow" w:hAnsi="Arial Narrow"/>
                <w:sz w:val="20"/>
                <w:szCs w:val="20"/>
              </w:rPr>
            </w:pPr>
            <w:r w:rsidRPr="001A50DF">
              <w:rPr>
                <w:rFonts w:ascii="Arial Narrow" w:hAnsi="Arial Narrow"/>
                <w:sz w:val="20"/>
                <w:szCs w:val="20"/>
              </w:rPr>
              <w:t>3</w:t>
            </w:r>
            <w:r>
              <w:rPr>
                <w:rFonts w:ascii="Arial Narrow" w:hAnsi="Arial Narrow"/>
                <w:sz w:val="20"/>
                <w:szCs w:val="20"/>
              </w:rPr>
              <w:t xml:space="preserve"> </w:t>
            </w:r>
          </w:p>
        </w:tc>
        <w:tc>
          <w:tcPr>
            <w:tcW w:w="1037" w:type="pct"/>
            <w:vAlign w:val="center"/>
          </w:tcPr>
          <w:p w14:paraId="690D9804" w14:textId="77777777" w:rsidR="008B68A4" w:rsidRPr="00E168B8" w:rsidRDefault="008B68A4" w:rsidP="007157C0">
            <w:pPr>
              <w:keepLines/>
              <w:jc w:val="center"/>
              <w:rPr>
                <w:rFonts w:ascii="Arial Narrow" w:hAnsi="Arial Narrow"/>
                <w:sz w:val="20"/>
                <w:szCs w:val="20"/>
              </w:rPr>
            </w:pPr>
          </w:p>
          <w:p w14:paraId="498DB170" w14:textId="77777777" w:rsidR="008B68A4" w:rsidRPr="00E168B8" w:rsidRDefault="008B68A4" w:rsidP="007157C0">
            <w:pPr>
              <w:keepLines/>
              <w:jc w:val="center"/>
              <w:rPr>
                <w:rFonts w:ascii="Arial Narrow" w:hAnsi="Arial Narrow"/>
                <w:sz w:val="20"/>
                <w:szCs w:val="20"/>
              </w:rPr>
            </w:pPr>
            <w:r w:rsidRPr="00E168B8">
              <w:rPr>
                <w:rFonts w:ascii="Arial Narrow" w:hAnsi="Arial Narrow"/>
                <w:sz w:val="20"/>
                <w:szCs w:val="20"/>
              </w:rPr>
              <w:t>Nemluvio</w:t>
            </w:r>
          </w:p>
          <w:p w14:paraId="5BDCE350" w14:textId="77777777" w:rsidR="008B68A4" w:rsidRPr="00E168B8" w:rsidRDefault="008B68A4" w:rsidP="007157C0">
            <w:pPr>
              <w:keepLines/>
              <w:rPr>
                <w:rFonts w:ascii="Arial Narrow" w:hAnsi="Arial Narrow"/>
                <w:sz w:val="20"/>
                <w:szCs w:val="20"/>
              </w:rPr>
            </w:pPr>
          </w:p>
        </w:tc>
      </w:tr>
      <w:tr w:rsidR="008B68A4" w:rsidRPr="00E168B8" w14:paraId="634D502F"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3506DCB1" w14:textId="77777777" w:rsidR="008B68A4" w:rsidRPr="00E168B8" w:rsidRDefault="008B68A4" w:rsidP="007157C0">
            <w:pPr>
              <w:rPr>
                <w:rFonts w:ascii="Arial Narrow" w:hAnsi="Arial Narrow"/>
                <w:sz w:val="20"/>
                <w:szCs w:val="20"/>
              </w:rPr>
            </w:pPr>
          </w:p>
        </w:tc>
      </w:tr>
      <w:tr w:rsidR="00E66E86" w:rsidRPr="00E168B8" w14:paraId="287F6204"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DF0C341" w14:textId="77777777" w:rsidR="00E66E86" w:rsidRPr="00E168B8" w:rsidRDefault="00E66E86" w:rsidP="007157C0">
            <w:pPr>
              <w:keepLines/>
              <w:jc w:val="left"/>
              <w:rPr>
                <w:rFonts w:ascii="Arial Narrow" w:hAnsi="Arial Narrow"/>
                <w:sz w:val="20"/>
                <w:szCs w:val="20"/>
              </w:rPr>
            </w:pPr>
            <w:r w:rsidRPr="00E168B8">
              <w:rPr>
                <w:rFonts w:ascii="Arial Narrow" w:hAnsi="Arial Narrow"/>
                <w:b/>
                <w:sz w:val="20"/>
                <w:szCs w:val="20"/>
              </w:rPr>
              <w:t>Category / Program:</w:t>
            </w:r>
            <w:r w:rsidRPr="00E168B8">
              <w:rPr>
                <w:rFonts w:ascii="Arial Narrow" w:hAnsi="Arial Narrow"/>
                <w:sz w:val="20"/>
                <w:szCs w:val="20"/>
              </w:rPr>
              <w:t xml:space="preserv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 xml:space="preserve">GENERAL - General Schedule (Code GE) </w:t>
            </w:r>
          </w:p>
        </w:tc>
      </w:tr>
      <w:tr w:rsidR="00E66E86" w:rsidRPr="00E168B8" w14:paraId="05150236"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151401A" w14:textId="77777777" w:rsidR="00E66E86" w:rsidRPr="00E168B8" w:rsidRDefault="00E66E86" w:rsidP="007157C0">
            <w:pPr>
              <w:keepLines/>
              <w:jc w:val="left"/>
              <w:rPr>
                <w:rFonts w:ascii="Arial Narrow" w:hAnsi="Arial Narrow"/>
                <w:b/>
                <w:sz w:val="20"/>
                <w:szCs w:val="20"/>
              </w:rPr>
            </w:pPr>
            <w:r w:rsidRPr="00E168B8">
              <w:rPr>
                <w:rFonts w:ascii="Arial Narrow" w:hAnsi="Arial Narrow"/>
                <w:b/>
                <w:sz w:val="20"/>
                <w:szCs w:val="20"/>
              </w:rPr>
              <w:t xml:space="preserve">Prescriber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Medical Practitioners </w:t>
            </w:r>
          </w:p>
        </w:tc>
      </w:tr>
      <w:tr w:rsidR="00E66E86" w:rsidRPr="00E168B8" w14:paraId="2CD277EF" w14:textId="77777777" w:rsidTr="00AF29CF">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4FB03EE" w14:textId="77777777" w:rsidR="00E66E86" w:rsidRPr="00E168B8" w:rsidRDefault="00E66E86" w:rsidP="007157C0">
            <w:pPr>
              <w:keepLines/>
              <w:jc w:val="left"/>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Telephone/Online PBS Authorities System) </w:t>
            </w:r>
          </w:p>
        </w:tc>
      </w:tr>
      <w:tr w:rsidR="00E66E86" w:rsidRPr="00446E53" w14:paraId="386E032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shd w:val="clear" w:color="auto" w:fill="D9D9D9" w:themeFill="background1" w:themeFillShade="D9"/>
            <w:vAlign w:val="center"/>
          </w:tcPr>
          <w:p w14:paraId="39A635E2"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6</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6A</w:t>
            </w:r>
            <w:r w:rsidRPr="00446E53">
              <w:rPr>
                <w:rFonts w:ascii="Arial Narrow" w:hAnsi="Arial Narrow"/>
                <w:b/>
                <w:bCs/>
                <w:color w:val="333333"/>
                <w:sz w:val="20"/>
                <w:szCs w:val="20"/>
              </w:rPr>
              <w:t>]</w:t>
            </w:r>
          </w:p>
        </w:tc>
      </w:tr>
      <w:tr w:rsidR="00E66E86" w:rsidRPr="00446E53" w14:paraId="15FCFBF6"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B2E303A" w14:textId="77777777" w:rsidR="00E66E86" w:rsidRPr="00446E53" w:rsidRDefault="00E66E86" w:rsidP="007157C0">
            <w:pPr>
              <w:rPr>
                <w:rFonts w:ascii="Arial Narrow" w:hAnsi="Arial Narrow"/>
                <w:b/>
                <w:bCs/>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E66E86" w:rsidRPr="00446E53" w14:paraId="505B8CFD"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7645D49" w14:textId="77777777" w:rsidR="00E66E86" w:rsidRPr="009122C5" w:rsidRDefault="00E66E86" w:rsidP="007157C0">
            <w:pPr>
              <w:rPr>
                <w:rFonts w:ascii="Arial Narrow" w:hAnsi="Arial Narrow"/>
                <w:b/>
                <w:bCs/>
                <w:color w:val="333333"/>
                <w:sz w:val="20"/>
                <w:szCs w:val="20"/>
              </w:rPr>
            </w:pPr>
            <w:r w:rsidRPr="009122C5">
              <w:rPr>
                <w:rFonts w:ascii="Arial Narrow" w:hAnsi="Arial Narrow"/>
                <w:b/>
                <w:bCs/>
                <w:sz w:val="20"/>
                <w:szCs w:val="20"/>
              </w:rPr>
              <w:t>Treatment Phase:</w:t>
            </w:r>
            <w:r w:rsidRPr="009122C5">
              <w:rPr>
                <w:rFonts w:ascii="Arial Narrow" w:hAnsi="Arial Narrow"/>
                <w:sz w:val="20"/>
                <w:szCs w:val="20"/>
              </w:rPr>
              <w:t xml:space="preserve"> Transitioning from non-PBS to PBS-subsidised </w:t>
            </w:r>
            <w:r w:rsidRPr="009122C5">
              <w:rPr>
                <w:rFonts w:ascii="Arial Narrow" w:hAnsi="Arial Narrow"/>
                <w:i/>
                <w:iCs/>
                <w:sz w:val="20"/>
                <w:szCs w:val="20"/>
              </w:rPr>
              <w:t xml:space="preserve">treatment </w:t>
            </w:r>
            <w:r w:rsidRPr="009122C5">
              <w:rPr>
                <w:rFonts w:ascii="Arial Narrow" w:hAnsi="Arial Narrow"/>
                <w:sz w:val="20"/>
                <w:szCs w:val="20"/>
              </w:rPr>
              <w:t>– ‘Grandfather’</w:t>
            </w:r>
            <w:r w:rsidRPr="009122C5">
              <w:rPr>
                <w:rFonts w:ascii="Arial Narrow" w:hAnsi="Arial Narrow"/>
                <w:i/>
                <w:iCs/>
                <w:sz w:val="20"/>
                <w:szCs w:val="20"/>
              </w:rPr>
              <w:t xml:space="preserve"> </w:t>
            </w:r>
            <w:r w:rsidRPr="009122C5">
              <w:rPr>
                <w:rFonts w:ascii="Arial Narrow" w:hAnsi="Arial Narrow"/>
                <w:sz w:val="20"/>
                <w:szCs w:val="20"/>
              </w:rPr>
              <w:t>arrangements</w:t>
            </w:r>
            <w:r w:rsidRPr="009122C5">
              <w:rPr>
                <w:rFonts w:ascii="Arial Narrow" w:hAnsi="Arial Narrow"/>
                <w:i/>
                <w:iCs/>
                <w:sz w:val="20"/>
                <w:szCs w:val="20"/>
              </w:rPr>
              <w:t xml:space="preserve"> (whole body) </w:t>
            </w:r>
            <w:r w:rsidRPr="009122C5">
              <w:rPr>
                <w:rFonts w:ascii="Arial Narrow" w:hAnsi="Arial Narrow"/>
                <w:strike/>
                <w:sz w:val="20"/>
                <w:szCs w:val="20"/>
              </w:rPr>
              <w:t>supply – (treatment of the whole body)</w:t>
            </w:r>
          </w:p>
        </w:tc>
      </w:tr>
      <w:tr w:rsidR="00E66E86" w:rsidRPr="00446E53" w14:paraId="1F945B2A"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9C90367"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66E86" w:rsidRPr="00446E53" w14:paraId="6D675F1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7CEEBA20" w14:textId="77777777" w:rsidR="00E66E86" w:rsidRPr="00E23E54" w:rsidRDefault="00E66E86" w:rsidP="007157C0">
            <w:pPr>
              <w:rPr>
                <w:rFonts w:ascii="Arial Narrow" w:hAnsi="Arial Narrow"/>
                <w:b/>
                <w:bCs/>
                <w:color w:val="333333"/>
                <w:sz w:val="20"/>
                <w:szCs w:val="20"/>
              </w:rPr>
            </w:pPr>
            <w:r w:rsidRPr="00E23E54">
              <w:rPr>
                <w:rFonts w:ascii="Arial Narrow" w:hAnsi="Arial Narrow" w:cs="Segoe UI"/>
                <w:sz w:val="20"/>
                <w:szCs w:val="20"/>
              </w:rPr>
              <w:t>Patient must have been receiving non-PBS-subsidised treatment with this drug for this condition prior to [date of listing]</w:t>
            </w:r>
          </w:p>
        </w:tc>
      </w:tr>
      <w:tr w:rsidR="00E66E86" w:rsidRPr="00446E53" w14:paraId="384FE40F"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41BC48C"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E66E86" w:rsidRPr="00446E53" w14:paraId="394D0BF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B2443E1"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66E86" w:rsidRPr="00446E53" w14:paraId="2F57B01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572E8957" w14:textId="77777777" w:rsidR="00E66E86" w:rsidRPr="00446E53" w:rsidRDefault="00E66E86" w:rsidP="007157C0">
            <w:pPr>
              <w:rPr>
                <w:rFonts w:ascii="Arial Narrow" w:hAnsi="Arial Narrow"/>
                <w:b/>
                <w:bCs/>
                <w:color w:val="333333"/>
                <w:sz w:val="20"/>
                <w:szCs w:val="20"/>
              </w:rPr>
            </w:pPr>
            <w:r w:rsidRPr="00EC4F5F">
              <w:rPr>
                <w:rFonts w:ascii="Arial Narrow" w:hAnsi="Arial Narrow"/>
                <w:sz w:val="20"/>
                <w:szCs w:val="20"/>
              </w:rPr>
              <w:t>Patient must have</w:t>
            </w:r>
            <w:r>
              <w:rPr>
                <w:rFonts w:ascii="Arial Narrow" w:hAnsi="Arial Narrow"/>
                <w:sz w:val="20"/>
                <w:szCs w:val="20"/>
              </w:rPr>
              <w:t xml:space="preserve"> </w:t>
            </w:r>
            <w:r w:rsidRPr="00E23E54">
              <w:rPr>
                <w:rFonts w:ascii="Arial Narrow" w:hAnsi="Arial Narrow"/>
                <w:sz w:val="20"/>
                <w:szCs w:val="20"/>
              </w:rPr>
              <w:t>had</w:t>
            </w:r>
            <w:r w:rsidRPr="00EC4F5F">
              <w:rPr>
                <w:rFonts w:ascii="Arial Narrow" w:hAnsi="Arial Narrow"/>
                <w:sz w:val="20"/>
                <w:szCs w:val="20"/>
              </w:rPr>
              <w:t xml:space="preserve"> an Eczema Area and Severity Index (EASI) baseline score of at least 20 despite treatment with daily topical therapy (corticosteroid of medium to high potency/calcineurin inhibitor), for at least 28 days prior to commencing non-PBS-subsidised therapy with this biological medicine</w:t>
            </w:r>
          </w:p>
        </w:tc>
      </w:tr>
      <w:tr w:rsidR="00E66E86" w:rsidRPr="00446E53" w14:paraId="3CDA8A8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020293C"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E66E86" w:rsidRPr="00446E53" w14:paraId="69BDAB21"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9714700"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E66E86" w:rsidRPr="00446E53" w14:paraId="15E8BCD6"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3CF17380" w14:textId="77777777" w:rsidR="00E66E86" w:rsidRPr="00446E53" w:rsidRDefault="00E66E86" w:rsidP="007157C0">
            <w:pPr>
              <w:rPr>
                <w:rFonts w:ascii="Arial Narrow" w:hAnsi="Arial Narrow"/>
                <w:b/>
                <w:bCs/>
                <w:color w:val="333333"/>
                <w:sz w:val="20"/>
                <w:szCs w:val="20"/>
              </w:rPr>
            </w:pPr>
            <w:r w:rsidRPr="00BB6A18">
              <w:rPr>
                <w:rFonts w:ascii="Arial Narrow" w:hAnsi="Arial Narrow"/>
                <w:sz w:val="20"/>
                <w:szCs w:val="20"/>
              </w:rPr>
              <w:t>Patient must have had a Physicians Global Assessment (PGA) baseline score of at least 4 as evidence of severe disease despite treatment with daily topical therapy (corticosteroid of medium to high potency/calcineurin inhibitor), for at least 28 days prior to commencing non-PBS-subsidised therapy with this biological medicine</w:t>
            </w:r>
          </w:p>
        </w:tc>
      </w:tr>
      <w:tr w:rsidR="00E66E86" w:rsidRPr="00446E53" w14:paraId="6FC8DE3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9AB6830"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E66E86" w:rsidRPr="00446E53" w14:paraId="4333919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79F3EA8"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E66E86" w:rsidRPr="00446E53" w14:paraId="4BD1F0B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4103DA13" w14:textId="77777777" w:rsidR="00E66E86" w:rsidRPr="00446E53" w:rsidRDefault="00E66E86" w:rsidP="007157C0">
            <w:pPr>
              <w:rPr>
                <w:rFonts w:ascii="Arial Narrow" w:hAnsi="Arial Narrow"/>
                <w:b/>
                <w:bCs/>
                <w:color w:val="333333"/>
                <w:sz w:val="20"/>
                <w:szCs w:val="20"/>
              </w:rPr>
            </w:pPr>
            <w:r w:rsidRPr="008030E1">
              <w:rPr>
                <w:rFonts w:ascii="Arial Narrow" w:hAnsi="Arial Narrow"/>
                <w:sz w:val="20"/>
                <w:szCs w:val="20"/>
              </w:rPr>
              <w:lastRenderedPageBreak/>
              <w:t>Patient must have an age appropriate Dermatology Life Quality Index (DLQI) baseline score (of any value) measured following treatment with daily topical therapy (corticosteroid of medium to high potency/calcineurin inhibitor), for at least 28 days</w:t>
            </w:r>
            <w:r>
              <w:rPr>
                <w:rFonts w:ascii="Arial Narrow" w:hAnsi="Arial Narrow"/>
                <w:i/>
                <w:iCs/>
                <w:sz w:val="20"/>
                <w:szCs w:val="20"/>
              </w:rPr>
              <w:t>,</w:t>
            </w:r>
            <w:r w:rsidRPr="008030E1">
              <w:rPr>
                <w:rFonts w:ascii="Arial Narrow" w:hAnsi="Arial Narrow"/>
                <w:sz w:val="20"/>
                <w:szCs w:val="20"/>
              </w:rPr>
              <w:t xml:space="preserve"> prior to </w:t>
            </w:r>
            <w:r w:rsidRPr="00F3158B">
              <w:rPr>
                <w:rFonts w:ascii="Arial Narrow" w:hAnsi="Arial Narrow"/>
                <w:sz w:val="20"/>
                <w:szCs w:val="20"/>
              </w:rPr>
              <w:t>having commence</w:t>
            </w:r>
            <w:r>
              <w:rPr>
                <w:rFonts w:ascii="Arial Narrow" w:hAnsi="Arial Narrow"/>
                <w:sz w:val="20"/>
                <w:szCs w:val="20"/>
              </w:rPr>
              <w:t>d</w:t>
            </w:r>
            <w:r w:rsidRPr="008030E1">
              <w:rPr>
                <w:rFonts w:ascii="Arial Narrow" w:hAnsi="Arial Narrow"/>
                <w:sz w:val="20"/>
                <w:szCs w:val="20"/>
              </w:rPr>
              <w:t xml:space="preserve"> non-PBS-subsidised therapy with this biological medicine; or </w:t>
            </w:r>
          </w:p>
        </w:tc>
      </w:tr>
      <w:tr w:rsidR="00E66E86" w:rsidRPr="00446E53" w14:paraId="4C4743C1"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F459A90" w14:textId="77777777" w:rsidR="00E66E86" w:rsidRPr="00446E53" w:rsidRDefault="00E66E86" w:rsidP="007157C0">
            <w:pPr>
              <w:rPr>
                <w:rFonts w:ascii="Arial Narrow" w:hAnsi="Arial Narrow"/>
                <w:b/>
                <w:bCs/>
                <w:color w:val="333333"/>
                <w:sz w:val="20"/>
                <w:szCs w:val="20"/>
              </w:rPr>
            </w:pPr>
            <w:r w:rsidRPr="008030E1">
              <w:rPr>
                <w:rFonts w:ascii="Arial Narrow" w:hAnsi="Arial Narrow"/>
                <w:sz w:val="20"/>
                <w:szCs w:val="20"/>
              </w:rPr>
              <w:t>Patient must have, where the above baseline DLQI was not recorded in the patient's medical records, a current age-appropriate DLQI score (of any value) measured</w:t>
            </w:r>
          </w:p>
        </w:tc>
      </w:tr>
      <w:tr w:rsidR="00E66E86" w:rsidRPr="00446E53" w14:paraId="48DAD78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9B611EF"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E66E86" w:rsidRPr="00446E53" w14:paraId="6D75A18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8298F91"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E66E86" w:rsidRPr="00446E53" w14:paraId="02246B3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51BAF64" w14:textId="77777777" w:rsidR="00E66E86" w:rsidRPr="00446E53" w:rsidRDefault="00E66E86" w:rsidP="007157C0">
            <w:pPr>
              <w:rPr>
                <w:rFonts w:ascii="Arial Narrow" w:hAnsi="Arial Narrow"/>
                <w:b/>
                <w:bCs/>
                <w:color w:val="333333"/>
                <w:sz w:val="20"/>
                <w:szCs w:val="20"/>
              </w:rPr>
            </w:pPr>
            <w:r w:rsidRPr="00B60F96">
              <w:rPr>
                <w:rFonts w:ascii="Arial Narrow" w:hAnsi="Arial Narrow"/>
                <w:sz w:val="20"/>
                <w:szCs w:val="20"/>
              </w:rPr>
              <w:t>The condition must have had lesions for at least 6 months from the time of the initial diagnosis of chronic severe atopic dermatitis affecting either of: (i) the whole body, (ii) face/ha</w:t>
            </w:r>
            <w:r w:rsidRPr="00B862AD">
              <w:rPr>
                <w:rFonts w:ascii="Arial Narrow" w:hAnsi="Arial Narrow"/>
                <w:sz w:val="20"/>
                <w:szCs w:val="20"/>
              </w:rPr>
              <w:t>nds, prior to commencing non-PBS-subsidised therapy with this biological medicine</w:t>
            </w:r>
          </w:p>
        </w:tc>
      </w:tr>
      <w:tr w:rsidR="00E66E86" w:rsidRPr="00446E53" w14:paraId="5E8A6DE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59209AF"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E66E86" w:rsidRPr="00446E53" w14:paraId="4DDFAFDD"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DC0F0B8"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E66E86" w:rsidRPr="00446E53" w14:paraId="328136ED"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290EA94A" w14:textId="77777777" w:rsidR="00E66E86" w:rsidRPr="00446E53" w:rsidRDefault="00E66E86" w:rsidP="007157C0">
            <w:pPr>
              <w:rPr>
                <w:rFonts w:ascii="Arial Narrow" w:hAnsi="Arial Narrow"/>
                <w:b/>
                <w:bCs/>
                <w:color w:val="333333"/>
                <w:sz w:val="20"/>
                <w:szCs w:val="20"/>
              </w:rPr>
            </w:pPr>
            <w:r w:rsidRPr="00B862AD">
              <w:rPr>
                <w:rFonts w:ascii="Arial Narrow" w:hAnsi="Arial Narrow"/>
                <w:sz w:val="20"/>
                <w:szCs w:val="20"/>
              </w:rPr>
              <w:t xml:space="preserve">Patient must </w:t>
            </w:r>
            <w:r w:rsidRPr="00A27F05">
              <w:rPr>
                <w:rFonts w:ascii="Arial Narrow" w:hAnsi="Arial Narrow"/>
                <w:strike/>
                <w:sz w:val="20"/>
                <w:szCs w:val="20"/>
              </w:rPr>
              <w:t>not be experiencing</w:t>
            </w:r>
            <w:r w:rsidRPr="00B862AD">
              <w:rPr>
                <w:rFonts w:ascii="Arial Narrow" w:hAnsi="Arial Narrow"/>
                <w:sz w:val="20"/>
                <w:szCs w:val="20"/>
              </w:rPr>
              <w:t xml:space="preserve"> </w:t>
            </w:r>
            <w:r>
              <w:rPr>
                <w:rFonts w:ascii="Arial Narrow" w:hAnsi="Arial Narrow"/>
                <w:i/>
                <w:iCs/>
                <w:sz w:val="20"/>
                <w:szCs w:val="20"/>
              </w:rPr>
              <w:t xml:space="preserve">have achieved </w:t>
            </w:r>
            <w:r w:rsidRPr="00B862AD">
              <w:rPr>
                <w:rFonts w:ascii="Arial Narrow" w:hAnsi="Arial Narrow"/>
                <w:sz w:val="20"/>
                <w:szCs w:val="20"/>
              </w:rPr>
              <w:t xml:space="preserve">an </w:t>
            </w:r>
            <w:r w:rsidRPr="00A27F05">
              <w:rPr>
                <w:rFonts w:ascii="Arial Narrow" w:hAnsi="Arial Narrow"/>
                <w:strike/>
                <w:sz w:val="20"/>
                <w:szCs w:val="20"/>
              </w:rPr>
              <w:t>in</w:t>
            </w:r>
            <w:r w:rsidRPr="00B862AD">
              <w:rPr>
                <w:rFonts w:ascii="Arial Narrow" w:hAnsi="Arial Narrow"/>
                <w:sz w:val="20"/>
                <w:szCs w:val="20"/>
              </w:rPr>
              <w:t>adequate response to current non-PBS-subsidised therapy with this biological medicine</w:t>
            </w:r>
            <w:r>
              <w:rPr>
                <w:rFonts w:ascii="Arial Narrow" w:hAnsi="Arial Narrow"/>
                <w:sz w:val="20"/>
                <w:szCs w:val="20"/>
              </w:rPr>
              <w:t xml:space="preserve">, if they have received </w:t>
            </w:r>
            <w:r w:rsidRPr="00903B6E">
              <w:rPr>
                <w:rFonts w:ascii="Arial Narrow" w:hAnsi="Arial Narrow"/>
                <w:sz w:val="20"/>
                <w:szCs w:val="20"/>
              </w:rPr>
              <w:t>at least</w:t>
            </w:r>
            <w:r w:rsidRPr="001E2351">
              <w:rPr>
                <w:rFonts w:ascii="Arial Narrow" w:hAnsi="Arial Narrow"/>
                <w:strike/>
                <w:sz w:val="20"/>
                <w:szCs w:val="20"/>
              </w:rPr>
              <w:t xml:space="preserve"> 24 weeks of therapy</w:t>
            </w:r>
            <w:r w:rsidRPr="00903B6E">
              <w:rPr>
                <w:rFonts w:ascii="Arial Narrow" w:hAnsi="Arial Narrow"/>
                <w:strike/>
                <w:sz w:val="20"/>
                <w:szCs w:val="20"/>
              </w:rPr>
              <w:t xml:space="preserve"> </w:t>
            </w:r>
            <w:r w:rsidRPr="00903B6E">
              <w:rPr>
                <w:rFonts w:ascii="Arial Narrow" w:hAnsi="Arial Narrow"/>
                <w:i/>
                <w:iCs/>
                <w:sz w:val="20"/>
                <w:szCs w:val="20"/>
              </w:rPr>
              <w:t xml:space="preserve">16 weeks </w:t>
            </w:r>
            <w:r>
              <w:rPr>
                <w:rFonts w:ascii="Arial Narrow" w:hAnsi="Arial Narrow"/>
                <w:i/>
                <w:iCs/>
                <w:sz w:val="20"/>
                <w:szCs w:val="20"/>
              </w:rPr>
              <w:t>of therapy (</w:t>
            </w:r>
            <w:r w:rsidRPr="00903B6E">
              <w:rPr>
                <w:rFonts w:ascii="Arial Narrow" w:hAnsi="Arial Narrow"/>
                <w:i/>
                <w:iCs/>
                <w:sz w:val="20"/>
                <w:szCs w:val="20"/>
              </w:rPr>
              <w:t xml:space="preserve">or 24 weeks of therapy </w:t>
            </w:r>
            <w:r>
              <w:rPr>
                <w:rFonts w:ascii="Arial Narrow" w:hAnsi="Arial Narrow"/>
                <w:i/>
                <w:iCs/>
                <w:sz w:val="20"/>
                <w:szCs w:val="20"/>
              </w:rPr>
              <w:t>in the case of</w:t>
            </w:r>
            <w:r w:rsidRPr="00903B6E">
              <w:rPr>
                <w:rFonts w:ascii="Arial Narrow" w:hAnsi="Arial Narrow"/>
                <w:i/>
                <w:iCs/>
                <w:sz w:val="20"/>
                <w:szCs w:val="20"/>
              </w:rPr>
              <w:t xml:space="preserve"> slow responder</w:t>
            </w:r>
            <w:r>
              <w:rPr>
                <w:rFonts w:ascii="Arial Narrow" w:hAnsi="Arial Narrow"/>
                <w:i/>
                <w:iCs/>
                <w:sz w:val="20"/>
                <w:szCs w:val="20"/>
              </w:rPr>
              <w:t>s)</w:t>
            </w:r>
            <w:r w:rsidRPr="00903B6E">
              <w:rPr>
                <w:rFonts w:ascii="Arial Narrow" w:hAnsi="Arial Narrow"/>
                <w:i/>
                <w:iCs/>
                <w:sz w:val="20"/>
                <w:szCs w:val="20"/>
              </w:rPr>
              <w:t>.</w:t>
            </w:r>
          </w:p>
        </w:tc>
      </w:tr>
      <w:tr w:rsidR="00E66E86" w:rsidRPr="00446E53" w14:paraId="65A2ACE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0A56F12" w14:textId="77777777" w:rsidR="00E66E86" w:rsidRPr="00446E53" w:rsidRDefault="00E66E86" w:rsidP="007157C0">
            <w:pPr>
              <w:rPr>
                <w:rFonts w:ascii="Arial Narrow" w:hAnsi="Arial Narrow"/>
                <w:b/>
                <w:bCs/>
                <w:color w:val="333333"/>
                <w:sz w:val="20"/>
                <w:szCs w:val="20"/>
              </w:rPr>
            </w:pPr>
            <w:r w:rsidRPr="00446E53">
              <w:rPr>
                <w:rFonts w:ascii="Arial Narrow" w:hAnsi="Arial Narrow" w:cs="Arial Narrow"/>
                <w:b/>
                <w:bCs/>
                <w:iCs/>
                <w:sz w:val="20"/>
                <w:szCs w:val="20"/>
              </w:rPr>
              <w:t>AND</w:t>
            </w:r>
          </w:p>
        </w:tc>
      </w:tr>
      <w:tr w:rsidR="00E66E86" w:rsidRPr="00446E53" w14:paraId="0C9F040C"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1A9CCE32" w14:textId="77777777" w:rsidR="00E66E86" w:rsidRPr="00446E53" w:rsidRDefault="00E66E86" w:rsidP="007157C0">
            <w:pPr>
              <w:rPr>
                <w:rFonts w:ascii="Arial Narrow" w:hAnsi="Arial Narrow"/>
                <w:b/>
                <w:bCs/>
                <w:color w:val="333333"/>
                <w:sz w:val="20"/>
                <w:szCs w:val="20"/>
              </w:rPr>
            </w:pPr>
            <w:r w:rsidRPr="00ED50DE">
              <w:rPr>
                <w:rFonts w:ascii="Arial Narrow" w:eastAsia="Calibri" w:hAnsi="Arial Narrow"/>
                <w:b/>
                <w:bCs/>
                <w:sz w:val="20"/>
                <w:szCs w:val="20"/>
              </w:rPr>
              <w:t xml:space="preserve">Clinical </w:t>
            </w:r>
            <w:r>
              <w:rPr>
                <w:rFonts w:ascii="Arial Narrow" w:eastAsia="Calibri" w:hAnsi="Arial Narrow"/>
                <w:b/>
                <w:bCs/>
                <w:sz w:val="20"/>
                <w:szCs w:val="20"/>
              </w:rPr>
              <w:t xml:space="preserve">criteria: </w:t>
            </w:r>
          </w:p>
        </w:tc>
      </w:tr>
      <w:tr w:rsidR="00E66E86" w:rsidRPr="00446E53" w14:paraId="311D781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617DC5E3" w14:textId="77777777" w:rsidR="00E66E86" w:rsidRPr="00446E53" w:rsidRDefault="00E66E86" w:rsidP="007157C0">
            <w:pPr>
              <w:rPr>
                <w:rFonts w:ascii="Arial Narrow" w:hAnsi="Arial Narrow"/>
                <w:b/>
                <w:bCs/>
                <w:color w:val="333333"/>
                <w:sz w:val="20"/>
                <w:szCs w:val="20"/>
              </w:rPr>
            </w:pPr>
            <w:r w:rsidRPr="00A14516">
              <w:rPr>
                <w:rFonts w:ascii="Arial Narrow" w:eastAsia="Calibri" w:hAnsi="Arial Narrow"/>
                <w:sz w:val="20"/>
                <w:szCs w:val="20"/>
              </w:rPr>
              <w:t>The treatment must be the sole PBS-subsidised biological medicine for this PBS indication</w:t>
            </w:r>
          </w:p>
        </w:tc>
      </w:tr>
      <w:tr w:rsidR="00E66E86" w:rsidRPr="00A14516" w14:paraId="31DFFFD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187DEC54" w14:textId="77777777" w:rsidR="00E66E86" w:rsidRPr="00A14516" w:rsidRDefault="00E66E86" w:rsidP="007157C0">
            <w:pPr>
              <w:rPr>
                <w:rFonts w:ascii="Arial Narrow" w:eastAsia="Calibri" w:hAnsi="Arial Narrow"/>
                <w:sz w:val="20"/>
                <w:szCs w:val="20"/>
              </w:rPr>
            </w:pPr>
            <w:r>
              <w:rPr>
                <w:rFonts w:ascii="Arial Narrow" w:eastAsia="Calibri" w:hAnsi="Arial Narrow"/>
                <w:b/>
                <w:bCs/>
                <w:sz w:val="20"/>
                <w:szCs w:val="20"/>
              </w:rPr>
              <w:t xml:space="preserve">Treatment criteria: </w:t>
            </w:r>
          </w:p>
        </w:tc>
      </w:tr>
      <w:tr w:rsidR="00E66E86" w:rsidRPr="00A14516" w14:paraId="1E24190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7F19DC44" w14:textId="77777777" w:rsidR="00E66E86" w:rsidRPr="00A14516" w:rsidRDefault="00E66E86" w:rsidP="007157C0">
            <w:pPr>
              <w:rPr>
                <w:rFonts w:ascii="Arial Narrow" w:eastAsia="Calibri" w:hAnsi="Arial Narrow"/>
                <w:sz w:val="20"/>
                <w:szCs w:val="20"/>
              </w:rPr>
            </w:pPr>
            <w:r w:rsidRPr="00176579">
              <w:rPr>
                <w:rFonts w:ascii="Arial Narrow" w:eastAsia="Calibri" w:hAnsi="Arial Narrow"/>
                <w:sz w:val="20"/>
                <w:szCs w:val="20"/>
              </w:rPr>
              <w:t>Must be treated by a dermatologist; or</w:t>
            </w:r>
          </w:p>
        </w:tc>
      </w:tr>
      <w:tr w:rsidR="00E66E86" w:rsidRPr="00A14516" w14:paraId="19752B7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5C53E496" w14:textId="77777777" w:rsidR="00E66E86" w:rsidRPr="00A14516" w:rsidRDefault="00E66E86" w:rsidP="007157C0">
            <w:pPr>
              <w:rPr>
                <w:rFonts w:ascii="Arial Narrow" w:eastAsia="Calibri" w:hAnsi="Arial Narrow"/>
                <w:sz w:val="20"/>
                <w:szCs w:val="20"/>
              </w:rPr>
            </w:pPr>
            <w:r w:rsidRPr="00176579">
              <w:rPr>
                <w:rFonts w:ascii="Arial Narrow" w:eastAsia="Calibri" w:hAnsi="Arial Narrow"/>
                <w:sz w:val="20"/>
                <w:szCs w:val="20"/>
              </w:rPr>
              <w:t>Must be treated by a clinical immunologist</w:t>
            </w:r>
          </w:p>
        </w:tc>
      </w:tr>
      <w:tr w:rsidR="00E66E86" w:rsidRPr="00A14516" w14:paraId="218D95C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9905806" w14:textId="77777777" w:rsidR="00E66E86" w:rsidRPr="00A14516" w:rsidRDefault="00E66E86" w:rsidP="007157C0">
            <w:pPr>
              <w:rPr>
                <w:rFonts w:ascii="Arial Narrow" w:eastAsia="Calibri" w:hAnsi="Arial Narrow"/>
                <w:sz w:val="20"/>
                <w:szCs w:val="20"/>
              </w:rPr>
            </w:pPr>
            <w:r w:rsidRPr="00446E53">
              <w:rPr>
                <w:rFonts w:ascii="Arial Narrow" w:hAnsi="Arial Narrow"/>
                <w:b/>
                <w:bCs/>
                <w:color w:val="333333"/>
                <w:sz w:val="20"/>
                <w:szCs w:val="20"/>
              </w:rPr>
              <w:t>Population criteria:</w:t>
            </w:r>
          </w:p>
        </w:tc>
      </w:tr>
      <w:tr w:rsidR="00E66E86" w:rsidRPr="00C05175" w14:paraId="3A998F0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7FDB1C4" w14:textId="77777777" w:rsidR="00E66E86" w:rsidRPr="00C05175" w:rsidRDefault="00E66E86" w:rsidP="007157C0">
            <w:pPr>
              <w:rPr>
                <w:rFonts w:ascii="Arial Narrow" w:eastAsia="Calibri" w:hAnsi="Arial Narrow"/>
                <w:sz w:val="20"/>
                <w:szCs w:val="20"/>
              </w:rPr>
            </w:pPr>
            <w:r w:rsidRPr="00C05175">
              <w:rPr>
                <w:rFonts w:ascii="Arial Narrow" w:eastAsia="Calibri" w:hAnsi="Arial Narrow"/>
                <w:sz w:val="20"/>
                <w:szCs w:val="20"/>
              </w:rPr>
              <w:t>Patient must be 12 years of age or older</w:t>
            </w:r>
          </w:p>
        </w:tc>
      </w:tr>
      <w:tr w:rsidR="00E66E86" w:rsidRPr="00AA6EA8" w14:paraId="32567E0A"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A8B8D65" w14:textId="77777777" w:rsidR="00E66E86" w:rsidRPr="00ED50DE" w:rsidRDefault="00E66E86" w:rsidP="007157C0">
            <w:pPr>
              <w:rPr>
                <w:rFonts w:ascii="Arial Narrow" w:eastAsia="Calibri" w:hAnsi="Arial Narrow"/>
                <w:sz w:val="20"/>
                <w:szCs w:val="20"/>
              </w:rPr>
            </w:pPr>
            <w:r w:rsidRPr="00ED50DE">
              <w:rPr>
                <w:rFonts w:ascii="Arial Narrow" w:eastAsia="Calibri" w:hAnsi="Arial Narrow"/>
                <w:b/>
                <w:bCs/>
                <w:sz w:val="20"/>
                <w:szCs w:val="20"/>
              </w:rPr>
              <w:t>Prescribing Instructions:</w:t>
            </w:r>
          </w:p>
          <w:p w14:paraId="76BC0A25" w14:textId="77777777" w:rsidR="00E66E86" w:rsidRPr="00ED50DE" w:rsidRDefault="00E66E86" w:rsidP="007157C0">
            <w:pPr>
              <w:rPr>
                <w:rFonts w:ascii="Arial Narrow" w:eastAsia="Calibri" w:hAnsi="Arial Narrow"/>
                <w:sz w:val="20"/>
                <w:szCs w:val="20"/>
              </w:rPr>
            </w:pPr>
            <w:r w:rsidRPr="00ED50DE">
              <w:rPr>
                <w:rFonts w:ascii="Arial Narrow" w:eastAsia="Calibri" w:hAnsi="Arial Narrow"/>
                <w:sz w:val="20"/>
                <w:szCs w:val="20"/>
              </w:rPr>
              <w:t>State each of the qualifying PGA, EASI and DLQI scores in the authority application. The name/s of the medium to high potency topical corticosteroids trialled prior to commencing treatment with this biological medicine must be documented in the patient's medical records.</w:t>
            </w:r>
          </w:p>
          <w:p w14:paraId="26DE1EF6" w14:textId="77777777" w:rsidR="00E66E86" w:rsidRPr="00ED50DE" w:rsidRDefault="00E66E86" w:rsidP="007157C0">
            <w:pPr>
              <w:rPr>
                <w:rFonts w:ascii="Arial Narrow" w:eastAsia="Calibri" w:hAnsi="Arial Narrow"/>
                <w:strike/>
                <w:sz w:val="20"/>
                <w:szCs w:val="20"/>
              </w:rPr>
            </w:pPr>
            <w:r w:rsidRPr="00ED50DE">
              <w:rPr>
                <w:rFonts w:ascii="Arial Narrow" w:eastAsia="Calibri" w:hAnsi="Arial Narrow"/>
                <w:sz w:val="20"/>
                <w:szCs w:val="20"/>
              </w:rPr>
              <w:t>The EASI and DLQI baseline measurements are to form the basis of determining if an adequate response to treatment has been achieved under the Continuing treatment restriction.</w:t>
            </w:r>
            <w:r>
              <w:rPr>
                <w:rFonts w:ascii="Arial Narrow" w:eastAsia="Calibri" w:hAnsi="Arial Narrow"/>
                <w:sz w:val="20"/>
                <w:szCs w:val="20"/>
              </w:rPr>
              <w:t xml:space="preserve"> </w:t>
            </w:r>
            <w:r w:rsidRPr="00C81532">
              <w:rPr>
                <w:rFonts w:ascii="Arial Narrow" w:eastAsia="Calibri" w:hAnsi="Arial Narrow"/>
                <w:sz w:val="20"/>
                <w:szCs w:val="20"/>
              </w:rPr>
              <w:t>In addition to stating them in this authority application, document them in the patient’s medical records.</w:t>
            </w:r>
          </w:p>
        </w:tc>
      </w:tr>
      <w:tr w:rsidR="00E66E86" w:rsidRPr="00AA6EA8" w14:paraId="5CD4322A"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F0509F8" w14:textId="77777777" w:rsidR="00E66E86" w:rsidRPr="00C81532" w:rsidRDefault="00E66E86" w:rsidP="007157C0">
            <w:pPr>
              <w:rPr>
                <w:rFonts w:ascii="Arial Narrow" w:eastAsia="Calibri" w:hAnsi="Arial Narrow"/>
                <w:sz w:val="20"/>
                <w:szCs w:val="20"/>
              </w:rPr>
            </w:pPr>
            <w:r w:rsidRPr="00C81532">
              <w:rPr>
                <w:rFonts w:ascii="Arial Narrow" w:hAnsi="Arial Narrow"/>
                <w:b/>
                <w:bCs/>
                <w:color w:val="333333"/>
                <w:sz w:val="20"/>
                <w:szCs w:val="20"/>
              </w:rPr>
              <w:t>Prescribing Instructions:</w:t>
            </w:r>
          </w:p>
          <w:p w14:paraId="2F5C6149" w14:textId="77777777" w:rsidR="00E66E86" w:rsidRDefault="00E66E86" w:rsidP="007157C0">
            <w:pPr>
              <w:rPr>
                <w:rFonts w:ascii="Arial Narrow" w:hAnsi="Arial Narrow"/>
                <w:strike/>
                <w:sz w:val="20"/>
                <w:szCs w:val="20"/>
              </w:rPr>
            </w:pPr>
            <w:r w:rsidRPr="00C81532">
              <w:rPr>
                <w:rFonts w:ascii="Arial Narrow" w:hAnsi="Arial Narrow"/>
                <w:sz w:val="20"/>
                <w:szCs w:val="20"/>
              </w:rPr>
              <w:t xml:space="preserve">A patient may qualify for PBS-subsidised treatment under this restriction once only. For continuing PBS-subsidised treatment, a Grandfathered patient must qualify under </w:t>
            </w:r>
            <w:r w:rsidRPr="004F0420">
              <w:rPr>
                <w:rFonts w:ascii="Arial Narrow" w:hAnsi="Arial Narrow"/>
                <w:strike/>
                <w:sz w:val="20"/>
                <w:szCs w:val="20"/>
              </w:rPr>
              <w:t>the Continuing treatment criteria</w:t>
            </w:r>
            <w:r w:rsidRPr="004F0420">
              <w:rPr>
                <w:rFonts w:ascii="Arial Narrow" w:hAnsi="Arial Narrow"/>
                <w:sz w:val="20"/>
                <w:szCs w:val="20"/>
              </w:rPr>
              <w:t xml:space="preserve"> </w:t>
            </w:r>
            <w:r>
              <w:rPr>
                <w:rFonts w:ascii="Arial Narrow" w:hAnsi="Arial Narrow"/>
                <w:sz w:val="20"/>
                <w:szCs w:val="20"/>
              </w:rPr>
              <w:t>o</w:t>
            </w:r>
            <w:r w:rsidRPr="004F0420">
              <w:rPr>
                <w:rFonts w:ascii="Arial Narrow" w:hAnsi="Arial Narrow"/>
                <w:sz w:val="20"/>
                <w:szCs w:val="20"/>
              </w:rPr>
              <w:t>ne of the following:</w:t>
            </w:r>
            <w:r>
              <w:rPr>
                <w:rFonts w:ascii="Arial Narrow" w:hAnsi="Arial Narrow"/>
                <w:strike/>
                <w:sz w:val="20"/>
                <w:szCs w:val="20"/>
              </w:rPr>
              <w:t xml:space="preserve"> </w:t>
            </w:r>
          </w:p>
          <w:p w14:paraId="060D0078" w14:textId="77777777" w:rsidR="00E66E86" w:rsidRDefault="00E66E86" w:rsidP="005C4F91">
            <w:pPr>
              <w:pStyle w:val="ListParagraph"/>
              <w:numPr>
                <w:ilvl w:val="0"/>
                <w:numId w:val="11"/>
              </w:numPr>
              <w:spacing w:after="0"/>
              <w:contextualSpacing/>
              <w:jc w:val="both"/>
              <w:rPr>
                <w:rFonts w:ascii="Arial Narrow" w:hAnsi="Arial Narrow"/>
                <w:i/>
                <w:iCs/>
                <w:sz w:val="20"/>
                <w:szCs w:val="20"/>
              </w:rPr>
            </w:pPr>
            <w:r w:rsidRPr="00E8739B">
              <w:rPr>
                <w:rFonts w:ascii="Arial Narrow" w:hAnsi="Arial Narrow"/>
                <w:i/>
                <w:iCs/>
                <w:sz w:val="20"/>
                <w:szCs w:val="20"/>
              </w:rPr>
              <w:t xml:space="preserve">Continuing treatment, where there has been an adequate response to treatment </w:t>
            </w:r>
          </w:p>
          <w:p w14:paraId="3BD7B1FE" w14:textId="77777777" w:rsidR="00E66E86" w:rsidRPr="004F0420" w:rsidRDefault="00E66E86" w:rsidP="005C4F91">
            <w:pPr>
              <w:pStyle w:val="ListParagraph"/>
              <w:numPr>
                <w:ilvl w:val="0"/>
                <w:numId w:val="11"/>
              </w:numPr>
              <w:spacing w:after="0"/>
              <w:contextualSpacing/>
              <w:jc w:val="both"/>
              <w:rPr>
                <w:rFonts w:ascii="Arial Narrow" w:hAnsi="Arial Narrow"/>
                <w:i/>
                <w:iCs/>
                <w:sz w:val="20"/>
                <w:szCs w:val="20"/>
              </w:rPr>
            </w:pPr>
            <w:r w:rsidRPr="004F0420">
              <w:rPr>
                <w:rFonts w:ascii="Arial Narrow" w:eastAsia="Calibri" w:hAnsi="Arial Narrow"/>
                <w:i/>
                <w:iCs/>
                <w:sz w:val="20"/>
                <w:szCs w:val="20"/>
              </w:rPr>
              <w:t>E</w:t>
            </w:r>
            <w:r w:rsidRPr="004F0420">
              <w:rPr>
                <w:rFonts w:ascii="Arial Narrow" w:eastAsia="Calibri" w:hAnsi="Arial Narrow"/>
                <w:i/>
                <w:sz w:val="20"/>
                <w:szCs w:val="20"/>
              </w:rPr>
              <w:t>xtended induction treatment (up to a further 8 weeks of therapy</w:t>
            </w:r>
            <w:r w:rsidRPr="004F0420">
              <w:rPr>
                <w:rFonts w:ascii="Arial Narrow" w:eastAsia="Calibri" w:hAnsi="Arial Narrow"/>
                <w:i/>
                <w:iCs/>
                <w:sz w:val="20"/>
                <w:szCs w:val="20"/>
              </w:rPr>
              <w:t>),</w:t>
            </w:r>
            <w:r w:rsidRPr="004F0420">
              <w:rPr>
                <w:rFonts w:ascii="Arial Narrow" w:eastAsia="Calibri" w:hAnsi="Arial Narrow"/>
                <w:i/>
                <w:sz w:val="20"/>
                <w:szCs w:val="20"/>
              </w:rPr>
              <w:t xml:space="preserve"> where the patient has received 16 weeks of therapy, achieved a partial response and the prescriber considers that extended induction doses could result in achieving adequate response</w:t>
            </w:r>
            <w:r w:rsidRPr="004F0420">
              <w:rPr>
                <w:rFonts w:ascii="Arial Narrow" w:eastAsia="Calibri" w:hAnsi="Arial Narrow"/>
                <w:i/>
                <w:iCs/>
                <w:sz w:val="20"/>
                <w:szCs w:val="20"/>
              </w:rPr>
              <w:t>.</w:t>
            </w:r>
          </w:p>
        </w:tc>
      </w:tr>
      <w:tr w:rsidR="00E66E86" w:rsidRPr="00AA6EA8" w14:paraId="406A7205"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69FEEDD" w14:textId="77777777" w:rsidR="00E66E86" w:rsidRPr="00C81532" w:rsidRDefault="00E66E86" w:rsidP="007157C0">
            <w:pPr>
              <w:rPr>
                <w:rFonts w:ascii="Arial Narrow" w:eastAsia="Calibri" w:hAnsi="Arial Narrow"/>
                <w:sz w:val="20"/>
                <w:szCs w:val="20"/>
              </w:rPr>
            </w:pPr>
            <w:r w:rsidRPr="00C81532">
              <w:rPr>
                <w:rFonts w:ascii="Arial Narrow" w:hAnsi="Arial Narrow"/>
                <w:b/>
                <w:bCs/>
                <w:color w:val="333333"/>
                <w:sz w:val="20"/>
                <w:szCs w:val="20"/>
              </w:rPr>
              <w:t>Prescribing Instructions:</w:t>
            </w:r>
          </w:p>
          <w:p w14:paraId="609B49C8" w14:textId="77777777" w:rsidR="00E66E86" w:rsidRPr="00C81532" w:rsidRDefault="00E66E86" w:rsidP="007157C0">
            <w:pPr>
              <w:rPr>
                <w:rFonts w:ascii="Arial Narrow" w:eastAsia="Calibri" w:hAnsi="Arial Narrow"/>
                <w:strike/>
                <w:sz w:val="20"/>
                <w:szCs w:val="20"/>
              </w:rPr>
            </w:pPr>
            <w:r w:rsidRPr="00C81532">
              <w:rPr>
                <w:rFonts w:ascii="Arial Narrow" w:eastAsia="Calibri" w:hAnsi="Arial Narrow"/>
                <w:sz w:val="20"/>
                <w:szCs w:val="20"/>
              </w:rPr>
              <w:t>This grandfather restriction will cease to operate from 12 months after the date specified in the clinical criteria.</w:t>
            </w:r>
          </w:p>
        </w:tc>
      </w:tr>
      <w:tr w:rsidR="00E66E86" w:rsidRPr="00446E53" w14:paraId="38F97A54"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shd w:val="clear" w:color="auto" w:fill="D9D9D9" w:themeFill="background1" w:themeFillShade="D9"/>
            <w:vAlign w:val="center"/>
          </w:tcPr>
          <w:p w14:paraId="6CCABE75"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7</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7A</w:t>
            </w:r>
            <w:r w:rsidRPr="00446E53">
              <w:rPr>
                <w:rFonts w:ascii="Arial Narrow" w:hAnsi="Arial Narrow"/>
                <w:b/>
                <w:bCs/>
                <w:color w:val="333333"/>
                <w:sz w:val="20"/>
                <w:szCs w:val="20"/>
              </w:rPr>
              <w:t>]</w:t>
            </w:r>
          </w:p>
        </w:tc>
      </w:tr>
      <w:tr w:rsidR="00E66E86" w:rsidRPr="00446E53" w14:paraId="72EA9FDF"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75E9799" w14:textId="77777777" w:rsidR="00E66E86" w:rsidRPr="00446E53" w:rsidRDefault="00E66E86" w:rsidP="007157C0">
            <w:pPr>
              <w:rPr>
                <w:rFonts w:ascii="Arial Narrow" w:hAnsi="Arial Narrow"/>
                <w:b/>
                <w:bCs/>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E66E86" w:rsidRPr="00446E53" w14:paraId="628820D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F31BF63" w14:textId="77777777" w:rsidR="00E66E86" w:rsidRPr="00446E53" w:rsidRDefault="00E66E86" w:rsidP="007157C0">
            <w:pPr>
              <w:rPr>
                <w:rFonts w:ascii="Arial Narrow" w:hAnsi="Arial Narrow"/>
                <w:b/>
                <w:bCs/>
                <w:color w:val="333333"/>
                <w:sz w:val="20"/>
                <w:szCs w:val="20"/>
              </w:rPr>
            </w:pPr>
            <w:r w:rsidRPr="009122C5">
              <w:rPr>
                <w:rFonts w:ascii="Arial Narrow" w:hAnsi="Arial Narrow"/>
                <w:b/>
                <w:bCs/>
                <w:sz w:val="20"/>
                <w:szCs w:val="20"/>
              </w:rPr>
              <w:t>Treatment Phase:</w:t>
            </w:r>
            <w:r w:rsidRPr="009122C5">
              <w:rPr>
                <w:rFonts w:ascii="Arial Narrow" w:hAnsi="Arial Narrow"/>
                <w:sz w:val="20"/>
                <w:szCs w:val="20"/>
              </w:rPr>
              <w:t xml:space="preserve"> Transitioning from non-PBS to PBS-subsidised </w:t>
            </w:r>
            <w:r w:rsidRPr="009122C5">
              <w:rPr>
                <w:rFonts w:ascii="Arial Narrow" w:hAnsi="Arial Narrow"/>
                <w:i/>
                <w:iCs/>
                <w:sz w:val="20"/>
                <w:szCs w:val="20"/>
              </w:rPr>
              <w:t xml:space="preserve">treatment </w:t>
            </w:r>
            <w:r w:rsidRPr="009122C5">
              <w:rPr>
                <w:rFonts w:ascii="Arial Narrow" w:hAnsi="Arial Narrow"/>
                <w:sz w:val="20"/>
                <w:szCs w:val="20"/>
              </w:rPr>
              <w:t>– ‘Grandfather’</w:t>
            </w:r>
            <w:r w:rsidRPr="009122C5">
              <w:rPr>
                <w:rFonts w:ascii="Arial Narrow" w:hAnsi="Arial Narrow"/>
                <w:i/>
                <w:iCs/>
                <w:sz w:val="20"/>
                <w:szCs w:val="20"/>
              </w:rPr>
              <w:t xml:space="preserve"> </w:t>
            </w:r>
            <w:r w:rsidRPr="009122C5">
              <w:rPr>
                <w:rFonts w:ascii="Arial Narrow" w:hAnsi="Arial Narrow"/>
                <w:sz w:val="20"/>
                <w:szCs w:val="20"/>
              </w:rPr>
              <w:t>arrangements</w:t>
            </w:r>
            <w:r w:rsidRPr="009122C5">
              <w:rPr>
                <w:rFonts w:ascii="Arial Narrow" w:hAnsi="Arial Narrow"/>
                <w:i/>
                <w:iCs/>
                <w:sz w:val="20"/>
                <w:szCs w:val="20"/>
              </w:rPr>
              <w:t xml:space="preserve"> (face and/or hands)</w:t>
            </w:r>
            <w:r w:rsidRPr="009122C5">
              <w:rPr>
                <w:rFonts w:ascii="Arial Narrow" w:hAnsi="Arial Narrow"/>
                <w:sz w:val="20"/>
                <w:szCs w:val="20"/>
              </w:rPr>
              <w:t xml:space="preserve"> </w:t>
            </w:r>
            <w:r w:rsidRPr="009122C5">
              <w:rPr>
                <w:rFonts w:ascii="Arial Narrow" w:hAnsi="Arial Narrow"/>
                <w:strike/>
                <w:sz w:val="20"/>
                <w:szCs w:val="20"/>
              </w:rPr>
              <w:t>supply – (treatment of the face and/or hands)</w:t>
            </w:r>
          </w:p>
        </w:tc>
      </w:tr>
      <w:tr w:rsidR="00E66E86" w:rsidRPr="00446E53" w14:paraId="7E9BF35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3B47FE9" w14:textId="77777777" w:rsidR="00E66E86" w:rsidRPr="002229D5" w:rsidRDefault="00E66E86" w:rsidP="007157C0">
            <w:pPr>
              <w:rPr>
                <w:rFonts w:ascii="Arial Narrow" w:hAnsi="Arial Narrow"/>
                <w:b/>
                <w:bCs/>
                <w:color w:val="333333"/>
                <w:sz w:val="20"/>
                <w:szCs w:val="20"/>
              </w:rPr>
            </w:pPr>
            <w:r w:rsidRPr="002229D5">
              <w:rPr>
                <w:rFonts w:ascii="Arial Narrow" w:hAnsi="Arial Narrow"/>
                <w:b/>
                <w:bCs/>
                <w:color w:val="333333"/>
                <w:sz w:val="20"/>
                <w:szCs w:val="20"/>
              </w:rPr>
              <w:t xml:space="preserve">Clinical criteria: </w:t>
            </w:r>
          </w:p>
        </w:tc>
      </w:tr>
      <w:tr w:rsidR="00E66E86" w:rsidRPr="00446E53" w14:paraId="405F210F"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091D33F6" w14:textId="77777777" w:rsidR="00E66E86" w:rsidRPr="002229D5" w:rsidRDefault="00E66E86" w:rsidP="007157C0">
            <w:pPr>
              <w:rPr>
                <w:rFonts w:ascii="Arial Narrow" w:hAnsi="Arial Narrow"/>
                <w:b/>
                <w:bCs/>
                <w:color w:val="333333"/>
                <w:sz w:val="20"/>
                <w:szCs w:val="20"/>
              </w:rPr>
            </w:pPr>
            <w:r w:rsidRPr="002229D5">
              <w:rPr>
                <w:rFonts w:ascii="Arial Narrow" w:hAnsi="Arial Narrow" w:cs="Segoe UI"/>
                <w:sz w:val="20"/>
                <w:szCs w:val="20"/>
              </w:rPr>
              <w:t>Patient must have been receiving non-PBS-subsidised treatment with this drug for this condition prior to [date of listing]</w:t>
            </w:r>
          </w:p>
        </w:tc>
      </w:tr>
      <w:tr w:rsidR="00E66E86" w:rsidRPr="00446E53" w14:paraId="3F5BFBC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3159E06"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E66E86" w:rsidRPr="00446E53" w14:paraId="5EAC2F56"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0D9CD78"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66E86" w:rsidRPr="00446E53" w14:paraId="4D98779F"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CB16C67" w14:textId="77777777" w:rsidR="00E66E86" w:rsidRPr="00446E53" w:rsidRDefault="00E66E86" w:rsidP="007157C0">
            <w:pPr>
              <w:rPr>
                <w:rFonts w:ascii="Arial Narrow" w:hAnsi="Arial Narrow"/>
                <w:b/>
                <w:bCs/>
                <w:color w:val="333333"/>
                <w:sz w:val="20"/>
                <w:szCs w:val="20"/>
              </w:rPr>
            </w:pPr>
            <w:r w:rsidRPr="00724459">
              <w:rPr>
                <w:rFonts w:ascii="Arial Narrow" w:hAnsi="Arial Narrow"/>
                <w:sz w:val="20"/>
                <w:szCs w:val="20"/>
              </w:rPr>
              <w:lastRenderedPageBreak/>
              <w:t xml:space="preserve">The condition must have had at least 2 of the following Eczema Area and Severity Index (EASI) symptom sub-scores for erythema, oedema/papulation, excoriation, </w:t>
            </w:r>
            <w:proofErr w:type="spellStart"/>
            <w:r w:rsidRPr="00724459">
              <w:rPr>
                <w:rFonts w:ascii="Arial Narrow" w:hAnsi="Arial Narrow"/>
                <w:sz w:val="20"/>
                <w:szCs w:val="20"/>
              </w:rPr>
              <w:t>lichenification</w:t>
            </w:r>
            <w:proofErr w:type="spellEnd"/>
            <w:r w:rsidRPr="00724459">
              <w:rPr>
                <w:rFonts w:ascii="Arial Narrow" w:hAnsi="Arial Narrow"/>
                <w:sz w:val="20"/>
                <w:szCs w:val="20"/>
              </w:rPr>
              <w:t xml:space="preserve"> rated as severe despite treatment with daily topical therapy (corticosteroid of medium to high potency/calcineurin inhibitor), for at least 28 days, prior to commencing non-PBS-subsidised therapy with this biological medicine; or</w:t>
            </w:r>
          </w:p>
        </w:tc>
      </w:tr>
      <w:tr w:rsidR="00E66E86" w:rsidRPr="00446E53" w14:paraId="1768611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D259F98" w14:textId="77777777" w:rsidR="00E66E86" w:rsidRPr="00446E53" w:rsidRDefault="00E66E86" w:rsidP="007157C0">
            <w:pPr>
              <w:rPr>
                <w:rFonts w:ascii="Arial Narrow" w:hAnsi="Arial Narrow"/>
                <w:b/>
                <w:bCs/>
                <w:color w:val="333333"/>
                <w:sz w:val="20"/>
                <w:szCs w:val="20"/>
              </w:rPr>
            </w:pPr>
            <w:r w:rsidRPr="006F61A4">
              <w:rPr>
                <w:rFonts w:ascii="Arial Narrow" w:hAnsi="Arial Narrow"/>
                <w:sz w:val="20"/>
                <w:szCs w:val="20"/>
              </w:rPr>
              <w:t>The condition must have affected at least 30% of the face/hands surface area despite treatment with daily topical therapy (corticosteroid of medium to high potency/calcineurin inhibitor), for at least 28 days, prior to commencing non-PBS-subsidised therapy with this biological medicine</w:t>
            </w:r>
          </w:p>
        </w:tc>
      </w:tr>
      <w:tr w:rsidR="00E66E86" w:rsidRPr="00446E53" w14:paraId="01D35FC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FDAA405"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E66E86" w:rsidRPr="00446E53" w14:paraId="7ADE0E88"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3B326A3"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66E86" w:rsidRPr="00446E53" w14:paraId="2094331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5426E74" w14:textId="77777777" w:rsidR="00E66E86" w:rsidRPr="00446E53" w:rsidRDefault="00E66E86" w:rsidP="007157C0">
            <w:pPr>
              <w:rPr>
                <w:rFonts w:ascii="Arial Narrow" w:hAnsi="Arial Narrow"/>
                <w:b/>
                <w:bCs/>
                <w:color w:val="333333"/>
                <w:sz w:val="20"/>
                <w:szCs w:val="20"/>
              </w:rPr>
            </w:pPr>
            <w:r w:rsidRPr="00E47F3C">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 prior to commencing non-PBS-subsidised therapy with this biological medicine; or</w:t>
            </w:r>
          </w:p>
        </w:tc>
      </w:tr>
      <w:tr w:rsidR="00E66E86" w:rsidRPr="00446E53" w14:paraId="6778008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A7B4E4E" w14:textId="77777777" w:rsidR="00E66E86" w:rsidRPr="00446E53" w:rsidRDefault="00E66E86" w:rsidP="007157C0">
            <w:pPr>
              <w:rPr>
                <w:rFonts w:ascii="Arial Narrow" w:hAnsi="Arial Narrow"/>
                <w:b/>
                <w:bCs/>
                <w:color w:val="333333"/>
                <w:sz w:val="20"/>
                <w:szCs w:val="20"/>
              </w:rPr>
            </w:pPr>
            <w:r w:rsidRPr="00E47F3C">
              <w:rPr>
                <w:rFonts w:ascii="Arial Narrow" w:hAnsi="Arial Narrow"/>
                <w:sz w:val="20"/>
                <w:szCs w:val="20"/>
              </w:rPr>
              <w:t>Patient must have, where the above baseline DLQI was not recorded in the patient's medical records, a current age-appropriate DLQI score (of any value) measured</w:t>
            </w:r>
          </w:p>
        </w:tc>
      </w:tr>
      <w:tr w:rsidR="00E66E86" w:rsidRPr="00446E53" w14:paraId="62CC85F7"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CDD59D8"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E66E86" w:rsidRPr="00446E53" w14:paraId="39E8FEB5"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231C1EA"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66E86" w:rsidRPr="00446E53" w14:paraId="1758B21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2EF7497" w14:textId="77777777" w:rsidR="00E66E86" w:rsidRPr="00446E53" w:rsidRDefault="00E66E86" w:rsidP="007157C0">
            <w:pPr>
              <w:rPr>
                <w:rFonts w:ascii="Arial Narrow" w:hAnsi="Arial Narrow"/>
                <w:b/>
                <w:bCs/>
                <w:color w:val="333333"/>
                <w:sz w:val="20"/>
                <w:szCs w:val="20"/>
              </w:rPr>
            </w:pPr>
            <w:r w:rsidRPr="00766355">
              <w:rPr>
                <w:rFonts w:ascii="Arial Narrow" w:hAnsi="Arial Narrow"/>
                <w:sz w:val="20"/>
                <w:szCs w:val="20"/>
              </w:rPr>
              <w:t>The condition must have had lesions for at least 6 months from the time of the initial diagnosis of chronic severe atopic dermatitis affecting either of: (i) the whole body, (ii) face/</w:t>
            </w:r>
            <w:r w:rsidRPr="008D5966">
              <w:rPr>
                <w:rFonts w:ascii="Arial Narrow" w:hAnsi="Arial Narrow"/>
                <w:sz w:val="20"/>
                <w:szCs w:val="20"/>
              </w:rPr>
              <w:t>hands, prior to commencing non-PBS-subsidised therapy with this biological medicine</w:t>
            </w:r>
          </w:p>
        </w:tc>
      </w:tr>
      <w:tr w:rsidR="00E66E86" w:rsidRPr="00446E53" w14:paraId="01CE8999"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99DB251"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E66E86" w:rsidRPr="00446E53" w14:paraId="44E3A6A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D634890"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66E86" w:rsidRPr="00446E53" w14:paraId="67A78F0B"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00FC3C72" w14:textId="77777777" w:rsidR="00E66E86" w:rsidRPr="00446E53" w:rsidRDefault="00E66E86" w:rsidP="007157C0">
            <w:pPr>
              <w:rPr>
                <w:rFonts w:ascii="Arial Narrow" w:hAnsi="Arial Narrow"/>
                <w:b/>
                <w:bCs/>
                <w:color w:val="333333"/>
                <w:sz w:val="20"/>
                <w:szCs w:val="20"/>
              </w:rPr>
            </w:pPr>
            <w:r w:rsidRPr="00B02B1D">
              <w:rPr>
                <w:rFonts w:ascii="Arial Narrow" w:hAnsi="Arial Narrow"/>
                <w:sz w:val="20"/>
                <w:szCs w:val="20"/>
              </w:rPr>
              <w:t>The treatment must be the sole PBS-subsidised biological medicine for this PBS indication</w:t>
            </w:r>
          </w:p>
        </w:tc>
      </w:tr>
      <w:tr w:rsidR="00E66E86" w:rsidRPr="00446E53" w14:paraId="3128A074"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1FC8FE1"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E66E86" w:rsidRPr="00446E53" w14:paraId="746BFDFE"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543C867"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E66E86" w:rsidRPr="00446E53" w14:paraId="12D7C47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74B3051B" w14:textId="77777777" w:rsidR="00E66E86" w:rsidRPr="00446E53" w:rsidRDefault="00E66E86" w:rsidP="007157C0">
            <w:pPr>
              <w:rPr>
                <w:rFonts w:ascii="Arial Narrow" w:hAnsi="Arial Narrow"/>
                <w:b/>
                <w:bCs/>
                <w:color w:val="333333"/>
                <w:sz w:val="20"/>
                <w:szCs w:val="20"/>
              </w:rPr>
            </w:pPr>
            <w:r w:rsidRPr="001E6462">
              <w:rPr>
                <w:rFonts w:ascii="Arial Narrow" w:hAnsi="Arial Narrow"/>
                <w:sz w:val="20"/>
                <w:szCs w:val="20"/>
              </w:rPr>
              <w:t xml:space="preserve">Patient must </w:t>
            </w:r>
            <w:r w:rsidRPr="00A6399C">
              <w:rPr>
                <w:rFonts w:ascii="Arial Narrow" w:hAnsi="Arial Narrow"/>
                <w:strike/>
                <w:sz w:val="20"/>
                <w:szCs w:val="20"/>
              </w:rPr>
              <w:t>not be experiencing</w:t>
            </w:r>
            <w:r w:rsidRPr="001E6462">
              <w:rPr>
                <w:rFonts w:ascii="Arial Narrow" w:hAnsi="Arial Narrow"/>
                <w:sz w:val="20"/>
                <w:szCs w:val="20"/>
              </w:rPr>
              <w:t xml:space="preserve"> </w:t>
            </w:r>
            <w:r>
              <w:rPr>
                <w:rFonts w:ascii="Arial Narrow" w:hAnsi="Arial Narrow"/>
                <w:i/>
                <w:iCs/>
                <w:sz w:val="20"/>
                <w:szCs w:val="20"/>
              </w:rPr>
              <w:t xml:space="preserve">have achieved </w:t>
            </w:r>
            <w:r w:rsidRPr="001E6462">
              <w:rPr>
                <w:rFonts w:ascii="Arial Narrow" w:hAnsi="Arial Narrow"/>
                <w:sz w:val="20"/>
                <w:szCs w:val="20"/>
              </w:rPr>
              <w:t xml:space="preserve">an </w:t>
            </w:r>
            <w:r w:rsidRPr="00A6399C">
              <w:rPr>
                <w:rFonts w:ascii="Arial Narrow" w:hAnsi="Arial Narrow"/>
                <w:strike/>
                <w:sz w:val="20"/>
                <w:szCs w:val="20"/>
              </w:rPr>
              <w:t>in</w:t>
            </w:r>
            <w:r w:rsidRPr="001E6462">
              <w:rPr>
                <w:rFonts w:ascii="Arial Narrow" w:hAnsi="Arial Narrow"/>
                <w:sz w:val="20"/>
                <w:szCs w:val="20"/>
              </w:rPr>
              <w:t>adequate response to current non-PBS-subsidised therapy with this biological medicine</w:t>
            </w:r>
            <w:r>
              <w:rPr>
                <w:rFonts w:ascii="Arial Narrow" w:hAnsi="Arial Narrow"/>
                <w:sz w:val="20"/>
                <w:szCs w:val="20"/>
              </w:rPr>
              <w:t xml:space="preserve">, if they have received </w:t>
            </w:r>
            <w:r w:rsidRPr="00903B6E">
              <w:rPr>
                <w:rFonts w:ascii="Arial Narrow" w:hAnsi="Arial Narrow"/>
                <w:sz w:val="20"/>
                <w:szCs w:val="20"/>
              </w:rPr>
              <w:t>at least</w:t>
            </w:r>
            <w:r w:rsidRPr="00903B6E">
              <w:rPr>
                <w:rFonts w:ascii="Arial Narrow" w:hAnsi="Arial Narrow"/>
                <w:strike/>
                <w:sz w:val="20"/>
                <w:szCs w:val="20"/>
              </w:rPr>
              <w:t xml:space="preserve"> 24 weeks of therapy </w:t>
            </w:r>
            <w:r w:rsidRPr="00903B6E">
              <w:rPr>
                <w:rFonts w:ascii="Arial Narrow" w:hAnsi="Arial Narrow"/>
                <w:i/>
                <w:iCs/>
                <w:sz w:val="20"/>
                <w:szCs w:val="20"/>
              </w:rPr>
              <w:t xml:space="preserve">16 weeks </w:t>
            </w:r>
            <w:r>
              <w:rPr>
                <w:rFonts w:ascii="Arial Narrow" w:hAnsi="Arial Narrow"/>
                <w:i/>
                <w:iCs/>
                <w:sz w:val="20"/>
                <w:szCs w:val="20"/>
              </w:rPr>
              <w:t>of therapy (</w:t>
            </w:r>
            <w:r w:rsidRPr="00903B6E">
              <w:rPr>
                <w:rFonts w:ascii="Arial Narrow" w:hAnsi="Arial Narrow"/>
                <w:i/>
                <w:iCs/>
                <w:sz w:val="20"/>
                <w:szCs w:val="20"/>
              </w:rPr>
              <w:t xml:space="preserve">or 24 weeks of therapy </w:t>
            </w:r>
            <w:r>
              <w:rPr>
                <w:rFonts w:ascii="Arial Narrow" w:hAnsi="Arial Narrow"/>
                <w:i/>
                <w:iCs/>
                <w:sz w:val="20"/>
                <w:szCs w:val="20"/>
              </w:rPr>
              <w:t>in the case of</w:t>
            </w:r>
            <w:r w:rsidRPr="00903B6E">
              <w:rPr>
                <w:rFonts w:ascii="Arial Narrow" w:hAnsi="Arial Narrow"/>
                <w:i/>
                <w:iCs/>
                <w:sz w:val="20"/>
                <w:szCs w:val="20"/>
              </w:rPr>
              <w:t xml:space="preserve"> slow responder</w:t>
            </w:r>
            <w:r>
              <w:rPr>
                <w:rFonts w:ascii="Arial Narrow" w:hAnsi="Arial Narrow"/>
                <w:i/>
                <w:iCs/>
                <w:sz w:val="20"/>
                <w:szCs w:val="20"/>
              </w:rPr>
              <w:t>)</w:t>
            </w:r>
            <w:r w:rsidRPr="00903B6E">
              <w:rPr>
                <w:rFonts w:ascii="Arial Narrow" w:hAnsi="Arial Narrow"/>
                <w:i/>
                <w:iCs/>
                <w:sz w:val="20"/>
                <w:szCs w:val="20"/>
              </w:rPr>
              <w:t>.</w:t>
            </w:r>
          </w:p>
        </w:tc>
      </w:tr>
      <w:tr w:rsidR="00E66E86" w:rsidRPr="001E6462" w14:paraId="5B078C31"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29847EF7" w14:textId="77777777" w:rsidR="00E66E86" w:rsidRPr="001E6462" w:rsidRDefault="00E66E86" w:rsidP="007157C0">
            <w:pPr>
              <w:rPr>
                <w:rFonts w:ascii="Arial Narrow" w:hAnsi="Arial Narrow"/>
                <w:sz w:val="20"/>
                <w:szCs w:val="20"/>
              </w:rPr>
            </w:pPr>
            <w:r>
              <w:rPr>
                <w:rFonts w:ascii="Arial Narrow" w:eastAsia="Calibri" w:hAnsi="Arial Narrow"/>
                <w:b/>
                <w:bCs/>
                <w:sz w:val="20"/>
                <w:szCs w:val="20"/>
              </w:rPr>
              <w:t xml:space="preserve">Treatment criteria: </w:t>
            </w:r>
          </w:p>
        </w:tc>
      </w:tr>
      <w:tr w:rsidR="00E66E86" w:rsidRPr="001E6462" w14:paraId="3971BE30"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70B3B69E" w14:textId="77777777" w:rsidR="00E66E86" w:rsidRPr="001E6462" w:rsidRDefault="00E66E86" w:rsidP="007157C0">
            <w:pPr>
              <w:rPr>
                <w:rFonts w:ascii="Arial Narrow" w:hAnsi="Arial Narrow"/>
                <w:sz w:val="20"/>
                <w:szCs w:val="20"/>
              </w:rPr>
            </w:pPr>
            <w:r w:rsidRPr="00176579">
              <w:rPr>
                <w:rFonts w:ascii="Arial Narrow" w:eastAsia="Calibri" w:hAnsi="Arial Narrow"/>
                <w:sz w:val="20"/>
                <w:szCs w:val="20"/>
              </w:rPr>
              <w:t>Must be treated by a dermatologist; or</w:t>
            </w:r>
          </w:p>
        </w:tc>
      </w:tr>
      <w:tr w:rsidR="00E66E86" w:rsidRPr="001E6462" w14:paraId="16087151"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tcPr>
          <w:p w14:paraId="4228105C" w14:textId="77777777" w:rsidR="00E66E86" w:rsidRPr="001E6462" w:rsidRDefault="00E66E86" w:rsidP="007157C0">
            <w:pPr>
              <w:rPr>
                <w:rFonts w:ascii="Arial Narrow" w:hAnsi="Arial Narrow"/>
                <w:sz w:val="20"/>
                <w:szCs w:val="20"/>
              </w:rPr>
            </w:pPr>
            <w:r w:rsidRPr="00176579">
              <w:rPr>
                <w:rFonts w:ascii="Arial Narrow" w:eastAsia="Calibri" w:hAnsi="Arial Narrow"/>
                <w:sz w:val="20"/>
                <w:szCs w:val="20"/>
              </w:rPr>
              <w:t>Must be treated by a clinical immunologist</w:t>
            </w:r>
          </w:p>
        </w:tc>
      </w:tr>
      <w:tr w:rsidR="00E66E86" w:rsidRPr="00446E53" w14:paraId="2CDCAEA3"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A65C252" w14:textId="77777777" w:rsidR="00E66E86" w:rsidRPr="00446E53" w:rsidRDefault="00E66E86" w:rsidP="007157C0">
            <w:pPr>
              <w:rPr>
                <w:rFonts w:ascii="Arial Narrow" w:hAnsi="Arial Narrow"/>
                <w:b/>
                <w:bCs/>
                <w:color w:val="333333"/>
                <w:sz w:val="20"/>
                <w:szCs w:val="20"/>
              </w:rPr>
            </w:pPr>
            <w:r w:rsidRPr="00446E53">
              <w:rPr>
                <w:rFonts w:ascii="Arial Narrow" w:hAnsi="Arial Narrow"/>
                <w:b/>
                <w:bCs/>
                <w:color w:val="333333"/>
                <w:sz w:val="20"/>
                <w:szCs w:val="20"/>
              </w:rPr>
              <w:t>Population criteria:</w:t>
            </w:r>
          </w:p>
        </w:tc>
      </w:tr>
      <w:tr w:rsidR="00E66E86" w:rsidRPr="00446E53" w14:paraId="528D098E"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800D234" w14:textId="77777777" w:rsidR="00E66E86" w:rsidRPr="007D3865" w:rsidRDefault="00E66E86" w:rsidP="007157C0">
            <w:pPr>
              <w:rPr>
                <w:rFonts w:ascii="Arial Narrow" w:hAnsi="Arial Narrow"/>
                <w:b/>
                <w:bCs/>
                <w:color w:val="333333"/>
                <w:sz w:val="20"/>
                <w:szCs w:val="20"/>
              </w:rPr>
            </w:pPr>
            <w:r w:rsidRPr="007D3865">
              <w:rPr>
                <w:rFonts w:ascii="Arial Narrow" w:eastAsia="Calibri" w:hAnsi="Arial Narrow"/>
                <w:sz w:val="20"/>
                <w:szCs w:val="20"/>
              </w:rPr>
              <w:t xml:space="preserve">Patient must be at least 12 years of age. </w:t>
            </w:r>
          </w:p>
        </w:tc>
      </w:tr>
      <w:tr w:rsidR="00E66E86" w:rsidRPr="00446E53" w14:paraId="60AC0A5F"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DBC016D" w14:textId="77777777" w:rsidR="00E66E86" w:rsidRPr="007D3865" w:rsidRDefault="00E66E86" w:rsidP="007157C0">
            <w:pPr>
              <w:rPr>
                <w:rFonts w:ascii="Arial Narrow" w:hAnsi="Arial Narrow"/>
                <w:b/>
                <w:bCs/>
                <w:sz w:val="20"/>
                <w:szCs w:val="20"/>
              </w:rPr>
            </w:pPr>
            <w:r w:rsidRPr="007D3865">
              <w:rPr>
                <w:rFonts w:ascii="Arial Narrow" w:hAnsi="Arial Narrow"/>
                <w:b/>
                <w:bCs/>
                <w:sz w:val="20"/>
                <w:szCs w:val="20"/>
              </w:rPr>
              <w:t>Prescribing Instructions:</w:t>
            </w:r>
          </w:p>
          <w:p w14:paraId="208F8FBC" w14:textId="77777777" w:rsidR="00E66E86" w:rsidRDefault="00E66E86" w:rsidP="007157C0">
            <w:pPr>
              <w:rPr>
                <w:rFonts w:ascii="Arial Narrow" w:hAnsi="Arial Narrow"/>
                <w:sz w:val="20"/>
                <w:szCs w:val="20"/>
              </w:rPr>
            </w:pPr>
            <w:r w:rsidRPr="007D3865">
              <w:rPr>
                <w:rFonts w:ascii="Arial Narrow" w:hAnsi="Arial Narrow"/>
                <w:sz w:val="20"/>
                <w:szCs w:val="20"/>
              </w:rPr>
              <w:t xml:space="preserve">State each of the 4 Eczema Area and Severity Index (EASI) symptom sub-score ratings for erythema, oedema/papulation, excoriation, </w:t>
            </w:r>
            <w:proofErr w:type="spellStart"/>
            <w:r w:rsidRPr="007D3865">
              <w:rPr>
                <w:rFonts w:ascii="Arial Narrow" w:hAnsi="Arial Narrow"/>
                <w:sz w:val="20"/>
                <w:szCs w:val="20"/>
              </w:rPr>
              <w:t>lichenification</w:t>
            </w:r>
            <w:proofErr w:type="spellEnd"/>
            <w:r w:rsidRPr="007D3865">
              <w:rPr>
                <w:rFonts w:ascii="Arial Narrow" w:hAnsi="Arial Narrow"/>
                <w:sz w:val="20"/>
                <w:szCs w:val="20"/>
              </w:rPr>
              <w:t xml:space="preserve"> that were present prior to having commenced non-PBS-subsidised therapy, in the authority application. The name/s of the medium to high potency topical corticosteroids trialled prior to commencing treatment with this biological medicine is/are to be documented in the patient's medical records.</w:t>
            </w:r>
          </w:p>
          <w:p w14:paraId="3E89F0AB" w14:textId="77777777" w:rsidR="00E66E86" w:rsidRPr="00F63328" w:rsidRDefault="00E66E86" w:rsidP="007157C0">
            <w:pPr>
              <w:rPr>
                <w:rFonts w:ascii="Arial Narrow" w:hAnsi="Arial Narrow"/>
                <w:sz w:val="20"/>
                <w:szCs w:val="20"/>
              </w:rPr>
            </w:pPr>
            <w:r w:rsidRPr="00F63328">
              <w:rPr>
                <w:rFonts w:ascii="Arial Narrow" w:hAnsi="Arial Narrow"/>
                <w:sz w:val="20"/>
                <w:szCs w:val="20"/>
              </w:rPr>
              <w:t>Alternatively, state the percentage of face/hand surface area affected by the condition (must be at least 30%) where EASI symptom sub-scores are not provided. This percentage surface area can also be stated in addition to the EASI symptom sub-scores.</w:t>
            </w:r>
          </w:p>
          <w:p w14:paraId="4CE2B400" w14:textId="77777777" w:rsidR="00E66E86" w:rsidRPr="00F63328" w:rsidRDefault="00E66E86" w:rsidP="007157C0">
            <w:pPr>
              <w:rPr>
                <w:rFonts w:ascii="Arial Narrow" w:hAnsi="Arial Narrow"/>
                <w:sz w:val="20"/>
                <w:szCs w:val="20"/>
              </w:rPr>
            </w:pPr>
          </w:p>
          <w:p w14:paraId="302042B6" w14:textId="77777777" w:rsidR="00E66E86" w:rsidRPr="00F63328" w:rsidRDefault="00E66E86" w:rsidP="007157C0">
            <w:pPr>
              <w:rPr>
                <w:rFonts w:asciiTheme="minorHAnsi" w:hAnsiTheme="minorHAnsi" w:cstheme="minorHAnsi"/>
                <w:sz w:val="18"/>
                <w:szCs w:val="18"/>
              </w:rPr>
            </w:pPr>
            <w:r w:rsidRPr="00F63328">
              <w:rPr>
                <w:rFonts w:ascii="Arial Narrow" w:hAnsi="Arial Narrow"/>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tc>
      </w:tr>
      <w:tr w:rsidR="00E66E86" w:rsidRPr="00446E53" w14:paraId="2925810C"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9B3C5FA" w14:textId="77777777" w:rsidR="00E66E86" w:rsidRPr="007D3865" w:rsidRDefault="00E66E86" w:rsidP="007157C0">
            <w:pPr>
              <w:rPr>
                <w:rFonts w:ascii="Arial Narrow" w:eastAsia="Calibri" w:hAnsi="Arial Narrow"/>
                <w:sz w:val="20"/>
                <w:szCs w:val="20"/>
              </w:rPr>
            </w:pPr>
            <w:r w:rsidRPr="007D3865">
              <w:rPr>
                <w:rFonts w:ascii="Arial Narrow" w:hAnsi="Arial Narrow"/>
                <w:b/>
                <w:bCs/>
                <w:sz w:val="20"/>
                <w:szCs w:val="20"/>
              </w:rPr>
              <w:lastRenderedPageBreak/>
              <w:t>Prescribing Instructions:</w:t>
            </w:r>
          </w:p>
          <w:p w14:paraId="60BEFB35" w14:textId="77777777" w:rsidR="00E66E86" w:rsidRDefault="00E66E86" w:rsidP="007157C0">
            <w:pPr>
              <w:rPr>
                <w:rFonts w:ascii="Arial Narrow" w:hAnsi="Arial Narrow"/>
                <w:sz w:val="20"/>
                <w:szCs w:val="20"/>
              </w:rPr>
            </w:pPr>
            <w:r w:rsidRPr="007D3865">
              <w:rPr>
                <w:rFonts w:ascii="Arial Narrow" w:hAnsi="Arial Narrow"/>
                <w:sz w:val="20"/>
                <w:szCs w:val="20"/>
              </w:rPr>
              <w:t xml:space="preserve">A patient may qualify for PBS-subsidised treatment under this restriction once only. For continuing PBS-subsidised treatment, a Grandfathered patient must qualify under </w:t>
            </w:r>
            <w:r w:rsidRPr="004F0420">
              <w:rPr>
                <w:rFonts w:ascii="Arial Narrow" w:hAnsi="Arial Narrow"/>
                <w:strike/>
                <w:sz w:val="20"/>
                <w:szCs w:val="20"/>
              </w:rPr>
              <w:t>the Continuing treatment criteria.</w:t>
            </w:r>
            <w:r>
              <w:rPr>
                <w:rFonts w:ascii="Arial Narrow" w:hAnsi="Arial Narrow"/>
                <w:sz w:val="20"/>
                <w:szCs w:val="20"/>
              </w:rPr>
              <w:t>one of the following:</w:t>
            </w:r>
          </w:p>
          <w:p w14:paraId="19B815F8" w14:textId="77777777" w:rsidR="00E66E86" w:rsidRPr="00E8739B" w:rsidRDefault="00E66E86" w:rsidP="005C4F91">
            <w:pPr>
              <w:pStyle w:val="ListParagraph"/>
              <w:numPr>
                <w:ilvl w:val="0"/>
                <w:numId w:val="12"/>
              </w:numPr>
              <w:spacing w:after="0"/>
              <w:contextualSpacing/>
              <w:jc w:val="both"/>
              <w:rPr>
                <w:rFonts w:ascii="Arial Narrow" w:hAnsi="Arial Narrow"/>
                <w:i/>
                <w:iCs/>
                <w:sz w:val="20"/>
                <w:szCs w:val="20"/>
              </w:rPr>
            </w:pPr>
            <w:r w:rsidRPr="00E8739B">
              <w:rPr>
                <w:rFonts w:ascii="Arial Narrow" w:hAnsi="Arial Narrow"/>
                <w:i/>
                <w:iCs/>
                <w:sz w:val="20"/>
                <w:szCs w:val="20"/>
              </w:rPr>
              <w:t xml:space="preserve">Continuing treatment, where there has been an adequate response to treatment </w:t>
            </w:r>
          </w:p>
          <w:p w14:paraId="462F8C48" w14:textId="77777777" w:rsidR="00E66E86" w:rsidRPr="004F0420" w:rsidRDefault="00E66E86" w:rsidP="005C4F91">
            <w:pPr>
              <w:pStyle w:val="ListParagraph"/>
              <w:numPr>
                <w:ilvl w:val="0"/>
                <w:numId w:val="12"/>
              </w:numPr>
              <w:spacing w:after="0"/>
              <w:contextualSpacing/>
              <w:jc w:val="both"/>
              <w:rPr>
                <w:rFonts w:ascii="Arial Narrow" w:hAnsi="Arial Narrow"/>
                <w:sz w:val="20"/>
                <w:szCs w:val="20"/>
              </w:rPr>
            </w:pPr>
            <w:r>
              <w:rPr>
                <w:rFonts w:ascii="Arial Narrow" w:eastAsia="Calibri" w:hAnsi="Arial Narrow"/>
                <w:i/>
                <w:iCs/>
                <w:sz w:val="20"/>
                <w:szCs w:val="20"/>
              </w:rPr>
              <w:t>E</w:t>
            </w:r>
            <w:r w:rsidRPr="00B56280">
              <w:rPr>
                <w:rFonts w:ascii="Arial Narrow" w:eastAsia="Calibri" w:hAnsi="Arial Narrow"/>
                <w:i/>
                <w:sz w:val="20"/>
                <w:szCs w:val="20"/>
              </w:rPr>
              <w:t xml:space="preserve">xtended induction treatment (up to </w:t>
            </w:r>
            <w:r>
              <w:rPr>
                <w:rFonts w:ascii="Arial Narrow" w:eastAsia="Calibri" w:hAnsi="Arial Narrow"/>
                <w:i/>
                <w:sz w:val="20"/>
                <w:szCs w:val="20"/>
              </w:rPr>
              <w:t xml:space="preserve">a </w:t>
            </w:r>
            <w:r w:rsidRPr="00B56280">
              <w:rPr>
                <w:rFonts w:ascii="Arial Narrow" w:eastAsia="Calibri" w:hAnsi="Arial Narrow"/>
                <w:i/>
                <w:sz w:val="20"/>
                <w:szCs w:val="20"/>
              </w:rPr>
              <w:t>further 8 weeks of therapy</w:t>
            </w:r>
            <w:r w:rsidRPr="00F94AB8">
              <w:rPr>
                <w:rFonts w:ascii="Arial Narrow" w:eastAsia="Calibri" w:hAnsi="Arial Narrow"/>
                <w:i/>
                <w:iCs/>
                <w:sz w:val="20"/>
                <w:szCs w:val="20"/>
              </w:rPr>
              <w:t>)</w:t>
            </w:r>
            <w:r>
              <w:rPr>
                <w:rFonts w:ascii="Arial Narrow" w:eastAsia="Calibri" w:hAnsi="Arial Narrow"/>
                <w:i/>
                <w:iCs/>
                <w:sz w:val="20"/>
                <w:szCs w:val="20"/>
              </w:rPr>
              <w:t>,</w:t>
            </w:r>
            <w:r w:rsidRPr="00B56280">
              <w:rPr>
                <w:rFonts w:ascii="Arial Narrow" w:eastAsia="Calibri" w:hAnsi="Arial Narrow"/>
                <w:i/>
                <w:sz w:val="20"/>
                <w:szCs w:val="20"/>
              </w:rPr>
              <w:t xml:space="preserve"> where</w:t>
            </w:r>
            <w:r>
              <w:rPr>
                <w:rFonts w:ascii="Arial Narrow" w:eastAsia="Calibri" w:hAnsi="Arial Narrow"/>
                <w:i/>
                <w:sz w:val="20"/>
                <w:szCs w:val="20"/>
              </w:rPr>
              <w:t xml:space="preserve"> the patient has received 16 weeks of therapy, achieved a partial response and the</w:t>
            </w:r>
            <w:r w:rsidRPr="00B56280">
              <w:rPr>
                <w:rFonts w:ascii="Arial Narrow" w:eastAsia="Calibri" w:hAnsi="Arial Narrow"/>
                <w:i/>
                <w:sz w:val="20"/>
                <w:szCs w:val="20"/>
              </w:rPr>
              <w:t xml:space="preserve"> prescriber considers that extended induction doses could result in achieving adequate response</w:t>
            </w:r>
            <w:r>
              <w:rPr>
                <w:rFonts w:ascii="Arial Narrow" w:eastAsia="Calibri" w:hAnsi="Arial Narrow"/>
                <w:i/>
                <w:iCs/>
                <w:sz w:val="20"/>
                <w:szCs w:val="20"/>
              </w:rPr>
              <w:t>.</w:t>
            </w:r>
          </w:p>
        </w:tc>
      </w:tr>
      <w:tr w:rsidR="00E66E86" w:rsidRPr="00446E53" w14:paraId="129D2E0D"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5E0198F" w14:textId="77777777" w:rsidR="00E66E86" w:rsidRPr="007D3865" w:rsidRDefault="00E66E86" w:rsidP="007157C0">
            <w:pPr>
              <w:rPr>
                <w:rFonts w:ascii="Arial Narrow" w:eastAsia="Calibri" w:hAnsi="Arial Narrow"/>
                <w:sz w:val="20"/>
                <w:szCs w:val="20"/>
              </w:rPr>
            </w:pPr>
            <w:r w:rsidRPr="007D3865">
              <w:rPr>
                <w:rFonts w:ascii="Arial Narrow" w:hAnsi="Arial Narrow"/>
                <w:b/>
                <w:bCs/>
                <w:sz w:val="20"/>
                <w:szCs w:val="20"/>
              </w:rPr>
              <w:t>Prescribing Instructions:</w:t>
            </w:r>
          </w:p>
          <w:p w14:paraId="1141566C" w14:textId="77777777" w:rsidR="00E66E86" w:rsidRPr="007D3865" w:rsidRDefault="00E66E86" w:rsidP="007157C0">
            <w:pPr>
              <w:rPr>
                <w:rFonts w:ascii="Arial Narrow" w:hAnsi="Arial Narrow"/>
                <w:b/>
                <w:bCs/>
                <w:sz w:val="20"/>
                <w:szCs w:val="20"/>
              </w:rPr>
            </w:pPr>
            <w:r w:rsidRPr="007D3865">
              <w:rPr>
                <w:rFonts w:ascii="Arial Narrow" w:eastAsia="Calibri" w:hAnsi="Arial Narrow"/>
                <w:sz w:val="20"/>
                <w:szCs w:val="20"/>
              </w:rPr>
              <w:t>This grandfather restriction will cease to operate from 12 months after the date specified in the clinical criteria.</w:t>
            </w:r>
          </w:p>
        </w:tc>
      </w:tr>
    </w:tbl>
    <w:bookmarkEnd w:id="17"/>
    <w:p w14:paraId="6B02CA1B" w14:textId="3ADC5C94" w:rsidR="00546DBD" w:rsidRPr="00FA2AB8" w:rsidRDefault="00546DBD" w:rsidP="00531B7C">
      <w:pPr>
        <w:pStyle w:val="3-BodyText"/>
        <w:spacing w:before="160" w:after="160"/>
        <w:rPr>
          <w:color w:val="0066FF"/>
        </w:rPr>
      </w:pPr>
      <w:r w:rsidRPr="00FA2AB8">
        <w:t>A Special Pricing Arrangement (SPA) was requested for NEMO</w:t>
      </w:r>
      <w:r w:rsidR="00B75EE8">
        <w:t>,</w:t>
      </w:r>
      <w:r w:rsidRPr="00FA2AB8">
        <w:t xml:space="preserve"> as for </w:t>
      </w:r>
      <w:r w:rsidR="00B5203E" w:rsidRPr="00FA2AB8">
        <w:t>DUPI and upadacitinib (UPA)</w:t>
      </w:r>
      <w:r w:rsidRPr="00FA2AB8">
        <w:t xml:space="preserve"> for severe AD. The </w:t>
      </w:r>
      <w:r w:rsidR="00DF3484">
        <w:t>re</w:t>
      </w:r>
      <w:r w:rsidRPr="00FA2AB8">
        <w:t xml:space="preserve">submission noted that the effective approved ex-manufacturer price (AEMP) of DUPI remains confidential and thus, the sponsor was unable to nominate an effective </w:t>
      </w:r>
      <w:r w:rsidR="00CE664A">
        <w:t>ex-manufacture price (EMP)</w:t>
      </w:r>
      <w:r w:rsidR="00CE664A" w:rsidRPr="00FA2AB8">
        <w:t xml:space="preserve"> </w:t>
      </w:r>
      <w:r w:rsidRPr="00FA2AB8">
        <w:t xml:space="preserve">for NEMO </w:t>
      </w:r>
      <w:r w:rsidR="00CE664A">
        <w:t>based on the</w:t>
      </w:r>
      <w:r w:rsidR="00363485">
        <w:t xml:space="preserve"> CMA</w:t>
      </w:r>
      <w:r w:rsidRPr="00FA2AB8">
        <w:t>.</w:t>
      </w:r>
    </w:p>
    <w:p w14:paraId="4BC50B61" w14:textId="45E005F6" w:rsidR="00461800" w:rsidRPr="00FA2AB8" w:rsidRDefault="00AB5921" w:rsidP="00531B7C">
      <w:pPr>
        <w:pStyle w:val="3-BodyText"/>
        <w:spacing w:before="160" w:after="160"/>
        <w:rPr>
          <w:color w:val="0066FF"/>
        </w:rPr>
      </w:pPr>
      <w:r>
        <w:t>T</w:t>
      </w:r>
      <w:r w:rsidR="00461800" w:rsidRPr="00FA2AB8">
        <w:t xml:space="preserve">he published </w:t>
      </w:r>
      <w:r w:rsidR="009A4DF9" w:rsidRPr="00FA2AB8">
        <w:t>dispensed price for maximum quantity (</w:t>
      </w:r>
      <w:r w:rsidR="00461800" w:rsidRPr="00FA2AB8">
        <w:t>DPMQ</w:t>
      </w:r>
      <w:r w:rsidR="009A4DF9" w:rsidRPr="00FA2AB8">
        <w:t>)</w:t>
      </w:r>
      <w:r w:rsidR="00461800" w:rsidRPr="00FA2AB8">
        <w:t xml:space="preserve"> for initial treatment </w:t>
      </w:r>
      <w:r>
        <w:t>i</w:t>
      </w:r>
      <w:r w:rsidRPr="00FA2AB8">
        <w:t xml:space="preserve">n the previous submission </w:t>
      </w:r>
      <w:r w:rsidR="00461800" w:rsidRPr="00FA2AB8">
        <w:t>was $5,504.50 and in the resubmission was $5,418.35. The published DPMQ for continuing and grandfather</w:t>
      </w:r>
      <w:r w:rsidR="004217DE" w:rsidRPr="00FA2AB8">
        <w:t>ed</w:t>
      </w:r>
      <w:r w:rsidR="00461800" w:rsidRPr="00FA2AB8">
        <w:t xml:space="preserve"> treatment was $2,833.55 in the previous submission and </w:t>
      </w:r>
      <w:r w:rsidR="00DE2872">
        <w:t>wa</w:t>
      </w:r>
      <w:r w:rsidR="00461800" w:rsidRPr="00FA2AB8">
        <w:t xml:space="preserve">s </w:t>
      </w:r>
      <w:r w:rsidR="00730DA9" w:rsidRPr="00FA2AB8">
        <w:t xml:space="preserve">$2,790.64 in the resubmission. </w:t>
      </w:r>
      <w:r w:rsidR="00CC244A" w:rsidRPr="00FA2AB8">
        <w:t xml:space="preserve">The difference in the proposed published NEMO price between the two submissions reflects the updated </w:t>
      </w:r>
      <w:r w:rsidR="00E619C1">
        <w:t>CMA</w:t>
      </w:r>
      <w:r w:rsidR="00CC244A" w:rsidRPr="00FA2AB8">
        <w:t xml:space="preserve"> </w:t>
      </w:r>
      <w:proofErr w:type="gramStart"/>
      <w:r w:rsidR="00CC244A" w:rsidRPr="00FA2AB8">
        <w:t>taking into account</w:t>
      </w:r>
      <w:proofErr w:type="gramEnd"/>
      <w:r w:rsidR="00CC244A" w:rsidRPr="00FA2AB8">
        <w:t xml:space="preserve"> the extended induction period for </w:t>
      </w:r>
      <w:r w:rsidR="00645BBF" w:rsidRPr="00FA2AB8">
        <w:t>slow responders to NEMO therapy</w:t>
      </w:r>
      <w:r w:rsidR="0020507B" w:rsidRPr="00FA2AB8">
        <w:t xml:space="preserve"> (</w:t>
      </w:r>
      <w:r w:rsidR="0020507B" w:rsidRPr="0048153D">
        <w:t>see the “Economic analysis” section below)</w:t>
      </w:r>
      <w:r w:rsidR="00645BBF" w:rsidRPr="0048153D">
        <w:t>.</w:t>
      </w:r>
      <w:r w:rsidR="00CC244A" w:rsidRPr="00FA2AB8">
        <w:t xml:space="preserve"> </w:t>
      </w:r>
      <w:r w:rsidR="00730DA9" w:rsidRPr="00FA2AB8">
        <w:t>The published DPMQ for the extended induction period is the same as for the initial treatment ($5,418.35).</w:t>
      </w:r>
      <w:r w:rsidR="00DE2072" w:rsidRPr="00FA2AB8">
        <w:rPr>
          <w:color w:val="0066FF"/>
        </w:rPr>
        <w:t xml:space="preserve"> </w:t>
      </w:r>
    </w:p>
    <w:p w14:paraId="651059DA" w14:textId="5916E899" w:rsidR="00546DBD" w:rsidRPr="00FA2AB8" w:rsidRDefault="00546DBD" w:rsidP="00531B7C">
      <w:pPr>
        <w:pStyle w:val="3-BodyText"/>
        <w:spacing w:before="160" w:after="160"/>
        <w:rPr>
          <w:color w:val="0066FF"/>
        </w:rPr>
      </w:pPr>
      <w:r w:rsidRPr="00FA2AB8">
        <w:t>The requested PBS restrictions for the initial, continuing, and grandfather</w:t>
      </w:r>
      <w:r w:rsidR="004217DE" w:rsidRPr="00FA2AB8">
        <w:t>ed</w:t>
      </w:r>
      <w:r w:rsidRPr="00FA2AB8">
        <w:t xml:space="preserve"> phases of treatment with NEMO </w:t>
      </w:r>
      <w:r w:rsidR="00E619C1">
        <w:t xml:space="preserve">are </w:t>
      </w:r>
      <w:proofErr w:type="gramStart"/>
      <w:r w:rsidR="00E619C1">
        <w:t>similar to</w:t>
      </w:r>
      <w:proofErr w:type="gramEnd"/>
      <w:r w:rsidR="00E619C1">
        <w:t xml:space="preserve"> those presented in</w:t>
      </w:r>
      <w:r w:rsidR="004217DE" w:rsidRPr="00FA2AB8">
        <w:t xml:space="preserve"> </w:t>
      </w:r>
      <w:r w:rsidRPr="00FA2AB8">
        <w:t>the previous submission. A notable difference is the inclusion of the requirement that patients must have achieved an adequate response within the first 24 weeks of treatment in the continuation restriction and that patients must not be experiencing an inadequate response to current non-PBS-subsidised therapy with this biological medicine, if they have received at least 24 weeks of therapy in the grandfathering restriction. These changes were made to align with the inclusion of an extended induction phase restriction.</w:t>
      </w:r>
    </w:p>
    <w:p w14:paraId="3F53FDB3" w14:textId="7471B47B" w:rsidR="00546DBD" w:rsidRPr="00FA2AB8" w:rsidRDefault="00546DBD" w:rsidP="00531B7C">
      <w:pPr>
        <w:pStyle w:val="3-BodyText"/>
        <w:spacing w:before="160" w:after="160"/>
      </w:pPr>
      <w:r w:rsidRPr="00FA2AB8">
        <w:t xml:space="preserve">The listing requests that if patients have not achieved adequate response (defined as an improvement/maintenance in EASI score of at least 50% compared to baseline and an improvement/maintenance in DLQI score of at least 4 points compared to baseline) at </w:t>
      </w:r>
      <w:r w:rsidR="007B1455" w:rsidRPr="00FA2AB8">
        <w:t xml:space="preserve">Week </w:t>
      </w:r>
      <w:r w:rsidRPr="00FA2AB8">
        <w:t>16 of induction treatment (NEMO every 4 weeks [Q4W])</w:t>
      </w:r>
      <w:r w:rsidR="00895282" w:rsidRPr="00FA2AB8">
        <w:t>,</w:t>
      </w:r>
      <w:r w:rsidRPr="00FA2AB8">
        <w:t xml:space="preserve"> they may receive an additional </w:t>
      </w:r>
      <w:r w:rsidR="00CB1F2F" w:rsidRPr="00FA2AB8">
        <w:t xml:space="preserve">8 </w:t>
      </w:r>
      <w:r w:rsidRPr="00FA2AB8">
        <w:t>weeks of induction treatment. The inclusion of an extended induction phase aligns with the listing for lebrikizumab</w:t>
      </w:r>
      <w:r w:rsidR="009D1706" w:rsidRPr="00FA2AB8">
        <w:t xml:space="preserve"> (LEB)</w:t>
      </w:r>
      <w:r w:rsidRPr="00FA2AB8">
        <w:t xml:space="preserve"> that was approved at the March 2024 PBAC meeting</w:t>
      </w:r>
      <w:r w:rsidR="008F7DED" w:rsidRPr="00FA2AB8">
        <w:t xml:space="preserve"> (lebrikizumab is not </w:t>
      </w:r>
      <w:r w:rsidR="000D0885">
        <w:t>currently</w:t>
      </w:r>
      <w:r w:rsidR="000D0885" w:rsidRPr="00FA2AB8">
        <w:t xml:space="preserve"> </w:t>
      </w:r>
      <w:r w:rsidR="008F7DED" w:rsidRPr="00FA2AB8">
        <w:t>listed on the PBS)</w:t>
      </w:r>
      <w:r w:rsidRPr="00FA2AB8">
        <w:t>.</w:t>
      </w:r>
    </w:p>
    <w:p w14:paraId="14389F63" w14:textId="0254BC62" w:rsidR="00546DBD" w:rsidRPr="002B3D69" w:rsidRDefault="00546DBD" w:rsidP="00531B7C">
      <w:pPr>
        <w:pStyle w:val="3-BodyText"/>
        <w:spacing w:before="160" w:after="160"/>
      </w:pPr>
      <w:r w:rsidRPr="00FA2AB8">
        <w:t xml:space="preserve">The extended induction phase listing includes the </w:t>
      </w:r>
      <w:r w:rsidR="008F7DED" w:rsidRPr="00FA2AB8">
        <w:t xml:space="preserve">criterion </w:t>
      </w:r>
      <w:r w:rsidRPr="00FA2AB8">
        <w:t>that the “</w:t>
      </w:r>
      <w:r w:rsidRPr="00FA2AB8">
        <w:rPr>
          <w:rFonts w:cstheme="minorHAnsi"/>
          <w:szCs w:val="20"/>
        </w:rPr>
        <w:t xml:space="preserve">prescriber must only apply for this treatment phase if the patient has had a partial response to treatment and the prescriber considers that further induction treatment (further 8 </w:t>
      </w:r>
      <w:r w:rsidRPr="00FA2AB8">
        <w:rPr>
          <w:rFonts w:cstheme="minorHAnsi"/>
          <w:szCs w:val="20"/>
        </w:rPr>
        <w:lastRenderedPageBreak/>
        <w:t>weeks of therapy) with this drug is likely to result in an adequate response”. It is not detailed what a partial response is or how the prescriber is to determine if further induction treatment is likely to result in an adequate response.</w:t>
      </w:r>
    </w:p>
    <w:p w14:paraId="7A076AC7" w14:textId="3D906E90" w:rsidR="002B3D69" w:rsidRPr="00EA316B" w:rsidRDefault="002B3D69" w:rsidP="002B3D69">
      <w:pPr>
        <w:pStyle w:val="3-BodyText"/>
        <w:numPr>
          <w:ilvl w:val="0"/>
          <w:numId w:val="0"/>
        </w:numPr>
        <w:spacing w:before="160" w:after="160"/>
        <w:ind w:left="720"/>
        <w:rPr>
          <w:i/>
          <w:iCs/>
        </w:rPr>
      </w:pPr>
      <w:r w:rsidRPr="00EA316B">
        <w:rPr>
          <w:i/>
          <w:iCs/>
        </w:rPr>
        <w:t>For more detail on PBAC’s view, see section 7 PBAC outcome.</w:t>
      </w:r>
    </w:p>
    <w:p w14:paraId="5B4746E5" w14:textId="77777777" w:rsidR="00546DBD" w:rsidRPr="00FA2AB8" w:rsidDel="00195452" w:rsidRDefault="00546DBD" w:rsidP="00531B7C">
      <w:pPr>
        <w:pStyle w:val="2-SectionHeading"/>
        <w:spacing w:before="160" w:after="160"/>
      </w:pPr>
      <w:bookmarkStart w:id="18" w:name="_Toc202884171"/>
      <w:bookmarkStart w:id="19" w:name="_Toc216710456"/>
      <w:r w:rsidRPr="00FA2AB8" w:rsidDel="00195452">
        <w:t>Population and disease</w:t>
      </w:r>
      <w:bookmarkEnd w:id="18"/>
      <w:bookmarkEnd w:id="19"/>
    </w:p>
    <w:p w14:paraId="5877A64B" w14:textId="77777777" w:rsidR="00546DBD" w:rsidRPr="00FA2AB8" w:rsidRDefault="00546DBD" w:rsidP="00531B7C">
      <w:pPr>
        <w:pStyle w:val="3-BodyText"/>
        <w:spacing w:before="160" w:after="160"/>
        <w:rPr>
          <w:color w:val="0066FF"/>
        </w:rPr>
      </w:pPr>
      <w:r w:rsidRPr="00FA2AB8">
        <w:rPr>
          <w:color w:val="000000" w:themeColor="text1"/>
        </w:rPr>
        <w:t>AD is the most common chronic inflammatory skin disease that affects 15% to 20% of children and up to 10% of adults</w:t>
      </w:r>
      <w:r w:rsidRPr="00FA2AB8">
        <w:rPr>
          <w:rStyle w:val="FootnoteReference"/>
          <w:color w:val="000000" w:themeColor="text1"/>
        </w:rPr>
        <w:footnoteReference w:id="1"/>
      </w:r>
      <w:r w:rsidRPr="00FA2AB8">
        <w:rPr>
          <w:color w:val="000000" w:themeColor="text1"/>
        </w:rPr>
        <w:t>. Approximately 60% of patients develop AD in the first year of life and 90% within the first 5 years of life</w:t>
      </w:r>
      <w:r w:rsidRPr="00FA2AB8">
        <w:rPr>
          <w:rStyle w:val="FootnoteReference"/>
          <w:color w:val="000000" w:themeColor="text1"/>
        </w:rPr>
        <w:footnoteReference w:id="2"/>
      </w:r>
      <w:r w:rsidRPr="00FA2AB8">
        <w:rPr>
          <w:color w:val="000000" w:themeColor="text1"/>
        </w:rPr>
        <w:t>. The condition</w:t>
      </w:r>
      <w:r w:rsidRPr="00FA2AB8">
        <w:rPr>
          <w:rFonts w:ascii="Calibri" w:eastAsia="Times New Roman" w:hAnsi="Calibri" w:cs="Arial"/>
          <w:color w:val="000000" w:themeColor="text1"/>
          <w:szCs w:val="24"/>
        </w:rPr>
        <w:t xml:space="preserve"> </w:t>
      </w:r>
      <w:r w:rsidRPr="00FA2AB8">
        <w:rPr>
          <w:color w:val="000000" w:themeColor="text1"/>
        </w:rPr>
        <w:t>is associated with other atopic manifestations such as asthma, allergic rhinitis, or food allergy</w:t>
      </w:r>
      <w:r w:rsidRPr="00FA2AB8">
        <w:rPr>
          <w:rStyle w:val="FootnoteReference"/>
          <w:color w:val="000000" w:themeColor="text1"/>
        </w:rPr>
        <w:footnoteReference w:id="3"/>
      </w:r>
      <w:r w:rsidRPr="00FA2AB8">
        <w:rPr>
          <w:color w:val="000000" w:themeColor="text1"/>
        </w:rPr>
        <w:t>.</w:t>
      </w:r>
      <w:r w:rsidRPr="00FA2AB8">
        <w:rPr>
          <w:rFonts w:ascii="Calibri" w:eastAsia="Times New Roman" w:hAnsi="Calibri" w:cs="Arial"/>
          <w:color w:val="000000" w:themeColor="text1"/>
          <w:szCs w:val="24"/>
        </w:rPr>
        <w:t xml:space="preserve"> </w:t>
      </w:r>
      <w:r w:rsidRPr="00FA2AB8">
        <w:rPr>
          <w:color w:val="000000" w:themeColor="text1"/>
        </w:rPr>
        <w:t xml:space="preserve">AD is presented as areas of rashes and dryness with intense pruritus that commonly involve the creases of the elbows, behind the knees, across the ankles and may also involve the face, ears, and neck. The condition is often </w:t>
      </w:r>
      <w:proofErr w:type="gramStart"/>
      <w:r w:rsidRPr="00FA2AB8">
        <w:rPr>
          <w:color w:val="000000" w:themeColor="text1"/>
        </w:rPr>
        <w:t>relapsing</w:t>
      </w:r>
      <w:proofErr w:type="gramEnd"/>
      <w:r w:rsidRPr="00FA2AB8">
        <w:rPr>
          <w:color w:val="000000" w:themeColor="text1"/>
        </w:rPr>
        <w:t xml:space="preserve"> and affected patients are predisposed to bacterial and viral skin infections. AD involving the eyelid can cause blepharitis (general inflammation and redness of the eyelid) and conjunctivitis. AD impacts an individual’s overall quality of life (QoL), as well as social, academic, and occupational performance, and 33% to 90% of affected adults have AD associated sleep disturbance</w:t>
      </w:r>
      <w:r w:rsidRPr="00FA2AB8">
        <w:rPr>
          <w:rStyle w:val="FootnoteReference"/>
          <w:color w:val="000000" w:themeColor="text1"/>
        </w:rPr>
        <w:footnoteReference w:id="4"/>
      </w:r>
      <w:r w:rsidRPr="00FA2AB8">
        <w:rPr>
          <w:color w:val="000000" w:themeColor="text1"/>
          <w:vertAlign w:val="superscript"/>
        </w:rPr>
        <w:t>,</w:t>
      </w:r>
      <w:r w:rsidRPr="00FA2AB8">
        <w:rPr>
          <w:rStyle w:val="FootnoteReference"/>
          <w:color w:val="000000" w:themeColor="text1"/>
        </w:rPr>
        <w:footnoteReference w:id="5"/>
      </w:r>
      <w:r w:rsidRPr="00FA2AB8">
        <w:rPr>
          <w:color w:val="000000" w:themeColor="text1"/>
        </w:rPr>
        <w:t>.</w:t>
      </w:r>
    </w:p>
    <w:p w14:paraId="013362B1" w14:textId="77777777" w:rsidR="00546DBD" w:rsidRPr="00FA2AB8" w:rsidRDefault="00546DBD" w:rsidP="00531B7C">
      <w:pPr>
        <w:pStyle w:val="3-BodyText"/>
        <w:spacing w:before="160" w:after="160"/>
        <w:rPr>
          <w:color w:val="0066FF"/>
        </w:rPr>
      </w:pPr>
      <w:r w:rsidRPr="00FA2AB8">
        <w:rPr>
          <w:color w:val="000000" w:themeColor="text1"/>
        </w:rPr>
        <w:t>AD is caused by a complex interaction between genetics, skin barrier dysfunction, immune dysregulation, and extrinsic factors resulting in cutaneous inflammation and related symptoms. The Janus kinase (JAK)-signal transducer and activator of transcription pathway results in the release of cytokines including interleukin (IL)-4, IL-13 and IL-31 that are responsible for the pathogenesis of AD and the cardinal symptoms of AD, such as pruritus</w:t>
      </w:r>
      <w:r w:rsidRPr="00FA2AB8">
        <w:rPr>
          <w:rStyle w:val="FootnoteReference"/>
          <w:color w:val="000000" w:themeColor="text1"/>
        </w:rPr>
        <w:footnoteReference w:id="6"/>
      </w:r>
      <w:r w:rsidRPr="00FA2AB8">
        <w:rPr>
          <w:color w:val="000000" w:themeColor="text1"/>
        </w:rPr>
        <w:t>.</w:t>
      </w:r>
    </w:p>
    <w:p w14:paraId="2B5DD2CE" w14:textId="2E0BDCE4" w:rsidR="00546DBD" w:rsidRPr="00FA2AB8" w:rsidRDefault="00546DBD" w:rsidP="00531B7C">
      <w:pPr>
        <w:pStyle w:val="3-BodyText"/>
        <w:spacing w:before="160" w:after="160"/>
        <w:rPr>
          <w:color w:val="0066FF"/>
        </w:rPr>
      </w:pPr>
      <w:r w:rsidRPr="00FA2AB8">
        <w:rPr>
          <w:color w:val="000000" w:themeColor="text1"/>
        </w:rPr>
        <w:t>Based on the current Australian and international management guidelines for AD</w:t>
      </w:r>
      <w:r w:rsidRPr="00FA2AB8">
        <w:rPr>
          <w:rStyle w:val="FootnoteReference"/>
          <w:color w:val="000000" w:themeColor="text1"/>
        </w:rPr>
        <w:footnoteReference w:id="7"/>
      </w:r>
      <w:r w:rsidRPr="00FA2AB8">
        <w:rPr>
          <w:color w:val="000000" w:themeColor="text1"/>
          <w:vertAlign w:val="superscript"/>
        </w:rPr>
        <w:t>,</w:t>
      </w:r>
      <w:r w:rsidRPr="00FA2AB8">
        <w:rPr>
          <w:rStyle w:val="FootnoteReference"/>
          <w:color w:val="000000" w:themeColor="text1"/>
        </w:rPr>
        <w:footnoteReference w:id="8"/>
      </w:r>
      <w:r w:rsidRPr="00FA2AB8">
        <w:rPr>
          <w:color w:val="000000" w:themeColor="text1"/>
        </w:rPr>
        <w:t xml:space="preserve">, a stepwise </w:t>
      </w:r>
      <w:r w:rsidR="0037627F" w:rsidRPr="00FA2AB8">
        <w:rPr>
          <w:color w:val="000000" w:themeColor="text1"/>
        </w:rPr>
        <w:t xml:space="preserve">treatment </w:t>
      </w:r>
      <w:r w:rsidRPr="00FA2AB8">
        <w:rPr>
          <w:color w:val="000000" w:themeColor="text1"/>
        </w:rPr>
        <w:t xml:space="preserve">approach is applied. The baseline management includes optimal skin care with emollients/moisturisers, </w:t>
      </w:r>
      <w:r w:rsidR="00574BD6" w:rsidRPr="00FA2AB8">
        <w:rPr>
          <w:color w:val="000000" w:themeColor="text1"/>
        </w:rPr>
        <w:t xml:space="preserve">appropriate </w:t>
      </w:r>
      <w:r w:rsidRPr="00FA2AB8">
        <w:rPr>
          <w:color w:val="000000" w:themeColor="text1"/>
        </w:rPr>
        <w:t>bathing practice, adjuvant therap</w:t>
      </w:r>
      <w:r w:rsidR="00203DDD" w:rsidRPr="00FA2AB8">
        <w:rPr>
          <w:color w:val="000000" w:themeColor="text1"/>
        </w:rPr>
        <w:t>ies</w:t>
      </w:r>
      <w:r w:rsidRPr="00FA2AB8">
        <w:rPr>
          <w:color w:val="000000" w:themeColor="text1"/>
        </w:rPr>
        <w:t xml:space="preserve">, and </w:t>
      </w:r>
      <w:r w:rsidR="00203DDD" w:rsidRPr="00FA2AB8">
        <w:rPr>
          <w:color w:val="000000" w:themeColor="text1"/>
        </w:rPr>
        <w:t xml:space="preserve">targeted treatment for </w:t>
      </w:r>
      <w:r w:rsidRPr="00FA2AB8">
        <w:rPr>
          <w:color w:val="000000" w:themeColor="text1"/>
        </w:rPr>
        <w:t>acute flares. P</w:t>
      </w:r>
      <w:r w:rsidRPr="00FA2AB8">
        <w:t xml:space="preserve">atients with severe AD who </w:t>
      </w:r>
      <w:r w:rsidRPr="00FA2AB8">
        <w:lastRenderedPageBreak/>
        <w:t>cannot achieve adequate disease control</w:t>
      </w:r>
      <w:r w:rsidRPr="00FA2AB8">
        <w:rPr>
          <w:rStyle w:val="FootnoteReference"/>
        </w:rPr>
        <w:footnoteReference w:id="9"/>
      </w:r>
      <w:r w:rsidRPr="00FA2AB8">
        <w:t xml:space="preserve"> despite </w:t>
      </w:r>
      <w:r w:rsidR="0037627F" w:rsidRPr="00FA2AB8">
        <w:t xml:space="preserve">receiving a </w:t>
      </w:r>
      <w:r w:rsidRPr="00FA2AB8">
        <w:t xml:space="preserve">topical corticosteroid (TCS) or topical calcineurin inhibitor (TCI) for </w:t>
      </w:r>
      <w:r w:rsidRPr="00FA2AB8">
        <w:rPr>
          <w:rFonts w:cs="Calibri"/>
        </w:rPr>
        <w:t>≥</w:t>
      </w:r>
      <w:r w:rsidRPr="00FA2AB8">
        <w:t xml:space="preserve"> 28 days are eligible for systemic treatment with </w:t>
      </w:r>
      <w:r w:rsidR="0037627F" w:rsidRPr="00FA2AB8">
        <w:t xml:space="preserve">options such as </w:t>
      </w:r>
      <w:r w:rsidRPr="00FA2AB8">
        <w:t>immunosuppressants, monoclonal antibod</w:t>
      </w:r>
      <w:r w:rsidR="0037627F" w:rsidRPr="00FA2AB8">
        <w:t>ies</w:t>
      </w:r>
      <w:r w:rsidRPr="00FA2AB8">
        <w:t xml:space="preserve">, </w:t>
      </w:r>
      <w:r w:rsidR="0037627F" w:rsidRPr="00FA2AB8">
        <w:t>or</w:t>
      </w:r>
      <w:r w:rsidRPr="00FA2AB8">
        <w:t xml:space="preserve"> JAK inhibitors. </w:t>
      </w:r>
    </w:p>
    <w:p w14:paraId="496CECA6" w14:textId="72388766" w:rsidR="00546DBD" w:rsidRPr="00FA2AB8" w:rsidRDefault="00546DBD" w:rsidP="00531B7C">
      <w:pPr>
        <w:pStyle w:val="3-BodyText"/>
        <w:spacing w:before="160" w:after="160"/>
        <w:rPr>
          <w:color w:val="000000" w:themeColor="text1"/>
        </w:rPr>
      </w:pPr>
      <w:r w:rsidRPr="00FA2AB8">
        <w:rPr>
          <w:color w:val="000000" w:themeColor="text1"/>
        </w:rPr>
        <w:t xml:space="preserve">NEMO is a first in class humanised monoclonal antibody (IgG2) that inhibits interleukin-31 (IL-31). IL-31 is one of the key cytokines responsible for pruritus and inflammation in AD. </w:t>
      </w:r>
      <w:r w:rsidRPr="00FA2AB8">
        <w:rPr>
          <w:color w:val="000000" w:themeColor="text1"/>
          <w:lang w:bidi="en-US"/>
        </w:rPr>
        <w:t xml:space="preserve">In the NEMO </w:t>
      </w:r>
      <w:r w:rsidR="00793409">
        <w:rPr>
          <w:color w:val="000000" w:themeColor="text1"/>
          <w:lang w:bidi="en-US"/>
        </w:rPr>
        <w:t>Product Information (</w:t>
      </w:r>
      <w:r w:rsidRPr="00FA2AB8">
        <w:rPr>
          <w:color w:val="000000" w:themeColor="text1"/>
          <w:lang w:bidi="en-US"/>
        </w:rPr>
        <w:t>PI</w:t>
      </w:r>
      <w:r w:rsidR="00793409">
        <w:rPr>
          <w:color w:val="000000" w:themeColor="text1"/>
          <w:lang w:bidi="en-US"/>
        </w:rPr>
        <w:t>)</w:t>
      </w:r>
      <w:r w:rsidRPr="00FA2AB8">
        <w:rPr>
          <w:color w:val="000000" w:themeColor="text1"/>
          <w:lang w:bidi="en-US"/>
        </w:rPr>
        <w:t xml:space="preserve">, it is stated that NEMO can be used with or without </w:t>
      </w:r>
      <w:r w:rsidR="0037627F" w:rsidRPr="00FA2AB8">
        <w:rPr>
          <w:color w:val="000000" w:themeColor="text1"/>
          <w:lang w:bidi="en-US"/>
        </w:rPr>
        <w:t xml:space="preserve">a </w:t>
      </w:r>
      <w:r w:rsidRPr="00FA2AB8">
        <w:rPr>
          <w:color w:val="000000" w:themeColor="text1"/>
          <w:lang w:bidi="en-US"/>
        </w:rPr>
        <w:t>TCS. TCIs may be used, but should be reserved for problem areas only, such as the face, neck, intertriginous and genital areas. Any use of topical therapies should be tapered and subsequently discontinued when the disease has sufficiently improved.</w:t>
      </w:r>
    </w:p>
    <w:p w14:paraId="72BF6A0A" w14:textId="3EEBC760" w:rsidR="00546DBD" w:rsidRPr="00A11826" w:rsidRDefault="00546DBD" w:rsidP="00531B7C">
      <w:pPr>
        <w:pStyle w:val="3-BodyText"/>
        <w:spacing w:before="160" w:after="160"/>
        <w:rPr>
          <w:color w:val="0066FF"/>
        </w:rPr>
      </w:pPr>
      <w:r w:rsidRPr="00FA2AB8">
        <w:rPr>
          <w:color w:val="000000" w:themeColor="text1"/>
        </w:rPr>
        <w:t xml:space="preserve">NEMO, if listed on the PBS, </w:t>
      </w:r>
      <w:r w:rsidR="00793409">
        <w:rPr>
          <w:color w:val="000000" w:themeColor="text1"/>
        </w:rPr>
        <w:t xml:space="preserve">would </w:t>
      </w:r>
      <w:r w:rsidRPr="00FA2AB8">
        <w:rPr>
          <w:color w:val="000000" w:themeColor="text1"/>
        </w:rPr>
        <w:t xml:space="preserve">provide an additional systemic treatment </w:t>
      </w:r>
      <w:r w:rsidR="0037627F" w:rsidRPr="00FA2AB8">
        <w:rPr>
          <w:color w:val="000000" w:themeColor="text1"/>
        </w:rPr>
        <w:t xml:space="preserve">option </w:t>
      </w:r>
      <w:r w:rsidRPr="00FA2AB8">
        <w:rPr>
          <w:color w:val="000000" w:themeColor="text1"/>
        </w:rPr>
        <w:t>for severe AD in patients who are inadequately controlled on topical therapies.</w:t>
      </w:r>
    </w:p>
    <w:p w14:paraId="05714369" w14:textId="328E7108" w:rsidR="00A11826" w:rsidRPr="00EA316B" w:rsidDel="00195452" w:rsidRDefault="00A11826" w:rsidP="00A11826">
      <w:pPr>
        <w:pStyle w:val="3-BodyText"/>
        <w:numPr>
          <w:ilvl w:val="0"/>
          <w:numId w:val="0"/>
        </w:numPr>
        <w:spacing w:before="160" w:after="160"/>
        <w:ind w:left="720"/>
        <w:rPr>
          <w:i/>
          <w:iCs/>
        </w:rPr>
      </w:pPr>
      <w:r w:rsidRPr="00EA316B">
        <w:rPr>
          <w:i/>
          <w:iCs/>
        </w:rPr>
        <w:t>For more detail on PBAC’s view, see section 7 PBAC outcome.</w:t>
      </w:r>
    </w:p>
    <w:p w14:paraId="3453FFF7" w14:textId="77777777" w:rsidR="00546DBD" w:rsidRPr="00FA2AB8" w:rsidRDefault="00546DBD" w:rsidP="00531B7C">
      <w:pPr>
        <w:pStyle w:val="2-SectionHeading"/>
        <w:spacing w:before="160" w:after="160"/>
      </w:pPr>
      <w:bookmarkStart w:id="20" w:name="_Toc202884172"/>
      <w:bookmarkStart w:id="21" w:name="_Toc216710457"/>
      <w:r w:rsidRPr="00FA2AB8">
        <w:t>Comparator</w:t>
      </w:r>
      <w:bookmarkEnd w:id="20"/>
      <w:bookmarkEnd w:id="21"/>
    </w:p>
    <w:p w14:paraId="158F63CD" w14:textId="2AA865D1" w:rsidR="00546DBD" w:rsidRPr="00FA2AB8" w:rsidRDefault="00546DBD" w:rsidP="00531B7C">
      <w:pPr>
        <w:pStyle w:val="3-BodyText"/>
        <w:spacing w:before="160" w:after="160"/>
      </w:pPr>
      <w:r w:rsidRPr="00FA2AB8">
        <w:t xml:space="preserve">DUPI was the nominated main comparator in the </w:t>
      </w:r>
      <w:r w:rsidR="00DF3484">
        <w:t>re</w:t>
      </w:r>
      <w:r w:rsidRPr="00FA2AB8">
        <w:t xml:space="preserve">submission. This was </w:t>
      </w:r>
      <w:r w:rsidR="00793409">
        <w:t>consistent with</w:t>
      </w:r>
      <w:r w:rsidRPr="00FA2AB8">
        <w:t xml:space="preserve"> the previous submission. DUPI is PBS listed for treating chronic severe AD involving the whole body, face, and/or hands. </w:t>
      </w:r>
    </w:p>
    <w:p w14:paraId="38F4645F" w14:textId="1956CD2F" w:rsidR="00546DBD" w:rsidRDefault="00546DBD" w:rsidP="00531B7C">
      <w:pPr>
        <w:pStyle w:val="3-BodyText"/>
        <w:spacing w:before="160" w:after="160"/>
      </w:pPr>
      <w:r w:rsidRPr="00FA2AB8">
        <w:t xml:space="preserve">The main arguments provided in the </w:t>
      </w:r>
      <w:r w:rsidR="00DF3484">
        <w:t>re</w:t>
      </w:r>
      <w:r w:rsidRPr="00FA2AB8">
        <w:t>submission to support the nomination of DUPI as the main comparator include: 1) DUPI is the most utilised targeted therapy for treating severe AD in clinical practice (approximately 87% of PBS services) and hence</w:t>
      </w:r>
      <w:r w:rsidR="00523E81" w:rsidRPr="00FA2AB8">
        <w:t>,</w:t>
      </w:r>
      <w:r w:rsidRPr="00FA2AB8">
        <w:t xml:space="preserve"> is the therapy most likely to be replaced by NEMO should NEMO be listed, and 2) in the submissions for other targeted therapies for severe AD (UPA, LEB, and </w:t>
      </w:r>
      <w:proofErr w:type="spellStart"/>
      <w:r w:rsidRPr="00FA2AB8">
        <w:t>abrocitinib</w:t>
      </w:r>
      <w:proofErr w:type="spellEnd"/>
      <w:r w:rsidRPr="00FA2AB8">
        <w:t xml:space="preserve"> [ABRO])</w:t>
      </w:r>
      <w:r w:rsidR="009105C6">
        <w:t xml:space="preserve"> which utilised a CMA</w:t>
      </w:r>
      <w:r w:rsidRPr="00FA2AB8">
        <w:t xml:space="preserve">, DUPI was accepted as the main comparator . </w:t>
      </w:r>
    </w:p>
    <w:p w14:paraId="39C5A9FC" w14:textId="5C561A77" w:rsidR="005B42B2" w:rsidRPr="00FE714A" w:rsidRDefault="005B42B2" w:rsidP="005B42B2">
      <w:pPr>
        <w:pStyle w:val="3-BodyText"/>
        <w:spacing w:before="0" w:after="120"/>
        <w:rPr>
          <w:color w:val="0066FF"/>
        </w:rPr>
      </w:pPr>
      <w:bookmarkStart w:id="22" w:name="_Ref107305379"/>
      <w:r w:rsidRPr="00FE714A">
        <w:t xml:space="preserve">In the context of the CMA taken by the submission, a further consideration for PBAC is that, under Section 101(3B) of the </w:t>
      </w:r>
      <w:r w:rsidRPr="00FE714A">
        <w:rPr>
          <w:i/>
          <w:iCs/>
        </w:rPr>
        <w:t>National Health Act 1953</w:t>
      </w:r>
      <w:r w:rsidRPr="00FE714A">
        <w:t xml:space="preserve">, when the proposed medicine is substantially more costly than an alternative therapy, the </w:t>
      </w:r>
      <w:r w:rsidR="00B705E0">
        <w:t>C</w:t>
      </w:r>
      <w:r w:rsidRPr="00FE714A">
        <w:t xml:space="preserve">ommittee cannot make a positive recommendation unless it is satisfied that, for some patients, the proposed medicine provides a significant improvement in efficacy and/or reduction of toxicity over the alternative therapy. If the </w:t>
      </w:r>
      <w:r w:rsidR="00C96840">
        <w:t>C</w:t>
      </w:r>
      <w:r w:rsidRPr="00FE714A">
        <w:t>ommittee is so satisfied, it must make a statement to this effect.</w:t>
      </w:r>
      <w:bookmarkEnd w:id="22"/>
      <w:r w:rsidRPr="00FE714A">
        <w:t xml:space="preserve"> </w:t>
      </w:r>
    </w:p>
    <w:p w14:paraId="241BACEE" w14:textId="24CB262E" w:rsidR="005B42B2" w:rsidRDefault="005B42B2" w:rsidP="005B42B2">
      <w:pPr>
        <w:pStyle w:val="3-BodyText"/>
        <w:spacing w:before="160" w:after="160"/>
      </w:pPr>
      <w:r w:rsidRPr="00FE714A">
        <w:t>For the requested population, the following PBS-listed medicines may be considered alternative therapies because they could be replaced in practice: DUPI</w:t>
      </w:r>
      <w:r w:rsidR="00FE4F1D">
        <w:t xml:space="preserve"> and</w:t>
      </w:r>
      <w:r w:rsidRPr="00FE714A">
        <w:t xml:space="preserve"> UPA.</w:t>
      </w:r>
    </w:p>
    <w:p w14:paraId="7D645427" w14:textId="7706304F" w:rsidR="00A11826" w:rsidRPr="00EA316B" w:rsidRDefault="00A11826" w:rsidP="00A11826">
      <w:pPr>
        <w:pStyle w:val="3-BodyText"/>
        <w:numPr>
          <w:ilvl w:val="0"/>
          <w:numId w:val="0"/>
        </w:numPr>
        <w:spacing w:before="160" w:after="160"/>
        <w:ind w:left="720"/>
        <w:rPr>
          <w:i/>
          <w:iCs/>
        </w:rPr>
      </w:pPr>
      <w:r w:rsidRPr="00EA316B">
        <w:rPr>
          <w:i/>
          <w:iCs/>
        </w:rPr>
        <w:t>For more detail on PBAC’s view, see section 7 PBAC outcome.</w:t>
      </w:r>
    </w:p>
    <w:p w14:paraId="12BB737F" w14:textId="77777777" w:rsidR="00546DBD" w:rsidRPr="00FA2AB8" w:rsidRDefault="00546DBD" w:rsidP="00531B7C">
      <w:pPr>
        <w:pStyle w:val="2-SectionHeading"/>
        <w:spacing w:before="160" w:after="160"/>
      </w:pPr>
      <w:bookmarkStart w:id="23" w:name="_Toc202884173"/>
      <w:bookmarkStart w:id="24" w:name="_Toc216710458"/>
      <w:bookmarkStart w:id="25" w:name="_Toc22897640"/>
      <w:r w:rsidRPr="00FA2AB8">
        <w:lastRenderedPageBreak/>
        <w:t>Consideration of the evidence</w:t>
      </w:r>
      <w:bookmarkEnd w:id="23"/>
      <w:bookmarkEnd w:id="24"/>
    </w:p>
    <w:p w14:paraId="544A2097" w14:textId="77777777" w:rsidR="000D3B1C" w:rsidRPr="006E1229" w:rsidRDefault="000D3B1C" w:rsidP="000D3B1C">
      <w:pPr>
        <w:pStyle w:val="4-SubsectionHeading"/>
      </w:pPr>
      <w:bookmarkStart w:id="26" w:name="_Hlk76375935"/>
      <w:bookmarkStart w:id="27" w:name="_Toc202884174"/>
      <w:bookmarkStart w:id="28" w:name="_Toc216710459"/>
      <w:r w:rsidRPr="006E1229">
        <w:t>Sponsor hearing</w:t>
      </w:r>
    </w:p>
    <w:p w14:paraId="44B2E05D" w14:textId="017AF14C" w:rsidR="005B4784" w:rsidRDefault="000D3B1C" w:rsidP="005C4F91">
      <w:pPr>
        <w:widowControl w:val="0"/>
        <w:numPr>
          <w:ilvl w:val="1"/>
          <w:numId w:val="5"/>
        </w:numPr>
        <w:spacing w:after="120"/>
        <w:rPr>
          <w:rFonts w:asciiTheme="minorHAnsi" w:hAnsiTheme="minorHAnsi"/>
          <w:bCs/>
          <w:snapToGrid w:val="0"/>
        </w:rPr>
      </w:pPr>
      <w:bookmarkStart w:id="29" w:name="_Ref224888888"/>
      <w:bookmarkStart w:id="30" w:name="_Hlk76382586"/>
      <w:r w:rsidRPr="00836F75">
        <w:rPr>
          <w:rFonts w:asciiTheme="minorHAnsi" w:hAnsiTheme="minorHAnsi"/>
          <w:bCs/>
          <w:snapToGrid w:val="0"/>
        </w:rPr>
        <w:t>The</w:t>
      </w:r>
      <w:r w:rsidR="00CE3F2B">
        <w:rPr>
          <w:rFonts w:asciiTheme="minorHAnsi" w:hAnsiTheme="minorHAnsi"/>
          <w:bCs/>
          <w:snapToGrid w:val="0"/>
        </w:rPr>
        <w:t>re was no</w:t>
      </w:r>
      <w:r w:rsidRPr="00836F75">
        <w:rPr>
          <w:rFonts w:asciiTheme="minorHAnsi" w:hAnsiTheme="minorHAnsi"/>
          <w:bCs/>
          <w:snapToGrid w:val="0"/>
        </w:rPr>
        <w:t xml:space="preserve"> sponsor </w:t>
      </w:r>
      <w:r w:rsidR="00EC7A8A">
        <w:rPr>
          <w:rFonts w:asciiTheme="minorHAnsi" w:hAnsiTheme="minorHAnsi"/>
          <w:bCs/>
          <w:snapToGrid w:val="0"/>
        </w:rPr>
        <w:t xml:space="preserve">hearing </w:t>
      </w:r>
      <w:r w:rsidRPr="00836F75">
        <w:rPr>
          <w:rFonts w:asciiTheme="minorHAnsi" w:hAnsiTheme="minorHAnsi"/>
          <w:bCs/>
          <w:snapToGrid w:val="0"/>
        </w:rPr>
        <w:t>for this item</w:t>
      </w:r>
      <w:r w:rsidR="00EC7A8A">
        <w:rPr>
          <w:rFonts w:asciiTheme="minorHAnsi" w:hAnsiTheme="minorHAnsi"/>
          <w:bCs/>
          <w:snapToGrid w:val="0"/>
        </w:rPr>
        <w:t>; however, a written statement from a clinician</w:t>
      </w:r>
      <w:r w:rsidR="009849F6">
        <w:rPr>
          <w:rFonts w:asciiTheme="minorHAnsi" w:hAnsiTheme="minorHAnsi"/>
          <w:bCs/>
          <w:snapToGrid w:val="0"/>
        </w:rPr>
        <w:t xml:space="preserve"> who discussed the role of NEMO in the current Australian treatment landscape was provided</w:t>
      </w:r>
      <w:r w:rsidRPr="00836F75">
        <w:rPr>
          <w:rFonts w:asciiTheme="minorHAnsi" w:hAnsiTheme="minorHAnsi"/>
          <w:bCs/>
          <w:snapToGrid w:val="0"/>
        </w:rPr>
        <w:t xml:space="preserve">. The clinician </w:t>
      </w:r>
      <w:r w:rsidR="00D8658B">
        <w:rPr>
          <w:rFonts w:asciiTheme="minorHAnsi" w:hAnsiTheme="minorHAnsi"/>
          <w:bCs/>
          <w:snapToGrid w:val="0"/>
        </w:rPr>
        <w:t xml:space="preserve">described </w:t>
      </w:r>
      <w:r w:rsidR="00A7297E">
        <w:rPr>
          <w:rFonts w:asciiTheme="minorHAnsi" w:hAnsiTheme="minorHAnsi"/>
          <w:bCs/>
          <w:snapToGrid w:val="0"/>
        </w:rPr>
        <w:t>the adverse event</w:t>
      </w:r>
      <w:r w:rsidR="0065202A">
        <w:rPr>
          <w:rFonts w:asciiTheme="minorHAnsi" w:hAnsiTheme="minorHAnsi"/>
          <w:bCs/>
          <w:snapToGrid w:val="0"/>
        </w:rPr>
        <w:t xml:space="preserve">s associated with </w:t>
      </w:r>
      <w:r w:rsidR="00A7297E">
        <w:rPr>
          <w:rFonts w:asciiTheme="minorHAnsi" w:hAnsiTheme="minorHAnsi"/>
          <w:bCs/>
          <w:snapToGrid w:val="0"/>
        </w:rPr>
        <w:t xml:space="preserve">dupilumab, currently the </w:t>
      </w:r>
      <w:proofErr w:type="gramStart"/>
      <w:r w:rsidR="00A7297E">
        <w:rPr>
          <w:rFonts w:asciiTheme="minorHAnsi" w:hAnsiTheme="minorHAnsi"/>
          <w:bCs/>
          <w:snapToGrid w:val="0"/>
        </w:rPr>
        <w:t>most commonly used</w:t>
      </w:r>
      <w:proofErr w:type="gramEnd"/>
      <w:r w:rsidR="00A7297E">
        <w:rPr>
          <w:rFonts w:asciiTheme="minorHAnsi" w:hAnsiTheme="minorHAnsi"/>
          <w:bCs/>
          <w:snapToGrid w:val="0"/>
        </w:rPr>
        <w:t xml:space="preserve"> </w:t>
      </w:r>
      <w:r w:rsidR="0065202A">
        <w:rPr>
          <w:rFonts w:asciiTheme="minorHAnsi" w:hAnsiTheme="minorHAnsi"/>
          <w:bCs/>
          <w:snapToGrid w:val="0"/>
        </w:rPr>
        <w:t xml:space="preserve">biological medication for the treatment of severe atopic dermatitis. These include </w:t>
      </w:r>
      <w:r w:rsidR="00C268E5">
        <w:rPr>
          <w:rFonts w:asciiTheme="minorHAnsi" w:hAnsiTheme="minorHAnsi"/>
          <w:bCs/>
          <w:snapToGrid w:val="0"/>
        </w:rPr>
        <w:t>conjunctivitis (incidence of up to 62%)</w:t>
      </w:r>
      <w:r w:rsidR="004F6D7F">
        <w:rPr>
          <w:rStyle w:val="FootnoteReference"/>
          <w:rFonts w:asciiTheme="minorHAnsi" w:hAnsiTheme="minorHAnsi"/>
          <w:bCs/>
          <w:snapToGrid w:val="0"/>
        </w:rPr>
        <w:footnoteReference w:id="10"/>
      </w:r>
      <w:r w:rsidR="00C268E5">
        <w:rPr>
          <w:rFonts w:asciiTheme="minorHAnsi" w:hAnsiTheme="minorHAnsi"/>
          <w:bCs/>
          <w:snapToGrid w:val="0"/>
        </w:rPr>
        <w:t xml:space="preserve">, ocular surface disorders, </w:t>
      </w:r>
      <w:r w:rsidR="00803427">
        <w:rPr>
          <w:rFonts w:asciiTheme="minorHAnsi" w:hAnsiTheme="minorHAnsi"/>
          <w:bCs/>
          <w:snapToGrid w:val="0"/>
        </w:rPr>
        <w:t>“red face” syndrome</w:t>
      </w:r>
      <w:r w:rsidR="00C738BB">
        <w:rPr>
          <w:rFonts w:asciiTheme="minorHAnsi" w:hAnsiTheme="minorHAnsi"/>
          <w:bCs/>
          <w:snapToGrid w:val="0"/>
        </w:rPr>
        <w:t>, injection site reactions and the development of arthritis</w:t>
      </w:r>
      <w:r w:rsidR="00304BE7">
        <w:rPr>
          <w:rFonts w:asciiTheme="minorHAnsi" w:hAnsiTheme="minorHAnsi"/>
          <w:bCs/>
          <w:snapToGrid w:val="0"/>
        </w:rPr>
        <w:t>,</w:t>
      </w:r>
      <w:r w:rsidR="00BD12A1">
        <w:rPr>
          <w:rFonts w:asciiTheme="minorHAnsi" w:hAnsiTheme="minorHAnsi"/>
          <w:bCs/>
          <w:snapToGrid w:val="0"/>
        </w:rPr>
        <w:t xml:space="preserve"> and </w:t>
      </w:r>
      <w:r w:rsidR="00304BE7">
        <w:rPr>
          <w:rFonts w:asciiTheme="minorHAnsi" w:hAnsiTheme="minorHAnsi"/>
          <w:bCs/>
          <w:snapToGrid w:val="0"/>
        </w:rPr>
        <w:t xml:space="preserve">they </w:t>
      </w:r>
      <w:r w:rsidR="00BD12A1">
        <w:rPr>
          <w:rFonts w:asciiTheme="minorHAnsi" w:hAnsiTheme="minorHAnsi"/>
          <w:bCs/>
          <w:snapToGrid w:val="0"/>
        </w:rPr>
        <w:t>lead to discontinuation</w:t>
      </w:r>
      <w:r w:rsidR="005659F7">
        <w:rPr>
          <w:rFonts w:asciiTheme="minorHAnsi" w:hAnsiTheme="minorHAnsi"/>
          <w:bCs/>
          <w:snapToGrid w:val="0"/>
        </w:rPr>
        <w:t xml:space="preserve"> of dupilumab in </w:t>
      </w:r>
      <w:r w:rsidR="00947124">
        <w:rPr>
          <w:rFonts w:asciiTheme="minorHAnsi" w:hAnsiTheme="minorHAnsi"/>
          <w:bCs/>
          <w:snapToGrid w:val="0"/>
        </w:rPr>
        <w:t xml:space="preserve">approximately </w:t>
      </w:r>
      <w:r w:rsidR="005659F7">
        <w:rPr>
          <w:rFonts w:asciiTheme="minorHAnsi" w:hAnsiTheme="minorHAnsi"/>
          <w:bCs/>
          <w:snapToGrid w:val="0"/>
        </w:rPr>
        <w:t xml:space="preserve">5% of patients. The clinician stated that </w:t>
      </w:r>
      <w:r w:rsidR="00C41F69">
        <w:rPr>
          <w:rFonts w:asciiTheme="minorHAnsi" w:hAnsiTheme="minorHAnsi"/>
          <w:bCs/>
          <w:snapToGrid w:val="0"/>
        </w:rPr>
        <w:t xml:space="preserve">NEMO </w:t>
      </w:r>
      <w:r w:rsidR="005659F7">
        <w:rPr>
          <w:rFonts w:asciiTheme="minorHAnsi" w:hAnsiTheme="minorHAnsi"/>
          <w:bCs/>
          <w:snapToGrid w:val="0"/>
        </w:rPr>
        <w:t>has a favourable safety profile</w:t>
      </w:r>
      <w:r w:rsidR="0080080A">
        <w:rPr>
          <w:rFonts w:asciiTheme="minorHAnsi" w:hAnsiTheme="minorHAnsi"/>
          <w:bCs/>
          <w:snapToGrid w:val="0"/>
        </w:rPr>
        <w:t>, with rates of conjunctivitis and placebo no higher than with placebo,</w:t>
      </w:r>
      <w:r w:rsidR="00A0229A">
        <w:rPr>
          <w:rFonts w:asciiTheme="minorHAnsi" w:hAnsiTheme="minorHAnsi"/>
          <w:bCs/>
          <w:snapToGrid w:val="0"/>
        </w:rPr>
        <w:t xml:space="preserve"> is</w:t>
      </w:r>
      <w:r w:rsidR="0080080A">
        <w:rPr>
          <w:rFonts w:asciiTheme="minorHAnsi" w:hAnsiTheme="minorHAnsi"/>
          <w:bCs/>
          <w:snapToGrid w:val="0"/>
        </w:rPr>
        <w:t xml:space="preserve"> no</w:t>
      </w:r>
      <w:r w:rsidR="00A0229A">
        <w:rPr>
          <w:rFonts w:asciiTheme="minorHAnsi" w:hAnsiTheme="minorHAnsi"/>
          <w:bCs/>
          <w:snapToGrid w:val="0"/>
        </w:rPr>
        <w:t>t associated with</w:t>
      </w:r>
      <w:r w:rsidR="00EB12B6">
        <w:rPr>
          <w:rFonts w:asciiTheme="minorHAnsi" w:hAnsiTheme="minorHAnsi"/>
          <w:bCs/>
          <w:snapToGrid w:val="0"/>
        </w:rPr>
        <w:t xml:space="preserve"> “red face” or arthritis and </w:t>
      </w:r>
      <w:r w:rsidR="009A0FFF">
        <w:rPr>
          <w:rFonts w:asciiTheme="minorHAnsi" w:hAnsiTheme="minorHAnsi"/>
          <w:bCs/>
          <w:snapToGrid w:val="0"/>
        </w:rPr>
        <w:t xml:space="preserve">has </w:t>
      </w:r>
      <w:r w:rsidR="00EB12B6">
        <w:rPr>
          <w:rFonts w:asciiTheme="minorHAnsi" w:hAnsiTheme="minorHAnsi"/>
          <w:bCs/>
          <w:snapToGrid w:val="0"/>
        </w:rPr>
        <w:t>a low rate of injection site reactions.</w:t>
      </w:r>
      <w:bookmarkEnd w:id="29"/>
    </w:p>
    <w:p w14:paraId="11B77BE6" w14:textId="63A49543" w:rsidR="00DE1C25" w:rsidRDefault="005B4784" w:rsidP="005C4F91">
      <w:pPr>
        <w:widowControl w:val="0"/>
        <w:numPr>
          <w:ilvl w:val="1"/>
          <w:numId w:val="5"/>
        </w:numPr>
        <w:spacing w:after="120"/>
        <w:rPr>
          <w:rFonts w:asciiTheme="minorHAnsi" w:hAnsiTheme="minorHAnsi"/>
          <w:bCs/>
          <w:snapToGrid w:val="0"/>
        </w:rPr>
      </w:pPr>
      <w:r>
        <w:rPr>
          <w:rFonts w:asciiTheme="minorHAnsi" w:hAnsiTheme="minorHAnsi"/>
          <w:bCs/>
          <w:snapToGrid w:val="0"/>
        </w:rPr>
        <w:t xml:space="preserve">The clinician </w:t>
      </w:r>
      <w:r w:rsidR="00DE1C25">
        <w:rPr>
          <w:rFonts w:asciiTheme="minorHAnsi" w:hAnsiTheme="minorHAnsi"/>
          <w:bCs/>
          <w:snapToGrid w:val="0"/>
        </w:rPr>
        <w:t xml:space="preserve">also </w:t>
      </w:r>
      <w:r>
        <w:rPr>
          <w:rFonts w:asciiTheme="minorHAnsi" w:hAnsiTheme="minorHAnsi"/>
          <w:bCs/>
          <w:snapToGrid w:val="0"/>
        </w:rPr>
        <w:t xml:space="preserve">highlighted that </w:t>
      </w:r>
      <w:r w:rsidR="00C41F69">
        <w:rPr>
          <w:rFonts w:asciiTheme="minorHAnsi" w:hAnsiTheme="minorHAnsi"/>
          <w:bCs/>
          <w:snapToGrid w:val="0"/>
        </w:rPr>
        <w:t xml:space="preserve">NEMO </w:t>
      </w:r>
      <w:r>
        <w:rPr>
          <w:rFonts w:asciiTheme="minorHAnsi" w:hAnsiTheme="minorHAnsi"/>
          <w:bCs/>
          <w:snapToGrid w:val="0"/>
        </w:rPr>
        <w:t xml:space="preserve">has a </w:t>
      </w:r>
      <w:r w:rsidR="00B71036">
        <w:rPr>
          <w:rFonts w:asciiTheme="minorHAnsi" w:hAnsiTheme="minorHAnsi"/>
          <w:bCs/>
          <w:snapToGrid w:val="0"/>
        </w:rPr>
        <w:t>novel mechanism of action</w:t>
      </w:r>
      <w:r w:rsidR="004041DF">
        <w:rPr>
          <w:rFonts w:asciiTheme="minorHAnsi" w:hAnsiTheme="minorHAnsi"/>
          <w:bCs/>
          <w:snapToGrid w:val="0"/>
        </w:rPr>
        <w:t xml:space="preserve"> and as multiple mechanisms lead to similar skin manifestations, </w:t>
      </w:r>
      <w:r w:rsidR="004F6D7F">
        <w:rPr>
          <w:rFonts w:asciiTheme="minorHAnsi" w:hAnsiTheme="minorHAnsi"/>
          <w:bCs/>
          <w:snapToGrid w:val="0"/>
        </w:rPr>
        <w:t>there is a high need for additional treatment</w:t>
      </w:r>
      <w:r w:rsidR="00DE1C25">
        <w:rPr>
          <w:rFonts w:asciiTheme="minorHAnsi" w:hAnsiTheme="minorHAnsi"/>
          <w:bCs/>
          <w:snapToGrid w:val="0"/>
        </w:rPr>
        <w:t xml:space="preserve"> option</w:t>
      </w:r>
      <w:r w:rsidR="004F6D7F">
        <w:rPr>
          <w:rFonts w:asciiTheme="minorHAnsi" w:hAnsiTheme="minorHAnsi"/>
          <w:bCs/>
          <w:snapToGrid w:val="0"/>
        </w:rPr>
        <w:t>s.</w:t>
      </w:r>
    </w:p>
    <w:bookmarkEnd w:id="30"/>
    <w:p w14:paraId="31A8986A" w14:textId="03F97A3E" w:rsidR="000D3B1C" w:rsidRPr="006E1229" w:rsidRDefault="000D3B1C" w:rsidP="000D3B1C">
      <w:pPr>
        <w:pStyle w:val="4-SubsectionHeading"/>
      </w:pPr>
      <w:r w:rsidRPr="006E1229">
        <w:t xml:space="preserve">Consumer </w:t>
      </w:r>
      <w:r>
        <w:t>input</w:t>
      </w:r>
    </w:p>
    <w:p w14:paraId="2BEBED9B" w14:textId="5BBC87A6" w:rsidR="000D3B1C" w:rsidRPr="00836F75" w:rsidRDefault="000D3B1C" w:rsidP="005C4F91">
      <w:pPr>
        <w:widowControl w:val="0"/>
        <w:numPr>
          <w:ilvl w:val="1"/>
          <w:numId w:val="5"/>
        </w:numPr>
        <w:spacing w:after="120"/>
        <w:rPr>
          <w:rFonts w:asciiTheme="minorHAnsi" w:hAnsiTheme="minorHAnsi"/>
          <w:bCs/>
          <w:snapToGrid w:val="0"/>
        </w:rPr>
      </w:pPr>
      <w:bookmarkStart w:id="31" w:name="_Hlk76382618"/>
      <w:r w:rsidRPr="00836F75">
        <w:rPr>
          <w:rFonts w:asciiTheme="minorHAnsi" w:hAnsiTheme="minorHAnsi"/>
          <w:bCs/>
          <w:snapToGrid w:val="0"/>
        </w:rPr>
        <w:t xml:space="preserve">The PBAC noted and welcomed the input from </w:t>
      </w:r>
      <w:r w:rsidR="00853375">
        <w:rPr>
          <w:rFonts w:asciiTheme="minorHAnsi" w:hAnsiTheme="minorHAnsi"/>
          <w:bCs/>
          <w:snapToGrid w:val="0"/>
        </w:rPr>
        <w:t>individuals</w:t>
      </w:r>
      <w:r w:rsidRPr="00836F75">
        <w:rPr>
          <w:rFonts w:asciiTheme="minorHAnsi" w:hAnsiTheme="minorHAnsi"/>
          <w:bCs/>
          <w:snapToGrid w:val="0"/>
        </w:rPr>
        <w:t xml:space="preserve"> (1) and organisations (</w:t>
      </w:r>
      <w:r w:rsidR="000C1521">
        <w:rPr>
          <w:rFonts w:asciiTheme="minorHAnsi" w:hAnsiTheme="minorHAnsi"/>
          <w:bCs/>
          <w:snapToGrid w:val="0"/>
        </w:rPr>
        <w:t>3</w:t>
      </w:r>
      <w:r w:rsidRPr="00836F75">
        <w:rPr>
          <w:rFonts w:asciiTheme="minorHAnsi" w:hAnsiTheme="minorHAnsi"/>
          <w:bCs/>
          <w:snapToGrid w:val="0"/>
        </w:rPr>
        <w:t xml:space="preserve">) via the </w:t>
      </w:r>
      <w:r w:rsidRPr="00A46D6F">
        <w:rPr>
          <w:rFonts w:asciiTheme="minorHAnsi" w:hAnsiTheme="minorHAnsi"/>
          <w:bCs/>
          <w:snapToGrid w:val="0"/>
        </w:rPr>
        <w:t>Office of Health Technology Assessment Consultation Hub</w:t>
      </w:r>
      <w:r w:rsidRPr="00836F75">
        <w:rPr>
          <w:rFonts w:asciiTheme="minorHAnsi" w:hAnsiTheme="minorHAnsi"/>
          <w:bCs/>
          <w:snapToGrid w:val="0"/>
        </w:rPr>
        <w:t>.</w:t>
      </w:r>
      <w:r w:rsidR="00807021">
        <w:rPr>
          <w:rFonts w:asciiTheme="minorHAnsi" w:hAnsiTheme="minorHAnsi"/>
          <w:bCs/>
          <w:snapToGrid w:val="0"/>
        </w:rPr>
        <w:t xml:space="preserve"> </w:t>
      </w:r>
      <w:r w:rsidR="00853375">
        <w:rPr>
          <w:rFonts w:asciiTheme="minorHAnsi" w:hAnsiTheme="minorHAnsi"/>
          <w:bCs/>
          <w:snapToGrid w:val="0"/>
        </w:rPr>
        <w:t xml:space="preserve">The individual </w:t>
      </w:r>
      <w:r w:rsidR="006540B5">
        <w:rPr>
          <w:rFonts w:asciiTheme="minorHAnsi" w:hAnsiTheme="minorHAnsi"/>
          <w:bCs/>
          <w:snapToGrid w:val="0"/>
        </w:rPr>
        <w:t xml:space="preserve">had received </w:t>
      </w:r>
      <w:r w:rsidR="001B51A4">
        <w:rPr>
          <w:rFonts w:asciiTheme="minorHAnsi" w:hAnsiTheme="minorHAnsi"/>
          <w:bCs/>
          <w:snapToGrid w:val="0"/>
        </w:rPr>
        <w:t xml:space="preserve">NEMO </w:t>
      </w:r>
      <w:r w:rsidR="009B546A">
        <w:rPr>
          <w:rFonts w:asciiTheme="minorHAnsi" w:hAnsiTheme="minorHAnsi"/>
          <w:bCs/>
          <w:snapToGrid w:val="0"/>
        </w:rPr>
        <w:t xml:space="preserve">via a clinical trial </w:t>
      </w:r>
      <w:r w:rsidR="006540B5">
        <w:rPr>
          <w:rFonts w:asciiTheme="minorHAnsi" w:hAnsiTheme="minorHAnsi"/>
          <w:bCs/>
          <w:snapToGrid w:val="0"/>
        </w:rPr>
        <w:t>for their AD and stated that their skin cleared completely</w:t>
      </w:r>
      <w:r w:rsidR="008B763E">
        <w:rPr>
          <w:rFonts w:asciiTheme="minorHAnsi" w:hAnsiTheme="minorHAnsi"/>
          <w:bCs/>
          <w:snapToGrid w:val="0"/>
        </w:rPr>
        <w:t>, they had a reduction in environmental allergy reactivity, reduced frequency of cold sores and stabilisation of lip</w:t>
      </w:r>
      <w:r w:rsidR="009A6F15">
        <w:rPr>
          <w:rFonts w:asciiTheme="minorHAnsi" w:hAnsiTheme="minorHAnsi"/>
          <w:bCs/>
          <w:snapToGrid w:val="0"/>
        </w:rPr>
        <w:t xml:space="preserve">oedema. The individual </w:t>
      </w:r>
      <w:r w:rsidR="004E45D0">
        <w:rPr>
          <w:rFonts w:asciiTheme="minorHAnsi" w:hAnsiTheme="minorHAnsi"/>
          <w:bCs/>
          <w:snapToGrid w:val="0"/>
        </w:rPr>
        <w:t xml:space="preserve">reported no adverse events while on treatment and stated that their quality of life </w:t>
      </w:r>
      <w:r w:rsidR="009B546A">
        <w:rPr>
          <w:rFonts w:asciiTheme="minorHAnsi" w:hAnsiTheme="minorHAnsi"/>
          <w:bCs/>
          <w:snapToGrid w:val="0"/>
        </w:rPr>
        <w:t xml:space="preserve">improved significantly. </w:t>
      </w:r>
    </w:p>
    <w:p w14:paraId="50A9E6C4" w14:textId="62911F1E" w:rsidR="008168E5" w:rsidRDefault="00EA7DBC" w:rsidP="005C4F91">
      <w:pPr>
        <w:widowControl w:val="0"/>
        <w:numPr>
          <w:ilvl w:val="1"/>
          <w:numId w:val="5"/>
        </w:numPr>
        <w:spacing w:after="120"/>
        <w:rPr>
          <w:rFonts w:asciiTheme="minorHAnsi" w:hAnsiTheme="minorHAnsi"/>
          <w:bCs/>
          <w:snapToGrid w:val="0"/>
        </w:rPr>
      </w:pPr>
      <w:bookmarkStart w:id="32" w:name="_Hlk97141415"/>
      <w:r>
        <w:rPr>
          <w:rFonts w:asciiTheme="minorHAnsi" w:hAnsiTheme="minorHAnsi"/>
          <w:bCs/>
          <w:snapToGrid w:val="0"/>
        </w:rPr>
        <w:t>The PBAC noted input from the Australian College of Dermatologists</w:t>
      </w:r>
      <w:r w:rsidR="007049D4">
        <w:rPr>
          <w:rFonts w:asciiTheme="minorHAnsi" w:hAnsiTheme="minorHAnsi"/>
          <w:bCs/>
          <w:snapToGrid w:val="0"/>
        </w:rPr>
        <w:t>, the Australian Society of Clinical Immunology and Allergy</w:t>
      </w:r>
      <w:r w:rsidR="00162772">
        <w:rPr>
          <w:rFonts w:asciiTheme="minorHAnsi" w:hAnsiTheme="minorHAnsi"/>
          <w:bCs/>
          <w:snapToGrid w:val="0"/>
        </w:rPr>
        <w:t xml:space="preserve"> and a joint submission from Allergy &amp; Anaphylaxis Australia</w:t>
      </w:r>
      <w:r w:rsidR="007C31B0">
        <w:rPr>
          <w:rFonts w:asciiTheme="minorHAnsi" w:hAnsiTheme="minorHAnsi"/>
          <w:bCs/>
          <w:snapToGrid w:val="0"/>
        </w:rPr>
        <w:t xml:space="preserve"> </w:t>
      </w:r>
      <w:r w:rsidR="00603403">
        <w:rPr>
          <w:rFonts w:asciiTheme="minorHAnsi" w:hAnsiTheme="minorHAnsi"/>
          <w:bCs/>
          <w:snapToGrid w:val="0"/>
        </w:rPr>
        <w:t xml:space="preserve">and </w:t>
      </w:r>
      <w:r w:rsidR="007C31B0">
        <w:rPr>
          <w:rFonts w:asciiTheme="minorHAnsi" w:hAnsiTheme="minorHAnsi"/>
          <w:bCs/>
          <w:snapToGrid w:val="0"/>
        </w:rPr>
        <w:t>the N</w:t>
      </w:r>
      <w:r w:rsidR="00C23876">
        <w:rPr>
          <w:rFonts w:asciiTheme="minorHAnsi" w:hAnsiTheme="minorHAnsi"/>
          <w:bCs/>
          <w:snapToGrid w:val="0"/>
        </w:rPr>
        <w:t>ational Allergy Council. The PBAC recalled that these organisations</w:t>
      </w:r>
      <w:r w:rsidR="001B3E31">
        <w:rPr>
          <w:rFonts w:asciiTheme="minorHAnsi" w:hAnsiTheme="minorHAnsi"/>
          <w:bCs/>
          <w:snapToGrid w:val="0"/>
        </w:rPr>
        <w:t>, which</w:t>
      </w:r>
      <w:r w:rsidR="00C23876">
        <w:rPr>
          <w:rFonts w:asciiTheme="minorHAnsi" w:hAnsiTheme="minorHAnsi"/>
          <w:bCs/>
          <w:snapToGrid w:val="0"/>
        </w:rPr>
        <w:t xml:space="preserve"> had also provided input in July 2025</w:t>
      </w:r>
      <w:r w:rsidR="001B3E31">
        <w:rPr>
          <w:rFonts w:asciiTheme="minorHAnsi" w:hAnsiTheme="minorHAnsi"/>
          <w:bCs/>
          <w:snapToGrid w:val="0"/>
        </w:rPr>
        <w:t xml:space="preserve">, described </w:t>
      </w:r>
      <w:r w:rsidR="00C6386E">
        <w:rPr>
          <w:rFonts w:asciiTheme="minorHAnsi" w:hAnsiTheme="minorHAnsi"/>
          <w:bCs/>
          <w:snapToGrid w:val="0"/>
        </w:rPr>
        <w:t>the impacts of severe AD on an individuals</w:t>
      </w:r>
      <w:r w:rsidR="009413EE">
        <w:rPr>
          <w:rFonts w:asciiTheme="minorHAnsi" w:hAnsiTheme="minorHAnsi"/>
          <w:bCs/>
          <w:snapToGrid w:val="0"/>
        </w:rPr>
        <w:t>’</w:t>
      </w:r>
      <w:r w:rsidR="00C6386E">
        <w:rPr>
          <w:rFonts w:asciiTheme="minorHAnsi" w:hAnsiTheme="minorHAnsi"/>
          <w:bCs/>
          <w:snapToGrid w:val="0"/>
        </w:rPr>
        <w:t xml:space="preserve"> </w:t>
      </w:r>
      <w:r w:rsidR="0032120D">
        <w:rPr>
          <w:rFonts w:asciiTheme="minorHAnsi" w:hAnsiTheme="minorHAnsi"/>
          <w:bCs/>
          <w:snapToGrid w:val="0"/>
        </w:rPr>
        <w:t>ability to participate in social, work and educational activities</w:t>
      </w:r>
      <w:r w:rsidR="009413EE">
        <w:rPr>
          <w:rFonts w:asciiTheme="minorHAnsi" w:hAnsiTheme="minorHAnsi"/>
          <w:bCs/>
          <w:snapToGrid w:val="0"/>
        </w:rPr>
        <w:t xml:space="preserve"> and</w:t>
      </w:r>
      <w:r w:rsidR="0032120D">
        <w:rPr>
          <w:rFonts w:asciiTheme="minorHAnsi" w:hAnsiTheme="minorHAnsi"/>
          <w:bCs/>
          <w:snapToGrid w:val="0"/>
        </w:rPr>
        <w:t xml:space="preserve"> the severe itch</w:t>
      </w:r>
      <w:r w:rsidR="00E54AB1">
        <w:rPr>
          <w:rFonts w:asciiTheme="minorHAnsi" w:hAnsiTheme="minorHAnsi"/>
          <w:bCs/>
          <w:snapToGrid w:val="0"/>
        </w:rPr>
        <w:t>, which affects sleep and can increase the risk of infection</w:t>
      </w:r>
      <w:r w:rsidR="009413EE">
        <w:rPr>
          <w:rFonts w:asciiTheme="minorHAnsi" w:hAnsiTheme="minorHAnsi"/>
          <w:bCs/>
          <w:snapToGrid w:val="0"/>
        </w:rPr>
        <w:t xml:space="preserve">, </w:t>
      </w:r>
      <w:proofErr w:type="gramStart"/>
      <w:r w:rsidR="009413EE">
        <w:rPr>
          <w:rFonts w:asciiTheme="minorHAnsi" w:hAnsiTheme="minorHAnsi"/>
          <w:bCs/>
          <w:snapToGrid w:val="0"/>
        </w:rPr>
        <w:t>all of</w:t>
      </w:r>
      <w:proofErr w:type="gramEnd"/>
      <w:r w:rsidR="009413EE">
        <w:rPr>
          <w:rFonts w:asciiTheme="minorHAnsi" w:hAnsiTheme="minorHAnsi"/>
          <w:bCs/>
          <w:snapToGrid w:val="0"/>
        </w:rPr>
        <w:t xml:space="preserve"> which impact </w:t>
      </w:r>
      <w:r w:rsidR="00455FA4">
        <w:rPr>
          <w:rFonts w:asciiTheme="minorHAnsi" w:hAnsiTheme="minorHAnsi"/>
          <w:bCs/>
          <w:snapToGrid w:val="0"/>
        </w:rPr>
        <w:t>quality of life.</w:t>
      </w:r>
      <w:r w:rsidR="008168E5">
        <w:rPr>
          <w:rFonts w:asciiTheme="minorHAnsi" w:hAnsiTheme="minorHAnsi"/>
          <w:bCs/>
          <w:snapToGrid w:val="0"/>
        </w:rPr>
        <w:t xml:space="preserve"> </w:t>
      </w:r>
      <w:r w:rsidR="00455FA4" w:rsidRPr="008168E5">
        <w:rPr>
          <w:rFonts w:asciiTheme="minorHAnsi" w:hAnsiTheme="minorHAnsi"/>
          <w:bCs/>
          <w:snapToGrid w:val="0"/>
        </w:rPr>
        <w:t xml:space="preserve">The inputs noted that </w:t>
      </w:r>
      <w:r w:rsidR="00B4283A" w:rsidRPr="008168E5">
        <w:rPr>
          <w:rFonts w:asciiTheme="minorHAnsi" w:hAnsiTheme="minorHAnsi"/>
          <w:bCs/>
          <w:snapToGrid w:val="0"/>
        </w:rPr>
        <w:t xml:space="preserve">the addition of </w:t>
      </w:r>
      <w:r w:rsidR="00443407">
        <w:rPr>
          <w:rFonts w:asciiTheme="minorHAnsi" w:hAnsiTheme="minorHAnsi"/>
          <w:bCs/>
          <w:snapToGrid w:val="0"/>
        </w:rPr>
        <w:t>NEMO</w:t>
      </w:r>
      <w:r w:rsidR="00B4283A" w:rsidRPr="008168E5">
        <w:rPr>
          <w:rFonts w:asciiTheme="minorHAnsi" w:hAnsiTheme="minorHAnsi"/>
          <w:bCs/>
          <w:snapToGrid w:val="0"/>
        </w:rPr>
        <w:t xml:space="preserve"> to the PBS would provide an alternate treatment options for patients</w:t>
      </w:r>
      <w:r w:rsidR="008168E5" w:rsidRPr="008168E5">
        <w:rPr>
          <w:rFonts w:asciiTheme="minorHAnsi" w:hAnsiTheme="minorHAnsi"/>
          <w:bCs/>
          <w:snapToGrid w:val="0"/>
        </w:rPr>
        <w:t>.</w:t>
      </w:r>
      <w:r w:rsidR="00E54AB1" w:rsidRPr="008168E5">
        <w:rPr>
          <w:rFonts w:asciiTheme="minorHAnsi" w:hAnsiTheme="minorHAnsi"/>
          <w:bCs/>
          <w:snapToGrid w:val="0"/>
        </w:rPr>
        <w:t xml:space="preserve"> </w:t>
      </w:r>
    </w:p>
    <w:bookmarkEnd w:id="26"/>
    <w:bookmarkEnd w:id="31"/>
    <w:bookmarkEnd w:id="32"/>
    <w:p w14:paraId="3C4A8097" w14:textId="77777777" w:rsidR="00546DBD" w:rsidRPr="00FA2AB8" w:rsidRDefault="00546DBD" w:rsidP="004D74DA">
      <w:pPr>
        <w:pStyle w:val="4-SubsectionHeading"/>
      </w:pPr>
      <w:r w:rsidRPr="00FA2AB8">
        <w:t>Clinical studies</w:t>
      </w:r>
      <w:bookmarkEnd w:id="25"/>
      <w:bookmarkEnd w:id="27"/>
      <w:bookmarkEnd w:id="28"/>
    </w:p>
    <w:p w14:paraId="1133F634" w14:textId="1C2503BA" w:rsidR="00546DBD" w:rsidRPr="00FA2AB8" w:rsidRDefault="007907BD" w:rsidP="00531B7C">
      <w:pPr>
        <w:pStyle w:val="3-BodyText"/>
        <w:spacing w:before="160" w:after="160"/>
      </w:pPr>
      <w:r>
        <w:t>T</w:t>
      </w:r>
      <w:r w:rsidR="00546DBD" w:rsidRPr="00FA2AB8">
        <w:t xml:space="preserve">he trials included in the </w:t>
      </w:r>
      <w:r w:rsidR="0037627F" w:rsidRPr="00FA2AB8">
        <w:t>re</w:t>
      </w:r>
      <w:r w:rsidR="00546DBD" w:rsidRPr="00FA2AB8">
        <w:t xml:space="preserve">submission </w:t>
      </w:r>
      <w:r w:rsidR="001438C9">
        <w:t>were</w:t>
      </w:r>
      <w:r w:rsidR="001438C9" w:rsidRPr="00FA2AB8">
        <w:t xml:space="preserve"> </w:t>
      </w:r>
      <w:r w:rsidR="00546DBD" w:rsidRPr="00FA2AB8">
        <w:t xml:space="preserve">the same as in the previous submission. The primary difference is the use of data from the ARCADIA longer term extension </w:t>
      </w:r>
      <w:r w:rsidR="00546DBD" w:rsidRPr="00FA2AB8">
        <w:lastRenderedPageBreak/>
        <w:t xml:space="preserve">(LTE) study out to 104 weeks and the use of an extended induction period </w:t>
      </w:r>
      <w:r w:rsidR="0037627F" w:rsidRPr="00FA2AB8">
        <w:t>for patients in</w:t>
      </w:r>
      <w:r w:rsidR="00546DBD" w:rsidRPr="00FA2AB8">
        <w:t xml:space="preserve"> the ARCADIA LTE to inform a naïve indirect treatment comparison (ITC).</w:t>
      </w:r>
    </w:p>
    <w:p w14:paraId="1178D819" w14:textId="2D05D1CA" w:rsidR="00546DBD" w:rsidRPr="00FA2AB8" w:rsidRDefault="00546DBD" w:rsidP="00531B7C">
      <w:pPr>
        <w:pStyle w:val="3-BodyText"/>
        <w:spacing w:before="160" w:after="160"/>
      </w:pPr>
      <w:r w:rsidRPr="00FA2AB8">
        <w:t xml:space="preserve">Details of the studies presented in the </w:t>
      </w:r>
      <w:r w:rsidR="0037627F" w:rsidRPr="00FA2AB8">
        <w:t>re</w:t>
      </w:r>
      <w:r w:rsidRPr="00FA2AB8">
        <w:t xml:space="preserve">submission are provided in </w:t>
      </w:r>
      <w:r w:rsidRPr="00FA2AB8">
        <w:fldChar w:fldCharType="begin"/>
      </w:r>
      <w:r w:rsidRPr="00FA2AB8">
        <w:instrText xml:space="preserve"> REF _Ref104803956 \h </w:instrText>
      </w:r>
      <w:r w:rsidR="00FA2AB8" w:rsidRPr="00FA2AB8">
        <w:instrText xml:space="preserve"> \* MERGEFORMAT </w:instrText>
      </w:r>
      <w:r w:rsidRPr="00FA2AB8">
        <w:fldChar w:fldCharType="separate"/>
      </w:r>
      <w:r w:rsidR="00F51AFF" w:rsidRPr="00FA2AB8">
        <w:t xml:space="preserve">Table </w:t>
      </w:r>
      <w:r w:rsidR="00F51AFF" w:rsidRPr="00FA2AB8">
        <w:rPr>
          <w:noProof/>
        </w:rPr>
        <w:t>3</w:t>
      </w:r>
      <w:r w:rsidRPr="00FA2AB8">
        <w:fldChar w:fldCharType="end"/>
      </w:r>
      <w:r w:rsidRPr="00FA2AB8">
        <w:t>.</w:t>
      </w:r>
    </w:p>
    <w:p w14:paraId="6406FB31" w14:textId="31BE98D6" w:rsidR="00546DBD" w:rsidRPr="00FA2AB8" w:rsidRDefault="00546DBD" w:rsidP="003010EC">
      <w:pPr>
        <w:pStyle w:val="TableFigureHeading"/>
        <w:keepLines/>
        <w:widowControl w:val="0"/>
        <w:rPr>
          <w:rStyle w:val="CommentReference"/>
          <w:b/>
          <w:szCs w:val="24"/>
        </w:rPr>
      </w:pPr>
      <w:bookmarkStart w:id="33" w:name="_Ref104803956"/>
      <w:r w:rsidRPr="00FA2AB8">
        <w:t xml:space="preserve">Table </w:t>
      </w:r>
      <w:fldSimple w:instr=" SEQ Table \* ARABIC ">
        <w:r w:rsidR="00CB23C7">
          <w:rPr>
            <w:noProof/>
          </w:rPr>
          <w:t>3</w:t>
        </w:r>
      </w:fldSimple>
      <w:bookmarkEnd w:id="33"/>
      <w:r w:rsidRPr="00FA2AB8">
        <w:t>:</w:t>
      </w:r>
      <w:r w:rsidRPr="00FA2AB8">
        <w:rPr>
          <w:rStyle w:val="CommentReference"/>
          <w:b/>
          <w:szCs w:val="24"/>
        </w:rPr>
        <w:t xml:space="preserve"> Trials/studies and associated reports presented in the </w:t>
      </w:r>
      <w:r w:rsidR="0037627F" w:rsidRPr="00FA2AB8">
        <w:rPr>
          <w:rStyle w:val="CommentReference"/>
          <w:b/>
          <w:szCs w:val="24"/>
        </w:rPr>
        <w:t>re</w:t>
      </w:r>
      <w:r w:rsidRPr="00FA2AB8">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studies and associated reports presented in the resubmission"/>
      </w:tblPr>
      <w:tblGrid>
        <w:gridCol w:w="1434"/>
        <w:gridCol w:w="5933"/>
        <w:gridCol w:w="1650"/>
      </w:tblGrid>
      <w:tr w:rsidR="00546DBD" w:rsidRPr="00945436" w14:paraId="5336FA3B" w14:textId="77777777" w:rsidTr="00AF29CF">
        <w:trPr>
          <w:cantSplit/>
          <w:tblHeader/>
        </w:trPr>
        <w:tc>
          <w:tcPr>
            <w:tcW w:w="795" w:type="pct"/>
            <w:vAlign w:val="center"/>
          </w:tcPr>
          <w:p w14:paraId="7ADF64E8" w14:textId="77777777" w:rsidR="00546DBD" w:rsidRPr="00783558" w:rsidRDefault="00546DBD" w:rsidP="003010EC">
            <w:pPr>
              <w:pStyle w:val="In-tableHeading"/>
              <w:rPr>
                <w:i w:val="0"/>
              </w:rPr>
            </w:pPr>
            <w:r w:rsidRPr="00783558">
              <w:rPr>
                <w:i w:val="0"/>
              </w:rPr>
              <w:t>Trial ID</w:t>
            </w:r>
          </w:p>
        </w:tc>
        <w:tc>
          <w:tcPr>
            <w:tcW w:w="3290" w:type="pct"/>
            <w:vAlign w:val="center"/>
          </w:tcPr>
          <w:p w14:paraId="672F1DE0" w14:textId="77777777" w:rsidR="00546DBD" w:rsidRPr="00783558" w:rsidRDefault="00546DBD" w:rsidP="003010EC">
            <w:pPr>
              <w:pStyle w:val="In-tableHeading"/>
              <w:rPr>
                <w:i w:val="0"/>
              </w:rPr>
            </w:pPr>
            <w:r w:rsidRPr="00783558">
              <w:rPr>
                <w:i w:val="0"/>
              </w:rPr>
              <w:t>Protocol title/ Publication title</w:t>
            </w:r>
          </w:p>
        </w:tc>
        <w:tc>
          <w:tcPr>
            <w:tcW w:w="915" w:type="pct"/>
            <w:vAlign w:val="center"/>
          </w:tcPr>
          <w:p w14:paraId="159A157C" w14:textId="77777777" w:rsidR="00546DBD" w:rsidRPr="00783558" w:rsidRDefault="00546DBD" w:rsidP="003010EC">
            <w:pPr>
              <w:pStyle w:val="In-tableHeading"/>
              <w:rPr>
                <w:i w:val="0"/>
              </w:rPr>
            </w:pPr>
            <w:r w:rsidRPr="00783558">
              <w:rPr>
                <w:i w:val="0"/>
              </w:rPr>
              <w:t>Publication citation</w:t>
            </w:r>
          </w:p>
        </w:tc>
      </w:tr>
      <w:tr w:rsidR="00546DBD" w:rsidRPr="00945436" w14:paraId="1EAA12B4" w14:textId="77777777" w:rsidTr="00AF29CF">
        <w:trPr>
          <w:cantSplit/>
        </w:trPr>
        <w:tc>
          <w:tcPr>
            <w:tcW w:w="5000" w:type="pct"/>
            <w:gridSpan w:val="3"/>
            <w:vAlign w:val="center"/>
          </w:tcPr>
          <w:p w14:paraId="7F2A8E82" w14:textId="77777777" w:rsidR="00546DBD" w:rsidRPr="00FA2AB8" w:rsidRDefault="00546DBD" w:rsidP="003010EC">
            <w:pPr>
              <w:pStyle w:val="TableText0"/>
              <w:widowControl w:val="0"/>
            </w:pPr>
            <w:r w:rsidRPr="00945436">
              <w:rPr>
                <w:b/>
                <w:bCs w:val="0"/>
                <w:szCs w:val="20"/>
              </w:rPr>
              <w:t>Nemolizumab</w:t>
            </w:r>
          </w:p>
        </w:tc>
      </w:tr>
      <w:tr w:rsidR="00546DBD" w:rsidRPr="00945436" w14:paraId="05DCDE10" w14:textId="77777777" w:rsidTr="00AF29CF">
        <w:trPr>
          <w:cantSplit/>
        </w:trPr>
        <w:tc>
          <w:tcPr>
            <w:tcW w:w="795" w:type="pct"/>
            <w:vMerge w:val="restart"/>
            <w:shd w:val="clear" w:color="auto" w:fill="B8CCE4"/>
            <w:vAlign w:val="center"/>
          </w:tcPr>
          <w:p w14:paraId="7D9C586E" w14:textId="77777777" w:rsidR="00546DBD" w:rsidRPr="00945436" w:rsidRDefault="00546DBD" w:rsidP="003010EC">
            <w:pPr>
              <w:pStyle w:val="TableLeft"/>
              <w:keepNext/>
              <w:keepLines/>
              <w:widowControl w:val="0"/>
              <w:rPr>
                <w:rStyle w:val="Small"/>
                <w:rFonts w:ascii="Arial Narrow" w:hAnsi="Arial Narrow"/>
                <w:b/>
                <w:bCs/>
                <w:szCs w:val="20"/>
              </w:rPr>
            </w:pPr>
            <w:r w:rsidRPr="00945436">
              <w:rPr>
                <w:rStyle w:val="Small"/>
                <w:rFonts w:ascii="Arial Narrow" w:hAnsi="Arial Narrow"/>
                <w:b/>
                <w:bCs/>
                <w:szCs w:val="20"/>
              </w:rPr>
              <w:t>ARCADIA 1</w:t>
            </w:r>
          </w:p>
          <w:p w14:paraId="71F97A61" w14:textId="77777777" w:rsidR="00546DBD" w:rsidRPr="00945436" w:rsidRDefault="00546DBD" w:rsidP="003010EC">
            <w:pPr>
              <w:pStyle w:val="TableLeft"/>
              <w:keepNext/>
              <w:keepLines/>
              <w:widowControl w:val="0"/>
              <w:rPr>
                <w:rStyle w:val="Small"/>
                <w:rFonts w:ascii="Arial Narrow" w:hAnsi="Arial Narrow"/>
                <w:szCs w:val="20"/>
              </w:rPr>
            </w:pPr>
            <w:r w:rsidRPr="00945436">
              <w:rPr>
                <w:rStyle w:val="Small"/>
                <w:rFonts w:ascii="Arial Narrow" w:hAnsi="Arial Narrow"/>
                <w:szCs w:val="20"/>
              </w:rPr>
              <w:t>NCT03985943</w:t>
            </w:r>
          </w:p>
          <w:p w14:paraId="0AD8D659" w14:textId="77777777" w:rsidR="00546DBD" w:rsidRPr="00945436" w:rsidRDefault="00546DBD" w:rsidP="003010EC">
            <w:pPr>
              <w:pStyle w:val="TableLeft"/>
              <w:keepNext/>
              <w:keepLines/>
              <w:widowControl w:val="0"/>
              <w:rPr>
                <w:rStyle w:val="Small"/>
                <w:rFonts w:ascii="Arial Narrow" w:hAnsi="Arial Narrow"/>
                <w:szCs w:val="20"/>
              </w:rPr>
            </w:pPr>
          </w:p>
          <w:p w14:paraId="3BA3D898" w14:textId="77777777" w:rsidR="00546DBD" w:rsidRPr="00945436" w:rsidRDefault="00546DBD" w:rsidP="003010EC">
            <w:pPr>
              <w:pStyle w:val="TableLeft"/>
              <w:keepNext/>
              <w:keepLines/>
              <w:widowControl w:val="0"/>
              <w:rPr>
                <w:rStyle w:val="Small"/>
                <w:rFonts w:ascii="Arial Narrow" w:hAnsi="Arial Narrow"/>
                <w:b/>
                <w:bCs/>
                <w:szCs w:val="20"/>
              </w:rPr>
            </w:pPr>
            <w:r w:rsidRPr="00945436">
              <w:rPr>
                <w:rStyle w:val="Small"/>
                <w:rFonts w:ascii="Arial Narrow" w:hAnsi="Arial Narrow"/>
                <w:b/>
                <w:bCs/>
                <w:szCs w:val="20"/>
              </w:rPr>
              <w:t>ARCADIA 2</w:t>
            </w:r>
          </w:p>
          <w:p w14:paraId="17B904E8" w14:textId="77777777" w:rsidR="00546DBD" w:rsidRPr="00945436" w:rsidRDefault="00546DBD" w:rsidP="003010EC">
            <w:pPr>
              <w:pStyle w:val="TableText0"/>
              <w:widowControl w:val="0"/>
              <w:rPr>
                <w:szCs w:val="20"/>
              </w:rPr>
            </w:pPr>
            <w:r w:rsidRPr="00945436">
              <w:rPr>
                <w:rStyle w:val="Small"/>
                <w:rFonts w:ascii="Arial Narrow" w:hAnsi="Arial Narrow"/>
                <w:szCs w:val="20"/>
              </w:rPr>
              <w:t>NCT03989349</w:t>
            </w:r>
          </w:p>
        </w:tc>
        <w:tc>
          <w:tcPr>
            <w:tcW w:w="3290" w:type="pct"/>
            <w:shd w:val="clear" w:color="auto" w:fill="B8CCE4"/>
            <w:vAlign w:val="center"/>
          </w:tcPr>
          <w:p w14:paraId="2FFDE8E9" w14:textId="77777777" w:rsidR="00546DBD" w:rsidRPr="00FA2AB8" w:rsidRDefault="00546DBD" w:rsidP="003010EC">
            <w:pPr>
              <w:pStyle w:val="TableText0"/>
              <w:widowControl w:val="0"/>
            </w:pPr>
            <w:r w:rsidRPr="00FA2AB8">
              <w:t>ARCADIA 1 CSR (NCT03985943)</w:t>
            </w:r>
          </w:p>
          <w:p w14:paraId="4C8B2A59" w14:textId="3E942FE9" w:rsidR="00546DBD" w:rsidRPr="00FA2AB8" w:rsidRDefault="00546DBD" w:rsidP="003010EC">
            <w:pPr>
              <w:pStyle w:val="TableText0"/>
              <w:widowControl w:val="0"/>
            </w:pPr>
            <w:r w:rsidRPr="00FA2AB8">
              <w:t>Efficacy and safety of nemolizumab in subjects with moderate-to-severe atopic dermatitis</w:t>
            </w:r>
          </w:p>
        </w:tc>
        <w:tc>
          <w:tcPr>
            <w:tcW w:w="915" w:type="pct"/>
            <w:shd w:val="clear" w:color="auto" w:fill="B8CCE4"/>
            <w:vAlign w:val="center"/>
          </w:tcPr>
          <w:p w14:paraId="11E47EB0" w14:textId="77777777" w:rsidR="00546DBD" w:rsidRPr="00945436" w:rsidRDefault="00546DBD" w:rsidP="003010EC">
            <w:pPr>
              <w:pStyle w:val="TableText0"/>
              <w:widowControl w:val="0"/>
              <w:rPr>
                <w:szCs w:val="20"/>
              </w:rPr>
            </w:pPr>
            <w:r w:rsidRPr="00FA2AB8">
              <w:t>18 September 2023</w:t>
            </w:r>
          </w:p>
        </w:tc>
      </w:tr>
      <w:tr w:rsidR="00546DBD" w:rsidRPr="00945436" w14:paraId="46B2A0D3" w14:textId="77777777" w:rsidTr="00AF29CF">
        <w:trPr>
          <w:cantSplit/>
        </w:trPr>
        <w:tc>
          <w:tcPr>
            <w:tcW w:w="795" w:type="pct"/>
            <w:vMerge/>
            <w:shd w:val="clear" w:color="auto" w:fill="B8CCE4"/>
            <w:vAlign w:val="center"/>
          </w:tcPr>
          <w:p w14:paraId="053FC12A" w14:textId="77777777" w:rsidR="00546DBD" w:rsidRPr="00945436" w:rsidRDefault="00546DBD" w:rsidP="003010EC">
            <w:pPr>
              <w:pStyle w:val="TableText0"/>
              <w:widowControl w:val="0"/>
              <w:rPr>
                <w:szCs w:val="20"/>
              </w:rPr>
            </w:pPr>
          </w:p>
        </w:tc>
        <w:tc>
          <w:tcPr>
            <w:tcW w:w="3290" w:type="pct"/>
            <w:shd w:val="clear" w:color="auto" w:fill="B8CCE4"/>
            <w:vAlign w:val="center"/>
          </w:tcPr>
          <w:p w14:paraId="79E22851" w14:textId="77777777" w:rsidR="00546DBD" w:rsidRPr="00FA2AB8" w:rsidRDefault="00546DBD" w:rsidP="003010EC">
            <w:pPr>
              <w:pStyle w:val="TableText0"/>
              <w:widowControl w:val="0"/>
            </w:pPr>
            <w:r w:rsidRPr="00FA2AB8">
              <w:t>ARCADIA 2 CSR (NCT03989349)</w:t>
            </w:r>
          </w:p>
          <w:p w14:paraId="324F9D44" w14:textId="5D117A22" w:rsidR="00546DBD" w:rsidRPr="00FA2AB8" w:rsidRDefault="00546DBD" w:rsidP="003010EC">
            <w:pPr>
              <w:pStyle w:val="TableText0"/>
              <w:widowControl w:val="0"/>
            </w:pPr>
            <w:r w:rsidRPr="00FA2AB8">
              <w:t>Efficacy &amp; safety of nemolizumab in subjects with moderate-to-severe atopic dermatitis</w:t>
            </w:r>
          </w:p>
        </w:tc>
        <w:tc>
          <w:tcPr>
            <w:tcW w:w="915" w:type="pct"/>
            <w:shd w:val="clear" w:color="auto" w:fill="B8CCE4"/>
            <w:vAlign w:val="center"/>
          </w:tcPr>
          <w:p w14:paraId="33510827" w14:textId="77777777" w:rsidR="00546DBD" w:rsidRPr="00FA2AB8" w:rsidRDefault="00546DBD" w:rsidP="003010EC">
            <w:pPr>
              <w:pStyle w:val="TableText0"/>
              <w:widowControl w:val="0"/>
            </w:pPr>
            <w:r w:rsidRPr="00FA2AB8">
              <w:t>19 September 2023</w:t>
            </w:r>
          </w:p>
        </w:tc>
      </w:tr>
      <w:tr w:rsidR="00546DBD" w:rsidRPr="00945436" w14:paraId="008766EA" w14:textId="77777777" w:rsidTr="00AF29CF">
        <w:trPr>
          <w:cantSplit/>
        </w:trPr>
        <w:tc>
          <w:tcPr>
            <w:tcW w:w="795" w:type="pct"/>
            <w:vMerge/>
            <w:shd w:val="clear" w:color="auto" w:fill="B8CCE4"/>
            <w:vAlign w:val="center"/>
          </w:tcPr>
          <w:p w14:paraId="4DD0A4A1" w14:textId="77777777" w:rsidR="00546DBD" w:rsidRPr="00945436" w:rsidRDefault="00546DBD" w:rsidP="003010EC">
            <w:pPr>
              <w:pStyle w:val="TableText0"/>
              <w:widowControl w:val="0"/>
              <w:rPr>
                <w:szCs w:val="20"/>
              </w:rPr>
            </w:pPr>
          </w:p>
        </w:tc>
        <w:tc>
          <w:tcPr>
            <w:tcW w:w="3290" w:type="pct"/>
            <w:shd w:val="clear" w:color="auto" w:fill="B8CCE4"/>
            <w:vAlign w:val="center"/>
          </w:tcPr>
          <w:p w14:paraId="5848967E" w14:textId="77777777" w:rsidR="00546DBD" w:rsidRPr="00381C24" w:rsidRDefault="00546DBD" w:rsidP="003010EC">
            <w:pPr>
              <w:pStyle w:val="TableText0"/>
              <w:widowControl w:val="0"/>
              <w:rPr>
                <w:lang w:val="de-DE"/>
              </w:rPr>
            </w:pPr>
            <w:r w:rsidRPr="00381C24">
              <w:rPr>
                <w:lang w:val="de-DE"/>
              </w:rPr>
              <w:t>Silverberg, J. I., Wollenberg, A., et al. Nemolizumab with concomitant topical therapy in adolescents and adults with moderate-to-severe atopic dermatitis (ARCADIA 1 and ARCADIA 2): results from two replicate, double-blind, randomised controlled phase 3 trials.</w:t>
            </w:r>
          </w:p>
        </w:tc>
        <w:tc>
          <w:tcPr>
            <w:tcW w:w="915" w:type="pct"/>
            <w:shd w:val="clear" w:color="auto" w:fill="B8CCE4"/>
            <w:vAlign w:val="center"/>
          </w:tcPr>
          <w:p w14:paraId="73C25017" w14:textId="77777777" w:rsidR="00546DBD" w:rsidRPr="00FA2AB8" w:rsidRDefault="00546DBD" w:rsidP="003010EC">
            <w:pPr>
              <w:pStyle w:val="TableText0"/>
              <w:widowControl w:val="0"/>
            </w:pPr>
            <w:r w:rsidRPr="00FA2AB8">
              <w:t>The Lancet 2024; 404(10451) 445-460</w:t>
            </w:r>
          </w:p>
        </w:tc>
      </w:tr>
      <w:tr w:rsidR="00546DBD" w:rsidRPr="00945436" w14:paraId="1F89FB47" w14:textId="77777777" w:rsidTr="00AF29CF">
        <w:trPr>
          <w:cantSplit/>
        </w:trPr>
        <w:tc>
          <w:tcPr>
            <w:tcW w:w="795" w:type="pct"/>
            <w:shd w:val="clear" w:color="auto" w:fill="B8CCE4"/>
            <w:vAlign w:val="center"/>
          </w:tcPr>
          <w:p w14:paraId="6583C97D" w14:textId="77777777" w:rsidR="00546DBD" w:rsidRPr="00945436" w:rsidRDefault="00546DBD">
            <w:pPr>
              <w:pStyle w:val="TableLeft"/>
              <w:widowControl w:val="0"/>
              <w:rPr>
                <w:rStyle w:val="Small"/>
                <w:rFonts w:ascii="Arial Narrow" w:hAnsi="Arial Narrow"/>
                <w:b/>
                <w:bCs/>
                <w:szCs w:val="20"/>
              </w:rPr>
            </w:pPr>
            <w:r w:rsidRPr="00945436">
              <w:rPr>
                <w:rStyle w:val="Small"/>
                <w:rFonts w:ascii="Arial Narrow" w:hAnsi="Arial Narrow"/>
                <w:b/>
                <w:bCs/>
                <w:szCs w:val="20"/>
              </w:rPr>
              <w:t>ARCADIA CYCLO</w:t>
            </w:r>
          </w:p>
          <w:p w14:paraId="0BD5C03E" w14:textId="77777777" w:rsidR="00546DBD" w:rsidRPr="00945436" w:rsidRDefault="00546DBD">
            <w:pPr>
              <w:pStyle w:val="TableLeft"/>
              <w:widowControl w:val="0"/>
              <w:rPr>
                <w:rStyle w:val="Small"/>
                <w:rFonts w:ascii="Arial Narrow" w:hAnsi="Arial Narrow"/>
                <w:szCs w:val="20"/>
              </w:rPr>
            </w:pPr>
            <w:r w:rsidRPr="00945436">
              <w:rPr>
                <w:rStyle w:val="Small"/>
                <w:rFonts w:ascii="Arial Narrow" w:hAnsi="Arial Narrow"/>
                <w:szCs w:val="20"/>
              </w:rPr>
              <w:t>NCT05056779</w:t>
            </w:r>
          </w:p>
          <w:p w14:paraId="223CC4D2" w14:textId="77777777" w:rsidR="00546DBD" w:rsidRPr="00945436" w:rsidRDefault="00546DBD">
            <w:pPr>
              <w:pStyle w:val="TableText0"/>
              <w:keepNext w:val="0"/>
              <w:keepLines w:val="0"/>
              <w:widowControl w:val="0"/>
              <w:rPr>
                <w:szCs w:val="20"/>
              </w:rPr>
            </w:pPr>
            <w:r w:rsidRPr="00945436">
              <w:rPr>
                <w:rStyle w:val="Small"/>
                <w:rFonts w:ascii="Arial Narrow" w:hAnsi="Arial Narrow"/>
                <w:szCs w:val="20"/>
              </w:rPr>
              <w:t>EUCTR2021-002166-40</w:t>
            </w:r>
          </w:p>
        </w:tc>
        <w:tc>
          <w:tcPr>
            <w:tcW w:w="3290" w:type="pct"/>
            <w:shd w:val="clear" w:color="auto" w:fill="B8CCE4"/>
            <w:vAlign w:val="center"/>
          </w:tcPr>
          <w:p w14:paraId="10576BE8" w14:textId="77777777" w:rsidR="00546DBD" w:rsidRPr="00FA2AB8" w:rsidRDefault="00546DBD">
            <w:pPr>
              <w:pStyle w:val="TableText0"/>
              <w:keepNext w:val="0"/>
              <w:keepLines w:val="0"/>
              <w:widowControl w:val="0"/>
            </w:pPr>
            <w:r w:rsidRPr="00FA2AB8">
              <w:t>ARCADIA CYCLO CSR</w:t>
            </w:r>
          </w:p>
          <w:p w14:paraId="04D35EEE" w14:textId="77777777" w:rsidR="00546DBD" w:rsidRPr="00FA2AB8" w:rsidRDefault="00546DBD">
            <w:pPr>
              <w:pStyle w:val="TableText0"/>
              <w:keepNext w:val="0"/>
              <w:keepLines w:val="0"/>
              <w:widowControl w:val="0"/>
            </w:pPr>
            <w:r w:rsidRPr="00FA2AB8">
              <w:t>Efficacy and safety of nemolizumab in subjects with moderate-to-severe atopic dermatitis with inadequate response to or for whom cyclosporine A is not medically advisable</w:t>
            </w:r>
          </w:p>
        </w:tc>
        <w:tc>
          <w:tcPr>
            <w:tcW w:w="915" w:type="pct"/>
            <w:shd w:val="clear" w:color="auto" w:fill="B8CCE4"/>
            <w:vAlign w:val="center"/>
          </w:tcPr>
          <w:p w14:paraId="3BED740D" w14:textId="77777777" w:rsidR="00546DBD" w:rsidRPr="00FA2AB8" w:rsidRDefault="00546DBD">
            <w:pPr>
              <w:pStyle w:val="TableText0"/>
              <w:keepNext w:val="0"/>
              <w:keepLines w:val="0"/>
              <w:widowControl w:val="0"/>
            </w:pPr>
            <w:r w:rsidRPr="00FA2AB8">
              <w:t>21 February 2024</w:t>
            </w:r>
          </w:p>
        </w:tc>
      </w:tr>
      <w:tr w:rsidR="00546DBD" w:rsidRPr="00945436" w14:paraId="5FB8C9F0" w14:textId="77777777" w:rsidTr="00AF29CF">
        <w:trPr>
          <w:cantSplit/>
          <w:trHeight w:val="803"/>
        </w:trPr>
        <w:tc>
          <w:tcPr>
            <w:tcW w:w="795" w:type="pct"/>
            <w:vMerge w:val="restart"/>
            <w:shd w:val="clear" w:color="auto" w:fill="FFFFFF" w:themeFill="background1"/>
            <w:vAlign w:val="center"/>
          </w:tcPr>
          <w:p w14:paraId="0B79A37F" w14:textId="77777777" w:rsidR="00546DBD" w:rsidRPr="00945436" w:rsidRDefault="00546DBD">
            <w:pPr>
              <w:pStyle w:val="TableLeft"/>
              <w:widowControl w:val="0"/>
              <w:rPr>
                <w:rStyle w:val="Small"/>
                <w:rFonts w:ascii="Arial Narrow" w:hAnsi="Arial Narrow"/>
                <w:b/>
                <w:bCs/>
                <w:szCs w:val="20"/>
              </w:rPr>
            </w:pPr>
            <w:r w:rsidRPr="00945436">
              <w:rPr>
                <w:rStyle w:val="Small"/>
                <w:rFonts w:ascii="Arial Narrow" w:hAnsi="Arial Narrow"/>
                <w:b/>
                <w:bCs/>
                <w:szCs w:val="20"/>
              </w:rPr>
              <w:t>A</w:t>
            </w:r>
            <w:r w:rsidRPr="00FA2AB8">
              <w:rPr>
                <w:rStyle w:val="Small"/>
                <w:rFonts w:ascii="Arial Narrow" w:hAnsi="Arial Narrow"/>
                <w:b/>
              </w:rPr>
              <w:t>RCADIA LTE</w:t>
            </w:r>
          </w:p>
        </w:tc>
        <w:tc>
          <w:tcPr>
            <w:tcW w:w="3290" w:type="pct"/>
            <w:shd w:val="clear" w:color="auto" w:fill="FFFFFF" w:themeFill="background1"/>
            <w:vAlign w:val="center"/>
          </w:tcPr>
          <w:p w14:paraId="5481E44D" w14:textId="77777777" w:rsidR="00546DBD" w:rsidRPr="00FA2AB8" w:rsidRDefault="00546DBD">
            <w:pPr>
              <w:pStyle w:val="TableText0"/>
              <w:keepNext w:val="0"/>
              <w:keepLines w:val="0"/>
              <w:widowControl w:val="0"/>
            </w:pPr>
            <w:r w:rsidRPr="00FA2AB8">
              <w:t>ARCADIA LTE CSR</w:t>
            </w:r>
          </w:p>
          <w:p w14:paraId="16203B69" w14:textId="530D15F1" w:rsidR="00546DBD" w:rsidRPr="00FA2AB8" w:rsidRDefault="00546DBD">
            <w:pPr>
              <w:pStyle w:val="TableText0"/>
              <w:keepNext w:val="0"/>
              <w:keepLines w:val="0"/>
              <w:widowControl w:val="0"/>
            </w:pPr>
            <w:r w:rsidRPr="00FA2AB8">
              <w:t xml:space="preserve">A Prospective, </w:t>
            </w:r>
            <w:r w:rsidR="00430578" w:rsidRPr="00FA2AB8">
              <w:t>Multicentre</w:t>
            </w:r>
            <w:r w:rsidRPr="00FA2AB8">
              <w:t>, Long-Term Study to Assess the Safety and Efficacy of Nemolizumab (CD14152) in Subjects with Moderate-to-Severe Atopic Dermatitis</w:t>
            </w:r>
          </w:p>
        </w:tc>
        <w:tc>
          <w:tcPr>
            <w:tcW w:w="915" w:type="pct"/>
            <w:shd w:val="clear" w:color="auto" w:fill="FFFFFF" w:themeFill="background1"/>
            <w:vAlign w:val="center"/>
          </w:tcPr>
          <w:p w14:paraId="6D93F206" w14:textId="77777777" w:rsidR="00546DBD" w:rsidRPr="00FA2AB8" w:rsidRDefault="00546DBD">
            <w:pPr>
              <w:pStyle w:val="TableText0"/>
              <w:keepNext w:val="0"/>
              <w:keepLines w:val="0"/>
              <w:widowControl w:val="0"/>
            </w:pPr>
            <w:r w:rsidRPr="00FA2AB8">
              <w:t>10 October 2023</w:t>
            </w:r>
          </w:p>
        </w:tc>
      </w:tr>
      <w:tr w:rsidR="00546DBD" w:rsidRPr="00945436" w14:paraId="5891D32C" w14:textId="77777777" w:rsidTr="00AF29CF">
        <w:trPr>
          <w:cantSplit/>
          <w:trHeight w:val="802"/>
        </w:trPr>
        <w:tc>
          <w:tcPr>
            <w:tcW w:w="795" w:type="pct"/>
            <w:vMerge/>
            <w:shd w:val="clear" w:color="auto" w:fill="FFFFFF" w:themeFill="background1"/>
            <w:vAlign w:val="center"/>
          </w:tcPr>
          <w:p w14:paraId="4F27DC78" w14:textId="77777777" w:rsidR="00546DBD" w:rsidRPr="00945436" w:rsidRDefault="00546DBD">
            <w:pPr>
              <w:pStyle w:val="TableLeft"/>
              <w:widowControl w:val="0"/>
              <w:rPr>
                <w:rStyle w:val="Small"/>
                <w:rFonts w:ascii="Arial Narrow" w:hAnsi="Arial Narrow"/>
                <w:b/>
                <w:bCs/>
                <w:szCs w:val="20"/>
              </w:rPr>
            </w:pPr>
          </w:p>
        </w:tc>
        <w:tc>
          <w:tcPr>
            <w:tcW w:w="3290" w:type="pct"/>
            <w:shd w:val="clear" w:color="auto" w:fill="FFFFFF" w:themeFill="background1"/>
            <w:vAlign w:val="center"/>
          </w:tcPr>
          <w:p w14:paraId="4741D118" w14:textId="77777777" w:rsidR="00546DBD" w:rsidRPr="00FA2AB8" w:rsidRDefault="00546DBD">
            <w:pPr>
              <w:pStyle w:val="TableText0"/>
              <w:keepNext w:val="0"/>
              <w:keepLines w:val="0"/>
              <w:widowControl w:val="0"/>
            </w:pPr>
            <w:r w:rsidRPr="00381C24">
              <w:rPr>
                <w:lang w:val="da-DK"/>
              </w:rPr>
              <w:t xml:space="preserve">Augustin, M., Tauber, M., et al. </w:t>
            </w:r>
            <w:r w:rsidRPr="00FA2AB8">
              <w:t>Safety and efficacy of nemolizumab for atopic dermatitis up to 2 years in open-label extension study</w:t>
            </w:r>
          </w:p>
        </w:tc>
        <w:tc>
          <w:tcPr>
            <w:tcW w:w="915" w:type="pct"/>
            <w:shd w:val="clear" w:color="auto" w:fill="FFFFFF" w:themeFill="background1"/>
            <w:vAlign w:val="center"/>
          </w:tcPr>
          <w:p w14:paraId="42FF55F8" w14:textId="77777777" w:rsidR="00546DBD" w:rsidRPr="00FA2AB8" w:rsidRDefault="00546DBD">
            <w:pPr>
              <w:pStyle w:val="TableText0"/>
              <w:keepNext w:val="0"/>
              <w:keepLines w:val="0"/>
              <w:widowControl w:val="0"/>
            </w:pPr>
            <w:r w:rsidRPr="00FA2AB8">
              <w:t xml:space="preserve">Journal of the European Academy of Dermatology and Venereology 2025; </w:t>
            </w:r>
            <w:proofErr w:type="spellStart"/>
            <w:r w:rsidRPr="00FA2AB8">
              <w:t>Epub</w:t>
            </w:r>
            <w:proofErr w:type="spellEnd"/>
            <w:r w:rsidRPr="00FA2AB8">
              <w:t xml:space="preserve"> ahead of print.</w:t>
            </w:r>
          </w:p>
        </w:tc>
      </w:tr>
      <w:tr w:rsidR="00546DBD" w:rsidRPr="00945436" w14:paraId="183953CD" w14:textId="77777777" w:rsidTr="00AF29CF">
        <w:trPr>
          <w:cantSplit/>
        </w:trPr>
        <w:tc>
          <w:tcPr>
            <w:tcW w:w="795" w:type="pct"/>
            <w:vMerge w:val="restart"/>
            <w:shd w:val="clear" w:color="auto" w:fill="B8CCE4"/>
            <w:vAlign w:val="center"/>
          </w:tcPr>
          <w:p w14:paraId="6D5F3525" w14:textId="77777777" w:rsidR="00546DBD" w:rsidRPr="00945436" w:rsidRDefault="00546DBD">
            <w:pPr>
              <w:pStyle w:val="TableLeft"/>
              <w:widowControl w:val="0"/>
              <w:rPr>
                <w:rStyle w:val="Small"/>
                <w:rFonts w:ascii="Arial Narrow" w:hAnsi="Arial Narrow"/>
                <w:b/>
                <w:bCs/>
                <w:szCs w:val="20"/>
              </w:rPr>
            </w:pPr>
            <w:r w:rsidRPr="00945436">
              <w:rPr>
                <w:rStyle w:val="Small"/>
                <w:rFonts w:ascii="Arial Narrow" w:hAnsi="Arial Narrow"/>
                <w:b/>
                <w:bCs/>
                <w:szCs w:val="20"/>
              </w:rPr>
              <w:t>Study 114322</w:t>
            </w:r>
          </w:p>
          <w:p w14:paraId="7886B770" w14:textId="77777777" w:rsidR="00546DBD" w:rsidRPr="00945436" w:rsidRDefault="00546DBD">
            <w:pPr>
              <w:pStyle w:val="TableLeft"/>
              <w:widowControl w:val="0"/>
              <w:rPr>
                <w:rStyle w:val="Small"/>
                <w:rFonts w:ascii="Arial Narrow" w:hAnsi="Arial Narrow"/>
                <w:szCs w:val="20"/>
              </w:rPr>
            </w:pPr>
            <w:r w:rsidRPr="00945436">
              <w:rPr>
                <w:rStyle w:val="Small"/>
                <w:rFonts w:ascii="Arial Narrow" w:hAnsi="Arial Narrow"/>
                <w:szCs w:val="20"/>
              </w:rPr>
              <w:t>NCT03100344</w:t>
            </w:r>
          </w:p>
          <w:p w14:paraId="63382C36" w14:textId="77777777" w:rsidR="00546DBD" w:rsidRPr="00945436" w:rsidRDefault="00546DBD">
            <w:pPr>
              <w:pStyle w:val="TableText0"/>
              <w:keepNext w:val="0"/>
              <w:keepLines w:val="0"/>
              <w:widowControl w:val="0"/>
              <w:rPr>
                <w:szCs w:val="20"/>
              </w:rPr>
            </w:pPr>
            <w:r w:rsidRPr="00945436">
              <w:rPr>
                <w:rStyle w:val="Small"/>
                <w:rFonts w:ascii="Arial Narrow" w:hAnsi="Arial Narrow"/>
                <w:szCs w:val="20"/>
              </w:rPr>
              <w:t>EUCTR2016-005025-37</w:t>
            </w:r>
          </w:p>
        </w:tc>
        <w:tc>
          <w:tcPr>
            <w:tcW w:w="3290" w:type="pct"/>
            <w:shd w:val="clear" w:color="auto" w:fill="B8CCE4"/>
            <w:vAlign w:val="center"/>
          </w:tcPr>
          <w:p w14:paraId="7D04FC70" w14:textId="77777777" w:rsidR="00546DBD" w:rsidRPr="00FA2AB8" w:rsidRDefault="00546DBD">
            <w:pPr>
              <w:pStyle w:val="TableText0"/>
              <w:keepNext w:val="0"/>
              <w:keepLines w:val="0"/>
              <w:widowControl w:val="0"/>
            </w:pPr>
            <w:r w:rsidRPr="00FA2AB8">
              <w:t>Study 114322 CSR</w:t>
            </w:r>
          </w:p>
          <w:p w14:paraId="3C501905" w14:textId="33ADABD8" w:rsidR="00546DBD" w:rsidRPr="00FA2AB8" w:rsidRDefault="00546DBD">
            <w:pPr>
              <w:pStyle w:val="TableText0"/>
              <w:keepNext w:val="0"/>
              <w:keepLines w:val="0"/>
              <w:widowControl w:val="0"/>
            </w:pPr>
            <w:r w:rsidRPr="00FA2AB8">
              <w:t>Dose-ranging study of nemolizumab in atopic dermatitis</w:t>
            </w:r>
          </w:p>
        </w:tc>
        <w:tc>
          <w:tcPr>
            <w:tcW w:w="915" w:type="pct"/>
            <w:shd w:val="clear" w:color="auto" w:fill="B8CCE4"/>
            <w:vAlign w:val="center"/>
          </w:tcPr>
          <w:p w14:paraId="67DCAF2E" w14:textId="77777777" w:rsidR="00546DBD" w:rsidRPr="00945436" w:rsidRDefault="00546DBD">
            <w:pPr>
              <w:pStyle w:val="TableText0"/>
              <w:keepNext w:val="0"/>
              <w:keepLines w:val="0"/>
              <w:widowControl w:val="0"/>
              <w:rPr>
                <w:szCs w:val="20"/>
              </w:rPr>
            </w:pPr>
            <w:r w:rsidRPr="00FA2AB8">
              <w:t>29 May 2019</w:t>
            </w:r>
          </w:p>
        </w:tc>
      </w:tr>
      <w:tr w:rsidR="00546DBD" w:rsidRPr="00945436" w14:paraId="6DE8DAE1" w14:textId="77777777" w:rsidTr="00AF29CF">
        <w:trPr>
          <w:cantSplit/>
        </w:trPr>
        <w:tc>
          <w:tcPr>
            <w:tcW w:w="795" w:type="pct"/>
            <w:vMerge/>
            <w:shd w:val="clear" w:color="auto" w:fill="B8CCE4"/>
            <w:vAlign w:val="center"/>
          </w:tcPr>
          <w:p w14:paraId="6A509C03" w14:textId="77777777" w:rsidR="00546DBD" w:rsidRPr="00945436" w:rsidRDefault="00546DBD">
            <w:pPr>
              <w:pStyle w:val="TableText0"/>
              <w:keepNext w:val="0"/>
              <w:keepLines w:val="0"/>
              <w:widowControl w:val="0"/>
              <w:rPr>
                <w:szCs w:val="20"/>
              </w:rPr>
            </w:pPr>
          </w:p>
        </w:tc>
        <w:tc>
          <w:tcPr>
            <w:tcW w:w="3290" w:type="pct"/>
            <w:shd w:val="clear" w:color="auto" w:fill="B8CCE4"/>
            <w:vAlign w:val="center"/>
          </w:tcPr>
          <w:p w14:paraId="317E164D" w14:textId="77777777" w:rsidR="00546DBD" w:rsidRPr="00FA2AB8" w:rsidRDefault="00546DBD">
            <w:pPr>
              <w:pStyle w:val="TableText0"/>
              <w:keepNext w:val="0"/>
              <w:keepLines w:val="0"/>
              <w:widowControl w:val="0"/>
            </w:pPr>
            <w:r w:rsidRPr="00FA2AB8">
              <w:t>Silverberg, J. I., Pinter, A., et al. Phase 2B randomized study of nemolizumab in adults with moderate-to-severe atopic dermatitis and severe pruritus</w:t>
            </w:r>
          </w:p>
        </w:tc>
        <w:tc>
          <w:tcPr>
            <w:tcW w:w="915" w:type="pct"/>
            <w:shd w:val="clear" w:color="auto" w:fill="B8CCE4"/>
            <w:vAlign w:val="center"/>
          </w:tcPr>
          <w:p w14:paraId="4D2A6170" w14:textId="77777777" w:rsidR="00546DBD" w:rsidRPr="00FA2AB8" w:rsidRDefault="00546DBD">
            <w:pPr>
              <w:pStyle w:val="TableText0"/>
              <w:keepNext w:val="0"/>
              <w:keepLines w:val="0"/>
              <w:widowControl w:val="0"/>
            </w:pPr>
            <w:r w:rsidRPr="00FA2AB8">
              <w:t>Journal of Allergy &amp; Clinical Immunology 2020; 145(1)173-182</w:t>
            </w:r>
          </w:p>
        </w:tc>
      </w:tr>
      <w:tr w:rsidR="00546DBD" w:rsidRPr="00945436" w14:paraId="425E13A6" w14:textId="77777777" w:rsidTr="00AF29CF">
        <w:trPr>
          <w:cantSplit/>
        </w:trPr>
        <w:tc>
          <w:tcPr>
            <w:tcW w:w="5000" w:type="pct"/>
            <w:gridSpan w:val="3"/>
            <w:vAlign w:val="center"/>
          </w:tcPr>
          <w:p w14:paraId="1921D7BC" w14:textId="77777777" w:rsidR="00546DBD" w:rsidRPr="00FA2AB8" w:rsidRDefault="00546DBD">
            <w:pPr>
              <w:pStyle w:val="TableText0"/>
              <w:keepNext w:val="0"/>
              <w:keepLines w:val="0"/>
              <w:widowControl w:val="0"/>
              <w:rPr>
                <w:b/>
              </w:rPr>
            </w:pPr>
            <w:r w:rsidRPr="00FA2AB8">
              <w:rPr>
                <w:b/>
              </w:rPr>
              <w:t>Dupilumab</w:t>
            </w:r>
          </w:p>
        </w:tc>
      </w:tr>
      <w:tr w:rsidR="00546DBD" w:rsidRPr="00945436" w14:paraId="6FB94B3F" w14:textId="77777777" w:rsidTr="00AF29CF">
        <w:trPr>
          <w:cantSplit/>
        </w:trPr>
        <w:tc>
          <w:tcPr>
            <w:tcW w:w="795" w:type="pct"/>
            <w:vMerge w:val="restart"/>
            <w:shd w:val="clear" w:color="auto" w:fill="B8CCE4"/>
            <w:vAlign w:val="center"/>
          </w:tcPr>
          <w:p w14:paraId="2E24A4AB" w14:textId="77777777" w:rsidR="00546DBD" w:rsidRPr="00945436" w:rsidRDefault="00546DBD">
            <w:pPr>
              <w:pStyle w:val="TableLeft"/>
              <w:widowControl w:val="0"/>
              <w:jc w:val="left"/>
              <w:rPr>
                <w:rStyle w:val="Small"/>
                <w:rFonts w:ascii="Arial Narrow" w:hAnsi="Arial Narrow" w:cs="Arial"/>
                <w:b/>
                <w:bCs/>
                <w:szCs w:val="20"/>
                <w:lang w:eastAsia="en-AU" w:bidi="ar-SA"/>
              </w:rPr>
            </w:pPr>
            <w:r w:rsidRPr="00945436">
              <w:rPr>
                <w:rStyle w:val="Small"/>
                <w:rFonts w:ascii="Arial Narrow" w:hAnsi="Arial Narrow"/>
                <w:b/>
                <w:bCs/>
                <w:szCs w:val="20"/>
              </w:rPr>
              <w:t>LIBERTY AD CAFÉ</w:t>
            </w:r>
          </w:p>
          <w:p w14:paraId="4ECDF409" w14:textId="77777777" w:rsidR="00546DBD" w:rsidRPr="00945436" w:rsidRDefault="00546DBD">
            <w:pPr>
              <w:pStyle w:val="TableText0"/>
              <w:keepNext w:val="0"/>
              <w:keepLines w:val="0"/>
              <w:widowControl w:val="0"/>
              <w:rPr>
                <w:szCs w:val="20"/>
              </w:rPr>
            </w:pPr>
            <w:r w:rsidRPr="00945436">
              <w:rPr>
                <w:rStyle w:val="Small"/>
                <w:rFonts w:ascii="Arial Narrow" w:hAnsi="Arial Narrow"/>
                <w:szCs w:val="20"/>
              </w:rPr>
              <w:t>NCT02755649</w:t>
            </w:r>
          </w:p>
        </w:tc>
        <w:tc>
          <w:tcPr>
            <w:tcW w:w="3290" w:type="pct"/>
            <w:shd w:val="clear" w:color="auto" w:fill="B8CCE4"/>
            <w:vAlign w:val="center"/>
          </w:tcPr>
          <w:p w14:paraId="4E17D4C9" w14:textId="0C4140DE" w:rsidR="00546DBD" w:rsidRPr="00FA2AB8" w:rsidRDefault="00546DBD">
            <w:pPr>
              <w:pStyle w:val="TableText0"/>
              <w:keepNext w:val="0"/>
              <w:keepLines w:val="0"/>
              <w:widowControl w:val="0"/>
            </w:pPr>
            <w:r w:rsidRPr="00FA2AB8">
              <w:t xml:space="preserve">A study to assess the efficacy and safety of dupilumab in participants with severe atopic dermatitis (AD) that are not controlled with oral cyclosporine A (CSA) or for those who cannot take oral CSA because it is not medically advisable. </w:t>
            </w:r>
            <w:hyperlink r:id="rId12" w:history="1">
              <w:r w:rsidRPr="00FA2AB8">
                <w:rPr>
                  <w:rStyle w:val="Hyperlink"/>
                </w:rPr>
                <w:t>https://clinicaltrials.gov/study/NCT02755649</w:t>
              </w:r>
            </w:hyperlink>
            <w:r w:rsidRPr="00FA2AB8">
              <w:t xml:space="preserve"> </w:t>
            </w:r>
          </w:p>
        </w:tc>
        <w:tc>
          <w:tcPr>
            <w:tcW w:w="915" w:type="pct"/>
            <w:shd w:val="clear" w:color="auto" w:fill="B8CCE4"/>
            <w:vAlign w:val="center"/>
          </w:tcPr>
          <w:p w14:paraId="034B02DB" w14:textId="77777777" w:rsidR="00546DBD" w:rsidRPr="00FA2AB8" w:rsidRDefault="00546DBD">
            <w:pPr>
              <w:pStyle w:val="TableText0"/>
              <w:keepNext w:val="0"/>
              <w:keepLines w:val="0"/>
              <w:widowControl w:val="0"/>
            </w:pPr>
            <w:r w:rsidRPr="00FA2AB8">
              <w:t>August 2020</w:t>
            </w:r>
          </w:p>
        </w:tc>
      </w:tr>
      <w:tr w:rsidR="00546DBD" w:rsidRPr="00945436" w14:paraId="04E4B457" w14:textId="77777777" w:rsidTr="00AF29CF">
        <w:trPr>
          <w:cantSplit/>
        </w:trPr>
        <w:tc>
          <w:tcPr>
            <w:tcW w:w="795" w:type="pct"/>
            <w:vMerge/>
            <w:shd w:val="clear" w:color="auto" w:fill="B8CCE4"/>
            <w:vAlign w:val="center"/>
          </w:tcPr>
          <w:p w14:paraId="328898DD" w14:textId="77777777" w:rsidR="00546DBD" w:rsidRPr="00FA2AB8" w:rsidRDefault="00546DBD">
            <w:pPr>
              <w:pStyle w:val="TableText0"/>
              <w:keepNext w:val="0"/>
              <w:keepLines w:val="0"/>
              <w:widowControl w:val="0"/>
            </w:pPr>
          </w:p>
        </w:tc>
        <w:tc>
          <w:tcPr>
            <w:tcW w:w="3290" w:type="pct"/>
            <w:shd w:val="clear" w:color="auto" w:fill="B8CCE4"/>
            <w:vAlign w:val="center"/>
          </w:tcPr>
          <w:p w14:paraId="3B7F0820" w14:textId="77777777" w:rsidR="00546DBD" w:rsidRPr="00FA2AB8" w:rsidRDefault="00546DBD">
            <w:pPr>
              <w:pStyle w:val="TableText0"/>
              <w:keepNext w:val="0"/>
              <w:keepLines w:val="0"/>
              <w:widowControl w:val="0"/>
            </w:pPr>
            <w:r w:rsidRPr="00FA2AB8">
              <w:t>de Bruin-Weller, M., Thaci, D., et al. Dupilumab with concomitant topical corticosteroid treatment in adults with atopic dermatitis with an inadequate response or intolerance to ciclosporin A or when this treatment is medically inadvisable: a placebo-controlled, randomized phase III clinical trial (LIBERTY AD CAFÉ)</w:t>
            </w:r>
          </w:p>
        </w:tc>
        <w:tc>
          <w:tcPr>
            <w:tcW w:w="915" w:type="pct"/>
            <w:shd w:val="clear" w:color="auto" w:fill="B8CCE4"/>
            <w:vAlign w:val="center"/>
          </w:tcPr>
          <w:p w14:paraId="136781A1" w14:textId="77777777" w:rsidR="00546DBD" w:rsidRPr="00FA2AB8" w:rsidRDefault="00546DBD">
            <w:pPr>
              <w:pStyle w:val="TableText0"/>
              <w:keepNext w:val="0"/>
              <w:keepLines w:val="0"/>
              <w:widowControl w:val="0"/>
            </w:pPr>
            <w:r w:rsidRPr="00FA2AB8">
              <w:t>British Journal of Dermatology 2018; 178(5) 1083-1101</w:t>
            </w:r>
          </w:p>
        </w:tc>
      </w:tr>
      <w:tr w:rsidR="00546DBD" w:rsidRPr="00945436" w14:paraId="0FE4F077" w14:textId="77777777" w:rsidTr="00AF29CF">
        <w:trPr>
          <w:cantSplit/>
        </w:trPr>
        <w:tc>
          <w:tcPr>
            <w:tcW w:w="795" w:type="pct"/>
            <w:vMerge w:val="restart"/>
            <w:shd w:val="clear" w:color="auto" w:fill="B8CCE4"/>
            <w:vAlign w:val="center"/>
          </w:tcPr>
          <w:p w14:paraId="54E71F95" w14:textId="77777777" w:rsidR="00546DBD" w:rsidRPr="00FA2AB8" w:rsidRDefault="00546DBD">
            <w:pPr>
              <w:pStyle w:val="TableText0"/>
              <w:keepNext w:val="0"/>
              <w:keepLines w:val="0"/>
              <w:widowControl w:val="0"/>
              <w:rPr>
                <w:b/>
              </w:rPr>
            </w:pPr>
            <w:r w:rsidRPr="00FA2AB8">
              <w:rPr>
                <w:b/>
              </w:rPr>
              <w:t>LIBERTY AD CHRONOS</w:t>
            </w:r>
          </w:p>
          <w:p w14:paraId="41B376E3" w14:textId="77777777" w:rsidR="00546DBD" w:rsidRPr="00FA2AB8" w:rsidRDefault="00546DBD">
            <w:pPr>
              <w:pStyle w:val="TableText0"/>
              <w:keepNext w:val="0"/>
              <w:keepLines w:val="0"/>
              <w:widowControl w:val="0"/>
            </w:pPr>
            <w:r w:rsidRPr="00FA2AB8">
              <w:t>NCT02260986</w:t>
            </w:r>
          </w:p>
        </w:tc>
        <w:tc>
          <w:tcPr>
            <w:tcW w:w="3290" w:type="pct"/>
            <w:shd w:val="clear" w:color="auto" w:fill="B8CCE4"/>
            <w:vAlign w:val="center"/>
          </w:tcPr>
          <w:p w14:paraId="1CE4C18D" w14:textId="594692D7" w:rsidR="00546DBD" w:rsidRPr="00FA2AB8" w:rsidRDefault="00546DBD">
            <w:pPr>
              <w:pStyle w:val="TableText0"/>
              <w:keepNext w:val="0"/>
              <w:keepLines w:val="0"/>
              <w:widowControl w:val="0"/>
            </w:pPr>
            <w:r w:rsidRPr="00FA2AB8">
              <w:t xml:space="preserve">Study to assess the efficacy and long-term safety of dupilumab (REGN668/SAR231893) in adult participants with moderate-to-severe atopic dermatitis (CHRONOS). </w:t>
            </w:r>
            <w:hyperlink r:id="rId13" w:history="1">
              <w:r w:rsidRPr="00FA2AB8">
                <w:rPr>
                  <w:rStyle w:val="Hyperlink"/>
                </w:rPr>
                <w:t>https://clinicaltrials.gov/study/NCT02260986</w:t>
              </w:r>
            </w:hyperlink>
            <w:r w:rsidRPr="00FA2AB8">
              <w:t xml:space="preserve"> </w:t>
            </w:r>
          </w:p>
        </w:tc>
        <w:tc>
          <w:tcPr>
            <w:tcW w:w="915" w:type="pct"/>
            <w:shd w:val="clear" w:color="auto" w:fill="B8CCE4"/>
            <w:vAlign w:val="center"/>
          </w:tcPr>
          <w:p w14:paraId="0EE204F5" w14:textId="77777777" w:rsidR="00546DBD" w:rsidRPr="00FA2AB8" w:rsidRDefault="00546DBD">
            <w:pPr>
              <w:pStyle w:val="TableText0"/>
              <w:keepNext w:val="0"/>
              <w:keepLines w:val="0"/>
              <w:widowControl w:val="0"/>
            </w:pPr>
            <w:r w:rsidRPr="00FA2AB8">
              <w:t>October 2017</w:t>
            </w:r>
          </w:p>
        </w:tc>
      </w:tr>
      <w:tr w:rsidR="00546DBD" w:rsidRPr="00945436" w14:paraId="7A18FA6B" w14:textId="77777777" w:rsidTr="00AF29CF">
        <w:trPr>
          <w:cantSplit/>
        </w:trPr>
        <w:tc>
          <w:tcPr>
            <w:tcW w:w="795" w:type="pct"/>
            <w:vMerge/>
            <w:shd w:val="clear" w:color="auto" w:fill="B8CCE4"/>
            <w:vAlign w:val="center"/>
          </w:tcPr>
          <w:p w14:paraId="5CE9C751" w14:textId="77777777" w:rsidR="00546DBD" w:rsidRPr="00FA2AB8" w:rsidRDefault="00546DBD">
            <w:pPr>
              <w:pStyle w:val="TableText0"/>
              <w:keepNext w:val="0"/>
              <w:keepLines w:val="0"/>
              <w:widowControl w:val="0"/>
            </w:pPr>
          </w:p>
        </w:tc>
        <w:tc>
          <w:tcPr>
            <w:tcW w:w="3290" w:type="pct"/>
            <w:shd w:val="clear" w:color="auto" w:fill="B8CCE4"/>
            <w:vAlign w:val="center"/>
          </w:tcPr>
          <w:p w14:paraId="2E61DCAB" w14:textId="77777777" w:rsidR="00546DBD" w:rsidRPr="00FA2AB8" w:rsidRDefault="00546DBD">
            <w:pPr>
              <w:pStyle w:val="TableText0"/>
              <w:keepNext w:val="0"/>
              <w:keepLines w:val="0"/>
              <w:widowControl w:val="0"/>
            </w:pPr>
            <w:r w:rsidRPr="00FA2AB8">
              <w:t>Blauvelt, A., de Bruin-Weller, M., et al. Long-term management of moderate-to-severe atopic dermatitis with dupilumab and concomitant topical corticosteroids (LIBERTY AD CHRONOS): a 1-year, randomised, double-blinded, placebo-controlled, phase 3 trial</w:t>
            </w:r>
          </w:p>
        </w:tc>
        <w:tc>
          <w:tcPr>
            <w:tcW w:w="915" w:type="pct"/>
            <w:shd w:val="clear" w:color="auto" w:fill="B8CCE4"/>
            <w:vAlign w:val="center"/>
          </w:tcPr>
          <w:p w14:paraId="7B5B56AC" w14:textId="77777777" w:rsidR="00546DBD" w:rsidRPr="00FA2AB8" w:rsidRDefault="00546DBD">
            <w:pPr>
              <w:pStyle w:val="TableText0"/>
              <w:keepNext w:val="0"/>
              <w:keepLines w:val="0"/>
              <w:widowControl w:val="0"/>
            </w:pPr>
            <w:r w:rsidRPr="00FA2AB8">
              <w:t>The Lancet 2017; 389(10086) 2287-2303</w:t>
            </w:r>
          </w:p>
        </w:tc>
      </w:tr>
      <w:tr w:rsidR="00546DBD" w:rsidRPr="00945436" w14:paraId="54D8E553" w14:textId="77777777" w:rsidTr="00AF29CF">
        <w:trPr>
          <w:cantSplit/>
        </w:trPr>
        <w:tc>
          <w:tcPr>
            <w:tcW w:w="795" w:type="pct"/>
            <w:vMerge w:val="restart"/>
            <w:shd w:val="clear" w:color="auto" w:fill="B8CCE4"/>
            <w:vAlign w:val="center"/>
          </w:tcPr>
          <w:p w14:paraId="2B4BD77A" w14:textId="77777777" w:rsidR="00546DBD" w:rsidRPr="00FA2AB8" w:rsidRDefault="00546DBD">
            <w:pPr>
              <w:pStyle w:val="TableText0"/>
              <w:keepNext w:val="0"/>
              <w:keepLines w:val="0"/>
              <w:widowControl w:val="0"/>
              <w:rPr>
                <w:b/>
              </w:rPr>
            </w:pPr>
            <w:r w:rsidRPr="00FA2AB8">
              <w:rPr>
                <w:b/>
              </w:rPr>
              <w:lastRenderedPageBreak/>
              <w:t>JADE COMPARE</w:t>
            </w:r>
          </w:p>
          <w:p w14:paraId="17963FDC" w14:textId="77777777" w:rsidR="00546DBD" w:rsidRPr="00FA2AB8" w:rsidRDefault="00546DBD">
            <w:pPr>
              <w:pStyle w:val="TableText0"/>
              <w:keepNext w:val="0"/>
              <w:keepLines w:val="0"/>
              <w:widowControl w:val="0"/>
            </w:pPr>
            <w:r w:rsidRPr="00FA2AB8">
              <w:t>NCT03720470</w:t>
            </w:r>
          </w:p>
        </w:tc>
        <w:tc>
          <w:tcPr>
            <w:tcW w:w="3290" w:type="pct"/>
            <w:shd w:val="clear" w:color="auto" w:fill="B8CCE4"/>
            <w:vAlign w:val="center"/>
          </w:tcPr>
          <w:p w14:paraId="366FBB21" w14:textId="53376AB3" w:rsidR="00546DBD" w:rsidRPr="00FA2AB8" w:rsidRDefault="00546DBD">
            <w:pPr>
              <w:pStyle w:val="TableText0"/>
              <w:keepNext w:val="0"/>
              <w:keepLines w:val="0"/>
              <w:widowControl w:val="0"/>
            </w:pPr>
            <w:r w:rsidRPr="00FA2AB8">
              <w:t xml:space="preserve">Study evaluating efficacy and safety of PF-04965842 and dupilumab in adult subjects with moderate to severe </w:t>
            </w:r>
            <w:r w:rsidR="0037627F" w:rsidRPr="00FA2AB8">
              <w:t>a</w:t>
            </w:r>
            <w:r w:rsidRPr="00FA2AB8">
              <w:t xml:space="preserve">topic dermatitis on background topical therapy (JADE Compare). </w:t>
            </w:r>
            <w:hyperlink r:id="rId14" w:history="1">
              <w:r w:rsidRPr="00FA2AB8">
                <w:rPr>
                  <w:rStyle w:val="Hyperlink"/>
                </w:rPr>
                <w:t>https://clinicaltrials.gov/study/NCT03720470</w:t>
              </w:r>
            </w:hyperlink>
            <w:r w:rsidRPr="00FA2AB8">
              <w:t xml:space="preserve"> </w:t>
            </w:r>
          </w:p>
        </w:tc>
        <w:tc>
          <w:tcPr>
            <w:tcW w:w="915" w:type="pct"/>
            <w:shd w:val="clear" w:color="auto" w:fill="B8CCE4"/>
            <w:vAlign w:val="center"/>
          </w:tcPr>
          <w:p w14:paraId="776ABCC6" w14:textId="77777777" w:rsidR="00546DBD" w:rsidRPr="00FA2AB8" w:rsidRDefault="00546DBD">
            <w:pPr>
              <w:pStyle w:val="TableText0"/>
              <w:keepNext w:val="0"/>
              <w:keepLines w:val="0"/>
              <w:widowControl w:val="0"/>
            </w:pPr>
            <w:r w:rsidRPr="00FA2AB8">
              <w:t>January 2021</w:t>
            </w:r>
          </w:p>
        </w:tc>
      </w:tr>
      <w:tr w:rsidR="00546DBD" w:rsidRPr="00945436" w14:paraId="76D966D6" w14:textId="77777777" w:rsidTr="00AF29CF">
        <w:trPr>
          <w:cantSplit/>
        </w:trPr>
        <w:tc>
          <w:tcPr>
            <w:tcW w:w="795" w:type="pct"/>
            <w:vMerge/>
            <w:shd w:val="clear" w:color="auto" w:fill="B8CCE4"/>
            <w:vAlign w:val="center"/>
          </w:tcPr>
          <w:p w14:paraId="1FE2827D" w14:textId="77777777" w:rsidR="00546DBD" w:rsidRPr="00FA2AB8" w:rsidRDefault="00546DBD">
            <w:pPr>
              <w:pStyle w:val="TableText0"/>
              <w:keepNext w:val="0"/>
              <w:keepLines w:val="0"/>
              <w:widowControl w:val="0"/>
            </w:pPr>
          </w:p>
        </w:tc>
        <w:tc>
          <w:tcPr>
            <w:tcW w:w="3290" w:type="pct"/>
            <w:shd w:val="clear" w:color="auto" w:fill="B8CCE4"/>
            <w:vAlign w:val="center"/>
          </w:tcPr>
          <w:p w14:paraId="4FB4A703" w14:textId="77777777" w:rsidR="00546DBD" w:rsidRPr="00FA2AB8" w:rsidRDefault="00546DBD">
            <w:pPr>
              <w:pStyle w:val="TableText0"/>
              <w:keepNext w:val="0"/>
              <w:keepLines w:val="0"/>
              <w:widowControl w:val="0"/>
            </w:pPr>
            <w:r w:rsidRPr="00FA2AB8">
              <w:t xml:space="preserve">Bieber, T., Simpson, E. L., et al. </w:t>
            </w:r>
            <w:proofErr w:type="spellStart"/>
            <w:r w:rsidRPr="00FA2AB8">
              <w:t>Abrocitinib</w:t>
            </w:r>
            <w:proofErr w:type="spellEnd"/>
            <w:r w:rsidRPr="00FA2AB8">
              <w:t xml:space="preserve"> versus placebo or dupilumab for atopic dermatitis</w:t>
            </w:r>
          </w:p>
        </w:tc>
        <w:tc>
          <w:tcPr>
            <w:tcW w:w="915" w:type="pct"/>
            <w:shd w:val="clear" w:color="auto" w:fill="B8CCE4"/>
            <w:vAlign w:val="center"/>
          </w:tcPr>
          <w:p w14:paraId="6078015E" w14:textId="77777777" w:rsidR="00546DBD" w:rsidRPr="00FA2AB8" w:rsidRDefault="00546DBD">
            <w:pPr>
              <w:pStyle w:val="TableText0"/>
              <w:keepNext w:val="0"/>
              <w:keepLines w:val="0"/>
              <w:widowControl w:val="0"/>
            </w:pPr>
            <w:r w:rsidRPr="00FA2AB8">
              <w:t>New England Journal of Medicine 2021; 384(12) 1101-1112</w:t>
            </w:r>
          </w:p>
        </w:tc>
      </w:tr>
    </w:tbl>
    <w:p w14:paraId="0D4B0AF8" w14:textId="1D02A781" w:rsidR="00546DBD" w:rsidRPr="00FA2AB8" w:rsidRDefault="00546DBD" w:rsidP="00546DBD">
      <w:pPr>
        <w:pStyle w:val="FooterTableFigure"/>
        <w:widowControl w:val="0"/>
      </w:pPr>
      <w:r w:rsidRPr="00FA2AB8">
        <w:t xml:space="preserve">Source: Table 2-5, p46 of the </w:t>
      </w:r>
      <w:r w:rsidR="00F32287">
        <w:t>re</w:t>
      </w:r>
      <w:r w:rsidRPr="00FA2AB8">
        <w:t>submission.</w:t>
      </w:r>
    </w:p>
    <w:p w14:paraId="12F07CE0" w14:textId="77777777" w:rsidR="00546DBD" w:rsidRPr="00FA2AB8" w:rsidRDefault="00546DBD" w:rsidP="00546DBD">
      <w:pPr>
        <w:pStyle w:val="FooterTableFigure"/>
        <w:widowControl w:val="0"/>
      </w:pPr>
      <w:r w:rsidRPr="00FA2AB8">
        <w:t>CSR = clinical study report.</w:t>
      </w:r>
    </w:p>
    <w:p w14:paraId="2EF35A5E" w14:textId="77777777" w:rsidR="00546DBD" w:rsidRPr="00FA2AB8" w:rsidRDefault="00546DBD" w:rsidP="00546DBD">
      <w:pPr>
        <w:pStyle w:val="FooterTableFigure"/>
        <w:widowControl w:val="0"/>
      </w:pPr>
      <w:r w:rsidRPr="00FA2AB8">
        <w:t xml:space="preserve">Notes: Including key study publications only. </w:t>
      </w:r>
    </w:p>
    <w:p w14:paraId="1F248228" w14:textId="3702A426" w:rsidR="00546DBD" w:rsidRPr="00FA2AB8" w:rsidRDefault="00546DBD" w:rsidP="00E468A1">
      <w:pPr>
        <w:pStyle w:val="FooterTableFigure"/>
        <w:widowControl w:val="0"/>
        <w:spacing w:before="160" w:after="160"/>
      </w:pPr>
      <w:r w:rsidRPr="00FA2AB8">
        <w:rPr>
          <w:shd w:val="clear" w:color="auto" w:fill="B8CCE4"/>
        </w:rPr>
        <w:t>Blue shading</w:t>
      </w:r>
      <w:r w:rsidRPr="00FA2AB8">
        <w:t xml:space="preserve"> indicates studies previously seen by the PBAC</w:t>
      </w:r>
    </w:p>
    <w:p w14:paraId="56A1E99C" w14:textId="22C8A140" w:rsidR="00546DBD" w:rsidRPr="00FA2AB8" w:rsidRDefault="00546DBD" w:rsidP="00E468A1">
      <w:pPr>
        <w:pStyle w:val="3-BodyText"/>
        <w:spacing w:before="160" w:after="160"/>
        <w:rPr>
          <w:color w:val="0066FF"/>
        </w:rPr>
      </w:pPr>
      <w:r w:rsidRPr="00FA2AB8">
        <w:t xml:space="preserve">The key features of the included evidence are summarised in </w:t>
      </w:r>
      <w:r w:rsidRPr="00FA2AB8">
        <w:fldChar w:fldCharType="begin"/>
      </w:r>
      <w:r w:rsidRPr="00FA2AB8">
        <w:instrText xml:space="preserve"> REF _Ref104804098 \h  \* MERGEFORMAT </w:instrText>
      </w:r>
      <w:r w:rsidRPr="00FA2AB8">
        <w:fldChar w:fldCharType="separate"/>
      </w:r>
      <w:r w:rsidR="00F51AFF" w:rsidRPr="00FA2AB8">
        <w:t>Table 4</w:t>
      </w:r>
      <w:r w:rsidRPr="00FA2AB8">
        <w:fldChar w:fldCharType="end"/>
      </w:r>
      <w:r w:rsidRPr="00FA2AB8">
        <w:t>.</w:t>
      </w:r>
    </w:p>
    <w:p w14:paraId="1C8BDE8A" w14:textId="56126CB3" w:rsidR="00546DBD" w:rsidRPr="00FA2AB8" w:rsidRDefault="00546DBD" w:rsidP="001B402C">
      <w:pPr>
        <w:pStyle w:val="Caption"/>
        <w:widowControl w:val="0"/>
        <w:rPr>
          <w:rStyle w:val="CommentReference"/>
          <w:rFonts w:eastAsiaTheme="majorEastAsia" w:cstheme="majorBidi"/>
          <w:b/>
          <w:szCs w:val="24"/>
        </w:rPr>
      </w:pPr>
      <w:bookmarkStart w:id="34" w:name="_Ref104804098"/>
      <w:r w:rsidRPr="00FA2AB8">
        <w:rPr>
          <w:rStyle w:val="CommentReference"/>
          <w:rFonts w:eastAsiaTheme="majorEastAsia" w:cstheme="majorBidi"/>
          <w:b/>
          <w:szCs w:val="24"/>
        </w:rPr>
        <w:t xml:space="preserve">Table </w:t>
      </w:r>
      <w:r w:rsidRPr="00FA2AB8">
        <w:rPr>
          <w:rStyle w:val="CommentReference"/>
          <w:rFonts w:eastAsiaTheme="majorEastAsia" w:cstheme="majorBidi"/>
          <w:b/>
          <w:szCs w:val="24"/>
        </w:rPr>
        <w:fldChar w:fldCharType="begin"/>
      </w:r>
      <w:r w:rsidRPr="00FA2AB8">
        <w:rPr>
          <w:rStyle w:val="CommentReference"/>
          <w:rFonts w:eastAsiaTheme="majorEastAsia" w:cstheme="majorBidi"/>
          <w:b/>
          <w:szCs w:val="24"/>
        </w:rPr>
        <w:instrText xml:space="preserve"> SEQ Table \* ARABIC </w:instrText>
      </w:r>
      <w:r w:rsidRPr="00FA2AB8">
        <w:rPr>
          <w:rStyle w:val="CommentReference"/>
          <w:rFonts w:eastAsiaTheme="majorEastAsia" w:cstheme="majorBidi"/>
          <w:b/>
          <w:szCs w:val="24"/>
        </w:rPr>
        <w:fldChar w:fldCharType="separate"/>
      </w:r>
      <w:r w:rsidR="00CB23C7">
        <w:rPr>
          <w:rStyle w:val="CommentReference"/>
          <w:rFonts w:eastAsiaTheme="majorEastAsia" w:cstheme="majorBidi"/>
          <w:b/>
          <w:noProof/>
          <w:szCs w:val="24"/>
        </w:rPr>
        <w:t>4</w:t>
      </w:r>
      <w:r w:rsidRPr="00FA2AB8">
        <w:rPr>
          <w:rStyle w:val="CommentReference"/>
          <w:rFonts w:eastAsiaTheme="majorEastAsia" w:cstheme="majorBidi"/>
          <w:b/>
          <w:szCs w:val="24"/>
        </w:rPr>
        <w:fldChar w:fldCharType="end"/>
      </w:r>
      <w:bookmarkEnd w:id="34"/>
      <w:r w:rsidRPr="00FA2AB8">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072"/>
        <w:gridCol w:w="575"/>
        <w:gridCol w:w="943"/>
        <w:gridCol w:w="665"/>
        <w:gridCol w:w="1894"/>
        <w:gridCol w:w="2925"/>
        <w:gridCol w:w="934"/>
        <w:gridCol w:w="9"/>
      </w:tblGrid>
      <w:tr w:rsidR="00546DBD" w:rsidRPr="00FB1EB3" w14:paraId="3B6C3271" w14:textId="77777777" w:rsidTr="00AF29CF">
        <w:trPr>
          <w:gridAfter w:val="1"/>
          <w:wAfter w:w="5" w:type="pct"/>
          <w:cantSplit/>
          <w:tblHeader/>
        </w:trPr>
        <w:tc>
          <w:tcPr>
            <w:tcW w:w="594" w:type="pct"/>
            <w:vAlign w:val="center"/>
          </w:tcPr>
          <w:p w14:paraId="3CE517F2" w14:textId="77777777" w:rsidR="00546DBD" w:rsidRPr="00783558" w:rsidRDefault="00546DBD" w:rsidP="00240EB2">
            <w:pPr>
              <w:pStyle w:val="In-tableHeading"/>
              <w:rPr>
                <w:i w:val="0"/>
                <w:iCs w:val="0"/>
              </w:rPr>
            </w:pPr>
            <w:r w:rsidRPr="00783558">
              <w:rPr>
                <w:i w:val="0"/>
                <w:iCs w:val="0"/>
              </w:rPr>
              <w:t>Trial</w:t>
            </w:r>
          </w:p>
        </w:tc>
        <w:tc>
          <w:tcPr>
            <w:tcW w:w="319" w:type="pct"/>
            <w:vAlign w:val="center"/>
          </w:tcPr>
          <w:p w14:paraId="3BD46127" w14:textId="77777777" w:rsidR="00546DBD" w:rsidRPr="00783558" w:rsidRDefault="00546DBD" w:rsidP="00240EB2">
            <w:pPr>
              <w:pStyle w:val="In-tableHeading"/>
              <w:rPr>
                <w:i w:val="0"/>
                <w:iCs w:val="0"/>
              </w:rPr>
            </w:pPr>
            <w:r w:rsidRPr="00783558">
              <w:rPr>
                <w:i w:val="0"/>
                <w:iCs w:val="0"/>
              </w:rPr>
              <w:t>N</w:t>
            </w:r>
          </w:p>
        </w:tc>
        <w:tc>
          <w:tcPr>
            <w:tcW w:w="523" w:type="pct"/>
            <w:vAlign w:val="center"/>
          </w:tcPr>
          <w:p w14:paraId="5D9FDE85" w14:textId="77777777" w:rsidR="00546DBD" w:rsidRPr="00783558" w:rsidRDefault="00546DBD" w:rsidP="00240EB2">
            <w:pPr>
              <w:pStyle w:val="In-tableHeading"/>
              <w:rPr>
                <w:i w:val="0"/>
                <w:iCs w:val="0"/>
              </w:rPr>
            </w:pPr>
            <w:r w:rsidRPr="00783558">
              <w:rPr>
                <w:i w:val="0"/>
                <w:iCs w:val="0"/>
              </w:rPr>
              <w:t>Design/ duration</w:t>
            </w:r>
          </w:p>
        </w:tc>
        <w:tc>
          <w:tcPr>
            <w:tcW w:w="369" w:type="pct"/>
            <w:vAlign w:val="center"/>
          </w:tcPr>
          <w:p w14:paraId="59288DD9" w14:textId="77777777" w:rsidR="00546DBD" w:rsidRPr="00783558" w:rsidRDefault="00546DBD" w:rsidP="00240EB2">
            <w:pPr>
              <w:pStyle w:val="In-tableHeading"/>
              <w:rPr>
                <w:i w:val="0"/>
                <w:iCs w:val="0"/>
              </w:rPr>
            </w:pPr>
            <w:r w:rsidRPr="00783558">
              <w:rPr>
                <w:i w:val="0"/>
                <w:iCs w:val="0"/>
              </w:rPr>
              <w:t>Risk of bias</w:t>
            </w:r>
          </w:p>
        </w:tc>
        <w:tc>
          <w:tcPr>
            <w:tcW w:w="1050" w:type="pct"/>
            <w:vAlign w:val="center"/>
          </w:tcPr>
          <w:p w14:paraId="03D6AF81" w14:textId="77777777" w:rsidR="00546DBD" w:rsidRPr="00783558" w:rsidRDefault="00546DBD" w:rsidP="00240EB2">
            <w:pPr>
              <w:pStyle w:val="In-tableHeading"/>
              <w:rPr>
                <w:i w:val="0"/>
                <w:iCs w:val="0"/>
              </w:rPr>
            </w:pPr>
            <w:r w:rsidRPr="00783558">
              <w:rPr>
                <w:i w:val="0"/>
                <w:iCs w:val="0"/>
              </w:rPr>
              <w:t>Patient population</w:t>
            </w:r>
          </w:p>
        </w:tc>
        <w:tc>
          <w:tcPr>
            <w:tcW w:w="1622" w:type="pct"/>
            <w:vAlign w:val="center"/>
          </w:tcPr>
          <w:p w14:paraId="5E178A07" w14:textId="77777777" w:rsidR="00546DBD" w:rsidRPr="00783558" w:rsidRDefault="00546DBD" w:rsidP="00240EB2">
            <w:pPr>
              <w:pStyle w:val="In-tableHeading"/>
              <w:rPr>
                <w:i w:val="0"/>
                <w:iCs w:val="0"/>
              </w:rPr>
            </w:pPr>
            <w:r w:rsidRPr="00783558">
              <w:rPr>
                <w:i w:val="0"/>
                <w:iCs w:val="0"/>
              </w:rPr>
              <w:t>Outcomes</w:t>
            </w:r>
          </w:p>
        </w:tc>
        <w:tc>
          <w:tcPr>
            <w:tcW w:w="518" w:type="pct"/>
            <w:vAlign w:val="center"/>
          </w:tcPr>
          <w:p w14:paraId="48172827" w14:textId="674C2B2A" w:rsidR="00546DBD" w:rsidRPr="00783558" w:rsidRDefault="00546DBD" w:rsidP="00240EB2">
            <w:pPr>
              <w:pStyle w:val="In-tableHeading"/>
              <w:rPr>
                <w:i w:val="0"/>
                <w:iCs w:val="0"/>
              </w:rPr>
            </w:pPr>
            <w:r w:rsidRPr="00783558">
              <w:rPr>
                <w:i w:val="0"/>
                <w:iCs w:val="0"/>
              </w:rPr>
              <w:t>Use</w:t>
            </w:r>
            <w:r w:rsidR="00915A8F">
              <w:rPr>
                <w:i w:val="0"/>
                <w:iCs w:val="0"/>
              </w:rPr>
              <w:t>d</w:t>
            </w:r>
            <w:r w:rsidRPr="00783558">
              <w:rPr>
                <w:i w:val="0"/>
                <w:iCs w:val="0"/>
              </w:rPr>
              <w:t xml:space="preserve"> in</w:t>
            </w:r>
            <w:r w:rsidR="00915A8F">
              <w:rPr>
                <w:i w:val="0"/>
                <w:iCs w:val="0"/>
              </w:rPr>
              <w:t xml:space="preserve"> CMA</w:t>
            </w:r>
            <w:r w:rsidR="00792F1A">
              <w:rPr>
                <w:i w:val="0"/>
                <w:iCs w:val="0"/>
              </w:rPr>
              <w:t>?</w:t>
            </w:r>
            <w:r w:rsidRPr="00783558">
              <w:rPr>
                <w:i w:val="0"/>
                <w:iCs w:val="0"/>
              </w:rPr>
              <w:t xml:space="preserve"> </w:t>
            </w:r>
          </w:p>
        </w:tc>
      </w:tr>
      <w:tr w:rsidR="00546DBD" w:rsidRPr="00FA2AB8" w14:paraId="3457CB7D" w14:textId="77777777" w:rsidTr="00AF29CF">
        <w:trPr>
          <w:cantSplit/>
        </w:trPr>
        <w:tc>
          <w:tcPr>
            <w:tcW w:w="5000" w:type="pct"/>
            <w:gridSpan w:val="8"/>
            <w:vAlign w:val="center"/>
          </w:tcPr>
          <w:p w14:paraId="40D7DD76" w14:textId="77777777" w:rsidR="00546DBD" w:rsidRPr="00FA2AB8" w:rsidRDefault="00546DBD" w:rsidP="001B402C">
            <w:pPr>
              <w:pStyle w:val="TableText0"/>
              <w:widowControl w:val="0"/>
              <w:rPr>
                <w:b/>
                <w:bCs w:val="0"/>
              </w:rPr>
            </w:pPr>
            <w:r w:rsidRPr="00FA2AB8">
              <w:rPr>
                <w:b/>
                <w:bCs w:val="0"/>
              </w:rPr>
              <w:t>Nemolizumab vs. placebo</w:t>
            </w:r>
          </w:p>
        </w:tc>
      </w:tr>
      <w:tr w:rsidR="00546DBD" w:rsidRPr="00FA2AB8" w14:paraId="72CF07F1" w14:textId="77777777" w:rsidTr="00AF29CF">
        <w:trPr>
          <w:gridAfter w:val="1"/>
          <w:wAfter w:w="5" w:type="pct"/>
          <w:cantSplit/>
        </w:trPr>
        <w:tc>
          <w:tcPr>
            <w:tcW w:w="594" w:type="pct"/>
            <w:shd w:val="clear" w:color="auto" w:fill="B8CCE4"/>
            <w:vAlign w:val="center"/>
          </w:tcPr>
          <w:p w14:paraId="27264929" w14:textId="77777777" w:rsidR="00546DBD" w:rsidRPr="00FA2AB8" w:rsidRDefault="00546DBD" w:rsidP="001B402C">
            <w:pPr>
              <w:pStyle w:val="TableText0"/>
              <w:widowControl w:val="0"/>
            </w:pPr>
            <w:r w:rsidRPr="00FA2AB8">
              <w:t>ARCADIA 1</w:t>
            </w:r>
          </w:p>
        </w:tc>
        <w:tc>
          <w:tcPr>
            <w:tcW w:w="319" w:type="pct"/>
            <w:shd w:val="clear" w:color="auto" w:fill="B8CCE4"/>
            <w:vAlign w:val="center"/>
          </w:tcPr>
          <w:p w14:paraId="02D18011" w14:textId="77777777" w:rsidR="00546DBD" w:rsidRPr="00FA2AB8" w:rsidRDefault="00546DBD" w:rsidP="001B402C">
            <w:pPr>
              <w:pStyle w:val="TableText0"/>
              <w:widowControl w:val="0"/>
              <w:jc w:val="center"/>
            </w:pPr>
            <w:r w:rsidRPr="00FA2AB8">
              <w:t>941</w:t>
            </w:r>
          </w:p>
        </w:tc>
        <w:tc>
          <w:tcPr>
            <w:tcW w:w="523" w:type="pct"/>
            <w:shd w:val="clear" w:color="auto" w:fill="B8CCE4"/>
            <w:vAlign w:val="center"/>
          </w:tcPr>
          <w:p w14:paraId="3A2ABB4E" w14:textId="77777777" w:rsidR="00546DBD" w:rsidRPr="00FA2AB8" w:rsidRDefault="00546DBD" w:rsidP="001B402C">
            <w:pPr>
              <w:pStyle w:val="TableText0"/>
              <w:widowControl w:val="0"/>
              <w:jc w:val="center"/>
            </w:pPr>
            <w:r w:rsidRPr="00FA2AB8">
              <w:t>R, DB, MC</w:t>
            </w:r>
          </w:p>
          <w:p w14:paraId="146082D9" w14:textId="77777777" w:rsidR="00546DBD" w:rsidRPr="00FA2AB8" w:rsidRDefault="00546DBD" w:rsidP="001B402C">
            <w:pPr>
              <w:pStyle w:val="TableText0"/>
              <w:widowControl w:val="0"/>
              <w:jc w:val="center"/>
            </w:pPr>
            <w:r w:rsidRPr="00FA2AB8">
              <w:t>48 weeks</w:t>
            </w:r>
          </w:p>
        </w:tc>
        <w:tc>
          <w:tcPr>
            <w:tcW w:w="369" w:type="pct"/>
            <w:shd w:val="clear" w:color="auto" w:fill="B8CCE4"/>
            <w:vAlign w:val="center"/>
          </w:tcPr>
          <w:p w14:paraId="55886B57" w14:textId="77777777" w:rsidR="00546DBD" w:rsidRPr="00FA2AB8" w:rsidRDefault="00546DBD" w:rsidP="001B402C">
            <w:pPr>
              <w:pStyle w:val="TableText0"/>
              <w:widowControl w:val="0"/>
              <w:jc w:val="center"/>
            </w:pPr>
            <w:r w:rsidRPr="00FA2AB8">
              <w:t>Low</w:t>
            </w:r>
          </w:p>
        </w:tc>
        <w:tc>
          <w:tcPr>
            <w:tcW w:w="1050" w:type="pct"/>
            <w:shd w:val="clear" w:color="auto" w:fill="B8CCE4"/>
            <w:vAlign w:val="center"/>
          </w:tcPr>
          <w:p w14:paraId="6D8ABE65" w14:textId="77777777" w:rsidR="00546DBD" w:rsidRPr="00FA2AB8" w:rsidRDefault="00546DBD" w:rsidP="001B402C">
            <w:pPr>
              <w:pStyle w:val="TableText0"/>
              <w:widowControl w:val="0"/>
              <w:jc w:val="center"/>
            </w:pPr>
            <w:r w:rsidRPr="00FA2AB8">
              <w:t>Adult and adolescent patients with moderate to severe AD with inadequate response to topical steroids</w:t>
            </w:r>
          </w:p>
        </w:tc>
        <w:tc>
          <w:tcPr>
            <w:tcW w:w="1622" w:type="pct"/>
            <w:shd w:val="clear" w:color="auto" w:fill="B8CCE4"/>
            <w:vAlign w:val="center"/>
          </w:tcPr>
          <w:p w14:paraId="7EB72811" w14:textId="77777777" w:rsidR="00546DBD" w:rsidRPr="00FA2AB8" w:rsidRDefault="00546DBD" w:rsidP="001B402C">
            <w:pPr>
              <w:pStyle w:val="TableText0"/>
              <w:widowControl w:val="0"/>
              <w:jc w:val="center"/>
            </w:pPr>
            <w:r w:rsidRPr="00FA2AB8">
              <w:t>EASI-75</w:t>
            </w:r>
          </w:p>
          <w:p w14:paraId="53890C49" w14:textId="77777777" w:rsidR="00546DBD" w:rsidRPr="00FA2AB8" w:rsidRDefault="00546DBD" w:rsidP="001B402C">
            <w:pPr>
              <w:pStyle w:val="TableText0"/>
              <w:widowControl w:val="0"/>
              <w:jc w:val="center"/>
            </w:pPr>
            <w:r w:rsidRPr="00FA2AB8">
              <w:t>IGA success</w:t>
            </w:r>
          </w:p>
          <w:p w14:paraId="4BA92CF4" w14:textId="77777777" w:rsidR="00546DBD" w:rsidRPr="00FA2AB8" w:rsidRDefault="00546DBD" w:rsidP="001B402C">
            <w:pPr>
              <w:pStyle w:val="TableText0"/>
              <w:widowControl w:val="0"/>
              <w:jc w:val="center"/>
            </w:pPr>
            <w:r w:rsidRPr="00FA2AB8">
              <w:t>EASI-50</w:t>
            </w:r>
          </w:p>
          <w:p w14:paraId="342E5DB7" w14:textId="77777777" w:rsidR="00546DBD" w:rsidRPr="00FA2AB8" w:rsidRDefault="00546DBD" w:rsidP="001B402C">
            <w:pPr>
              <w:pStyle w:val="TableText0"/>
              <w:widowControl w:val="0"/>
              <w:jc w:val="center"/>
            </w:pPr>
            <w:r w:rsidRPr="00FA2AB8">
              <w:rPr>
                <w:rFonts w:cs="Calibri"/>
              </w:rPr>
              <w:t>≥</w:t>
            </w:r>
            <w:r w:rsidRPr="00FA2AB8">
              <w:t>4-point improvement in DLQI</w:t>
            </w:r>
          </w:p>
          <w:p w14:paraId="71CDFD7C" w14:textId="77777777" w:rsidR="00546DBD" w:rsidRPr="00FA2AB8" w:rsidRDefault="00546DBD" w:rsidP="001B402C">
            <w:pPr>
              <w:pStyle w:val="TableText0"/>
              <w:widowControl w:val="0"/>
              <w:jc w:val="center"/>
            </w:pPr>
            <w:r w:rsidRPr="00FA2AB8">
              <w:rPr>
                <w:rFonts w:cs="Calibri"/>
              </w:rPr>
              <w:t>≥</w:t>
            </w:r>
            <w:r w:rsidRPr="00FA2AB8">
              <w:t>4-point improvement in PP-NRS</w:t>
            </w:r>
          </w:p>
          <w:p w14:paraId="06826D3F" w14:textId="77777777" w:rsidR="00546DBD" w:rsidRPr="00FA2AB8" w:rsidRDefault="00546DBD" w:rsidP="001B402C">
            <w:pPr>
              <w:pStyle w:val="TableText0"/>
              <w:widowControl w:val="0"/>
              <w:jc w:val="center"/>
            </w:pPr>
            <w:r w:rsidRPr="00FA2AB8">
              <w:t>Safety</w:t>
            </w:r>
          </w:p>
        </w:tc>
        <w:tc>
          <w:tcPr>
            <w:tcW w:w="518" w:type="pct"/>
            <w:shd w:val="clear" w:color="auto" w:fill="B8CCE4"/>
            <w:vAlign w:val="center"/>
          </w:tcPr>
          <w:p w14:paraId="54A5AC47" w14:textId="61842E94" w:rsidR="00546DBD" w:rsidRPr="00FA2AB8" w:rsidRDefault="00792F1A" w:rsidP="001B402C">
            <w:pPr>
              <w:pStyle w:val="TableText0"/>
              <w:widowControl w:val="0"/>
              <w:jc w:val="center"/>
            </w:pPr>
            <w:r>
              <w:t>Yes</w:t>
            </w:r>
          </w:p>
        </w:tc>
      </w:tr>
      <w:tr w:rsidR="00546DBD" w:rsidRPr="00FA2AB8" w14:paraId="1AEC505D" w14:textId="77777777" w:rsidTr="00AF29CF">
        <w:trPr>
          <w:gridAfter w:val="1"/>
          <w:wAfter w:w="5" w:type="pct"/>
          <w:cantSplit/>
        </w:trPr>
        <w:tc>
          <w:tcPr>
            <w:tcW w:w="594" w:type="pct"/>
            <w:shd w:val="clear" w:color="auto" w:fill="B8CCE4"/>
            <w:vAlign w:val="center"/>
          </w:tcPr>
          <w:p w14:paraId="0B7094D3" w14:textId="77777777" w:rsidR="00546DBD" w:rsidRPr="00FA2AB8" w:rsidRDefault="00546DBD" w:rsidP="001B402C">
            <w:pPr>
              <w:pStyle w:val="TableText0"/>
              <w:widowControl w:val="0"/>
            </w:pPr>
            <w:r w:rsidRPr="00FA2AB8">
              <w:t>ARCADIA 2</w:t>
            </w:r>
          </w:p>
        </w:tc>
        <w:tc>
          <w:tcPr>
            <w:tcW w:w="319" w:type="pct"/>
            <w:shd w:val="clear" w:color="auto" w:fill="B8CCE4"/>
            <w:vAlign w:val="center"/>
          </w:tcPr>
          <w:p w14:paraId="790A2842" w14:textId="77777777" w:rsidR="00546DBD" w:rsidRPr="00FA2AB8" w:rsidRDefault="00546DBD" w:rsidP="001B402C">
            <w:pPr>
              <w:pStyle w:val="TableText0"/>
              <w:widowControl w:val="0"/>
              <w:jc w:val="center"/>
            </w:pPr>
            <w:r w:rsidRPr="00FA2AB8">
              <w:t>787</w:t>
            </w:r>
          </w:p>
        </w:tc>
        <w:tc>
          <w:tcPr>
            <w:tcW w:w="523" w:type="pct"/>
            <w:shd w:val="clear" w:color="auto" w:fill="B8CCE4"/>
            <w:vAlign w:val="center"/>
          </w:tcPr>
          <w:p w14:paraId="15B7625E" w14:textId="77777777" w:rsidR="00546DBD" w:rsidRPr="00FA2AB8" w:rsidRDefault="00546DBD" w:rsidP="001B402C">
            <w:pPr>
              <w:pStyle w:val="TableText0"/>
              <w:widowControl w:val="0"/>
              <w:jc w:val="center"/>
            </w:pPr>
            <w:r w:rsidRPr="00FA2AB8">
              <w:t>R, DB, MC</w:t>
            </w:r>
          </w:p>
          <w:p w14:paraId="37456353" w14:textId="77777777" w:rsidR="00546DBD" w:rsidRPr="00FA2AB8" w:rsidRDefault="00546DBD" w:rsidP="001B402C">
            <w:pPr>
              <w:pStyle w:val="TableText0"/>
              <w:widowControl w:val="0"/>
              <w:jc w:val="center"/>
            </w:pPr>
            <w:r w:rsidRPr="00FA2AB8">
              <w:t>48 weeks</w:t>
            </w:r>
          </w:p>
        </w:tc>
        <w:tc>
          <w:tcPr>
            <w:tcW w:w="369" w:type="pct"/>
            <w:shd w:val="clear" w:color="auto" w:fill="B8CCE4"/>
            <w:vAlign w:val="center"/>
          </w:tcPr>
          <w:p w14:paraId="7C004350" w14:textId="77777777" w:rsidR="00546DBD" w:rsidRPr="00FA2AB8" w:rsidRDefault="00546DBD" w:rsidP="001B402C">
            <w:pPr>
              <w:pStyle w:val="TableText0"/>
              <w:widowControl w:val="0"/>
              <w:jc w:val="center"/>
            </w:pPr>
            <w:r w:rsidRPr="00FA2AB8">
              <w:t>Low</w:t>
            </w:r>
          </w:p>
        </w:tc>
        <w:tc>
          <w:tcPr>
            <w:tcW w:w="1050" w:type="pct"/>
            <w:shd w:val="clear" w:color="auto" w:fill="B8CCE4"/>
            <w:vAlign w:val="center"/>
          </w:tcPr>
          <w:p w14:paraId="31233DF0" w14:textId="77777777" w:rsidR="00546DBD" w:rsidRPr="00FA2AB8" w:rsidRDefault="00546DBD" w:rsidP="001B402C">
            <w:pPr>
              <w:pStyle w:val="TableText0"/>
              <w:widowControl w:val="0"/>
              <w:jc w:val="center"/>
            </w:pPr>
            <w:r w:rsidRPr="00FA2AB8">
              <w:t>Adult and adolescent patients with moderate to severe AD with inadequate response to topical steroids</w:t>
            </w:r>
          </w:p>
        </w:tc>
        <w:tc>
          <w:tcPr>
            <w:tcW w:w="1622" w:type="pct"/>
            <w:shd w:val="clear" w:color="auto" w:fill="B8CCE4"/>
            <w:vAlign w:val="center"/>
          </w:tcPr>
          <w:p w14:paraId="300BECFE" w14:textId="77777777" w:rsidR="00546DBD" w:rsidRPr="00FA2AB8" w:rsidRDefault="00546DBD" w:rsidP="001B402C">
            <w:pPr>
              <w:pStyle w:val="TableText0"/>
              <w:widowControl w:val="0"/>
              <w:jc w:val="center"/>
            </w:pPr>
            <w:r w:rsidRPr="00FA2AB8">
              <w:t>EASI-75</w:t>
            </w:r>
          </w:p>
          <w:p w14:paraId="548F86B7" w14:textId="77777777" w:rsidR="00546DBD" w:rsidRPr="00FA2AB8" w:rsidRDefault="00546DBD" w:rsidP="001B402C">
            <w:pPr>
              <w:pStyle w:val="TableText0"/>
              <w:widowControl w:val="0"/>
              <w:jc w:val="center"/>
            </w:pPr>
            <w:r w:rsidRPr="00FA2AB8">
              <w:t>IGA success</w:t>
            </w:r>
          </w:p>
          <w:p w14:paraId="21300E66" w14:textId="77777777" w:rsidR="00546DBD" w:rsidRPr="00FA2AB8" w:rsidRDefault="00546DBD" w:rsidP="001B402C">
            <w:pPr>
              <w:pStyle w:val="TableText0"/>
              <w:widowControl w:val="0"/>
              <w:jc w:val="center"/>
            </w:pPr>
            <w:r w:rsidRPr="00FA2AB8">
              <w:t>EASI-50</w:t>
            </w:r>
          </w:p>
          <w:p w14:paraId="4BA51275" w14:textId="77777777" w:rsidR="00546DBD" w:rsidRPr="00FA2AB8" w:rsidRDefault="00546DBD" w:rsidP="001B402C">
            <w:pPr>
              <w:pStyle w:val="TableText0"/>
              <w:widowControl w:val="0"/>
              <w:jc w:val="center"/>
            </w:pPr>
            <w:r w:rsidRPr="00FA2AB8">
              <w:rPr>
                <w:rFonts w:cs="Calibri"/>
              </w:rPr>
              <w:t>≥</w:t>
            </w:r>
            <w:r w:rsidRPr="00FA2AB8">
              <w:t>4-point improvement in DLQI</w:t>
            </w:r>
          </w:p>
          <w:p w14:paraId="16C1DD36" w14:textId="77777777" w:rsidR="00546DBD" w:rsidRPr="00FA2AB8" w:rsidRDefault="00546DBD" w:rsidP="001B402C">
            <w:pPr>
              <w:pStyle w:val="TableText0"/>
              <w:widowControl w:val="0"/>
              <w:jc w:val="center"/>
            </w:pPr>
            <w:r w:rsidRPr="00FA2AB8">
              <w:rPr>
                <w:rFonts w:cs="Calibri"/>
              </w:rPr>
              <w:t>≥</w:t>
            </w:r>
            <w:r w:rsidRPr="00FA2AB8">
              <w:t>4-point improvement in PP-NRS</w:t>
            </w:r>
          </w:p>
          <w:p w14:paraId="265017C4" w14:textId="77777777" w:rsidR="00546DBD" w:rsidRPr="00FA2AB8" w:rsidRDefault="00546DBD" w:rsidP="001B402C">
            <w:pPr>
              <w:pStyle w:val="TableText0"/>
              <w:widowControl w:val="0"/>
              <w:jc w:val="center"/>
            </w:pPr>
            <w:r w:rsidRPr="00FA2AB8">
              <w:t>Safety</w:t>
            </w:r>
          </w:p>
        </w:tc>
        <w:tc>
          <w:tcPr>
            <w:tcW w:w="518" w:type="pct"/>
            <w:shd w:val="clear" w:color="auto" w:fill="B8CCE4"/>
            <w:vAlign w:val="center"/>
          </w:tcPr>
          <w:p w14:paraId="69AC880D" w14:textId="26FBBCDB" w:rsidR="00546DBD" w:rsidRPr="00FA2AB8" w:rsidRDefault="00792F1A" w:rsidP="001B402C">
            <w:pPr>
              <w:pStyle w:val="TableText0"/>
              <w:widowControl w:val="0"/>
              <w:jc w:val="center"/>
            </w:pPr>
            <w:r>
              <w:t>Yes</w:t>
            </w:r>
          </w:p>
        </w:tc>
      </w:tr>
      <w:tr w:rsidR="00546DBD" w:rsidRPr="00FA2AB8" w14:paraId="23A89B97" w14:textId="77777777" w:rsidTr="00AF29CF">
        <w:trPr>
          <w:gridAfter w:val="1"/>
          <w:wAfter w:w="5" w:type="pct"/>
          <w:cantSplit/>
        </w:trPr>
        <w:tc>
          <w:tcPr>
            <w:tcW w:w="594" w:type="pct"/>
            <w:shd w:val="clear" w:color="auto" w:fill="B8CCE4"/>
            <w:vAlign w:val="center"/>
          </w:tcPr>
          <w:p w14:paraId="76D3BA00" w14:textId="77777777" w:rsidR="00546DBD" w:rsidRPr="00FA2AB8" w:rsidRDefault="00546DBD" w:rsidP="00CC536B">
            <w:pPr>
              <w:pStyle w:val="TableText0"/>
              <w:keepNext w:val="0"/>
              <w:keepLines w:val="0"/>
              <w:widowControl w:val="0"/>
            </w:pPr>
            <w:r w:rsidRPr="00FA2AB8">
              <w:t>ARCADIA CYCLO</w:t>
            </w:r>
          </w:p>
        </w:tc>
        <w:tc>
          <w:tcPr>
            <w:tcW w:w="319" w:type="pct"/>
            <w:shd w:val="clear" w:color="auto" w:fill="B8CCE4"/>
            <w:vAlign w:val="center"/>
          </w:tcPr>
          <w:p w14:paraId="33939760" w14:textId="77777777" w:rsidR="00546DBD" w:rsidRPr="00FA2AB8" w:rsidRDefault="00546DBD" w:rsidP="00CC536B">
            <w:pPr>
              <w:pStyle w:val="TableText0"/>
              <w:keepNext w:val="0"/>
              <w:keepLines w:val="0"/>
              <w:widowControl w:val="0"/>
              <w:jc w:val="center"/>
            </w:pPr>
            <w:r w:rsidRPr="00FA2AB8">
              <w:t>276</w:t>
            </w:r>
          </w:p>
        </w:tc>
        <w:tc>
          <w:tcPr>
            <w:tcW w:w="523" w:type="pct"/>
            <w:shd w:val="clear" w:color="auto" w:fill="B8CCE4"/>
            <w:vAlign w:val="center"/>
          </w:tcPr>
          <w:p w14:paraId="4022FDA4" w14:textId="77777777" w:rsidR="00546DBD" w:rsidRPr="00FA2AB8" w:rsidRDefault="00546DBD" w:rsidP="00CC536B">
            <w:pPr>
              <w:pStyle w:val="TableText0"/>
              <w:keepNext w:val="0"/>
              <w:keepLines w:val="0"/>
              <w:widowControl w:val="0"/>
              <w:jc w:val="center"/>
            </w:pPr>
            <w:r w:rsidRPr="00FA2AB8">
              <w:t>R, DB, MC</w:t>
            </w:r>
          </w:p>
          <w:p w14:paraId="19694629" w14:textId="77777777" w:rsidR="00546DBD" w:rsidRPr="00FA2AB8" w:rsidRDefault="00546DBD" w:rsidP="00CC536B">
            <w:pPr>
              <w:pStyle w:val="TableText0"/>
              <w:keepNext w:val="0"/>
              <w:keepLines w:val="0"/>
              <w:widowControl w:val="0"/>
              <w:jc w:val="center"/>
            </w:pPr>
            <w:r w:rsidRPr="00FA2AB8">
              <w:t>16 weeks</w:t>
            </w:r>
          </w:p>
        </w:tc>
        <w:tc>
          <w:tcPr>
            <w:tcW w:w="369" w:type="pct"/>
            <w:shd w:val="clear" w:color="auto" w:fill="B8CCE4"/>
            <w:vAlign w:val="center"/>
          </w:tcPr>
          <w:p w14:paraId="76B5549B" w14:textId="77777777" w:rsidR="00546DBD" w:rsidRPr="00FA2AB8" w:rsidRDefault="00546DBD" w:rsidP="00CC536B">
            <w:pPr>
              <w:pStyle w:val="TableText0"/>
              <w:keepNext w:val="0"/>
              <w:keepLines w:val="0"/>
              <w:widowControl w:val="0"/>
              <w:jc w:val="center"/>
            </w:pPr>
            <w:r w:rsidRPr="00FA2AB8">
              <w:t>Low</w:t>
            </w:r>
          </w:p>
        </w:tc>
        <w:tc>
          <w:tcPr>
            <w:tcW w:w="1050" w:type="pct"/>
            <w:shd w:val="clear" w:color="auto" w:fill="B8CCE4"/>
            <w:vAlign w:val="center"/>
          </w:tcPr>
          <w:p w14:paraId="257BA39D" w14:textId="77777777" w:rsidR="00546DBD" w:rsidRPr="00FA2AB8" w:rsidRDefault="00546DBD" w:rsidP="00CC536B">
            <w:pPr>
              <w:pStyle w:val="TableText0"/>
              <w:keepNext w:val="0"/>
              <w:keepLines w:val="0"/>
              <w:widowControl w:val="0"/>
              <w:jc w:val="center"/>
            </w:pPr>
            <w:r w:rsidRPr="00FA2AB8">
              <w:t xml:space="preserve">Adult patients with moderate to severe AD with recent exposure to </w:t>
            </w:r>
            <w:proofErr w:type="spellStart"/>
            <w:r w:rsidRPr="00FA2AB8">
              <w:t>CsA</w:t>
            </w:r>
            <w:proofErr w:type="spellEnd"/>
            <w:r w:rsidRPr="00FA2AB8">
              <w:t xml:space="preserve"> or medically inadvisable to received </w:t>
            </w:r>
            <w:proofErr w:type="spellStart"/>
            <w:r w:rsidRPr="00FA2AB8">
              <w:t>CsA</w:t>
            </w:r>
            <w:proofErr w:type="spellEnd"/>
          </w:p>
        </w:tc>
        <w:tc>
          <w:tcPr>
            <w:tcW w:w="1622" w:type="pct"/>
            <w:shd w:val="clear" w:color="auto" w:fill="B8CCE4"/>
            <w:vAlign w:val="center"/>
          </w:tcPr>
          <w:p w14:paraId="134087B1" w14:textId="77777777" w:rsidR="00546DBD" w:rsidRPr="00FA2AB8" w:rsidRDefault="00546DBD" w:rsidP="00CC536B">
            <w:pPr>
              <w:pStyle w:val="TableText0"/>
              <w:keepNext w:val="0"/>
              <w:keepLines w:val="0"/>
              <w:widowControl w:val="0"/>
              <w:jc w:val="center"/>
            </w:pPr>
            <w:r w:rsidRPr="00FA2AB8">
              <w:t>EASI-75</w:t>
            </w:r>
          </w:p>
          <w:p w14:paraId="2DA259FC" w14:textId="77777777" w:rsidR="00546DBD" w:rsidRPr="00FA2AB8" w:rsidRDefault="00546DBD" w:rsidP="00CC536B">
            <w:pPr>
              <w:pStyle w:val="TableText0"/>
              <w:keepNext w:val="0"/>
              <w:keepLines w:val="0"/>
              <w:widowControl w:val="0"/>
              <w:jc w:val="center"/>
            </w:pPr>
            <w:r w:rsidRPr="00FA2AB8">
              <w:t>IGA success</w:t>
            </w:r>
          </w:p>
          <w:p w14:paraId="4862D35E" w14:textId="77777777" w:rsidR="00546DBD" w:rsidRPr="00FA2AB8" w:rsidRDefault="00546DBD" w:rsidP="00CC536B">
            <w:pPr>
              <w:pStyle w:val="TableText0"/>
              <w:keepNext w:val="0"/>
              <w:keepLines w:val="0"/>
              <w:widowControl w:val="0"/>
              <w:jc w:val="center"/>
            </w:pPr>
            <w:r w:rsidRPr="00FA2AB8">
              <w:t>EASI-50</w:t>
            </w:r>
          </w:p>
          <w:p w14:paraId="1253872E" w14:textId="77777777" w:rsidR="00546DBD" w:rsidRPr="00FA2AB8" w:rsidRDefault="00546DBD" w:rsidP="00CC536B">
            <w:pPr>
              <w:pStyle w:val="TableText0"/>
              <w:keepNext w:val="0"/>
              <w:keepLines w:val="0"/>
              <w:widowControl w:val="0"/>
              <w:jc w:val="center"/>
            </w:pPr>
            <w:r w:rsidRPr="00FA2AB8">
              <w:t>Safety</w:t>
            </w:r>
          </w:p>
        </w:tc>
        <w:tc>
          <w:tcPr>
            <w:tcW w:w="518" w:type="pct"/>
            <w:shd w:val="clear" w:color="auto" w:fill="B8CCE4"/>
            <w:vAlign w:val="center"/>
          </w:tcPr>
          <w:p w14:paraId="2975B4DF" w14:textId="2288F647" w:rsidR="00546DBD" w:rsidRPr="00FA2AB8" w:rsidRDefault="00792F1A" w:rsidP="00CC536B">
            <w:pPr>
              <w:pStyle w:val="TableText0"/>
              <w:keepNext w:val="0"/>
              <w:keepLines w:val="0"/>
              <w:widowControl w:val="0"/>
              <w:jc w:val="center"/>
            </w:pPr>
            <w:r>
              <w:t>-</w:t>
            </w:r>
          </w:p>
        </w:tc>
      </w:tr>
      <w:tr w:rsidR="00546DBD" w:rsidRPr="00FA2AB8" w14:paraId="41CBB760" w14:textId="77777777" w:rsidTr="00AF29CF">
        <w:trPr>
          <w:gridAfter w:val="1"/>
          <w:wAfter w:w="5" w:type="pct"/>
          <w:cantSplit/>
        </w:trPr>
        <w:tc>
          <w:tcPr>
            <w:tcW w:w="594" w:type="pct"/>
            <w:shd w:val="clear" w:color="auto" w:fill="B8CCE4"/>
            <w:vAlign w:val="center"/>
          </w:tcPr>
          <w:p w14:paraId="1665BBC3" w14:textId="77777777" w:rsidR="00546DBD" w:rsidRPr="00FA2AB8" w:rsidRDefault="00546DBD" w:rsidP="00CC536B">
            <w:pPr>
              <w:pStyle w:val="TableText0"/>
              <w:keepNext w:val="0"/>
              <w:keepLines w:val="0"/>
              <w:widowControl w:val="0"/>
            </w:pPr>
            <w:r w:rsidRPr="00FA2AB8">
              <w:t>Study 114322</w:t>
            </w:r>
          </w:p>
        </w:tc>
        <w:tc>
          <w:tcPr>
            <w:tcW w:w="319" w:type="pct"/>
            <w:shd w:val="clear" w:color="auto" w:fill="B8CCE4"/>
            <w:vAlign w:val="center"/>
          </w:tcPr>
          <w:p w14:paraId="57E0DB64" w14:textId="77777777" w:rsidR="00546DBD" w:rsidRPr="00FA2AB8" w:rsidRDefault="00546DBD" w:rsidP="00CC536B">
            <w:pPr>
              <w:pStyle w:val="TableText0"/>
              <w:keepNext w:val="0"/>
              <w:keepLines w:val="0"/>
              <w:widowControl w:val="0"/>
              <w:jc w:val="center"/>
            </w:pPr>
            <w:r w:rsidRPr="00FA2AB8">
              <w:t>114</w:t>
            </w:r>
          </w:p>
        </w:tc>
        <w:tc>
          <w:tcPr>
            <w:tcW w:w="523" w:type="pct"/>
            <w:shd w:val="clear" w:color="auto" w:fill="B8CCE4"/>
            <w:vAlign w:val="center"/>
          </w:tcPr>
          <w:p w14:paraId="684D63F7" w14:textId="77777777" w:rsidR="00546DBD" w:rsidRPr="00FA2AB8" w:rsidRDefault="00546DBD" w:rsidP="00CC536B">
            <w:pPr>
              <w:pStyle w:val="TableText0"/>
              <w:keepNext w:val="0"/>
              <w:keepLines w:val="0"/>
              <w:widowControl w:val="0"/>
              <w:jc w:val="center"/>
            </w:pPr>
            <w:r w:rsidRPr="00FA2AB8">
              <w:t>R, DB, MC</w:t>
            </w:r>
          </w:p>
          <w:p w14:paraId="7C00F65C" w14:textId="77777777" w:rsidR="00546DBD" w:rsidRPr="00FA2AB8" w:rsidRDefault="00546DBD" w:rsidP="00CC536B">
            <w:pPr>
              <w:pStyle w:val="TableText0"/>
              <w:keepNext w:val="0"/>
              <w:keepLines w:val="0"/>
              <w:widowControl w:val="0"/>
              <w:jc w:val="center"/>
            </w:pPr>
            <w:r w:rsidRPr="00FA2AB8">
              <w:t>24 weeks</w:t>
            </w:r>
          </w:p>
        </w:tc>
        <w:tc>
          <w:tcPr>
            <w:tcW w:w="369" w:type="pct"/>
            <w:shd w:val="clear" w:color="auto" w:fill="B8CCE4"/>
            <w:vAlign w:val="center"/>
          </w:tcPr>
          <w:p w14:paraId="4BF81C62" w14:textId="77777777" w:rsidR="00546DBD" w:rsidRPr="00FA2AB8" w:rsidRDefault="00546DBD" w:rsidP="00CC536B">
            <w:pPr>
              <w:pStyle w:val="TableText0"/>
              <w:keepNext w:val="0"/>
              <w:keepLines w:val="0"/>
              <w:widowControl w:val="0"/>
              <w:jc w:val="center"/>
            </w:pPr>
            <w:r w:rsidRPr="00FA2AB8">
              <w:t>Low</w:t>
            </w:r>
          </w:p>
        </w:tc>
        <w:tc>
          <w:tcPr>
            <w:tcW w:w="1050" w:type="pct"/>
            <w:shd w:val="clear" w:color="auto" w:fill="B8CCE4"/>
            <w:vAlign w:val="center"/>
          </w:tcPr>
          <w:p w14:paraId="0865CA46" w14:textId="77777777" w:rsidR="00546DBD" w:rsidRPr="00FA2AB8" w:rsidRDefault="00546DBD" w:rsidP="00CC536B">
            <w:pPr>
              <w:pStyle w:val="TableText0"/>
              <w:keepNext w:val="0"/>
              <w:keepLines w:val="0"/>
              <w:widowControl w:val="0"/>
              <w:jc w:val="center"/>
            </w:pPr>
            <w:r w:rsidRPr="00FA2AB8">
              <w:t>Adult patients with moderate to severe AD with inadequate response to topical steroids</w:t>
            </w:r>
          </w:p>
        </w:tc>
        <w:tc>
          <w:tcPr>
            <w:tcW w:w="1622" w:type="pct"/>
            <w:shd w:val="clear" w:color="auto" w:fill="B8CCE4"/>
            <w:vAlign w:val="center"/>
          </w:tcPr>
          <w:p w14:paraId="440D9DC5" w14:textId="77777777" w:rsidR="00546DBD" w:rsidRPr="00FA2AB8" w:rsidRDefault="00546DBD" w:rsidP="00CC536B">
            <w:pPr>
              <w:pStyle w:val="TableText0"/>
              <w:keepNext w:val="0"/>
              <w:keepLines w:val="0"/>
              <w:widowControl w:val="0"/>
              <w:jc w:val="center"/>
            </w:pPr>
            <w:r w:rsidRPr="00FA2AB8">
              <w:t>EASI-75</w:t>
            </w:r>
          </w:p>
          <w:p w14:paraId="596A6D33" w14:textId="77777777" w:rsidR="00546DBD" w:rsidRPr="00FA2AB8" w:rsidRDefault="00546DBD" w:rsidP="00CC536B">
            <w:pPr>
              <w:pStyle w:val="TableText0"/>
              <w:keepNext w:val="0"/>
              <w:keepLines w:val="0"/>
              <w:widowControl w:val="0"/>
              <w:jc w:val="center"/>
            </w:pPr>
            <w:r w:rsidRPr="00FA2AB8">
              <w:t>IGA success</w:t>
            </w:r>
          </w:p>
          <w:p w14:paraId="62EC272D" w14:textId="77777777" w:rsidR="00546DBD" w:rsidRPr="00FA2AB8" w:rsidRDefault="00546DBD" w:rsidP="00CC536B">
            <w:pPr>
              <w:pStyle w:val="TableText0"/>
              <w:keepNext w:val="0"/>
              <w:keepLines w:val="0"/>
              <w:widowControl w:val="0"/>
              <w:jc w:val="center"/>
            </w:pPr>
            <w:r w:rsidRPr="00FA2AB8">
              <w:t>EASI-50</w:t>
            </w:r>
          </w:p>
          <w:p w14:paraId="18A7C789" w14:textId="77777777" w:rsidR="00546DBD" w:rsidRPr="00FA2AB8" w:rsidRDefault="00546DBD" w:rsidP="00CC536B">
            <w:pPr>
              <w:pStyle w:val="TableText0"/>
              <w:keepNext w:val="0"/>
              <w:keepLines w:val="0"/>
              <w:widowControl w:val="0"/>
              <w:jc w:val="center"/>
            </w:pPr>
            <w:r w:rsidRPr="00FA2AB8">
              <w:rPr>
                <w:rFonts w:cs="Calibri"/>
              </w:rPr>
              <w:t>≥</w:t>
            </w:r>
            <w:r w:rsidRPr="00FA2AB8">
              <w:t>4-point improvement in DLQI</w:t>
            </w:r>
          </w:p>
          <w:p w14:paraId="779E929B" w14:textId="77777777" w:rsidR="00546DBD" w:rsidRPr="00FA2AB8" w:rsidRDefault="00546DBD" w:rsidP="00CC536B">
            <w:pPr>
              <w:pStyle w:val="TableText0"/>
              <w:keepNext w:val="0"/>
              <w:keepLines w:val="0"/>
              <w:widowControl w:val="0"/>
              <w:jc w:val="center"/>
            </w:pPr>
            <w:r w:rsidRPr="00FA2AB8">
              <w:t>Safety</w:t>
            </w:r>
          </w:p>
        </w:tc>
        <w:tc>
          <w:tcPr>
            <w:tcW w:w="518" w:type="pct"/>
            <w:shd w:val="clear" w:color="auto" w:fill="B8CCE4"/>
            <w:vAlign w:val="center"/>
          </w:tcPr>
          <w:p w14:paraId="196B3B39" w14:textId="7B5CB7AA" w:rsidR="00546DBD" w:rsidRPr="00FA2AB8" w:rsidRDefault="00792F1A" w:rsidP="00CC536B">
            <w:pPr>
              <w:pStyle w:val="TableText0"/>
              <w:keepNext w:val="0"/>
              <w:keepLines w:val="0"/>
              <w:widowControl w:val="0"/>
              <w:jc w:val="center"/>
            </w:pPr>
            <w:r>
              <w:t>-</w:t>
            </w:r>
          </w:p>
        </w:tc>
      </w:tr>
      <w:tr w:rsidR="00546DBD" w:rsidRPr="00FA2AB8" w14:paraId="755F58DD" w14:textId="77777777" w:rsidTr="00AF29CF">
        <w:trPr>
          <w:gridAfter w:val="1"/>
          <w:wAfter w:w="5" w:type="pct"/>
          <w:cantSplit/>
        </w:trPr>
        <w:tc>
          <w:tcPr>
            <w:tcW w:w="594" w:type="pct"/>
            <w:shd w:val="clear" w:color="auto" w:fill="B8CCE4"/>
            <w:vAlign w:val="center"/>
          </w:tcPr>
          <w:p w14:paraId="3F46A428" w14:textId="77777777" w:rsidR="00546DBD" w:rsidRPr="00FA2AB8" w:rsidRDefault="00546DBD" w:rsidP="00CC536B">
            <w:pPr>
              <w:pStyle w:val="TableText0"/>
              <w:keepNext w:val="0"/>
              <w:keepLines w:val="0"/>
              <w:widowControl w:val="0"/>
            </w:pPr>
            <w:r w:rsidRPr="00FA2AB8">
              <w:t>Meta-analysis</w:t>
            </w:r>
          </w:p>
        </w:tc>
        <w:tc>
          <w:tcPr>
            <w:tcW w:w="319" w:type="pct"/>
            <w:shd w:val="clear" w:color="auto" w:fill="B8CCE4"/>
            <w:vAlign w:val="center"/>
          </w:tcPr>
          <w:p w14:paraId="14147AE9" w14:textId="22A5113F" w:rsidR="00546DBD" w:rsidRPr="00FA2AB8" w:rsidRDefault="00546DBD" w:rsidP="00CC536B">
            <w:pPr>
              <w:pStyle w:val="TableText0"/>
              <w:keepNext w:val="0"/>
              <w:keepLines w:val="0"/>
              <w:widowControl w:val="0"/>
              <w:jc w:val="center"/>
            </w:pPr>
            <w:r w:rsidRPr="00FA2AB8">
              <w:t>2</w:t>
            </w:r>
            <w:r w:rsidR="0077192D" w:rsidRPr="00FA2AB8">
              <w:t>,</w:t>
            </w:r>
            <w:r w:rsidRPr="00FA2AB8">
              <w:t>118</w:t>
            </w:r>
          </w:p>
        </w:tc>
        <w:tc>
          <w:tcPr>
            <w:tcW w:w="3564" w:type="pct"/>
            <w:gridSpan w:val="4"/>
            <w:shd w:val="clear" w:color="auto" w:fill="B8CCE4"/>
            <w:vAlign w:val="center"/>
          </w:tcPr>
          <w:p w14:paraId="70BBF117" w14:textId="1DE07B45" w:rsidR="00546DBD" w:rsidRPr="00FA2AB8" w:rsidRDefault="00546DBD" w:rsidP="00CC536B">
            <w:pPr>
              <w:pStyle w:val="TableText0"/>
              <w:keepNext w:val="0"/>
              <w:keepLines w:val="0"/>
              <w:widowControl w:val="0"/>
              <w:jc w:val="center"/>
            </w:pPr>
            <w:r w:rsidRPr="00FA2AB8">
              <w:t>Included ARC</w:t>
            </w:r>
            <w:r w:rsidR="00516ED7" w:rsidRPr="00FA2AB8">
              <w:t>A</w:t>
            </w:r>
            <w:r w:rsidRPr="00FA2AB8">
              <w:t>DIA 1, ARCADIA 2, and Study 114322 for efficacy and ARC</w:t>
            </w:r>
            <w:r w:rsidR="00516ED7" w:rsidRPr="00FA2AB8">
              <w:t>A</w:t>
            </w:r>
            <w:r w:rsidRPr="00FA2AB8">
              <w:t>DIA 1, ARCADIA 2, ARCADIA CYCLO, and Study 114322 for safety.</w:t>
            </w:r>
          </w:p>
        </w:tc>
        <w:tc>
          <w:tcPr>
            <w:tcW w:w="518" w:type="pct"/>
            <w:shd w:val="clear" w:color="auto" w:fill="B8CCE4"/>
            <w:vAlign w:val="center"/>
          </w:tcPr>
          <w:p w14:paraId="751D0540" w14:textId="2EFEE59A" w:rsidR="00546DBD" w:rsidRPr="00FA2AB8" w:rsidRDefault="00792F1A" w:rsidP="00CC536B">
            <w:pPr>
              <w:pStyle w:val="TableText0"/>
              <w:keepNext w:val="0"/>
              <w:keepLines w:val="0"/>
              <w:widowControl w:val="0"/>
              <w:jc w:val="center"/>
            </w:pPr>
            <w:r>
              <w:t>-</w:t>
            </w:r>
          </w:p>
        </w:tc>
      </w:tr>
      <w:tr w:rsidR="00546DBD" w:rsidRPr="00FA2AB8" w14:paraId="39827606" w14:textId="77777777" w:rsidTr="00AF29CF">
        <w:trPr>
          <w:gridAfter w:val="1"/>
          <w:wAfter w:w="5" w:type="pct"/>
          <w:cantSplit/>
        </w:trPr>
        <w:tc>
          <w:tcPr>
            <w:tcW w:w="594" w:type="pct"/>
            <w:shd w:val="clear" w:color="auto" w:fill="FFFFFF" w:themeFill="background1"/>
            <w:vAlign w:val="center"/>
          </w:tcPr>
          <w:p w14:paraId="65E116C9" w14:textId="77777777" w:rsidR="00546DBD" w:rsidRPr="00FA2AB8" w:rsidRDefault="00546DBD" w:rsidP="00CC536B">
            <w:pPr>
              <w:pStyle w:val="TableText0"/>
              <w:keepNext w:val="0"/>
              <w:keepLines w:val="0"/>
              <w:widowControl w:val="0"/>
            </w:pPr>
            <w:r w:rsidRPr="00FA2AB8">
              <w:t>ARCADIA LTE</w:t>
            </w:r>
          </w:p>
        </w:tc>
        <w:tc>
          <w:tcPr>
            <w:tcW w:w="319" w:type="pct"/>
            <w:shd w:val="clear" w:color="auto" w:fill="FFFFFF" w:themeFill="background1"/>
            <w:vAlign w:val="center"/>
          </w:tcPr>
          <w:p w14:paraId="07340AA5" w14:textId="5DD08B64" w:rsidR="00546DBD" w:rsidRPr="00FA2AB8" w:rsidRDefault="00546DBD" w:rsidP="00CC536B">
            <w:pPr>
              <w:pStyle w:val="TableText0"/>
              <w:keepNext w:val="0"/>
              <w:keepLines w:val="0"/>
              <w:widowControl w:val="0"/>
              <w:jc w:val="center"/>
            </w:pPr>
            <w:r w:rsidRPr="00FA2AB8">
              <w:t>1</w:t>
            </w:r>
            <w:r w:rsidR="0077192D" w:rsidRPr="00FA2AB8">
              <w:t>,</w:t>
            </w:r>
            <w:r w:rsidRPr="00FA2AB8">
              <w:t>901</w:t>
            </w:r>
          </w:p>
        </w:tc>
        <w:tc>
          <w:tcPr>
            <w:tcW w:w="523" w:type="pct"/>
            <w:shd w:val="clear" w:color="auto" w:fill="FFFFFF" w:themeFill="background1"/>
            <w:vAlign w:val="center"/>
          </w:tcPr>
          <w:p w14:paraId="72890573" w14:textId="77F6566E" w:rsidR="00546DBD" w:rsidRPr="00FA2AB8" w:rsidRDefault="00546DBD" w:rsidP="00CC536B">
            <w:pPr>
              <w:pStyle w:val="TableText0"/>
              <w:keepNext w:val="0"/>
              <w:keepLines w:val="0"/>
              <w:widowControl w:val="0"/>
              <w:jc w:val="center"/>
            </w:pPr>
            <w:r w:rsidRPr="00FA2AB8">
              <w:t>OL, MC</w:t>
            </w:r>
          </w:p>
        </w:tc>
        <w:tc>
          <w:tcPr>
            <w:tcW w:w="369" w:type="pct"/>
            <w:shd w:val="clear" w:color="auto" w:fill="FFFFFF" w:themeFill="background1"/>
            <w:vAlign w:val="center"/>
          </w:tcPr>
          <w:p w14:paraId="0DA2FEBF" w14:textId="77777777" w:rsidR="00546DBD" w:rsidRPr="00FA2AB8" w:rsidRDefault="00546DBD" w:rsidP="00CC536B">
            <w:pPr>
              <w:pStyle w:val="TableText0"/>
              <w:keepNext w:val="0"/>
              <w:keepLines w:val="0"/>
              <w:widowControl w:val="0"/>
              <w:jc w:val="center"/>
            </w:pPr>
            <w:r w:rsidRPr="00FA2AB8">
              <w:t>High</w:t>
            </w:r>
          </w:p>
        </w:tc>
        <w:tc>
          <w:tcPr>
            <w:tcW w:w="1050" w:type="pct"/>
            <w:shd w:val="clear" w:color="auto" w:fill="FFFFFF" w:themeFill="background1"/>
            <w:vAlign w:val="center"/>
          </w:tcPr>
          <w:p w14:paraId="4113A381" w14:textId="7DFDCF3F" w:rsidR="00546DBD" w:rsidRPr="00FA2AB8" w:rsidRDefault="00546DBD" w:rsidP="00CC536B">
            <w:pPr>
              <w:pStyle w:val="TableText0"/>
              <w:keepNext w:val="0"/>
              <w:keepLines w:val="0"/>
              <w:widowControl w:val="0"/>
              <w:jc w:val="center"/>
            </w:pPr>
            <w:r w:rsidRPr="00FA2AB8">
              <w:t>Patients from p</w:t>
            </w:r>
            <w:r w:rsidR="00516ED7" w:rsidRPr="00FA2AB8">
              <w:t>re</w:t>
            </w:r>
            <w:r w:rsidRPr="00FA2AB8">
              <w:t>vious NEMO trials (both responders and those who did not respond at week16) as well as NEMO naïve adolescent patients.</w:t>
            </w:r>
          </w:p>
        </w:tc>
        <w:tc>
          <w:tcPr>
            <w:tcW w:w="1622" w:type="pct"/>
            <w:shd w:val="clear" w:color="auto" w:fill="FFFFFF" w:themeFill="background1"/>
            <w:vAlign w:val="center"/>
          </w:tcPr>
          <w:p w14:paraId="29745598" w14:textId="77777777" w:rsidR="00546DBD" w:rsidRPr="00FA2AB8" w:rsidRDefault="00546DBD" w:rsidP="00CC536B">
            <w:pPr>
              <w:pStyle w:val="TableText0"/>
              <w:keepNext w:val="0"/>
              <w:keepLines w:val="0"/>
              <w:widowControl w:val="0"/>
              <w:jc w:val="center"/>
            </w:pPr>
            <w:r w:rsidRPr="00FA2AB8">
              <w:t>IGA</w:t>
            </w:r>
          </w:p>
          <w:p w14:paraId="6F0477DD" w14:textId="77777777" w:rsidR="00546DBD" w:rsidRPr="00FA2AB8" w:rsidRDefault="00546DBD" w:rsidP="00CC536B">
            <w:pPr>
              <w:pStyle w:val="TableText0"/>
              <w:keepNext w:val="0"/>
              <w:keepLines w:val="0"/>
              <w:widowControl w:val="0"/>
              <w:jc w:val="center"/>
            </w:pPr>
            <w:r w:rsidRPr="00FA2AB8">
              <w:t>EASI</w:t>
            </w:r>
          </w:p>
          <w:p w14:paraId="19775CB6" w14:textId="77777777" w:rsidR="00546DBD" w:rsidRPr="00FA2AB8" w:rsidRDefault="00546DBD" w:rsidP="00CC536B">
            <w:pPr>
              <w:pStyle w:val="TableText0"/>
              <w:keepNext w:val="0"/>
              <w:keepLines w:val="0"/>
              <w:widowControl w:val="0"/>
              <w:jc w:val="center"/>
            </w:pPr>
            <w:r w:rsidRPr="00FA2AB8">
              <w:t>SCORAD</w:t>
            </w:r>
          </w:p>
          <w:p w14:paraId="132C7CAD" w14:textId="77777777" w:rsidR="00546DBD" w:rsidRPr="00FA2AB8" w:rsidRDefault="00546DBD" w:rsidP="00CC536B">
            <w:pPr>
              <w:pStyle w:val="TableText0"/>
              <w:keepNext w:val="0"/>
              <w:keepLines w:val="0"/>
              <w:widowControl w:val="0"/>
              <w:jc w:val="center"/>
            </w:pPr>
            <w:r w:rsidRPr="00FA2AB8">
              <w:t>DLQI</w:t>
            </w:r>
          </w:p>
          <w:p w14:paraId="2CB7A20F" w14:textId="77777777" w:rsidR="00546DBD" w:rsidRPr="00FA2AB8" w:rsidRDefault="00546DBD" w:rsidP="00CC536B">
            <w:pPr>
              <w:pStyle w:val="TableText0"/>
              <w:keepNext w:val="0"/>
              <w:keepLines w:val="0"/>
              <w:widowControl w:val="0"/>
              <w:jc w:val="center"/>
            </w:pPr>
            <w:r w:rsidRPr="00FA2AB8">
              <w:t>Safety</w:t>
            </w:r>
          </w:p>
        </w:tc>
        <w:tc>
          <w:tcPr>
            <w:tcW w:w="518" w:type="pct"/>
            <w:shd w:val="clear" w:color="auto" w:fill="FFFFFF" w:themeFill="background1"/>
            <w:vAlign w:val="center"/>
          </w:tcPr>
          <w:p w14:paraId="1BD0EF8B" w14:textId="3A09742E" w:rsidR="00546DBD" w:rsidRPr="00FA2AB8" w:rsidRDefault="00792F1A" w:rsidP="00CC536B">
            <w:pPr>
              <w:pStyle w:val="TableText0"/>
              <w:keepNext w:val="0"/>
              <w:keepLines w:val="0"/>
              <w:widowControl w:val="0"/>
              <w:jc w:val="center"/>
            </w:pPr>
            <w:r>
              <w:t>Yes</w:t>
            </w:r>
          </w:p>
        </w:tc>
      </w:tr>
      <w:tr w:rsidR="00546DBD" w:rsidRPr="00FA2AB8" w14:paraId="786A21E7" w14:textId="77777777" w:rsidTr="00AF29CF">
        <w:trPr>
          <w:cantSplit/>
        </w:trPr>
        <w:tc>
          <w:tcPr>
            <w:tcW w:w="5000" w:type="pct"/>
            <w:gridSpan w:val="8"/>
            <w:vAlign w:val="center"/>
          </w:tcPr>
          <w:p w14:paraId="5CF68571" w14:textId="77777777" w:rsidR="00546DBD" w:rsidRPr="00FA2AB8" w:rsidRDefault="00546DBD" w:rsidP="00CC536B">
            <w:pPr>
              <w:pStyle w:val="TableText0"/>
              <w:keepNext w:val="0"/>
              <w:keepLines w:val="0"/>
              <w:widowControl w:val="0"/>
              <w:rPr>
                <w:b/>
                <w:bCs w:val="0"/>
              </w:rPr>
            </w:pPr>
            <w:r w:rsidRPr="00FA2AB8">
              <w:rPr>
                <w:b/>
                <w:bCs w:val="0"/>
              </w:rPr>
              <w:t>Dupilumab vs placebo</w:t>
            </w:r>
          </w:p>
        </w:tc>
      </w:tr>
      <w:tr w:rsidR="00546DBD" w:rsidRPr="00FA2AB8" w14:paraId="22FFE1C9" w14:textId="77777777" w:rsidTr="00AF29CF">
        <w:trPr>
          <w:gridAfter w:val="1"/>
          <w:wAfter w:w="5" w:type="pct"/>
          <w:cantSplit/>
        </w:trPr>
        <w:tc>
          <w:tcPr>
            <w:tcW w:w="594" w:type="pct"/>
            <w:shd w:val="clear" w:color="auto" w:fill="B8CCE4"/>
            <w:vAlign w:val="center"/>
          </w:tcPr>
          <w:p w14:paraId="1AA3A3AA" w14:textId="77777777" w:rsidR="00546DBD" w:rsidRPr="00FA2AB8" w:rsidRDefault="00546DBD" w:rsidP="00CC536B">
            <w:pPr>
              <w:pStyle w:val="TableText0"/>
              <w:keepNext w:val="0"/>
              <w:keepLines w:val="0"/>
              <w:widowControl w:val="0"/>
            </w:pPr>
            <w:r w:rsidRPr="00FA2AB8">
              <w:lastRenderedPageBreak/>
              <w:t>CHRONOS</w:t>
            </w:r>
          </w:p>
        </w:tc>
        <w:tc>
          <w:tcPr>
            <w:tcW w:w="319" w:type="pct"/>
            <w:shd w:val="clear" w:color="auto" w:fill="B8CCE4"/>
            <w:vAlign w:val="center"/>
          </w:tcPr>
          <w:p w14:paraId="12CA7745" w14:textId="77777777" w:rsidR="00546DBD" w:rsidRPr="00FA2AB8" w:rsidRDefault="00546DBD" w:rsidP="00CC536B">
            <w:pPr>
              <w:pStyle w:val="TableText0"/>
              <w:keepNext w:val="0"/>
              <w:keepLines w:val="0"/>
              <w:widowControl w:val="0"/>
              <w:jc w:val="center"/>
            </w:pPr>
            <w:r w:rsidRPr="00FA2AB8">
              <w:t>421</w:t>
            </w:r>
          </w:p>
        </w:tc>
        <w:tc>
          <w:tcPr>
            <w:tcW w:w="523" w:type="pct"/>
            <w:shd w:val="clear" w:color="auto" w:fill="B8CCE4"/>
            <w:vAlign w:val="center"/>
          </w:tcPr>
          <w:p w14:paraId="7C4E429E" w14:textId="77777777" w:rsidR="00546DBD" w:rsidRPr="00FA2AB8" w:rsidRDefault="00546DBD" w:rsidP="00CC536B">
            <w:pPr>
              <w:pStyle w:val="TableText0"/>
              <w:keepNext w:val="0"/>
              <w:keepLines w:val="0"/>
              <w:widowControl w:val="0"/>
              <w:jc w:val="center"/>
            </w:pPr>
            <w:r w:rsidRPr="00FA2AB8">
              <w:t>R, DB, MC</w:t>
            </w:r>
          </w:p>
          <w:p w14:paraId="615E9C36" w14:textId="77777777" w:rsidR="00546DBD" w:rsidRPr="00FA2AB8" w:rsidRDefault="00546DBD" w:rsidP="00CC536B">
            <w:pPr>
              <w:pStyle w:val="TableText0"/>
              <w:keepNext w:val="0"/>
              <w:keepLines w:val="0"/>
              <w:widowControl w:val="0"/>
              <w:jc w:val="center"/>
            </w:pPr>
            <w:r w:rsidRPr="00FA2AB8">
              <w:t>1 year</w:t>
            </w:r>
          </w:p>
        </w:tc>
        <w:tc>
          <w:tcPr>
            <w:tcW w:w="369" w:type="pct"/>
            <w:shd w:val="clear" w:color="auto" w:fill="B8CCE4"/>
            <w:vAlign w:val="center"/>
          </w:tcPr>
          <w:p w14:paraId="059BA45A" w14:textId="77777777" w:rsidR="00546DBD" w:rsidRPr="00FA2AB8" w:rsidRDefault="00546DBD" w:rsidP="00CC536B">
            <w:pPr>
              <w:pStyle w:val="TableText0"/>
              <w:keepNext w:val="0"/>
              <w:keepLines w:val="0"/>
              <w:widowControl w:val="0"/>
              <w:jc w:val="center"/>
            </w:pPr>
            <w:r w:rsidRPr="00FA2AB8">
              <w:t>Low</w:t>
            </w:r>
          </w:p>
        </w:tc>
        <w:tc>
          <w:tcPr>
            <w:tcW w:w="1050" w:type="pct"/>
            <w:shd w:val="clear" w:color="auto" w:fill="B8CCE4"/>
            <w:vAlign w:val="center"/>
          </w:tcPr>
          <w:p w14:paraId="3EFCD747" w14:textId="77777777" w:rsidR="00546DBD" w:rsidRPr="00FA2AB8" w:rsidRDefault="00546DBD" w:rsidP="00CC536B">
            <w:pPr>
              <w:pStyle w:val="TableText0"/>
              <w:keepNext w:val="0"/>
              <w:keepLines w:val="0"/>
              <w:widowControl w:val="0"/>
              <w:jc w:val="center"/>
            </w:pPr>
            <w:r w:rsidRPr="00FA2AB8">
              <w:t>Adult patients with moderate to severe AD with inadequate response to topical steroids</w:t>
            </w:r>
          </w:p>
        </w:tc>
        <w:tc>
          <w:tcPr>
            <w:tcW w:w="1622" w:type="pct"/>
            <w:shd w:val="clear" w:color="auto" w:fill="B8CCE4"/>
            <w:vAlign w:val="center"/>
          </w:tcPr>
          <w:p w14:paraId="04DB9CAF" w14:textId="77777777" w:rsidR="00546DBD" w:rsidRPr="00FA2AB8" w:rsidRDefault="00546DBD" w:rsidP="00CC536B">
            <w:pPr>
              <w:pStyle w:val="TableText0"/>
              <w:keepNext w:val="0"/>
              <w:keepLines w:val="0"/>
              <w:widowControl w:val="0"/>
              <w:jc w:val="center"/>
            </w:pPr>
            <w:r w:rsidRPr="00FA2AB8">
              <w:t>EASI-75</w:t>
            </w:r>
          </w:p>
          <w:p w14:paraId="78168989" w14:textId="77777777" w:rsidR="00546DBD" w:rsidRPr="00FA2AB8" w:rsidRDefault="00546DBD" w:rsidP="00CC536B">
            <w:pPr>
              <w:pStyle w:val="TableText0"/>
              <w:keepNext w:val="0"/>
              <w:keepLines w:val="0"/>
              <w:widowControl w:val="0"/>
              <w:jc w:val="center"/>
            </w:pPr>
            <w:r w:rsidRPr="00FA2AB8">
              <w:t>IGA success</w:t>
            </w:r>
          </w:p>
          <w:p w14:paraId="13A7542B" w14:textId="77777777" w:rsidR="00546DBD" w:rsidRPr="00FA2AB8" w:rsidRDefault="00546DBD" w:rsidP="00CC536B">
            <w:pPr>
              <w:pStyle w:val="TableText0"/>
              <w:keepNext w:val="0"/>
              <w:keepLines w:val="0"/>
              <w:widowControl w:val="0"/>
              <w:jc w:val="center"/>
            </w:pPr>
            <w:r w:rsidRPr="00FA2AB8">
              <w:t>EASI-50</w:t>
            </w:r>
          </w:p>
          <w:p w14:paraId="1554B1CB" w14:textId="77777777" w:rsidR="00546DBD" w:rsidRPr="00FA2AB8" w:rsidRDefault="00546DBD" w:rsidP="00CC536B">
            <w:pPr>
              <w:pStyle w:val="TableText0"/>
              <w:keepNext w:val="0"/>
              <w:keepLines w:val="0"/>
              <w:widowControl w:val="0"/>
              <w:jc w:val="center"/>
            </w:pPr>
            <w:r w:rsidRPr="00FA2AB8">
              <w:rPr>
                <w:rFonts w:cs="Calibri"/>
              </w:rPr>
              <w:t>≥</w:t>
            </w:r>
            <w:r w:rsidRPr="00FA2AB8">
              <w:t>4-point improvement in DLQI</w:t>
            </w:r>
          </w:p>
          <w:p w14:paraId="6D3566C0" w14:textId="77777777" w:rsidR="00546DBD" w:rsidRPr="00FA2AB8" w:rsidRDefault="00546DBD" w:rsidP="00CC536B">
            <w:pPr>
              <w:pStyle w:val="TableText0"/>
              <w:keepNext w:val="0"/>
              <w:keepLines w:val="0"/>
              <w:widowControl w:val="0"/>
              <w:jc w:val="center"/>
            </w:pPr>
            <w:r w:rsidRPr="00FA2AB8">
              <w:rPr>
                <w:rFonts w:cs="Calibri"/>
              </w:rPr>
              <w:t>≥</w:t>
            </w:r>
            <w:r w:rsidRPr="00FA2AB8">
              <w:t>4-point improvement in PP-NRS</w:t>
            </w:r>
          </w:p>
          <w:p w14:paraId="34B3C1D2" w14:textId="77777777" w:rsidR="00546DBD" w:rsidRPr="00FA2AB8" w:rsidRDefault="00546DBD" w:rsidP="00CC536B">
            <w:pPr>
              <w:pStyle w:val="TableText0"/>
              <w:keepNext w:val="0"/>
              <w:keepLines w:val="0"/>
              <w:widowControl w:val="0"/>
              <w:jc w:val="center"/>
            </w:pPr>
            <w:r w:rsidRPr="00FA2AB8">
              <w:t>Safety</w:t>
            </w:r>
          </w:p>
        </w:tc>
        <w:tc>
          <w:tcPr>
            <w:tcW w:w="518" w:type="pct"/>
            <w:shd w:val="clear" w:color="auto" w:fill="B8CCE4"/>
            <w:vAlign w:val="center"/>
          </w:tcPr>
          <w:p w14:paraId="6F1F68AF" w14:textId="17BACE9F" w:rsidR="00546DBD" w:rsidRPr="00FA2AB8" w:rsidRDefault="00792F1A" w:rsidP="00CC536B">
            <w:pPr>
              <w:pStyle w:val="TableText0"/>
              <w:keepNext w:val="0"/>
              <w:keepLines w:val="0"/>
              <w:widowControl w:val="0"/>
              <w:jc w:val="center"/>
            </w:pPr>
            <w:r>
              <w:t>-</w:t>
            </w:r>
          </w:p>
        </w:tc>
      </w:tr>
      <w:tr w:rsidR="00546DBD" w:rsidRPr="00FA2AB8" w14:paraId="6D10BC04" w14:textId="77777777" w:rsidTr="00AF29CF">
        <w:trPr>
          <w:gridAfter w:val="1"/>
          <w:wAfter w:w="5" w:type="pct"/>
          <w:cantSplit/>
        </w:trPr>
        <w:tc>
          <w:tcPr>
            <w:tcW w:w="594" w:type="pct"/>
            <w:shd w:val="clear" w:color="auto" w:fill="B8CCE4"/>
            <w:vAlign w:val="center"/>
          </w:tcPr>
          <w:p w14:paraId="4D859830" w14:textId="77777777" w:rsidR="00546DBD" w:rsidRPr="00FA2AB8" w:rsidRDefault="00546DBD" w:rsidP="00CC536B">
            <w:pPr>
              <w:pStyle w:val="TableText0"/>
              <w:keepNext w:val="0"/>
              <w:keepLines w:val="0"/>
              <w:widowControl w:val="0"/>
            </w:pPr>
            <w:r w:rsidRPr="00FA2AB8">
              <w:t>JADE COMPARE</w:t>
            </w:r>
          </w:p>
        </w:tc>
        <w:tc>
          <w:tcPr>
            <w:tcW w:w="319" w:type="pct"/>
            <w:shd w:val="clear" w:color="auto" w:fill="B8CCE4"/>
            <w:vAlign w:val="center"/>
          </w:tcPr>
          <w:p w14:paraId="192C3DCF" w14:textId="77777777" w:rsidR="00546DBD" w:rsidRPr="00FA2AB8" w:rsidRDefault="00546DBD" w:rsidP="00CC536B">
            <w:pPr>
              <w:pStyle w:val="TableText0"/>
              <w:keepNext w:val="0"/>
              <w:keepLines w:val="0"/>
              <w:widowControl w:val="0"/>
              <w:jc w:val="center"/>
            </w:pPr>
            <w:r w:rsidRPr="00FA2AB8">
              <w:t>373</w:t>
            </w:r>
          </w:p>
        </w:tc>
        <w:tc>
          <w:tcPr>
            <w:tcW w:w="523" w:type="pct"/>
            <w:shd w:val="clear" w:color="auto" w:fill="B8CCE4"/>
            <w:vAlign w:val="center"/>
          </w:tcPr>
          <w:p w14:paraId="514BF5E8" w14:textId="77777777" w:rsidR="00546DBD" w:rsidRPr="00FA2AB8" w:rsidRDefault="00546DBD" w:rsidP="00CC536B">
            <w:pPr>
              <w:pStyle w:val="TableText0"/>
              <w:keepNext w:val="0"/>
              <w:keepLines w:val="0"/>
              <w:widowControl w:val="0"/>
              <w:jc w:val="center"/>
            </w:pPr>
            <w:r w:rsidRPr="00FA2AB8">
              <w:t>R, DB, MC</w:t>
            </w:r>
          </w:p>
          <w:p w14:paraId="6A259899" w14:textId="77777777" w:rsidR="00546DBD" w:rsidRPr="00FA2AB8" w:rsidRDefault="00546DBD" w:rsidP="00CC536B">
            <w:pPr>
              <w:pStyle w:val="TableText0"/>
              <w:keepNext w:val="0"/>
              <w:keepLines w:val="0"/>
              <w:widowControl w:val="0"/>
              <w:jc w:val="center"/>
            </w:pPr>
            <w:r w:rsidRPr="00FA2AB8">
              <w:t>24 weeks.</w:t>
            </w:r>
          </w:p>
        </w:tc>
        <w:tc>
          <w:tcPr>
            <w:tcW w:w="369" w:type="pct"/>
            <w:shd w:val="clear" w:color="auto" w:fill="B8CCE4"/>
            <w:vAlign w:val="center"/>
          </w:tcPr>
          <w:p w14:paraId="3F5C252F" w14:textId="77777777" w:rsidR="00546DBD" w:rsidRPr="00FA2AB8" w:rsidRDefault="00546DBD" w:rsidP="00CC536B">
            <w:pPr>
              <w:pStyle w:val="TableText0"/>
              <w:keepNext w:val="0"/>
              <w:keepLines w:val="0"/>
              <w:widowControl w:val="0"/>
              <w:jc w:val="center"/>
            </w:pPr>
            <w:r w:rsidRPr="00FA2AB8">
              <w:t>Low</w:t>
            </w:r>
          </w:p>
        </w:tc>
        <w:tc>
          <w:tcPr>
            <w:tcW w:w="1050" w:type="pct"/>
            <w:shd w:val="clear" w:color="auto" w:fill="B8CCE4"/>
            <w:vAlign w:val="center"/>
          </w:tcPr>
          <w:p w14:paraId="4D0B62BA" w14:textId="77777777" w:rsidR="00546DBD" w:rsidRPr="00FA2AB8" w:rsidRDefault="00546DBD" w:rsidP="00CC536B">
            <w:pPr>
              <w:pStyle w:val="TableText0"/>
              <w:keepNext w:val="0"/>
              <w:keepLines w:val="0"/>
              <w:widowControl w:val="0"/>
              <w:jc w:val="center"/>
            </w:pPr>
            <w:r w:rsidRPr="00FA2AB8">
              <w:t>Adult patients with moderate to severe AD with inadequate response to topical steroids</w:t>
            </w:r>
          </w:p>
        </w:tc>
        <w:tc>
          <w:tcPr>
            <w:tcW w:w="1622" w:type="pct"/>
            <w:shd w:val="clear" w:color="auto" w:fill="B8CCE4"/>
            <w:vAlign w:val="center"/>
          </w:tcPr>
          <w:p w14:paraId="48D74D91" w14:textId="77777777" w:rsidR="00546DBD" w:rsidRPr="00FA2AB8" w:rsidRDefault="00546DBD" w:rsidP="00CC536B">
            <w:pPr>
              <w:pStyle w:val="TableText0"/>
              <w:keepNext w:val="0"/>
              <w:keepLines w:val="0"/>
              <w:widowControl w:val="0"/>
              <w:jc w:val="center"/>
            </w:pPr>
            <w:r w:rsidRPr="00FA2AB8">
              <w:t>EASI-75</w:t>
            </w:r>
          </w:p>
          <w:p w14:paraId="06C77EE8" w14:textId="77777777" w:rsidR="00546DBD" w:rsidRPr="00FA2AB8" w:rsidRDefault="00546DBD" w:rsidP="00CC536B">
            <w:pPr>
              <w:pStyle w:val="TableText0"/>
              <w:keepNext w:val="0"/>
              <w:keepLines w:val="0"/>
              <w:widowControl w:val="0"/>
              <w:jc w:val="center"/>
            </w:pPr>
            <w:r w:rsidRPr="00FA2AB8">
              <w:t>IGA success</w:t>
            </w:r>
          </w:p>
          <w:p w14:paraId="2E5C4BD8" w14:textId="77777777" w:rsidR="00546DBD" w:rsidRPr="00FA2AB8" w:rsidRDefault="00546DBD" w:rsidP="00CC536B">
            <w:pPr>
              <w:pStyle w:val="TableText0"/>
              <w:keepNext w:val="0"/>
              <w:keepLines w:val="0"/>
              <w:widowControl w:val="0"/>
              <w:jc w:val="center"/>
            </w:pPr>
            <w:r w:rsidRPr="00FA2AB8">
              <w:t>EASI-50</w:t>
            </w:r>
          </w:p>
          <w:p w14:paraId="25D674D6" w14:textId="77777777" w:rsidR="00546DBD" w:rsidRPr="00FA2AB8" w:rsidRDefault="00546DBD" w:rsidP="00CC536B">
            <w:pPr>
              <w:pStyle w:val="TableText0"/>
              <w:keepNext w:val="0"/>
              <w:keepLines w:val="0"/>
              <w:widowControl w:val="0"/>
              <w:jc w:val="center"/>
            </w:pPr>
            <w:r w:rsidRPr="00FA2AB8">
              <w:rPr>
                <w:rFonts w:cs="Calibri"/>
              </w:rPr>
              <w:t>≥</w:t>
            </w:r>
            <w:r w:rsidRPr="00FA2AB8">
              <w:t>4-point improvement in DLQI</w:t>
            </w:r>
          </w:p>
          <w:p w14:paraId="2F4D07A4" w14:textId="77777777" w:rsidR="00546DBD" w:rsidRPr="00FA2AB8" w:rsidRDefault="00546DBD" w:rsidP="00CC536B">
            <w:pPr>
              <w:pStyle w:val="TableText0"/>
              <w:keepNext w:val="0"/>
              <w:keepLines w:val="0"/>
              <w:widowControl w:val="0"/>
              <w:jc w:val="center"/>
            </w:pPr>
            <w:r w:rsidRPr="00FA2AB8">
              <w:rPr>
                <w:rFonts w:cs="Calibri"/>
              </w:rPr>
              <w:t>≥</w:t>
            </w:r>
            <w:r w:rsidRPr="00FA2AB8">
              <w:t>4-point improvement in PP-NRS</w:t>
            </w:r>
          </w:p>
          <w:p w14:paraId="392AE683" w14:textId="77777777" w:rsidR="00546DBD" w:rsidRPr="00FA2AB8" w:rsidRDefault="00546DBD" w:rsidP="00CC536B">
            <w:pPr>
              <w:pStyle w:val="TableText0"/>
              <w:keepNext w:val="0"/>
              <w:keepLines w:val="0"/>
              <w:widowControl w:val="0"/>
              <w:jc w:val="center"/>
            </w:pPr>
            <w:r w:rsidRPr="00FA2AB8">
              <w:t>Safety</w:t>
            </w:r>
          </w:p>
        </w:tc>
        <w:tc>
          <w:tcPr>
            <w:tcW w:w="518" w:type="pct"/>
            <w:shd w:val="clear" w:color="auto" w:fill="B8CCE4"/>
            <w:vAlign w:val="center"/>
          </w:tcPr>
          <w:p w14:paraId="3DD9F174" w14:textId="74956F4B" w:rsidR="00546DBD" w:rsidRPr="00FA2AB8" w:rsidRDefault="00792F1A" w:rsidP="00CC536B">
            <w:pPr>
              <w:pStyle w:val="TableText0"/>
              <w:keepNext w:val="0"/>
              <w:keepLines w:val="0"/>
              <w:widowControl w:val="0"/>
              <w:jc w:val="center"/>
            </w:pPr>
            <w:r>
              <w:t>-</w:t>
            </w:r>
          </w:p>
        </w:tc>
      </w:tr>
      <w:tr w:rsidR="00546DBD" w:rsidRPr="00FA2AB8" w14:paraId="6F4FE5DF" w14:textId="77777777" w:rsidTr="00AF29CF">
        <w:trPr>
          <w:gridAfter w:val="1"/>
          <w:wAfter w:w="5" w:type="pct"/>
          <w:cantSplit/>
        </w:trPr>
        <w:tc>
          <w:tcPr>
            <w:tcW w:w="594" w:type="pct"/>
            <w:shd w:val="clear" w:color="auto" w:fill="B8CCE4"/>
            <w:vAlign w:val="center"/>
          </w:tcPr>
          <w:p w14:paraId="3609CD3B" w14:textId="77777777" w:rsidR="00546DBD" w:rsidRPr="00FA2AB8" w:rsidRDefault="00546DBD" w:rsidP="00CC536B">
            <w:pPr>
              <w:pStyle w:val="TableText0"/>
              <w:keepNext w:val="0"/>
              <w:keepLines w:val="0"/>
              <w:widowControl w:val="0"/>
            </w:pPr>
            <w:r w:rsidRPr="00FA2AB8">
              <w:t>CAFÉ</w:t>
            </w:r>
          </w:p>
        </w:tc>
        <w:tc>
          <w:tcPr>
            <w:tcW w:w="319" w:type="pct"/>
            <w:shd w:val="clear" w:color="auto" w:fill="B8CCE4"/>
            <w:vAlign w:val="center"/>
          </w:tcPr>
          <w:p w14:paraId="311319F1" w14:textId="77777777" w:rsidR="00546DBD" w:rsidRPr="00FA2AB8" w:rsidRDefault="00546DBD" w:rsidP="00CC536B">
            <w:pPr>
              <w:pStyle w:val="TableText0"/>
              <w:keepNext w:val="0"/>
              <w:keepLines w:val="0"/>
              <w:widowControl w:val="0"/>
              <w:jc w:val="center"/>
            </w:pPr>
            <w:r w:rsidRPr="00FA2AB8">
              <w:t>215</w:t>
            </w:r>
          </w:p>
        </w:tc>
        <w:tc>
          <w:tcPr>
            <w:tcW w:w="523" w:type="pct"/>
            <w:shd w:val="clear" w:color="auto" w:fill="B8CCE4"/>
            <w:vAlign w:val="center"/>
          </w:tcPr>
          <w:p w14:paraId="44D6ED4B" w14:textId="77777777" w:rsidR="00546DBD" w:rsidRPr="00FA2AB8" w:rsidRDefault="00546DBD" w:rsidP="00CC536B">
            <w:pPr>
              <w:pStyle w:val="TableText0"/>
              <w:keepNext w:val="0"/>
              <w:keepLines w:val="0"/>
              <w:widowControl w:val="0"/>
              <w:jc w:val="center"/>
            </w:pPr>
            <w:r w:rsidRPr="00FA2AB8">
              <w:t>R, DB, MC</w:t>
            </w:r>
          </w:p>
          <w:p w14:paraId="045A3FAD" w14:textId="77777777" w:rsidR="00546DBD" w:rsidRPr="00FA2AB8" w:rsidRDefault="00546DBD" w:rsidP="00CC536B">
            <w:pPr>
              <w:pStyle w:val="TableText0"/>
              <w:keepNext w:val="0"/>
              <w:keepLines w:val="0"/>
              <w:widowControl w:val="0"/>
              <w:jc w:val="center"/>
            </w:pPr>
            <w:r w:rsidRPr="00FA2AB8">
              <w:t>16 weeks</w:t>
            </w:r>
          </w:p>
        </w:tc>
        <w:tc>
          <w:tcPr>
            <w:tcW w:w="369" w:type="pct"/>
            <w:shd w:val="clear" w:color="auto" w:fill="B8CCE4"/>
            <w:vAlign w:val="center"/>
          </w:tcPr>
          <w:p w14:paraId="154972C4" w14:textId="77777777" w:rsidR="00546DBD" w:rsidRPr="00FA2AB8" w:rsidRDefault="00546DBD" w:rsidP="00CC536B">
            <w:pPr>
              <w:pStyle w:val="TableText0"/>
              <w:keepNext w:val="0"/>
              <w:keepLines w:val="0"/>
              <w:widowControl w:val="0"/>
              <w:jc w:val="center"/>
            </w:pPr>
            <w:r w:rsidRPr="00FA2AB8">
              <w:t>Low</w:t>
            </w:r>
          </w:p>
        </w:tc>
        <w:tc>
          <w:tcPr>
            <w:tcW w:w="1050" w:type="pct"/>
            <w:shd w:val="clear" w:color="auto" w:fill="B8CCE4"/>
            <w:vAlign w:val="center"/>
          </w:tcPr>
          <w:p w14:paraId="3DC49568" w14:textId="77777777" w:rsidR="00546DBD" w:rsidRPr="00FA2AB8" w:rsidRDefault="00546DBD" w:rsidP="00CC536B">
            <w:pPr>
              <w:pStyle w:val="TableText0"/>
              <w:keepNext w:val="0"/>
              <w:keepLines w:val="0"/>
              <w:widowControl w:val="0"/>
              <w:jc w:val="center"/>
            </w:pPr>
            <w:r w:rsidRPr="00FA2AB8">
              <w:t>Adult patients with moderate to severe AD with inadequate response to topical steroids</w:t>
            </w:r>
          </w:p>
        </w:tc>
        <w:tc>
          <w:tcPr>
            <w:tcW w:w="1622" w:type="pct"/>
            <w:shd w:val="clear" w:color="auto" w:fill="B8CCE4"/>
            <w:vAlign w:val="center"/>
          </w:tcPr>
          <w:p w14:paraId="39A48635" w14:textId="77777777" w:rsidR="00546DBD" w:rsidRPr="00FA2AB8" w:rsidRDefault="00546DBD" w:rsidP="00CC536B">
            <w:pPr>
              <w:pStyle w:val="TableText0"/>
              <w:keepNext w:val="0"/>
              <w:keepLines w:val="0"/>
              <w:widowControl w:val="0"/>
              <w:jc w:val="center"/>
            </w:pPr>
            <w:r w:rsidRPr="00FA2AB8">
              <w:t>EASI-75</w:t>
            </w:r>
          </w:p>
          <w:p w14:paraId="77BD6768" w14:textId="77777777" w:rsidR="00546DBD" w:rsidRPr="00FA2AB8" w:rsidRDefault="00546DBD" w:rsidP="00CC536B">
            <w:pPr>
              <w:pStyle w:val="TableText0"/>
              <w:keepNext w:val="0"/>
              <w:keepLines w:val="0"/>
              <w:widowControl w:val="0"/>
              <w:jc w:val="center"/>
            </w:pPr>
            <w:r w:rsidRPr="00FA2AB8">
              <w:t>IGA success</w:t>
            </w:r>
          </w:p>
          <w:p w14:paraId="3834FDEA" w14:textId="77777777" w:rsidR="00546DBD" w:rsidRPr="00FA2AB8" w:rsidRDefault="00546DBD" w:rsidP="00CC536B">
            <w:pPr>
              <w:pStyle w:val="TableText0"/>
              <w:keepNext w:val="0"/>
              <w:keepLines w:val="0"/>
              <w:widowControl w:val="0"/>
              <w:jc w:val="center"/>
            </w:pPr>
            <w:r w:rsidRPr="00FA2AB8">
              <w:t>EASI-50</w:t>
            </w:r>
          </w:p>
          <w:p w14:paraId="63FDBAAB" w14:textId="77777777" w:rsidR="00546DBD" w:rsidRPr="00FA2AB8" w:rsidRDefault="00546DBD" w:rsidP="00CC536B">
            <w:pPr>
              <w:pStyle w:val="TableText0"/>
              <w:keepNext w:val="0"/>
              <w:keepLines w:val="0"/>
              <w:widowControl w:val="0"/>
              <w:jc w:val="center"/>
            </w:pPr>
            <w:r w:rsidRPr="00FA2AB8">
              <w:rPr>
                <w:rFonts w:cs="Calibri"/>
              </w:rPr>
              <w:t>≥</w:t>
            </w:r>
            <w:r w:rsidRPr="00FA2AB8">
              <w:t>4-point improvement in DLQI</w:t>
            </w:r>
          </w:p>
          <w:p w14:paraId="17EF28F6" w14:textId="77777777" w:rsidR="00546DBD" w:rsidRPr="00FA2AB8" w:rsidRDefault="00546DBD" w:rsidP="00CC536B">
            <w:pPr>
              <w:pStyle w:val="TableText0"/>
              <w:keepNext w:val="0"/>
              <w:keepLines w:val="0"/>
              <w:widowControl w:val="0"/>
              <w:jc w:val="center"/>
            </w:pPr>
            <w:r w:rsidRPr="00FA2AB8">
              <w:rPr>
                <w:rFonts w:cs="Calibri"/>
              </w:rPr>
              <w:t>≥</w:t>
            </w:r>
            <w:r w:rsidRPr="00FA2AB8">
              <w:t>4-point improvement in PP-NRS</w:t>
            </w:r>
          </w:p>
          <w:p w14:paraId="4D031BFD" w14:textId="77777777" w:rsidR="00546DBD" w:rsidRPr="00FA2AB8" w:rsidRDefault="00546DBD" w:rsidP="00CC536B">
            <w:pPr>
              <w:pStyle w:val="TableText0"/>
              <w:keepNext w:val="0"/>
              <w:keepLines w:val="0"/>
              <w:widowControl w:val="0"/>
              <w:jc w:val="center"/>
            </w:pPr>
            <w:r w:rsidRPr="00FA2AB8">
              <w:t>Safety</w:t>
            </w:r>
          </w:p>
        </w:tc>
        <w:tc>
          <w:tcPr>
            <w:tcW w:w="518" w:type="pct"/>
            <w:shd w:val="clear" w:color="auto" w:fill="B8CCE4"/>
            <w:vAlign w:val="center"/>
          </w:tcPr>
          <w:p w14:paraId="0B55A2B6" w14:textId="23DB7FAB" w:rsidR="00546DBD" w:rsidRPr="00FA2AB8" w:rsidRDefault="00792F1A" w:rsidP="00CC536B">
            <w:pPr>
              <w:pStyle w:val="TableText0"/>
              <w:keepNext w:val="0"/>
              <w:keepLines w:val="0"/>
              <w:widowControl w:val="0"/>
              <w:jc w:val="center"/>
            </w:pPr>
            <w:r>
              <w:t>-</w:t>
            </w:r>
          </w:p>
        </w:tc>
      </w:tr>
      <w:tr w:rsidR="00546DBD" w:rsidRPr="00FA2AB8" w14:paraId="7B06DE4C" w14:textId="77777777" w:rsidTr="00AF29CF">
        <w:trPr>
          <w:gridAfter w:val="1"/>
          <w:wAfter w:w="5" w:type="pct"/>
          <w:cantSplit/>
        </w:trPr>
        <w:tc>
          <w:tcPr>
            <w:tcW w:w="594" w:type="pct"/>
            <w:shd w:val="clear" w:color="auto" w:fill="B8CCE4"/>
            <w:vAlign w:val="center"/>
          </w:tcPr>
          <w:p w14:paraId="6732A055" w14:textId="77777777" w:rsidR="00546DBD" w:rsidRPr="00FA2AB8" w:rsidRDefault="00546DBD" w:rsidP="00CC536B">
            <w:pPr>
              <w:pStyle w:val="TableText0"/>
              <w:keepNext w:val="0"/>
              <w:keepLines w:val="0"/>
              <w:widowControl w:val="0"/>
            </w:pPr>
            <w:r w:rsidRPr="00FA2AB8">
              <w:t>Meta-analysis</w:t>
            </w:r>
          </w:p>
        </w:tc>
        <w:tc>
          <w:tcPr>
            <w:tcW w:w="319" w:type="pct"/>
            <w:shd w:val="clear" w:color="auto" w:fill="B8CCE4"/>
            <w:vAlign w:val="center"/>
          </w:tcPr>
          <w:p w14:paraId="1C3DD4B1" w14:textId="119AF486" w:rsidR="00546DBD" w:rsidRPr="00FA2AB8" w:rsidRDefault="00546DBD" w:rsidP="00CC536B">
            <w:pPr>
              <w:pStyle w:val="TableText0"/>
              <w:keepNext w:val="0"/>
              <w:keepLines w:val="0"/>
              <w:widowControl w:val="0"/>
              <w:jc w:val="center"/>
            </w:pPr>
            <w:r w:rsidRPr="00FA2AB8">
              <w:t>1</w:t>
            </w:r>
            <w:r w:rsidR="0077192D" w:rsidRPr="00FA2AB8">
              <w:t>,</w:t>
            </w:r>
            <w:r w:rsidRPr="00FA2AB8">
              <w:t>009</w:t>
            </w:r>
          </w:p>
        </w:tc>
        <w:tc>
          <w:tcPr>
            <w:tcW w:w="3564" w:type="pct"/>
            <w:gridSpan w:val="4"/>
            <w:shd w:val="clear" w:color="auto" w:fill="B8CCE4"/>
            <w:vAlign w:val="center"/>
          </w:tcPr>
          <w:p w14:paraId="0B154ECA" w14:textId="77777777" w:rsidR="00546DBD" w:rsidRPr="00FA2AB8" w:rsidRDefault="00546DBD" w:rsidP="00CC536B">
            <w:pPr>
              <w:pStyle w:val="TableText0"/>
              <w:keepNext w:val="0"/>
              <w:keepLines w:val="0"/>
              <w:widowControl w:val="0"/>
            </w:pPr>
            <w:r w:rsidRPr="00FA2AB8">
              <w:t>Included CHRONOS, and JADE COMPARE for efficacy and CHRONOS, JADE COMPARE, and CAFÉ for safety.</w:t>
            </w:r>
          </w:p>
        </w:tc>
        <w:tc>
          <w:tcPr>
            <w:tcW w:w="518" w:type="pct"/>
            <w:shd w:val="clear" w:color="auto" w:fill="B8CCE4"/>
            <w:vAlign w:val="center"/>
          </w:tcPr>
          <w:p w14:paraId="4B7C4F9C" w14:textId="36BD7A7E" w:rsidR="00546DBD" w:rsidRPr="00FA2AB8" w:rsidRDefault="00792F1A" w:rsidP="00CC536B">
            <w:pPr>
              <w:pStyle w:val="TableText0"/>
              <w:keepNext w:val="0"/>
              <w:keepLines w:val="0"/>
              <w:widowControl w:val="0"/>
              <w:jc w:val="center"/>
            </w:pPr>
            <w:r>
              <w:t>-</w:t>
            </w:r>
          </w:p>
        </w:tc>
      </w:tr>
    </w:tbl>
    <w:p w14:paraId="518B0684" w14:textId="4B4CEC62" w:rsidR="00546DBD" w:rsidRPr="00945471" w:rsidRDefault="00546DBD" w:rsidP="00945471">
      <w:pPr>
        <w:pStyle w:val="TableFigureFooter"/>
      </w:pPr>
      <w:r w:rsidRPr="00945471">
        <w:t xml:space="preserve">Source: Compiled during the evaluation, based on Section 2.3.2, pp86-91 and Table 2-26, 146 of the </w:t>
      </w:r>
      <w:r w:rsidR="00F32287" w:rsidRPr="00945471">
        <w:t>re</w:t>
      </w:r>
      <w:r w:rsidRPr="00945471">
        <w:t>submission.</w:t>
      </w:r>
    </w:p>
    <w:p w14:paraId="5D85C800" w14:textId="09E35ED1" w:rsidR="00546DBD" w:rsidRPr="008D7DB9" w:rsidRDefault="00546DBD" w:rsidP="00945471">
      <w:pPr>
        <w:pStyle w:val="TableFigureFooter"/>
        <w:rPr>
          <w:i/>
          <w:iCs/>
        </w:rPr>
      </w:pPr>
      <w:r w:rsidRPr="008D7DB9">
        <w:t xml:space="preserve">AD = atopic dermatitis; </w:t>
      </w:r>
      <w:proofErr w:type="spellStart"/>
      <w:r w:rsidRPr="008D7DB9">
        <w:t>CsA</w:t>
      </w:r>
      <w:proofErr w:type="spellEnd"/>
      <w:r w:rsidRPr="008D7DB9">
        <w:t xml:space="preserve"> = cyclosporine A; DB = double blind; DLQI = Dermatology Life Quality Index; EASI-50/75 = improvement of at least 50%/75% from baseline in Eczema Area and Severity Index; IGA = Investigator's Global Assessment; MC = multi-centre; </w:t>
      </w:r>
      <w:r w:rsidR="00706FD6" w:rsidRPr="008D7DB9">
        <w:t xml:space="preserve">OL = open label; </w:t>
      </w:r>
      <w:r w:rsidRPr="008D7DB9">
        <w:t>PP-NRS = Peak Pruritus Numerical Rating Score; R = randomised.</w:t>
      </w:r>
    </w:p>
    <w:p w14:paraId="70567DDD" w14:textId="2E1CA995" w:rsidR="00546DBD" w:rsidRPr="008D7DB9" w:rsidRDefault="00546DBD" w:rsidP="00945471">
      <w:pPr>
        <w:pStyle w:val="TableFigureFooter"/>
        <w:rPr>
          <w:i/>
          <w:iCs/>
        </w:rPr>
      </w:pPr>
      <w:r w:rsidRPr="008D7DB9">
        <w:t>Note: some trials had multiple intervention treatment arms</w:t>
      </w:r>
      <w:r w:rsidR="0037627F" w:rsidRPr="008D7DB9">
        <w:t xml:space="preserve"> but</w:t>
      </w:r>
      <w:r w:rsidRPr="008D7DB9">
        <w:t xml:space="preserve"> only those </w:t>
      </w:r>
      <w:r w:rsidR="0037627F" w:rsidRPr="008D7DB9">
        <w:t xml:space="preserve">that </w:t>
      </w:r>
      <w:r w:rsidRPr="008D7DB9">
        <w:t xml:space="preserve">used the recommended dose regimens for NEMO and DUPI were presented in the </w:t>
      </w:r>
      <w:r w:rsidR="00F32287" w:rsidRPr="008D7DB9">
        <w:t>re</w:t>
      </w:r>
      <w:r w:rsidRPr="008D7DB9">
        <w:t>submission.</w:t>
      </w:r>
    </w:p>
    <w:p w14:paraId="25714D8E" w14:textId="7F79E3F7" w:rsidR="00546DBD" w:rsidRPr="008D7DB9" w:rsidRDefault="00546DBD" w:rsidP="00945471">
      <w:pPr>
        <w:pStyle w:val="TableFigureFooter"/>
        <w:rPr>
          <w:i/>
          <w:iCs/>
        </w:rPr>
      </w:pPr>
      <w:r w:rsidRPr="008D7DB9">
        <w:rPr>
          <w:rStyle w:val="CommentReference"/>
          <w:b w:val="0"/>
          <w:bCs/>
          <w:sz w:val="18"/>
          <w:szCs w:val="18"/>
          <w:shd w:val="clear" w:color="auto" w:fill="B8CCE4" w:themeFill="accent1" w:themeFillTint="66"/>
        </w:rPr>
        <w:t>Blue shading</w:t>
      </w:r>
      <w:r w:rsidRPr="008D7DB9">
        <w:rPr>
          <w:rStyle w:val="CommentReference"/>
          <w:b w:val="0"/>
          <w:bCs/>
          <w:sz w:val="18"/>
          <w:szCs w:val="18"/>
        </w:rPr>
        <w:t xml:space="preserve"> indicates data previously seen by the PBAC.</w:t>
      </w:r>
    </w:p>
    <w:p w14:paraId="06B901ED" w14:textId="20019B96" w:rsidR="00546DBD" w:rsidRPr="00EA316B" w:rsidRDefault="00546DBD" w:rsidP="00E468A1">
      <w:pPr>
        <w:pStyle w:val="3-BodyText"/>
        <w:spacing w:before="160" w:after="160"/>
      </w:pPr>
      <w:r w:rsidRPr="00EA316B">
        <w:t xml:space="preserve">ARCADIA LTE enrolled adolescent </w:t>
      </w:r>
      <w:r w:rsidR="00516ED7" w:rsidRPr="00EA316B">
        <w:t xml:space="preserve">patients </w:t>
      </w:r>
      <w:r w:rsidRPr="00EA316B">
        <w:t>(aged 12 to 17) who had not participated in previous NEMO studies</w:t>
      </w:r>
      <w:r w:rsidR="00516ED7" w:rsidRPr="00EA316B">
        <w:t>,</w:t>
      </w:r>
      <w:r w:rsidRPr="00EA316B">
        <w:t xml:space="preserve"> in addition to patients from </w:t>
      </w:r>
      <w:r w:rsidR="00516ED7" w:rsidRPr="00EA316B">
        <w:t>seven</w:t>
      </w:r>
      <w:r w:rsidRPr="00EA316B">
        <w:t xml:space="preserve"> phase 2 and phase 3 trials, including the ARCADIA trials. </w:t>
      </w:r>
      <w:r w:rsidR="00D5616D">
        <w:t>I</w:t>
      </w:r>
      <w:r w:rsidRPr="00EA316B">
        <w:t>ndividuals who had an adequate response to NEMO at 16 weeks as well as patients who did not have an adequate response at 16 weeks</w:t>
      </w:r>
      <w:r w:rsidR="00D5616D">
        <w:t xml:space="preserve"> were included</w:t>
      </w:r>
      <w:r w:rsidRPr="00EA316B">
        <w:t>. All patients received 30</w:t>
      </w:r>
      <w:r w:rsidR="00DE0ECA" w:rsidRPr="00EA316B">
        <w:t xml:space="preserve"> </w:t>
      </w:r>
      <w:r w:rsidRPr="00EA316B">
        <w:t xml:space="preserve">mg NEMO Q4W, which aligns with the dosing for the induction phase proposed in the PBS listing. </w:t>
      </w:r>
    </w:p>
    <w:p w14:paraId="028BA390" w14:textId="40AF8F6E" w:rsidR="00546DBD" w:rsidRPr="00EA316B" w:rsidRDefault="00546DBD" w:rsidP="00E468A1">
      <w:pPr>
        <w:pStyle w:val="3-BodyText"/>
        <w:spacing w:before="160" w:after="160"/>
      </w:pPr>
      <w:bookmarkStart w:id="35" w:name="_Ref224895567"/>
      <w:r w:rsidRPr="00EA316B">
        <w:t xml:space="preserve">To inform the ITCs, the </w:t>
      </w:r>
      <w:r w:rsidR="00F32287" w:rsidRPr="00EA316B">
        <w:t>re</w:t>
      </w:r>
      <w:r w:rsidRPr="00EA316B">
        <w:t xml:space="preserve">submission used data from patients who did not have an adequate response to NEMO at </w:t>
      </w:r>
      <w:r w:rsidR="00DE0ECA" w:rsidRPr="00EA316B">
        <w:t xml:space="preserve">Week </w:t>
      </w:r>
      <w:r w:rsidRPr="00EA316B">
        <w:t xml:space="preserve">16 </w:t>
      </w:r>
      <w:r w:rsidR="005260E5">
        <w:t>and</w:t>
      </w:r>
      <w:r w:rsidR="005260E5" w:rsidRPr="00EA316B">
        <w:t xml:space="preserve"> </w:t>
      </w:r>
      <w:r w:rsidRPr="00EA316B">
        <w:t xml:space="preserve">then went on to receive an additional 8 weeks of Q4W NEMO in the ARCADIA LTE study. </w:t>
      </w:r>
      <w:proofErr w:type="gramStart"/>
      <w:r w:rsidR="00516ED7" w:rsidRPr="00EA316B">
        <w:t>As a consequence of</w:t>
      </w:r>
      <w:proofErr w:type="gramEnd"/>
      <w:r w:rsidR="00516ED7" w:rsidRPr="00EA316B">
        <w:t xml:space="preserve"> its design, the</w:t>
      </w:r>
      <w:r w:rsidR="007B0A06" w:rsidRPr="00EA316B">
        <w:t xml:space="preserve"> data used to inform the</w:t>
      </w:r>
      <w:r w:rsidR="00516ED7" w:rsidRPr="00EA316B">
        <w:t xml:space="preserve"> ITC with DUPI was </w:t>
      </w:r>
      <w:r w:rsidR="00452935" w:rsidRPr="00EA316B">
        <w:t xml:space="preserve">derived from </w:t>
      </w:r>
      <w:r w:rsidR="00E6288A" w:rsidRPr="005F29FD">
        <w:rPr>
          <w:i/>
          <w:iCs/>
        </w:rPr>
        <w:t>post-hoc</w:t>
      </w:r>
      <w:r w:rsidR="00452935" w:rsidRPr="00EA316B">
        <w:t xml:space="preserve"> analyses</w:t>
      </w:r>
      <w:r w:rsidR="00E6288A" w:rsidRPr="00EA316B">
        <w:t xml:space="preserve">, </w:t>
      </w:r>
      <w:r w:rsidR="00452935" w:rsidRPr="00EA316B">
        <w:t>of non-</w:t>
      </w:r>
      <w:r w:rsidR="00516ED7" w:rsidRPr="00EA316B">
        <w:t xml:space="preserve"> blinded </w:t>
      </w:r>
      <w:r w:rsidR="00D83C46" w:rsidRPr="00EA316B">
        <w:t>and non</w:t>
      </w:r>
      <w:r w:rsidR="00E5288D" w:rsidRPr="00EA316B">
        <w:t>-</w:t>
      </w:r>
      <w:r w:rsidR="00516ED7" w:rsidRPr="00EA316B">
        <w:t>randomised</w:t>
      </w:r>
      <w:r w:rsidR="00D83C46" w:rsidRPr="00EA316B">
        <w:t xml:space="preserve"> studies</w:t>
      </w:r>
      <w:r w:rsidR="00516ED7" w:rsidRPr="00EA316B">
        <w:t>, resulting in a high risk of bias.</w:t>
      </w:r>
      <w:r w:rsidR="00045368" w:rsidRPr="00EA316B">
        <w:t xml:space="preserve"> The PSCR provided the characteristics of the non-responder sub-group, noting that there was no evidence of prognostic factors or effect modifiers that may have been driving the observed effect of </w:t>
      </w:r>
      <w:r w:rsidR="00B96E71" w:rsidRPr="00EA316B">
        <w:t>NEMO</w:t>
      </w:r>
      <w:r w:rsidR="00045368" w:rsidRPr="00EA316B">
        <w:t xml:space="preserve"> or that the subgroups were biased.</w:t>
      </w:r>
      <w:r w:rsidR="002D2518" w:rsidRPr="00EA316B">
        <w:t xml:space="preserve"> The ESC </w:t>
      </w:r>
      <w:r w:rsidR="0060268F" w:rsidRPr="00EA316B">
        <w:t xml:space="preserve">however </w:t>
      </w:r>
      <w:r w:rsidR="002D2518" w:rsidRPr="00EA316B">
        <w:t xml:space="preserve">noted that there were differences </w:t>
      </w:r>
      <w:r w:rsidR="00CC3A72" w:rsidRPr="00EA316B">
        <w:t xml:space="preserve">in the proportion of patients with an </w:t>
      </w:r>
      <w:r w:rsidR="003D44C5" w:rsidRPr="00EA316B">
        <w:rPr>
          <w:szCs w:val="18"/>
        </w:rPr>
        <w:t>Investigator’s Global Assessment</w:t>
      </w:r>
      <w:r w:rsidR="003D44C5" w:rsidRPr="00EA316B">
        <w:t xml:space="preserve"> (IGA)</w:t>
      </w:r>
      <w:r w:rsidR="00CC3A72" w:rsidRPr="00EA316B">
        <w:t xml:space="preserve"> score of 4 </w:t>
      </w:r>
      <w:r w:rsidR="00E90594" w:rsidRPr="00EA316B">
        <w:t xml:space="preserve">(100% in </w:t>
      </w:r>
      <w:r w:rsidR="00513498" w:rsidRPr="00EA316B">
        <w:t xml:space="preserve">ARCADIA LTE patients with a EASI-50 </w:t>
      </w:r>
      <w:r w:rsidR="002019CB" w:rsidRPr="00EA316B">
        <w:t xml:space="preserve">(i.e. the proposed PBS population) </w:t>
      </w:r>
      <w:r w:rsidR="00513498" w:rsidRPr="00EA316B">
        <w:t xml:space="preserve">compared to </w:t>
      </w:r>
      <w:r w:rsidR="00874F2B" w:rsidRPr="00EA316B">
        <w:t xml:space="preserve">approximately 30% in the ARCADIA trials) </w:t>
      </w:r>
      <w:r w:rsidR="00CC3A72" w:rsidRPr="00EA316B">
        <w:t xml:space="preserve">and </w:t>
      </w:r>
      <w:r w:rsidR="002019CB" w:rsidRPr="00EA316B">
        <w:t>body surface area (</w:t>
      </w:r>
      <w:r w:rsidR="00857EC8" w:rsidRPr="00EA316B">
        <w:t>59.5% in ARCADIA LTE compared to approximately 44.0% in the ARCADIA trials)</w:t>
      </w:r>
      <w:r w:rsidR="00CC3A72" w:rsidRPr="00EA316B">
        <w:t>.</w:t>
      </w:r>
      <w:bookmarkEnd w:id="35"/>
    </w:p>
    <w:p w14:paraId="420E8336" w14:textId="014111CB" w:rsidR="00546DBD" w:rsidRPr="00EA316B" w:rsidRDefault="00EF4A6F" w:rsidP="00E468A1">
      <w:pPr>
        <w:pStyle w:val="3-BodyText"/>
        <w:spacing w:before="160" w:after="160"/>
      </w:pPr>
      <w:r w:rsidRPr="00EA316B">
        <w:lastRenderedPageBreak/>
        <w:t>T</w:t>
      </w:r>
      <w:r w:rsidR="00546DBD" w:rsidRPr="00EA316B">
        <w:t xml:space="preserve">he transitivity issues with the ITC from the previous submission </w:t>
      </w:r>
      <w:r w:rsidRPr="00EA316B">
        <w:t>remain</w:t>
      </w:r>
      <w:r w:rsidR="00546DBD" w:rsidRPr="00EA316B">
        <w:t xml:space="preserve"> in the updated ITCs. Briefly, the previous </w:t>
      </w:r>
      <w:r w:rsidR="005230A6" w:rsidRPr="00EA316B">
        <w:t xml:space="preserve">noted </w:t>
      </w:r>
      <w:r w:rsidR="00546DBD" w:rsidRPr="00EA316B">
        <w:t>transitivity issues were:</w:t>
      </w:r>
    </w:p>
    <w:p w14:paraId="41CC756D" w14:textId="5434429C" w:rsidR="00546DBD" w:rsidRPr="00EA316B" w:rsidRDefault="00546DBD" w:rsidP="005C4F91">
      <w:pPr>
        <w:pStyle w:val="3-BodyText"/>
        <w:numPr>
          <w:ilvl w:val="0"/>
          <w:numId w:val="7"/>
        </w:numPr>
        <w:spacing w:before="160" w:after="160"/>
        <w:ind w:left="1134" w:hanging="306"/>
      </w:pPr>
      <w:r w:rsidRPr="00EA316B">
        <w:t>T</w:t>
      </w:r>
      <w:r w:rsidR="00AD5544">
        <w:t>he t</w:t>
      </w:r>
      <w:r w:rsidRPr="00EA316B">
        <w:t>wo NEMO trials with the largest sample size</w:t>
      </w:r>
      <w:r w:rsidR="00BA484C">
        <w:t>s</w:t>
      </w:r>
      <w:r w:rsidRPr="00EA316B">
        <w:t>, i.e. ARCADIA 1 and ARCADIA 2, enrolled patients aged ≥</w:t>
      </w:r>
      <w:r w:rsidR="00DE0ECA" w:rsidRPr="00EA316B">
        <w:t xml:space="preserve"> </w:t>
      </w:r>
      <w:r w:rsidRPr="00EA316B">
        <w:t>12 years; whereas all included DUPI trials and the other two NEMO trials included adult patients ≥</w:t>
      </w:r>
      <w:r w:rsidR="00DE0ECA" w:rsidRPr="00EA316B">
        <w:t xml:space="preserve"> </w:t>
      </w:r>
      <w:r w:rsidRPr="00EA316B">
        <w:t xml:space="preserve">18 years of age only. </w:t>
      </w:r>
    </w:p>
    <w:p w14:paraId="5BC1BA07" w14:textId="42D7F5EC" w:rsidR="00546DBD" w:rsidRPr="00EA316B" w:rsidRDefault="00546DBD" w:rsidP="005C4F91">
      <w:pPr>
        <w:pStyle w:val="3-BodyText"/>
        <w:numPr>
          <w:ilvl w:val="0"/>
          <w:numId w:val="7"/>
        </w:numPr>
        <w:spacing w:before="160" w:after="160"/>
        <w:ind w:left="1134" w:hanging="306"/>
      </w:pPr>
      <w:r w:rsidRPr="00EA316B">
        <w:t xml:space="preserve">Of the trials included in the efficacy ITCs, ARCADIA 1, ARCADIA 2, CHRONOS and JADE COMPARE required patients to have an EASI score of </w:t>
      </w:r>
      <w:r w:rsidRPr="00EA316B">
        <w:rPr>
          <w:rFonts w:cs="Calibri"/>
        </w:rPr>
        <w:t>≥</w:t>
      </w:r>
      <w:r w:rsidR="00DE0ECA" w:rsidRPr="00EA316B">
        <w:rPr>
          <w:rFonts w:cs="Calibri"/>
        </w:rPr>
        <w:t xml:space="preserve"> </w:t>
      </w:r>
      <w:r w:rsidRPr="00EA316B">
        <w:t xml:space="preserve">16 at baseline, compared to an EASI score of </w:t>
      </w:r>
      <w:r w:rsidRPr="00EA316B">
        <w:rPr>
          <w:rFonts w:cs="Calibri"/>
        </w:rPr>
        <w:t>≥</w:t>
      </w:r>
      <w:r w:rsidR="00DE0ECA" w:rsidRPr="00EA316B">
        <w:rPr>
          <w:rFonts w:cs="Calibri"/>
        </w:rPr>
        <w:t xml:space="preserve"> </w:t>
      </w:r>
      <w:r w:rsidRPr="00EA316B">
        <w:t>12 in Study 114322.</w:t>
      </w:r>
    </w:p>
    <w:p w14:paraId="320A79CF" w14:textId="77777777" w:rsidR="00546DBD" w:rsidRPr="00EA316B" w:rsidRDefault="00546DBD" w:rsidP="005C4F91">
      <w:pPr>
        <w:pStyle w:val="3-BodyText"/>
        <w:numPr>
          <w:ilvl w:val="0"/>
          <w:numId w:val="7"/>
        </w:numPr>
        <w:spacing w:before="160" w:after="160"/>
        <w:ind w:left="1134" w:hanging="306"/>
      </w:pPr>
      <w:r w:rsidRPr="00EA316B">
        <w:t>The proportion of patients having an IGA of 4 (corresponds to severe AD) at baseline was lower in NEMO trials than in DUPI trials (31% vs. 40%).</w:t>
      </w:r>
    </w:p>
    <w:p w14:paraId="454547BE" w14:textId="73EC45F7" w:rsidR="00546DBD" w:rsidRPr="00EA316B" w:rsidRDefault="00546DBD" w:rsidP="00E468A1">
      <w:pPr>
        <w:pStyle w:val="3-BodyText"/>
        <w:numPr>
          <w:ilvl w:val="0"/>
          <w:numId w:val="0"/>
        </w:numPr>
        <w:spacing w:before="160" w:after="160"/>
        <w:ind w:left="720"/>
      </w:pPr>
      <w:r w:rsidRPr="00EA316B">
        <w:t xml:space="preserve">The direction and magnitude of the impact of the observed differences across trial sets on the ITC results </w:t>
      </w:r>
      <w:r w:rsidR="009424BE" w:rsidRPr="00EA316B">
        <w:t xml:space="preserve">could not </w:t>
      </w:r>
      <w:r w:rsidRPr="00EA316B">
        <w:t>be estimated</w:t>
      </w:r>
      <w:r w:rsidR="00CF5A5A" w:rsidRPr="00EA316B">
        <w:t xml:space="preserve">. </w:t>
      </w:r>
    </w:p>
    <w:p w14:paraId="0DDE195F" w14:textId="77777777" w:rsidR="00546DBD" w:rsidRPr="00FA2AB8" w:rsidRDefault="00546DBD" w:rsidP="004D74DA">
      <w:pPr>
        <w:pStyle w:val="4-SubsectionHeading"/>
      </w:pPr>
      <w:bookmarkStart w:id="36" w:name="_Toc22897641"/>
      <w:bookmarkStart w:id="37" w:name="_Toc202884175"/>
      <w:bookmarkStart w:id="38" w:name="_Toc216710460"/>
      <w:r w:rsidRPr="00FA2AB8">
        <w:t>Comparative effectiveness</w:t>
      </w:r>
      <w:bookmarkEnd w:id="36"/>
      <w:bookmarkEnd w:id="37"/>
      <w:bookmarkEnd w:id="38"/>
    </w:p>
    <w:p w14:paraId="75A856F3" w14:textId="7E9DC660" w:rsidR="00546DBD" w:rsidRPr="00FA2AB8" w:rsidRDefault="00546DBD" w:rsidP="00E468A1">
      <w:pPr>
        <w:pStyle w:val="3-BodyText"/>
        <w:spacing w:before="160" w:after="160"/>
        <w:rPr>
          <w:color w:val="0066FF"/>
        </w:rPr>
      </w:pPr>
      <w:r w:rsidRPr="00FA2AB8">
        <w:rPr>
          <w:color w:val="0066FF"/>
        </w:rPr>
        <w:fldChar w:fldCharType="begin"/>
      </w:r>
      <w:r w:rsidRPr="00FA2AB8">
        <w:rPr>
          <w:color w:val="0066FF"/>
        </w:rPr>
        <w:instrText xml:space="preserve"> REF _Ref215819793 \h </w:instrText>
      </w:r>
      <w:r w:rsidR="00FA2AB8" w:rsidRPr="00FA2AB8">
        <w:rPr>
          <w:color w:val="0066FF"/>
        </w:rPr>
        <w:instrText xml:space="preserve"> \* MERGEFORMAT </w:instrText>
      </w:r>
      <w:r w:rsidRPr="00FA2AB8">
        <w:rPr>
          <w:color w:val="0066FF"/>
        </w:rPr>
      </w:r>
      <w:r w:rsidRPr="00FA2AB8">
        <w:rPr>
          <w:color w:val="0066FF"/>
        </w:rPr>
        <w:fldChar w:fldCharType="separate"/>
      </w:r>
      <w:r w:rsidR="00F51AFF" w:rsidRPr="00FA2AB8">
        <w:t xml:space="preserve">Table </w:t>
      </w:r>
      <w:r w:rsidR="00F51AFF" w:rsidRPr="00FA2AB8">
        <w:rPr>
          <w:noProof/>
        </w:rPr>
        <w:t>5</w:t>
      </w:r>
      <w:r w:rsidRPr="00FA2AB8">
        <w:rPr>
          <w:color w:val="0066FF"/>
        </w:rPr>
        <w:fldChar w:fldCharType="end"/>
      </w:r>
      <w:r w:rsidRPr="00FA2AB8">
        <w:rPr>
          <w:color w:val="0066FF"/>
        </w:rPr>
        <w:t xml:space="preserve"> </w:t>
      </w:r>
      <w:r w:rsidRPr="00FA2AB8">
        <w:t xml:space="preserve">presents the results of the ITCs from the previous submission. Based on this evidence, </w:t>
      </w:r>
      <w:r w:rsidR="00F32287">
        <w:t xml:space="preserve">in July 2025 </w:t>
      </w:r>
      <w:r w:rsidRPr="00FA2AB8">
        <w:rPr>
          <w:snapToGrid w:val="0"/>
        </w:rPr>
        <w:t xml:space="preserve">the PBAC considered the submission’s clinical claim of non-inferior effectiveness of NEMO </w:t>
      </w:r>
      <w:r w:rsidR="0021296E">
        <w:rPr>
          <w:snapToGrid w:val="0"/>
        </w:rPr>
        <w:t xml:space="preserve">versus </w:t>
      </w:r>
      <w:r w:rsidRPr="00FA2AB8">
        <w:rPr>
          <w:snapToGrid w:val="0"/>
        </w:rPr>
        <w:t xml:space="preserve">DUPI was not adequately supported </w:t>
      </w:r>
      <w:r w:rsidR="00EE05ED">
        <w:rPr>
          <w:snapToGrid w:val="0"/>
        </w:rPr>
        <w:t xml:space="preserve">given </w:t>
      </w:r>
      <w:r w:rsidRPr="00FA2AB8">
        <w:rPr>
          <w:snapToGrid w:val="0"/>
        </w:rPr>
        <w:t>the primary indirect comparison presented at 16 weeks indicat</w:t>
      </w:r>
      <w:r w:rsidR="00C057DB" w:rsidRPr="00FA2AB8">
        <w:rPr>
          <w:snapToGrid w:val="0"/>
        </w:rPr>
        <w:t>ed that</w:t>
      </w:r>
      <w:r w:rsidRPr="00FA2AB8">
        <w:rPr>
          <w:snapToGrid w:val="0"/>
        </w:rPr>
        <w:t xml:space="preserve"> NEMO is likely inferior to DUPI (para</w:t>
      </w:r>
      <w:r w:rsidR="008B22C5" w:rsidRPr="00FA2AB8">
        <w:rPr>
          <w:snapToGrid w:val="0"/>
        </w:rPr>
        <w:t>graph</w:t>
      </w:r>
      <w:r w:rsidRPr="00FA2AB8">
        <w:rPr>
          <w:snapToGrid w:val="0"/>
        </w:rPr>
        <w:t xml:space="preserve"> 7.1, nemolizumab PSD, July 2025</w:t>
      </w:r>
      <w:r w:rsidR="00763A53" w:rsidRPr="00FA2AB8">
        <w:rPr>
          <w:snapToGrid w:val="0"/>
        </w:rPr>
        <w:t xml:space="preserve"> PBAC meeting</w:t>
      </w:r>
      <w:r w:rsidRPr="00FA2AB8">
        <w:rPr>
          <w:snapToGrid w:val="0"/>
        </w:rPr>
        <w:t xml:space="preserve">). </w:t>
      </w:r>
      <w:r w:rsidRPr="00FA2AB8">
        <w:t xml:space="preserve">The PBAC noted for the </w:t>
      </w:r>
      <w:r w:rsidR="00C057DB" w:rsidRPr="00FA2AB8">
        <w:t xml:space="preserve">presented </w:t>
      </w:r>
      <w:r w:rsidRPr="00FA2AB8">
        <w:t>ITCs, the results were in favour of DUPI</w:t>
      </w:r>
      <w:r w:rsidRPr="00FA2AB8">
        <w:rPr>
          <w:rStyle w:val="CommentReference"/>
          <w:rFonts w:cs="Times New Roman"/>
        </w:rPr>
        <w:t xml:space="preserve"> </w:t>
      </w:r>
      <w:r w:rsidRPr="00FA2AB8">
        <w:t xml:space="preserve">for the co-primary endpoints of </w:t>
      </w:r>
      <w:r w:rsidRPr="00FA2AB8">
        <w:rPr>
          <w:szCs w:val="18"/>
        </w:rPr>
        <w:t>Eczema Area and Severity Index (</w:t>
      </w:r>
      <w:r w:rsidRPr="00FA2AB8">
        <w:t>EASI)-75</w:t>
      </w:r>
      <w:r w:rsidR="00A9403C" w:rsidRPr="00FA2AB8">
        <w:rPr>
          <w:rStyle w:val="FootnoteReference"/>
        </w:rPr>
        <w:footnoteReference w:id="11"/>
      </w:r>
      <w:r w:rsidRPr="00FA2AB8">
        <w:t xml:space="preserve"> (RR = 0.61; 95% CI: 0.41, 0.89) and IGA</w:t>
      </w:r>
      <w:r w:rsidR="00A9403C" w:rsidRPr="00FA2AB8">
        <w:rPr>
          <w:rStyle w:val="FootnoteReference"/>
        </w:rPr>
        <w:footnoteReference w:id="12"/>
      </w:r>
      <w:r w:rsidRPr="00FA2AB8">
        <w:t xml:space="preserve"> success (RR = 0.49; 95% CI: 0.34, 0.69)</w:t>
      </w:r>
      <w:r w:rsidR="00CF5A5A" w:rsidRPr="00FA2AB8">
        <w:t xml:space="preserve">. </w:t>
      </w:r>
      <w:r w:rsidRPr="00FA2AB8">
        <w:t xml:space="preserve">Additionally, the PBAC noted the </w:t>
      </w:r>
      <w:r w:rsidR="00F32287">
        <w:t>re</w:t>
      </w:r>
      <w:r w:rsidRPr="00FA2AB8">
        <w:t xml:space="preserve">submission did not present ITCs of NEMO versus DUPI in the proposed target population of patients with severe AD. Instead, the </w:t>
      </w:r>
      <w:r w:rsidR="00F32287">
        <w:t>re</w:t>
      </w:r>
      <w:r w:rsidRPr="00FA2AB8">
        <w:t xml:space="preserve">submission provided </w:t>
      </w:r>
      <w:r w:rsidRPr="00D42CDA">
        <w:rPr>
          <w:i/>
          <w:iCs/>
        </w:rPr>
        <w:t>post-hoc</w:t>
      </w:r>
      <w:r w:rsidRPr="00FA2AB8">
        <w:t xml:space="preserve"> subgroup analyses for patients with severe AD from the NEMO trials only (para</w:t>
      </w:r>
      <w:r w:rsidR="008B22C5" w:rsidRPr="00FA2AB8">
        <w:t>graph</w:t>
      </w:r>
      <w:r w:rsidRPr="00FA2AB8">
        <w:t xml:space="preserve"> 7.5, nemolizumab PSD, July 2025</w:t>
      </w:r>
      <w:r w:rsidR="00763A53" w:rsidRPr="00FA2AB8">
        <w:t xml:space="preserve"> PBAC meeting</w:t>
      </w:r>
      <w:r w:rsidRPr="00FA2AB8">
        <w:t>).</w:t>
      </w:r>
    </w:p>
    <w:p w14:paraId="561CACC0" w14:textId="767D80D1" w:rsidR="00546DBD" w:rsidRPr="00FA2AB8" w:rsidRDefault="00546DBD" w:rsidP="00E468A1">
      <w:pPr>
        <w:pStyle w:val="TableFigureHeading"/>
        <w:rPr>
          <w:rStyle w:val="CommentReference"/>
          <w:b/>
          <w:szCs w:val="24"/>
        </w:rPr>
      </w:pPr>
      <w:bookmarkStart w:id="39" w:name="_Ref215819793"/>
      <w:r w:rsidRPr="00FA2AB8">
        <w:lastRenderedPageBreak/>
        <w:t xml:space="preserve">Table </w:t>
      </w:r>
      <w:fldSimple w:instr=" SEQ Table \* ARABIC ">
        <w:r w:rsidR="00CB23C7">
          <w:rPr>
            <w:noProof/>
          </w:rPr>
          <w:t>5</w:t>
        </w:r>
      </w:fldSimple>
      <w:bookmarkEnd w:id="39"/>
      <w:r w:rsidRPr="00FA2AB8">
        <w:t>:</w:t>
      </w:r>
      <w:r w:rsidRPr="00FA2AB8">
        <w:rPr>
          <w:rStyle w:val="CommentReference"/>
          <w:b/>
          <w:szCs w:val="24"/>
        </w:rPr>
        <w:t xml:space="preserve"> Results of the ITCs of </w:t>
      </w:r>
      <w:r w:rsidRPr="00FA2AB8">
        <w:rPr>
          <w:szCs w:val="20"/>
        </w:rPr>
        <w:t xml:space="preserve">NEMO 30 mg Q4W (pooled excl. ARCADIA CYCLO) vs DUPI 300 mg Q2W (pooled excl. CAFÉ) </w:t>
      </w:r>
      <w:r w:rsidRPr="00FA2AB8">
        <w:rPr>
          <w:rStyle w:val="CommentReference"/>
          <w:b/>
          <w:szCs w:val="24"/>
        </w:rPr>
        <w:t>presented in the previous submission –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the ITCs of NEMO 30 mg Q4W (pooled excl. ARCADIA CYCLO) vs DUPI 300 mg Q2W (pooled excl. CAFÉ) presented in the previous submission – ITT population"/>
      </w:tblPr>
      <w:tblGrid>
        <w:gridCol w:w="3538"/>
        <w:gridCol w:w="3120"/>
        <w:gridCol w:w="2359"/>
      </w:tblGrid>
      <w:tr w:rsidR="00546DBD" w:rsidRPr="00512BD3" w14:paraId="44334C26" w14:textId="77777777" w:rsidTr="00AF29CF">
        <w:trPr>
          <w:cantSplit/>
          <w:tblHeader/>
        </w:trPr>
        <w:tc>
          <w:tcPr>
            <w:tcW w:w="1962" w:type="pct"/>
            <w:shd w:val="clear" w:color="auto" w:fill="B8CCE4"/>
            <w:vAlign w:val="center"/>
          </w:tcPr>
          <w:p w14:paraId="251C20FC" w14:textId="77777777" w:rsidR="00546DBD" w:rsidRPr="00D42CDA" w:rsidRDefault="00546DBD" w:rsidP="008F0977">
            <w:pPr>
              <w:pStyle w:val="In-tableHeading"/>
              <w:rPr>
                <w:i w:val="0"/>
                <w:iCs w:val="0"/>
              </w:rPr>
            </w:pPr>
            <w:r w:rsidRPr="00D42CDA">
              <w:rPr>
                <w:i w:val="0"/>
                <w:iCs w:val="0"/>
              </w:rPr>
              <w:t>Outcome</w:t>
            </w:r>
          </w:p>
        </w:tc>
        <w:tc>
          <w:tcPr>
            <w:tcW w:w="1730" w:type="pct"/>
            <w:shd w:val="clear" w:color="auto" w:fill="B8CCE4"/>
            <w:vAlign w:val="center"/>
          </w:tcPr>
          <w:p w14:paraId="432A3837" w14:textId="77777777" w:rsidR="00546DBD" w:rsidRPr="00D42CDA" w:rsidRDefault="00546DBD" w:rsidP="008F0977">
            <w:pPr>
              <w:pStyle w:val="In-tableHeading"/>
              <w:rPr>
                <w:i w:val="0"/>
                <w:iCs w:val="0"/>
              </w:rPr>
            </w:pPr>
            <w:r w:rsidRPr="00D42CDA">
              <w:rPr>
                <w:i w:val="0"/>
                <w:iCs w:val="0"/>
              </w:rPr>
              <w:t>Relative risk (95% CI)</w:t>
            </w:r>
          </w:p>
        </w:tc>
        <w:tc>
          <w:tcPr>
            <w:tcW w:w="1308" w:type="pct"/>
            <w:shd w:val="clear" w:color="auto" w:fill="B8CCE4"/>
            <w:vAlign w:val="center"/>
          </w:tcPr>
          <w:p w14:paraId="45BB798F" w14:textId="77777777" w:rsidR="00546DBD" w:rsidRPr="00D42CDA" w:rsidRDefault="00546DBD" w:rsidP="008F0977">
            <w:pPr>
              <w:pStyle w:val="In-tableHeading"/>
              <w:rPr>
                <w:i w:val="0"/>
                <w:iCs w:val="0"/>
              </w:rPr>
            </w:pPr>
            <w:r w:rsidRPr="00D42CDA">
              <w:rPr>
                <w:i w:val="0"/>
                <w:iCs w:val="0"/>
              </w:rPr>
              <w:t>Risk difference (95% CI)</w:t>
            </w:r>
          </w:p>
        </w:tc>
      </w:tr>
      <w:tr w:rsidR="00546DBD" w:rsidRPr="00FA2AB8" w14:paraId="28B06C00" w14:textId="77777777" w:rsidTr="00AF29CF">
        <w:trPr>
          <w:cantSplit/>
        </w:trPr>
        <w:tc>
          <w:tcPr>
            <w:tcW w:w="1962" w:type="pct"/>
            <w:shd w:val="clear" w:color="auto" w:fill="B8CCE4"/>
            <w:vAlign w:val="center"/>
          </w:tcPr>
          <w:p w14:paraId="7EFD288A" w14:textId="77777777" w:rsidR="00546DBD" w:rsidRPr="00FA2AB8" w:rsidRDefault="00546DBD">
            <w:pPr>
              <w:pStyle w:val="TableText0"/>
            </w:pPr>
            <w:r w:rsidRPr="00FA2AB8">
              <w:t>EASI-75 at week 16</w:t>
            </w:r>
          </w:p>
        </w:tc>
        <w:tc>
          <w:tcPr>
            <w:tcW w:w="1730" w:type="pct"/>
            <w:shd w:val="clear" w:color="auto" w:fill="B8CCE4"/>
          </w:tcPr>
          <w:p w14:paraId="51093510" w14:textId="77777777" w:rsidR="00546DBD" w:rsidRPr="00FA2AB8" w:rsidRDefault="00546DBD">
            <w:pPr>
              <w:pStyle w:val="TableText0"/>
              <w:jc w:val="center"/>
            </w:pPr>
            <w:r w:rsidRPr="00FA2AB8">
              <w:rPr>
                <w:b/>
                <w:szCs w:val="20"/>
              </w:rPr>
              <w:t>0.61 (0.41, 0.90)</w:t>
            </w:r>
          </w:p>
        </w:tc>
        <w:tc>
          <w:tcPr>
            <w:tcW w:w="1308" w:type="pct"/>
            <w:shd w:val="clear" w:color="auto" w:fill="B8CCE4"/>
          </w:tcPr>
          <w:p w14:paraId="69457543" w14:textId="77777777" w:rsidR="00546DBD" w:rsidRPr="00FA2AB8" w:rsidRDefault="00546DBD">
            <w:pPr>
              <w:pStyle w:val="TableText0"/>
              <w:jc w:val="center"/>
            </w:pPr>
            <w:r w:rsidRPr="00FA2AB8">
              <w:rPr>
                <w:b/>
                <w:szCs w:val="20"/>
              </w:rPr>
              <w:t>-0.24 (-0.37, -0.12)</w:t>
            </w:r>
          </w:p>
        </w:tc>
      </w:tr>
      <w:tr w:rsidR="00546DBD" w:rsidRPr="00FA2AB8" w14:paraId="38F8F9D5" w14:textId="77777777" w:rsidTr="00AF29CF">
        <w:trPr>
          <w:cantSplit/>
        </w:trPr>
        <w:tc>
          <w:tcPr>
            <w:tcW w:w="1962" w:type="pct"/>
            <w:shd w:val="clear" w:color="auto" w:fill="B8CCE4"/>
            <w:vAlign w:val="center"/>
          </w:tcPr>
          <w:p w14:paraId="132BFB9E" w14:textId="77777777" w:rsidR="00546DBD" w:rsidRPr="00FA2AB8" w:rsidRDefault="00546DBD">
            <w:pPr>
              <w:pStyle w:val="TableText0"/>
            </w:pPr>
            <w:r w:rsidRPr="00FA2AB8">
              <w:t>IGA success at week 16</w:t>
            </w:r>
          </w:p>
        </w:tc>
        <w:tc>
          <w:tcPr>
            <w:tcW w:w="1730" w:type="pct"/>
            <w:shd w:val="clear" w:color="auto" w:fill="B8CCE4"/>
          </w:tcPr>
          <w:p w14:paraId="1960980B" w14:textId="77777777" w:rsidR="00546DBD" w:rsidRPr="00FA2AB8" w:rsidRDefault="00546DBD">
            <w:pPr>
              <w:pStyle w:val="TableText0"/>
              <w:jc w:val="center"/>
            </w:pPr>
            <w:r w:rsidRPr="00FA2AB8">
              <w:rPr>
                <w:b/>
                <w:szCs w:val="20"/>
              </w:rPr>
              <w:t>0.49 (0.34, 0.69)</w:t>
            </w:r>
          </w:p>
        </w:tc>
        <w:tc>
          <w:tcPr>
            <w:tcW w:w="1308" w:type="pct"/>
            <w:shd w:val="clear" w:color="auto" w:fill="B8CCE4"/>
          </w:tcPr>
          <w:p w14:paraId="29B5A7F4" w14:textId="77777777" w:rsidR="00546DBD" w:rsidRPr="00FA2AB8" w:rsidRDefault="00546DBD">
            <w:pPr>
              <w:pStyle w:val="TableText0"/>
              <w:jc w:val="center"/>
            </w:pPr>
            <w:r w:rsidRPr="00FA2AB8">
              <w:rPr>
                <w:b/>
                <w:szCs w:val="20"/>
              </w:rPr>
              <w:t>-0.14 (-0.22, -0.06)</w:t>
            </w:r>
          </w:p>
        </w:tc>
      </w:tr>
      <w:tr w:rsidR="00546DBD" w:rsidRPr="00FA2AB8" w14:paraId="425CE608" w14:textId="77777777" w:rsidTr="00AF29CF">
        <w:trPr>
          <w:cantSplit/>
        </w:trPr>
        <w:tc>
          <w:tcPr>
            <w:tcW w:w="1962" w:type="pct"/>
            <w:shd w:val="clear" w:color="auto" w:fill="B8CCE4"/>
            <w:vAlign w:val="center"/>
          </w:tcPr>
          <w:p w14:paraId="42953114" w14:textId="77777777" w:rsidR="00546DBD" w:rsidRPr="00FA2AB8" w:rsidRDefault="00546DBD">
            <w:pPr>
              <w:pStyle w:val="TableText0"/>
            </w:pPr>
            <w:r w:rsidRPr="00FA2AB8">
              <w:t>EASI-50 at week 16</w:t>
            </w:r>
          </w:p>
        </w:tc>
        <w:tc>
          <w:tcPr>
            <w:tcW w:w="1730" w:type="pct"/>
            <w:shd w:val="clear" w:color="auto" w:fill="B8CCE4"/>
          </w:tcPr>
          <w:p w14:paraId="708897CA" w14:textId="77777777" w:rsidR="00546DBD" w:rsidRPr="00FA2AB8" w:rsidRDefault="00546DBD">
            <w:pPr>
              <w:jc w:val="center"/>
              <w:rPr>
                <w:rFonts w:ascii="Arial Narrow" w:hAnsi="Arial Narrow"/>
                <w:sz w:val="20"/>
                <w:szCs w:val="20"/>
              </w:rPr>
            </w:pPr>
            <w:r w:rsidRPr="00FA2AB8">
              <w:rPr>
                <w:rFonts w:ascii="Arial Narrow" w:hAnsi="Arial Narrow"/>
                <w:sz w:val="20"/>
                <w:szCs w:val="20"/>
              </w:rPr>
              <w:t>0.72 (0.49, 1.05)</w:t>
            </w:r>
          </w:p>
        </w:tc>
        <w:tc>
          <w:tcPr>
            <w:tcW w:w="1308" w:type="pct"/>
            <w:shd w:val="clear" w:color="auto" w:fill="B8CCE4"/>
          </w:tcPr>
          <w:p w14:paraId="4334242F" w14:textId="77777777" w:rsidR="00546DBD" w:rsidRPr="00FA2AB8" w:rsidRDefault="00546DBD">
            <w:pPr>
              <w:jc w:val="center"/>
              <w:rPr>
                <w:rFonts w:ascii="Arial Narrow" w:hAnsi="Arial Narrow"/>
                <w:b/>
                <w:bCs/>
                <w:sz w:val="20"/>
                <w:szCs w:val="20"/>
              </w:rPr>
            </w:pPr>
            <w:r w:rsidRPr="00FA2AB8">
              <w:rPr>
                <w:rFonts w:ascii="Arial Narrow" w:hAnsi="Arial Narrow"/>
                <w:b/>
                <w:bCs/>
                <w:sz w:val="20"/>
                <w:szCs w:val="20"/>
              </w:rPr>
              <w:t>-0.22 (-0.39, -0.05)</w:t>
            </w:r>
          </w:p>
        </w:tc>
      </w:tr>
      <w:tr w:rsidR="00546DBD" w:rsidRPr="00FA2AB8" w14:paraId="324DB637" w14:textId="77777777" w:rsidTr="00AF29CF">
        <w:trPr>
          <w:cantSplit/>
        </w:trPr>
        <w:tc>
          <w:tcPr>
            <w:tcW w:w="1962" w:type="pct"/>
            <w:shd w:val="clear" w:color="auto" w:fill="B8CCE4"/>
            <w:vAlign w:val="center"/>
          </w:tcPr>
          <w:p w14:paraId="00F19B46" w14:textId="77777777" w:rsidR="00546DBD" w:rsidRPr="00FA2AB8" w:rsidRDefault="00546DBD">
            <w:pPr>
              <w:pStyle w:val="TableText0"/>
            </w:pPr>
            <w:r w:rsidRPr="00FA2AB8">
              <w:t>≥4-point improvement in DLQI at Week 16</w:t>
            </w:r>
          </w:p>
        </w:tc>
        <w:tc>
          <w:tcPr>
            <w:tcW w:w="1730" w:type="pct"/>
            <w:shd w:val="clear" w:color="auto" w:fill="B8CCE4"/>
          </w:tcPr>
          <w:p w14:paraId="4FDE8227" w14:textId="77777777" w:rsidR="00546DBD" w:rsidRPr="00FA2AB8" w:rsidRDefault="00546DBD">
            <w:pPr>
              <w:jc w:val="center"/>
              <w:rPr>
                <w:rFonts w:ascii="Arial Narrow" w:hAnsi="Arial Narrow"/>
                <w:sz w:val="20"/>
                <w:szCs w:val="20"/>
              </w:rPr>
            </w:pPr>
            <w:r w:rsidRPr="00FA2AB8">
              <w:rPr>
                <w:rFonts w:ascii="Arial Narrow" w:hAnsi="Arial Narrow"/>
                <w:sz w:val="20"/>
                <w:szCs w:val="20"/>
              </w:rPr>
              <w:t>0.77 (0.57, 1.05)</w:t>
            </w:r>
          </w:p>
        </w:tc>
        <w:tc>
          <w:tcPr>
            <w:tcW w:w="1308" w:type="pct"/>
            <w:shd w:val="clear" w:color="auto" w:fill="B8CCE4"/>
          </w:tcPr>
          <w:p w14:paraId="2633F514" w14:textId="77777777" w:rsidR="00546DBD" w:rsidRPr="00FA2AB8" w:rsidRDefault="00546DBD">
            <w:pPr>
              <w:jc w:val="center"/>
              <w:rPr>
                <w:rFonts w:ascii="Arial Narrow" w:hAnsi="Arial Narrow"/>
                <w:b/>
                <w:bCs/>
                <w:sz w:val="20"/>
                <w:szCs w:val="20"/>
              </w:rPr>
            </w:pPr>
            <w:r w:rsidRPr="00FA2AB8">
              <w:rPr>
                <w:rFonts w:ascii="Arial Narrow" w:hAnsi="Arial Narrow"/>
                <w:b/>
                <w:bCs/>
                <w:sz w:val="20"/>
                <w:szCs w:val="20"/>
              </w:rPr>
              <w:t>-0.17 (-0.32, -0.02)</w:t>
            </w:r>
          </w:p>
        </w:tc>
      </w:tr>
    </w:tbl>
    <w:p w14:paraId="6A542D6D" w14:textId="1614DC9A" w:rsidR="00546DBD" w:rsidRPr="00FA2AB8" w:rsidRDefault="00546DBD" w:rsidP="00546DBD">
      <w:pPr>
        <w:pStyle w:val="FooterTableFigure"/>
      </w:pPr>
      <w:r w:rsidRPr="00FA2AB8">
        <w:t>Source: Table 4, p14, Table 5 p14, Table 6, p16, and Table 7, p15 of the nemolizumab PSD, July 2025</w:t>
      </w:r>
      <w:r w:rsidR="00763A53" w:rsidRPr="00FA2AB8">
        <w:t xml:space="preserve"> PBAC meeting</w:t>
      </w:r>
      <w:r w:rsidRPr="00FA2AB8">
        <w:t>.</w:t>
      </w:r>
    </w:p>
    <w:p w14:paraId="3A5F9972" w14:textId="77777777" w:rsidR="00546DBD" w:rsidRPr="00FA2AB8" w:rsidRDefault="00546DBD" w:rsidP="00546DBD">
      <w:pPr>
        <w:pStyle w:val="FooterTableFigure"/>
        <w:rPr>
          <w:szCs w:val="18"/>
        </w:rPr>
      </w:pPr>
      <w:r w:rsidRPr="00FA2AB8">
        <w:rPr>
          <w:szCs w:val="18"/>
        </w:rPr>
        <w:t>CI = confidence interval; DLQI = Dermatology Life Quality Index; DUPI = dupilumab; EASI-50 = proportion of patients with ≥ 50% improvement in Eczema Area and Severity Index from baseline; EASI-75 = proportion of patients with ≥ 75% improvement in Eczema Area and Severity Index from baseline; IGA = Investigator’s Global Assessment; ITC = indirect treatment comparison; ITT = intention-to-treat; NEMO = nemolizumab; Q2W = every 2 weeks; Q4W = every 4 weeks.</w:t>
      </w:r>
    </w:p>
    <w:p w14:paraId="570FC7F7" w14:textId="74E138A1" w:rsidR="007B0A06" w:rsidRPr="00FA2AB8" w:rsidRDefault="00546DBD" w:rsidP="00546DBD">
      <w:pPr>
        <w:pStyle w:val="FooterTableFigure"/>
        <w:rPr>
          <w:szCs w:val="18"/>
        </w:rPr>
      </w:pPr>
      <w:r w:rsidRPr="00FA2AB8">
        <w:rPr>
          <w:b/>
          <w:bCs/>
          <w:szCs w:val="18"/>
        </w:rPr>
        <w:t>Bold</w:t>
      </w:r>
      <w:r w:rsidRPr="00FA2AB8">
        <w:rPr>
          <w:szCs w:val="18"/>
        </w:rPr>
        <w:t xml:space="preserve"> = statistically significant</w:t>
      </w:r>
    </w:p>
    <w:p w14:paraId="769141FD" w14:textId="77777777" w:rsidR="00546DBD" w:rsidRPr="00FA2AB8" w:rsidRDefault="00546DBD" w:rsidP="00546DBD">
      <w:pPr>
        <w:pStyle w:val="FooterTableFigure"/>
        <w:rPr>
          <w:sz w:val="20"/>
        </w:rPr>
      </w:pPr>
      <w:r w:rsidRPr="00FA2AB8">
        <w:rPr>
          <w:rStyle w:val="CommentReference"/>
          <w:b w:val="0"/>
          <w:bCs/>
          <w:sz w:val="18"/>
          <w:szCs w:val="18"/>
          <w:shd w:val="clear" w:color="auto" w:fill="B8CCE4" w:themeFill="accent1" w:themeFillTint="66"/>
        </w:rPr>
        <w:t>Blue shading</w:t>
      </w:r>
      <w:r w:rsidRPr="00FA2AB8">
        <w:rPr>
          <w:rStyle w:val="CommentReference"/>
          <w:b w:val="0"/>
          <w:bCs/>
          <w:sz w:val="18"/>
          <w:szCs w:val="18"/>
        </w:rPr>
        <w:t xml:space="preserve"> indicates data previously seen by the PBAC.</w:t>
      </w:r>
    </w:p>
    <w:p w14:paraId="5ED6C682" w14:textId="559FE2B3" w:rsidR="00546DBD" w:rsidRPr="00FA2AB8" w:rsidRDefault="00546DBD" w:rsidP="007D4B4B">
      <w:pPr>
        <w:pStyle w:val="3-BodyText"/>
        <w:spacing w:before="160" w:after="160"/>
        <w:rPr>
          <w:rFonts w:eastAsiaTheme="majorEastAsia"/>
        </w:rPr>
      </w:pPr>
      <w:r w:rsidRPr="00FA2AB8">
        <w:t xml:space="preserve">The </w:t>
      </w:r>
      <w:r w:rsidR="00A236F7" w:rsidRPr="00FA2AB8">
        <w:t>re</w:t>
      </w:r>
      <w:r w:rsidRPr="00FA2AB8">
        <w:t>submission presented data from ARCADIA LTE</w:t>
      </w:r>
      <w:r w:rsidR="00F94CA9" w:rsidRPr="00FA2AB8">
        <w:t xml:space="preserve"> from the most recent data cut-off (DCO) of 21 July 2024</w:t>
      </w:r>
      <w:r w:rsidR="00E06B73" w:rsidRPr="00FA2AB8">
        <w:t xml:space="preserve"> (follow-up data</w:t>
      </w:r>
      <w:r w:rsidR="00D04FED" w:rsidRPr="00FA2AB8">
        <w:t xml:space="preserve"> </w:t>
      </w:r>
      <w:r w:rsidR="00F94CA9" w:rsidRPr="00FA2AB8">
        <w:t>available to 104 weeks of treatment</w:t>
      </w:r>
      <w:r w:rsidR="00E06B73" w:rsidRPr="00FA2AB8">
        <w:t>)</w:t>
      </w:r>
      <w:r w:rsidR="00F94CA9" w:rsidRPr="00FA2AB8">
        <w:t xml:space="preserve">. </w:t>
      </w:r>
      <w:r w:rsidRPr="00FA2AB8">
        <w:t xml:space="preserve">The results were presented for IGA success, EASI-75, EASI-50, and ≥4-point improvement in </w:t>
      </w:r>
      <w:r w:rsidRPr="00FA2AB8">
        <w:rPr>
          <w:szCs w:val="18"/>
        </w:rPr>
        <w:t>Dermatology Life Quality Index</w:t>
      </w:r>
      <w:r w:rsidRPr="00FA2AB8">
        <w:t xml:space="preserve"> (DLQI)</w:t>
      </w:r>
      <w:r w:rsidR="009D1706" w:rsidRPr="00FA2AB8">
        <w:rPr>
          <w:rStyle w:val="FootnoteReference"/>
        </w:rPr>
        <w:footnoteReference w:id="13"/>
      </w:r>
      <w:r w:rsidRPr="00FA2AB8">
        <w:t xml:space="preserve"> at the LTE baseline, </w:t>
      </w:r>
      <w:r w:rsidR="00E06B73" w:rsidRPr="00FA2AB8">
        <w:t xml:space="preserve">Week </w:t>
      </w:r>
      <w:r w:rsidRPr="00FA2AB8">
        <w:t xml:space="preserve">56 and </w:t>
      </w:r>
      <w:r w:rsidR="00E06B73" w:rsidRPr="00FA2AB8">
        <w:t xml:space="preserve">Week </w:t>
      </w:r>
      <w:r w:rsidRPr="00FA2AB8">
        <w:t xml:space="preserve">104. The enrolled patients were divided into those with previous NEMO exposure (PNE) and those with no NEMO exposure (NNE). The PNE group contains both patients who were adequate responders at </w:t>
      </w:r>
      <w:r w:rsidR="00E06B73" w:rsidRPr="00FA2AB8">
        <w:t xml:space="preserve">Week </w:t>
      </w:r>
      <w:r w:rsidRPr="00FA2AB8">
        <w:t>16 as well as those who did not have an adequate response.</w:t>
      </w:r>
    </w:p>
    <w:p w14:paraId="708A6468" w14:textId="098B3247" w:rsidR="00546DBD" w:rsidRPr="00FA2AB8" w:rsidRDefault="00546DBD" w:rsidP="007D4B4B">
      <w:pPr>
        <w:pStyle w:val="Caption"/>
      </w:pPr>
      <w:bookmarkStart w:id="40" w:name="_Ref215843304"/>
      <w:r w:rsidRPr="00FA2AB8">
        <w:t xml:space="preserve">Table </w:t>
      </w:r>
      <w:fldSimple w:instr=" SEQ Table \* ARABIC ">
        <w:r w:rsidR="00CB23C7">
          <w:rPr>
            <w:noProof/>
          </w:rPr>
          <w:t>6</w:t>
        </w:r>
      </w:fldSimple>
      <w:bookmarkEnd w:id="40"/>
      <w:r w:rsidRPr="00FA2AB8">
        <w:t>: Key results from the ARCADIA LTE study</w:t>
      </w:r>
      <w:r w:rsidR="005534A8" w:rsidRPr="00FA2AB8">
        <w:t xml:space="preserve"> (21 July 2024 DCO)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Key results from the ARCADIA LTE study (21 July 2024 DCO)"/>
      </w:tblPr>
      <w:tblGrid>
        <w:gridCol w:w="2829"/>
        <w:gridCol w:w="2554"/>
        <w:gridCol w:w="1841"/>
        <w:gridCol w:w="1793"/>
      </w:tblGrid>
      <w:tr w:rsidR="000474A0" w:rsidRPr="00512BD3" w14:paraId="18ADAFAC" w14:textId="1BE52F6D" w:rsidTr="00AF29CF">
        <w:trPr>
          <w:cantSplit/>
          <w:tblHeader/>
        </w:trPr>
        <w:tc>
          <w:tcPr>
            <w:tcW w:w="1569" w:type="pct"/>
            <w:shd w:val="clear" w:color="auto" w:fill="FFFFFF" w:themeFill="background1"/>
            <w:tcMar>
              <w:left w:w="28" w:type="dxa"/>
              <w:right w:w="28" w:type="dxa"/>
            </w:tcMar>
            <w:vAlign w:val="center"/>
          </w:tcPr>
          <w:p w14:paraId="083ADB4D" w14:textId="77777777" w:rsidR="00A56A7E" w:rsidRPr="00D42CDA" w:rsidRDefault="00A56A7E" w:rsidP="008F0977">
            <w:pPr>
              <w:pStyle w:val="In-tableHeading"/>
              <w:rPr>
                <w:i w:val="0"/>
                <w:iCs w:val="0"/>
              </w:rPr>
            </w:pPr>
            <w:r w:rsidRPr="00D42CDA">
              <w:rPr>
                <w:i w:val="0"/>
                <w:iCs w:val="0"/>
              </w:rPr>
              <w:t>Outcome</w:t>
            </w:r>
          </w:p>
        </w:tc>
        <w:tc>
          <w:tcPr>
            <w:tcW w:w="1416" w:type="pct"/>
            <w:shd w:val="clear" w:color="auto" w:fill="FFFFFF" w:themeFill="background1"/>
            <w:tcMar>
              <w:left w:w="28" w:type="dxa"/>
              <w:right w:w="28" w:type="dxa"/>
            </w:tcMar>
            <w:vAlign w:val="center"/>
          </w:tcPr>
          <w:p w14:paraId="54FBD3A4" w14:textId="75D5CD72" w:rsidR="00A56A7E" w:rsidRPr="00D42CDA" w:rsidRDefault="00A56A7E" w:rsidP="00240EB2">
            <w:pPr>
              <w:pStyle w:val="In-tableHeading"/>
              <w:rPr>
                <w:i w:val="0"/>
                <w:iCs w:val="0"/>
              </w:rPr>
            </w:pPr>
            <w:r w:rsidRPr="00D42CDA">
              <w:rPr>
                <w:i w:val="0"/>
                <w:iCs w:val="0"/>
              </w:rPr>
              <w:t>Proportion of patients with response at LTE baseline</w:t>
            </w:r>
            <w:r w:rsidR="00B1615A" w:rsidRPr="00D42CDA">
              <w:rPr>
                <w:i w:val="0"/>
                <w:iCs w:val="0"/>
              </w:rPr>
              <w:t xml:space="preserve"> </w:t>
            </w:r>
            <w:r w:rsidR="000474A0" w:rsidRPr="00D42CDA">
              <w:rPr>
                <w:i w:val="0"/>
                <w:iCs w:val="0"/>
              </w:rPr>
              <w:br/>
            </w:r>
            <w:r w:rsidR="00B1615A" w:rsidRPr="00D42CDA">
              <w:rPr>
                <w:i w:val="0"/>
                <w:iCs w:val="0"/>
              </w:rPr>
              <w:t>(end of ARCADIA initial study)</w:t>
            </w:r>
          </w:p>
        </w:tc>
        <w:tc>
          <w:tcPr>
            <w:tcW w:w="1021" w:type="pct"/>
            <w:shd w:val="clear" w:color="auto" w:fill="FFFFFF" w:themeFill="background1"/>
            <w:tcMar>
              <w:left w:w="28" w:type="dxa"/>
              <w:right w:w="28" w:type="dxa"/>
            </w:tcMar>
            <w:vAlign w:val="center"/>
          </w:tcPr>
          <w:p w14:paraId="5BF31D08" w14:textId="07D4919A" w:rsidR="00A56A7E" w:rsidRPr="00D42CDA" w:rsidRDefault="00A56A7E" w:rsidP="00240EB2">
            <w:pPr>
              <w:pStyle w:val="In-tableHeading"/>
              <w:rPr>
                <w:i w:val="0"/>
                <w:iCs w:val="0"/>
              </w:rPr>
            </w:pPr>
            <w:r w:rsidRPr="00D42CDA">
              <w:rPr>
                <w:i w:val="0"/>
                <w:iCs w:val="0"/>
              </w:rPr>
              <w:t xml:space="preserve">Proportion of patients with response at </w:t>
            </w:r>
            <w:r w:rsidR="000474A0" w:rsidRPr="00D42CDA">
              <w:rPr>
                <w:i w:val="0"/>
                <w:iCs w:val="0"/>
              </w:rPr>
              <w:br/>
            </w:r>
            <w:r w:rsidRPr="00D42CDA">
              <w:rPr>
                <w:i w:val="0"/>
                <w:iCs w:val="0"/>
              </w:rPr>
              <w:t>Week 104</w:t>
            </w:r>
          </w:p>
        </w:tc>
        <w:tc>
          <w:tcPr>
            <w:tcW w:w="994" w:type="pct"/>
            <w:tcMar>
              <w:left w:w="28" w:type="dxa"/>
              <w:right w:w="28" w:type="dxa"/>
            </w:tcMar>
          </w:tcPr>
          <w:p w14:paraId="42593C25" w14:textId="2701D31E" w:rsidR="00A56A7E" w:rsidRPr="00D42CDA" w:rsidRDefault="00A56A7E" w:rsidP="00240EB2">
            <w:pPr>
              <w:pStyle w:val="In-tableHeading"/>
              <w:rPr>
                <w:i w:val="0"/>
                <w:iCs w:val="0"/>
              </w:rPr>
            </w:pPr>
            <w:r w:rsidRPr="00D42CDA">
              <w:rPr>
                <w:i w:val="0"/>
                <w:iCs w:val="0"/>
              </w:rPr>
              <w:t>Difference in proportions from baseline to Week 104</w:t>
            </w:r>
          </w:p>
        </w:tc>
      </w:tr>
      <w:tr w:rsidR="000474A0" w:rsidRPr="00FA2AB8" w14:paraId="120E7E4F" w14:textId="74651F38" w:rsidTr="00AF29CF">
        <w:trPr>
          <w:cantSplit/>
        </w:trPr>
        <w:tc>
          <w:tcPr>
            <w:tcW w:w="1569" w:type="pct"/>
            <w:shd w:val="clear" w:color="auto" w:fill="FFFFFF" w:themeFill="background1"/>
            <w:tcMar>
              <w:left w:w="28" w:type="dxa"/>
              <w:right w:w="28" w:type="dxa"/>
            </w:tcMar>
            <w:vAlign w:val="center"/>
          </w:tcPr>
          <w:p w14:paraId="5A39254F" w14:textId="6FF92EE5" w:rsidR="00A56A7E" w:rsidRPr="00FA2AB8" w:rsidRDefault="00A56A7E">
            <w:pPr>
              <w:pStyle w:val="TableText0"/>
              <w:rPr>
                <w:vertAlign w:val="superscript"/>
              </w:rPr>
            </w:pPr>
            <w:r w:rsidRPr="00FA2AB8">
              <w:t>IGA success (PNE)</w:t>
            </w:r>
            <w:r w:rsidR="00B94D80" w:rsidRPr="00FA2AB8">
              <w:rPr>
                <w:vertAlign w:val="superscript"/>
              </w:rPr>
              <w:t>1</w:t>
            </w:r>
          </w:p>
        </w:tc>
        <w:tc>
          <w:tcPr>
            <w:tcW w:w="1416" w:type="pct"/>
            <w:shd w:val="clear" w:color="auto" w:fill="FFFFFF" w:themeFill="background1"/>
            <w:tcMar>
              <w:left w:w="28" w:type="dxa"/>
              <w:right w:w="28" w:type="dxa"/>
            </w:tcMar>
          </w:tcPr>
          <w:p w14:paraId="5D594102" w14:textId="77777777" w:rsidR="00A56A7E" w:rsidRPr="00FA2AB8" w:rsidRDefault="00A56A7E">
            <w:pPr>
              <w:pStyle w:val="TableText0"/>
              <w:jc w:val="center"/>
            </w:pPr>
            <w:r w:rsidRPr="00FA2AB8">
              <w:t>27.1%</w:t>
            </w:r>
          </w:p>
        </w:tc>
        <w:tc>
          <w:tcPr>
            <w:tcW w:w="1021" w:type="pct"/>
            <w:shd w:val="clear" w:color="auto" w:fill="FFFFFF" w:themeFill="background1"/>
            <w:tcMar>
              <w:left w:w="28" w:type="dxa"/>
              <w:right w:w="28" w:type="dxa"/>
            </w:tcMar>
          </w:tcPr>
          <w:p w14:paraId="441FC67D" w14:textId="77777777" w:rsidR="00A56A7E" w:rsidRPr="00FA2AB8" w:rsidRDefault="00A56A7E">
            <w:pPr>
              <w:pStyle w:val="TableText0"/>
              <w:jc w:val="center"/>
            </w:pPr>
            <w:r w:rsidRPr="00FA2AB8">
              <w:t>62.6%</w:t>
            </w:r>
          </w:p>
        </w:tc>
        <w:tc>
          <w:tcPr>
            <w:tcW w:w="994" w:type="pct"/>
            <w:tcMar>
              <w:left w:w="28" w:type="dxa"/>
              <w:right w:w="28" w:type="dxa"/>
            </w:tcMar>
          </w:tcPr>
          <w:p w14:paraId="666BA7FE" w14:textId="5F0A18BB" w:rsidR="00A56A7E" w:rsidRPr="00FA2AB8" w:rsidRDefault="00A56A7E">
            <w:pPr>
              <w:pStyle w:val="TableText0"/>
              <w:jc w:val="center"/>
            </w:pPr>
            <w:r w:rsidRPr="00FA2AB8">
              <w:t>35.5%</w:t>
            </w:r>
          </w:p>
        </w:tc>
      </w:tr>
      <w:tr w:rsidR="000474A0" w:rsidRPr="00FA2AB8" w14:paraId="0784AFBF" w14:textId="4B18B6D4" w:rsidTr="00AF29CF">
        <w:trPr>
          <w:cantSplit/>
        </w:trPr>
        <w:tc>
          <w:tcPr>
            <w:tcW w:w="1569" w:type="pct"/>
            <w:shd w:val="clear" w:color="auto" w:fill="FFFFFF" w:themeFill="background1"/>
            <w:tcMar>
              <w:left w:w="28" w:type="dxa"/>
              <w:right w:w="28" w:type="dxa"/>
            </w:tcMar>
            <w:vAlign w:val="center"/>
          </w:tcPr>
          <w:p w14:paraId="51104875" w14:textId="61E22788" w:rsidR="00A56A7E" w:rsidRPr="00FA2AB8" w:rsidRDefault="00A56A7E">
            <w:pPr>
              <w:pStyle w:val="TableText0"/>
              <w:rPr>
                <w:vertAlign w:val="superscript"/>
              </w:rPr>
            </w:pPr>
            <w:r w:rsidRPr="00FA2AB8">
              <w:t>IGA success (NNE)</w:t>
            </w:r>
            <w:r w:rsidR="00B94D80" w:rsidRPr="00FA2AB8">
              <w:rPr>
                <w:vertAlign w:val="superscript"/>
              </w:rPr>
              <w:t>2</w:t>
            </w:r>
          </w:p>
        </w:tc>
        <w:tc>
          <w:tcPr>
            <w:tcW w:w="1416" w:type="pct"/>
            <w:shd w:val="clear" w:color="auto" w:fill="FFFFFF" w:themeFill="background1"/>
            <w:tcMar>
              <w:left w:w="28" w:type="dxa"/>
              <w:right w:w="28" w:type="dxa"/>
            </w:tcMar>
          </w:tcPr>
          <w:p w14:paraId="78B88D56" w14:textId="77777777" w:rsidR="00A56A7E" w:rsidRPr="00FA2AB8" w:rsidRDefault="00A56A7E">
            <w:pPr>
              <w:pStyle w:val="TableText0"/>
              <w:jc w:val="center"/>
              <w:rPr>
                <w:b/>
                <w:szCs w:val="20"/>
              </w:rPr>
            </w:pPr>
            <w:r w:rsidRPr="00FA2AB8">
              <w:t>17.1%</w:t>
            </w:r>
          </w:p>
        </w:tc>
        <w:tc>
          <w:tcPr>
            <w:tcW w:w="1021" w:type="pct"/>
            <w:shd w:val="clear" w:color="auto" w:fill="FFFFFF" w:themeFill="background1"/>
            <w:tcMar>
              <w:left w:w="28" w:type="dxa"/>
              <w:right w:w="28" w:type="dxa"/>
            </w:tcMar>
          </w:tcPr>
          <w:p w14:paraId="5B131E77" w14:textId="77777777" w:rsidR="00A56A7E" w:rsidRPr="00FA2AB8" w:rsidRDefault="00A56A7E">
            <w:pPr>
              <w:pStyle w:val="TableText0"/>
              <w:jc w:val="center"/>
              <w:rPr>
                <w:b/>
                <w:szCs w:val="20"/>
              </w:rPr>
            </w:pPr>
            <w:r w:rsidRPr="00FA2AB8">
              <w:t>58.2%</w:t>
            </w:r>
          </w:p>
        </w:tc>
        <w:tc>
          <w:tcPr>
            <w:tcW w:w="994" w:type="pct"/>
            <w:tcMar>
              <w:left w:w="28" w:type="dxa"/>
              <w:right w:w="28" w:type="dxa"/>
            </w:tcMar>
          </w:tcPr>
          <w:p w14:paraId="0E2AD104" w14:textId="35E45A0B" w:rsidR="00A56A7E" w:rsidRPr="00FA2AB8" w:rsidRDefault="00A56A7E">
            <w:pPr>
              <w:pStyle w:val="TableText0"/>
              <w:jc w:val="center"/>
            </w:pPr>
            <w:r w:rsidRPr="00FA2AB8">
              <w:t>41.1%</w:t>
            </w:r>
          </w:p>
        </w:tc>
      </w:tr>
      <w:tr w:rsidR="000474A0" w:rsidRPr="00FA2AB8" w14:paraId="2E77BFC2" w14:textId="1BA12C72" w:rsidTr="00AF29CF">
        <w:trPr>
          <w:cantSplit/>
        </w:trPr>
        <w:tc>
          <w:tcPr>
            <w:tcW w:w="1569" w:type="pct"/>
            <w:shd w:val="clear" w:color="auto" w:fill="FFFFFF" w:themeFill="background1"/>
            <w:tcMar>
              <w:left w:w="28" w:type="dxa"/>
              <w:right w:w="28" w:type="dxa"/>
            </w:tcMar>
            <w:vAlign w:val="center"/>
          </w:tcPr>
          <w:p w14:paraId="0856F72D" w14:textId="3C1386B1" w:rsidR="00A56A7E" w:rsidRPr="00FA2AB8" w:rsidRDefault="00A56A7E">
            <w:pPr>
              <w:pStyle w:val="TableText0"/>
            </w:pPr>
            <w:r w:rsidRPr="00FA2AB8">
              <w:t>EASI-75 (PNE)</w:t>
            </w:r>
            <w:r w:rsidR="00B94D80" w:rsidRPr="00FA2AB8">
              <w:rPr>
                <w:vertAlign w:val="superscript"/>
              </w:rPr>
              <w:t>1</w:t>
            </w:r>
          </w:p>
        </w:tc>
        <w:tc>
          <w:tcPr>
            <w:tcW w:w="1416" w:type="pct"/>
            <w:shd w:val="clear" w:color="auto" w:fill="FFFFFF" w:themeFill="background1"/>
            <w:tcMar>
              <w:left w:w="28" w:type="dxa"/>
              <w:right w:w="28" w:type="dxa"/>
            </w:tcMar>
          </w:tcPr>
          <w:p w14:paraId="0B552316" w14:textId="77777777" w:rsidR="00A56A7E" w:rsidRPr="00FA2AB8" w:rsidRDefault="00A56A7E">
            <w:pPr>
              <w:pStyle w:val="TableText0"/>
              <w:jc w:val="center"/>
            </w:pPr>
            <w:r w:rsidRPr="00FA2AB8">
              <w:t>38.8%</w:t>
            </w:r>
          </w:p>
        </w:tc>
        <w:tc>
          <w:tcPr>
            <w:tcW w:w="1021" w:type="pct"/>
            <w:shd w:val="clear" w:color="auto" w:fill="FFFFFF" w:themeFill="background1"/>
            <w:tcMar>
              <w:left w:w="28" w:type="dxa"/>
              <w:right w:w="28" w:type="dxa"/>
            </w:tcMar>
          </w:tcPr>
          <w:p w14:paraId="5C2FBD23" w14:textId="77777777" w:rsidR="00A56A7E" w:rsidRPr="00FA2AB8" w:rsidRDefault="00A56A7E">
            <w:pPr>
              <w:pStyle w:val="TableText0"/>
              <w:jc w:val="center"/>
            </w:pPr>
            <w:r w:rsidRPr="00FA2AB8">
              <w:t>88.2%</w:t>
            </w:r>
          </w:p>
        </w:tc>
        <w:tc>
          <w:tcPr>
            <w:tcW w:w="994" w:type="pct"/>
            <w:tcMar>
              <w:left w:w="28" w:type="dxa"/>
              <w:right w:w="28" w:type="dxa"/>
            </w:tcMar>
          </w:tcPr>
          <w:p w14:paraId="1132C86A" w14:textId="01A91262" w:rsidR="00A56A7E" w:rsidRPr="00FA2AB8" w:rsidRDefault="00A56A7E">
            <w:pPr>
              <w:pStyle w:val="TableText0"/>
              <w:jc w:val="center"/>
            </w:pPr>
            <w:r w:rsidRPr="00FA2AB8">
              <w:t>49.4%</w:t>
            </w:r>
          </w:p>
        </w:tc>
      </w:tr>
      <w:tr w:rsidR="000474A0" w:rsidRPr="00FA2AB8" w14:paraId="68A544C5" w14:textId="643F4A6B" w:rsidTr="00AF29CF">
        <w:trPr>
          <w:cantSplit/>
        </w:trPr>
        <w:tc>
          <w:tcPr>
            <w:tcW w:w="1569" w:type="pct"/>
            <w:shd w:val="clear" w:color="auto" w:fill="FFFFFF" w:themeFill="background1"/>
            <w:tcMar>
              <w:left w:w="28" w:type="dxa"/>
              <w:right w:w="28" w:type="dxa"/>
            </w:tcMar>
            <w:vAlign w:val="center"/>
          </w:tcPr>
          <w:p w14:paraId="4304395D" w14:textId="651E5DCE" w:rsidR="00A56A7E" w:rsidRPr="00FA2AB8" w:rsidRDefault="00A56A7E">
            <w:pPr>
              <w:pStyle w:val="TableText0"/>
            </w:pPr>
            <w:r w:rsidRPr="00FA2AB8">
              <w:t>EASI-75 (NNE)</w:t>
            </w:r>
            <w:r w:rsidR="00B94D80" w:rsidRPr="00FA2AB8">
              <w:rPr>
                <w:vertAlign w:val="superscript"/>
              </w:rPr>
              <w:t>2</w:t>
            </w:r>
          </w:p>
        </w:tc>
        <w:tc>
          <w:tcPr>
            <w:tcW w:w="1416" w:type="pct"/>
            <w:shd w:val="clear" w:color="auto" w:fill="FFFFFF" w:themeFill="background1"/>
            <w:tcMar>
              <w:left w:w="28" w:type="dxa"/>
              <w:right w:w="28" w:type="dxa"/>
            </w:tcMar>
          </w:tcPr>
          <w:p w14:paraId="14196DFE" w14:textId="77777777" w:rsidR="00A56A7E" w:rsidRPr="00FA2AB8" w:rsidRDefault="00A56A7E">
            <w:pPr>
              <w:pStyle w:val="TableText0"/>
              <w:jc w:val="center"/>
              <w:rPr>
                <w:b/>
                <w:szCs w:val="20"/>
              </w:rPr>
            </w:pPr>
            <w:r w:rsidRPr="00FA2AB8">
              <w:t>25.8%</w:t>
            </w:r>
          </w:p>
        </w:tc>
        <w:tc>
          <w:tcPr>
            <w:tcW w:w="1021" w:type="pct"/>
            <w:shd w:val="clear" w:color="auto" w:fill="FFFFFF" w:themeFill="background1"/>
            <w:tcMar>
              <w:left w:w="28" w:type="dxa"/>
              <w:right w:w="28" w:type="dxa"/>
            </w:tcMar>
          </w:tcPr>
          <w:p w14:paraId="2E9D6E82" w14:textId="77777777" w:rsidR="00A56A7E" w:rsidRPr="00FA2AB8" w:rsidRDefault="00A56A7E">
            <w:pPr>
              <w:pStyle w:val="TableText0"/>
              <w:jc w:val="center"/>
              <w:rPr>
                <w:b/>
                <w:szCs w:val="20"/>
              </w:rPr>
            </w:pPr>
            <w:r w:rsidRPr="00FA2AB8">
              <w:t>85.4%</w:t>
            </w:r>
          </w:p>
        </w:tc>
        <w:tc>
          <w:tcPr>
            <w:tcW w:w="994" w:type="pct"/>
            <w:tcMar>
              <w:left w:w="28" w:type="dxa"/>
              <w:right w:w="28" w:type="dxa"/>
            </w:tcMar>
          </w:tcPr>
          <w:p w14:paraId="6B16E8C0" w14:textId="5632FA09" w:rsidR="00A56A7E" w:rsidRPr="00FA2AB8" w:rsidRDefault="00A56A7E">
            <w:pPr>
              <w:pStyle w:val="TableText0"/>
              <w:jc w:val="center"/>
            </w:pPr>
            <w:r w:rsidRPr="00FA2AB8">
              <w:t>59.6%</w:t>
            </w:r>
          </w:p>
        </w:tc>
      </w:tr>
      <w:tr w:rsidR="000474A0" w:rsidRPr="00FA2AB8" w14:paraId="6653C394" w14:textId="68EBED95" w:rsidTr="00AF29CF">
        <w:trPr>
          <w:cantSplit/>
        </w:trPr>
        <w:tc>
          <w:tcPr>
            <w:tcW w:w="1569" w:type="pct"/>
            <w:shd w:val="clear" w:color="auto" w:fill="FFFFFF" w:themeFill="background1"/>
            <w:tcMar>
              <w:left w:w="28" w:type="dxa"/>
              <w:right w:w="28" w:type="dxa"/>
            </w:tcMar>
            <w:vAlign w:val="center"/>
          </w:tcPr>
          <w:p w14:paraId="274C27B6" w14:textId="5422F88F" w:rsidR="00A56A7E" w:rsidRPr="00FA2AB8" w:rsidRDefault="00A56A7E">
            <w:pPr>
              <w:pStyle w:val="TableText0"/>
            </w:pPr>
            <w:r w:rsidRPr="00FA2AB8">
              <w:t>EASI-50 (PNE)</w:t>
            </w:r>
            <w:r w:rsidR="00B94D80" w:rsidRPr="00FA2AB8">
              <w:rPr>
                <w:vertAlign w:val="superscript"/>
              </w:rPr>
              <w:t>1</w:t>
            </w:r>
          </w:p>
        </w:tc>
        <w:tc>
          <w:tcPr>
            <w:tcW w:w="1416" w:type="pct"/>
            <w:shd w:val="clear" w:color="auto" w:fill="FFFFFF" w:themeFill="background1"/>
            <w:tcMar>
              <w:left w:w="28" w:type="dxa"/>
              <w:right w:w="28" w:type="dxa"/>
            </w:tcMar>
          </w:tcPr>
          <w:p w14:paraId="2F9C4B68" w14:textId="77777777" w:rsidR="00A56A7E" w:rsidRPr="00FA2AB8" w:rsidRDefault="00A56A7E">
            <w:pPr>
              <w:jc w:val="center"/>
              <w:rPr>
                <w:rFonts w:ascii="Arial Narrow" w:hAnsi="Arial Narrow"/>
                <w:sz w:val="20"/>
                <w:szCs w:val="20"/>
              </w:rPr>
            </w:pPr>
            <w:r w:rsidRPr="00FA2AB8">
              <w:rPr>
                <w:rFonts w:ascii="Arial Narrow" w:hAnsi="Arial Narrow"/>
                <w:sz w:val="20"/>
                <w:szCs w:val="20"/>
              </w:rPr>
              <w:t>62.9%</w:t>
            </w:r>
          </w:p>
        </w:tc>
        <w:tc>
          <w:tcPr>
            <w:tcW w:w="1021" w:type="pct"/>
            <w:shd w:val="clear" w:color="auto" w:fill="FFFFFF" w:themeFill="background1"/>
            <w:tcMar>
              <w:left w:w="28" w:type="dxa"/>
              <w:right w:w="28" w:type="dxa"/>
            </w:tcMar>
          </w:tcPr>
          <w:p w14:paraId="1A05A9E7" w14:textId="77777777" w:rsidR="00A56A7E" w:rsidRPr="00FA2AB8" w:rsidRDefault="00A56A7E">
            <w:pPr>
              <w:jc w:val="center"/>
              <w:rPr>
                <w:rFonts w:ascii="Arial Narrow" w:hAnsi="Arial Narrow"/>
                <w:sz w:val="20"/>
                <w:szCs w:val="20"/>
              </w:rPr>
            </w:pPr>
            <w:r w:rsidRPr="00FA2AB8">
              <w:rPr>
                <w:rFonts w:ascii="Arial Narrow" w:hAnsi="Arial Narrow"/>
                <w:sz w:val="20"/>
                <w:szCs w:val="20"/>
              </w:rPr>
              <w:t>96.3%</w:t>
            </w:r>
          </w:p>
        </w:tc>
        <w:tc>
          <w:tcPr>
            <w:tcW w:w="994" w:type="pct"/>
            <w:tcMar>
              <w:left w:w="28" w:type="dxa"/>
              <w:right w:w="28" w:type="dxa"/>
            </w:tcMar>
          </w:tcPr>
          <w:p w14:paraId="3E065342" w14:textId="42639B47" w:rsidR="00A56A7E" w:rsidRPr="00FA2AB8" w:rsidRDefault="00A56A7E">
            <w:pPr>
              <w:jc w:val="center"/>
              <w:rPr>
                <w:rFonts w:ascii="Arial Narrow" w:hAnsi="Arial Narrow"/>
                <w:sz w:val="20"/>
                <w:szCs w:val="20"/>
              </w:rPr>
            </w:pPr>
            <w:r w:rsidRPr="00FA2AB8">
              <w:rPr>
                <w:rFonts w:ascii="Arial Narrow" w:hAnsi="Arial Narrow"/>
                <w:sz w:val="20"/>
                <w:szCs w:val="20"/>
              </w:rPr>
              <w:t>33.4%</w:t>
            </w:r>
          </w:p>
        </w:tc>
      </w:tr>
      <w:tr w:rsidR="000474A0" w:rsidRPr="00FA2AB8" w14:paraId="5EC2EB19" w14:textId="13B4D48F" w:rsidTr="00AF29CF">
        <w:trPr>
          <w:cantSplit/>
        </w:trPr>
        <w:tc>
          <w:tcPr>
            <w:tcW w:w="1569" w:type="pct"/>
            <w:shd w:val="clear" w:color="auto" w:fill="FFFFFF" w:themeFill="background1"/>
            <w:tcMar>
              <w:left w:w="28" w:type="dxa"/>
              <w:right w:w="28" w:type="dxa"/>
            </w:tcMar>
            <w:vAlign w:val="center"/>
          </w:tcPr>
          <w:p w14:paraId="3682FB9A" w14:textId="43DBDF9D" w:rsidR="00A56A7E" w:rsidRPr="00FA2AB8" w:rsidRDefault="00A56A7E">
            <w:pPr>
              <w:pStyle w:val="TableText0"/>
            </w:pPr>
            <w:r w:rsidRPr="00FA2AB8">
              <w:t>EASI-50 (NNE)</w:t>
            </w:r>
            <w:r w:rsidR="00B94D80" w:rsidRPr="00FA2AB8">
              <w:rPr>
                <w:vertAlign w:val="superscript"/>
              </w:rPr>
              <w:t>2</w:t>
            </w:r>
          </w:p>
        </w:tc>
        <w:tc>
          <w:tcPr>
            <w:tcW w:w="1416" w:type="pct"/>
            <w:shd w:val="clear" w:color="auto" w:fill="FFFFFF" w:themeFill="background1"/>
            <w:tcMar>
              <w:left w:w="28" w:type="dxa"/>
              <w:right w:w="28" w:type="dxa"/>
            </w:tcMar>
          </w:tcPr>
          <w:p w14:paraId="59FB1FEE" w14:textId="7C91587C" w:rsidR="00A56A7E" w:rsidRPr="00FA2AB8" w:rsidRDefault="00C1439D">
            <w:pPr>
              <w:jc w:val="center"/>
              <w:rPr>
                <w:rFonts w:ascii="Arial Narrow" w:hAnsi="Arial Narrow"/>
                <w:sz w:val="20"/>
                <w:szCs w:val="20"/>
              </w:rPr>
            </w:pPr>
            <w:r w:rsidRPr="00FA2AB8">
              <w:rPr>
                <w:rFonts w:ascii="Arial Narrow" w:hAnsi="Arial Narrow"/>
                <w:sz w:val="20"/>
                <w:szCs w:val="20"/>
              </w:rPr>
              <w:t>50.9</w:t>
            </w:r>
            <w:r w:rsidR="00A56A7E" w:rsidRPr="00FA2AB8">
              <w:rPr>
                <w:rFonts w:ascii="Arial Narrow" w:hAnsi="Arial Narrow"/>
                <w:sz w:val="20"/>
                <w:szCs w:val="20"/>
              </w:rPr>
              <w:t>%</w:t>
            </w:r>
          </w:p>
        </w:tc>
        <w:tc>
          <w:tcPr>
            <w:tcW w:w="1021" w:type="pct"/>
            <w:shd w:val="clear" w:color="auto" w:fill="FFFFFF" w:themeFill="background1"/>
            <w:tcMar>
              <w:left w:w="28" w:type="dxa"/>
              <w:right w:w="28" w:type="dxa"/>
            </w:tcMar>
          </w:tcPr>
          <w:p w14:paraId="1204D743" w14:textId="77777777" w:rsidR="00A56A7E" w:rsidRPr="00FA2AB8" w:rsidRDefault="00A56A7E">
            <w:pPr>
              <w:jc w:val="center"/>
              <w:rPr>
                <w:rFonts w:ascii="Arial Narrow" w:hAnsi="Arial Narrow"/>
                <w:sz w:val="20"/>
                <w:szCs w:val="20"/>
              </w:rPr>
            </w:pPr>
            <w:r w:rsidRPr="00FA2AB8">
              <w:rPr>
                <w:rFonts w:ascii="Arial Narrow" w:hAnsi="Arial Narrow"/>
                <w:sz w:val="20"/>
                <w:szCs w:val="20"/>
              </w:rPr>
              <w:t>97.3%</w:t>
            </w:r>
          </w:p>
        </w:tc>
        <w:tc>
          <w:tcPr>
            <w:tcW w:w="994" w:type="pct"/>
            <w:tcMar>
              <w:left w:w="28" w:type="dxa"/>
              <w:right w:w="28" w:type="dxa"/>
            </w:tcMar>
          </w:tcPr>
          <w:p w14:paraId="1B4B33AA" w14:textId="4CA9CE96" w:rsidR="00A56A7E" w:rsidRPr="00FA2AB8" w:rsidRDefault="00C1439D">
            <w:pPr>
              <w:jc w:val="center"/>
              <w:rPr>
                <w:rFonts w:ascii="Arial Narrow" w:hAnsi="Arial Narrow"/>
                <w:sz w:val="20"/>
                <w:szCs w:val="20"/>
              </w:rPr>
            </w:pPr>
            <w:r w:rsidRPr="00FA2AB8">
              <w:rPr>
                <w:rFonts w:ascii="Arial Narrow" w:hAnsi="Arial Narrow"/>
                <w:sz w:val="20"/>
                <w:szCs w:val="20"/>
              </w:rPr>
              <w:t>46.4</w:t>
            </w:r>
            <w:r w:rsidR="00A56A7E" w:rsidRPr="00FA2AB8">
              <w:rPr>
                <w:rFonts w:ascii="Arial Narrow" w:hAnsi="Arial Narrow"/>
                <w:sz w:val="20"/>
                <w:szCs w:val="20"/>
              </w:rPr>
              <w:t>%</w:t>
            </w:r>
          </w:p>
        </w:tc>
      </w:tr>
      <w:tr w:rsidR="000474A0" w:rsidRPr="00FA2AB8" w14:paraId="4E938E3B" w14:textId="2F09BFB3" w:rsidTr="00AF29CF">
        <w:trPr>
          <w:cantSplit/>
        </w:trPr>
        <w:tc>
          <w:tcPr>
            <w:tcW w:w="1569" w:type="pct"/>
            <w:shd w:val="clear" w:color="auto" w:fill="FFFFFF" w:themeFill="background1"/>
            <w:tcMar>
              <w:left w:w="28" w:type="dxa"/>
              <w:right w:w="28" w:type="dxa"/>
            </w:tcMar>
            <w:vAlign w:val="center"/>
          </w:tcPr>
          <w:p w14:paraId="76C1FC0A" w14:textId="5CA671FF" w:rsidR="00A56A7E" w:rsidRPr="00FA2AB8" w:rsidRDefault="00A56A7E">
            <w:pPr>
              <w:pStyle w:val="TableText0"/>
            </w:pPr>
            <w:r w:rsidRPr="00FA2AB8">
              <w:t>≥4-point improvement in DLQI (PNE)</w:t>
            </w:r>
            <w:r w:rsidR="00B94D80" w:rsidRPr="00FA2AB8">
              <w:rPr>
                <w:vertAlign w:val="superscript"/>
              </w:rPr>
              <w:t>1</w:t>
            </w:r>
          </w:p>
        </w:tc>
        <w:tc>
          <w:tcPr>
            <w:tcW w:w="1416" w:type="pct"/>
            <w:shd w:val="clear" w:color="auto" w:fill="FFFFFF" w:themeFill="background1"/>
            <w:tcMar>
              <w:left w:w="28" w:type="dxa"/>
              <w:right w:w="28" w:type="dxa"/>
            </w:tcMar>
          </w:tcPr>
          <w:p w14:paraId="0AEF034C" w14:textId="77777777" w:rsidR="00A56A7E" w:rsidRPr="00FA2AB8" w:rsidRDefault="00A56A7E">
            <w:pPr>
              <w:jc w:val="center"/>
              <w:rPr>
                <w:rFonts w:ascii="Arial Narrow" w:hAnsi="Arial Narrow"/>
                <w:sz w:val="20"/>
                <w:szCs w:val="20"/>
              </w:rPr>
            </w:pPr>
            <w:r w:rsidRPr="00FA2AB8">
              <w:rPr>
                <w:rFonts w:ascii="Arial Narrow" w:hAnsi="Arial Narrow"/>
                <w:sz w:val="20"/>
                <w:szCs w:val="20"/>
              </w:rPr>
              <w:t>76.3%</w:t>
            </w:r>
          </w:p>
        </w:tc>
        <w:tc>
          <w:tcPr>
            <w:tcW w:w="1021" w:type="pct"/>
            <w:shd w:val="clear" w:color="auto" w:fill="FFFFFF" w:themeFill="background1"/>
            <w:tcMar>
              <w:left w:w="28" w:type="dxa"/>
              <w:right w:w="28" w:type="dxa"/>
            </w:tcMar>
          </w:tcPr>
          <w:p w14:paraId="0E5E313C" w14:textId="77777777" w:rsidR="00A56A7E" w:rsidRPr="00FA2AB8" w:rsidRDefault="00A56A7E">
            <w:pPr>
              <w:jc w:val="center"/>
              <w:rPr>
                <w:rFonts w:ascii="Arial Narrow" w:hAnsi="Arial Narrow"/>
                <w:sz w:val="20"/>
                <w:szCs w:val="20"/>
              </w:rPr>
            </w:pPr>
            <w:r w:rsidRPr="00FA2AB8">
              <w:rPr>
                <w:rFonts w:ascii="Arial Narrow" w:hAnsi="Arial Narrow"/>
                <w:sz w:val="20"/>
                <w:szCs w:val="20"/>
              </w:rPr>
              <w:t>92.2%</w:t>
            </w:r>
          </w:p>
        </w:tc>
        <w:tc>
          <w:tcPr>
            <w:tcW w:w="994" w:type="pct"/>
            <w:tcMar>
              <w:left w:w="28" w:type="dxa"/>
              <w:right w:w="28" w:type="dxa"/>
            </w:tcMar>
          </w:tcPr>
          <w:p w14:paraId="240BFFAF" w14:textId="726A314C" w:rsidR="00A56A7E" w:rsidRPr="00FA2AB8" w:rsidRDefault="00A56A7E">
            <w:pPr>
              <w:jc w:val="center"/>
              <w:rPr>
                <w:rFonts w:ascii="Arial Narrow" w:hAnsi="Arial Narrow"/>
                <w:sz w:val="20"/>
                <w:szCs w:val="20"/>
              </w:rPr>
            </w:pPr>
            <w:r w:rsidRPr="00FA2AB8">
              <w:rPr>
                <w:rFonts w:ascii="Arial Narrow" w:hAnsi="Arial Narrow"/>
                <w:sz w:val="20"/>
                <w:szCs w:val="20"/>
              </w:rPr>
              <w:t>15.9%</w:t>
            </w:r>
          </w:p>
        </w:tc>
      </w:tr>
      <w:tr w:rsidR="000474A0" w:rsidRPr="00FA2AB8" w14:paraId="1E1FC172" w14:textId="7B5CA540" w:rsidTr="00AF29CF">
        <w:trPr>
          <w:cantSplit/>
        </w:trPr>
        <w:tc>
          <w:tcPr>
            <w:tcW w:w="1569" w:type="pct"/>
            <w:shd w:val="clear" w:color="auto" w:fill="FFFFFF" w:themeFill="background1"/>
            <w:tcMar>
              <w:left w:w="28" w:type="dxa"/>
              <w:right w:w="28" w:type="dxa"/>
            </w:tcMar>
            <w:vAlign w:val="center"/>
          </w:tcPr>
          <w:p w14:paraId="0DC4598F" w14:textId="63B8CEA1" w:rsidR="00A56A7E" w:rsidRPr="00FA2AB8" w:rsidRDefault="00A56A7E">
            <w:pPr>
              <w:pStyle w:val="TableText0"/>
            </w:pPr>
            <w:r w:rsidRPr="00FA2AB8">
              <w:t>≥4-point improvement in DLQI (NNE)</w:t>
            </w:r>
            <w:r w:rsidR="00B94D80" w:rsidRPr="00FA2AB8">
              <w:rPr>
                <w:vertAlign w:val="superscript"/>
              </w:rPr>
              <w:t>2</w:t>
            </w:r>
          </w:p>
        </w:tc>
        <w:tc>
          <w:tcPr>
            <w:tcW w:w="1416" w:type="pct"/>
            <w:shd w:val="clear" w:color="auto" w:fill="FFFFFF" w:themeFill="background1"/>
            <w:tcMar>
              <w:left w:w="28" w:type="dxa"/>
              <w:right w:w="28" w:type="dxa"/>
            </w:tcMar>
          </w:tcPr>
          <w:p w14:paraId="40AC7A8C" w14:textId="77777777" w:rsidR="00A56A7E" w:rsidRPr="00FA2AB8" w:rsidRDefault="00A56A7E">
            <w:pPr>
              <w:jc w:val="center"/>
              <w:rPr>
                <w:rFonts w:ascii="Arial Narrow" w:hAnsi="Arial Narrow"/>
                <w:sz w:val="20"/>
                <w:szCs w:val="20"/>
              </w:rPr>
            </w:pPr>
            <w:r w:rsidRPr="00FA2AB8">
              <w:rPr>
                <w:rFonts w:ascii="Arial Narrow" w:hAnsi="Arial Narrow"/>
                <w:sz w:val="20"/>
                <w:szCs w:val="20"/>
              </w:rPr>
              <w:t>62.6%</w:t>
            </w:r>
          </w:p>
        </w:tc>
        <w:tc>
          <w:tcPr>
            <w:tcW w:w="1021" w:type="pct"/>
            <w:shd w:val="clear" w:color="auto" w:fill="FFFFFF" w:themeFill="background1"/>
            <w:tcMar>
              <w:left w:w="28" w:type="dxa"/>
              <w:right w:w="28" w:type="dxa"/>
            </w:tcMar>
          </w:tcPr>
          <w:p w14:paraId="33E61E28" w14:textId="77777777" w:rsidR="00A56A7E" w:rsidRPr="00FA2AB8" w:rsidRDefault="00A56A7E">
            <w:pPr>
              <w:jc w:val="center"/>
              <w:rPr>
                <w:rFonts w:ascii="Arial Narrow" w:hAnsi="Arial Narrow"/>
                <w:sz w:val="20"/>
                <w:szCs w:val="20"/>
              </w:rPr>
            </w:pPr>
            <w:r w:rsidRPr="00FA2AB8">
              <w:rPr>
                <w:rFonts w:ascii="Arial Narrow" w:hAnsi="Arial Narrow"/>
                <w:sz w:val="20"/>
                <w:szCs w:val="20"/>
              </w:rPr>
              <w:t>91.0%</w:t>
            </w:r>
          </w:p>
        </w:tc>
        <w:tc>
          <w:tcPr>
            <w:tcW w:w="994" w:type="pct"/>
            <w:tcMar>
              <w:left w:w="28" w:type="dxa"/>
              <w:right w:w="28" w:type="dxa"/>
            </w:tcMar>
          </w:tcPr>
          <w:p w14:paraId="2C3C8FCC" w14:textId="0CF606A2" w:rsidR="00A56A7E" w:rsidRPr="00FA2AB8" w:rsidRDefault="00A56A7E">
            <w:pPr>
              <w:jc w:val="center"/>
              <w:rPr>
                <w:rFonts w:ascii="Arial Narrow" w:hAnsi="Arial Narrow"/>
                <w:sz w:val="20"/>
                <w:szCs w:val="20"/>
              </w:rPr>
            </w:pPr>
            <w:r w:rsidRPr="00FA2AB8">
              <w:rPr>
                <w:rFonts w:ascii="Arial Narrow" w:hAnsi="Arial Narrow"/>
                <w:sz w:val="20"/>
                <w:szCs w:val="20"/>
              </w:rPr>
              <w:t>28.4%</w:t>
            </w:r>
          </w:p>
        </w:tc>
      </w:tr>
    </w:tbl>
    <w:p w14:paraId="434CEEE2" w14:textId="4367EB95" w:rsidR="00546DBD" w:rsidRPr="00FA2AB8" w:rsidRDefault="00546DBD" w:rsidP="00546DBD">
      <w:pPr>
        <w:rPr>
          <w:rFonts w:ascii="Arial Narrow" w:eastAsiaTheme="majorEastAsia" w:hAnsi="Arial Narrow"/>
          <w:sz w:val="18"/>
          <w:szCs w:val="18"/>
        </w:rPr>
      </w:pPr>
      <w:r w:rsidRPr="00FA2AB8">
        <w:rPr>
          <w:rFonts w:ascii="Arial Narrow" w:eastAsiaTheme="majorEastAsia" w:hAnsi="Arial Narrow"/>
          <w:sz w:val="18"/>
          <w:szCs w:val="18"/>
        </w:rPr>
        <w:t xml:space="preserve">Source: Figure 2-4, p54, Figure 2-5, p55, and Figure 2-6, p56 of the </w:t>
      </w:r>
      <w:r w:rsidR="001F363B">
        <w:rPr>
          <w:rFonts w:ascii="Arial Narrow" w:eastAsiaTheme="majorEastAsia" w:hAnsi="Arial Narrow"/>
          <w:sz w:val="18"/>
          <w:szCs w:val="18"/>
        </w:rPr>
        <w:t>re</w:t>
      </w:r>
      <w:r w:rsidRPr="00FA2AB8">
        <w:rPr>
          <w:rFonts w:ascii="Arial Narrow" w:eastAsiaTheme="majorEastAsia" w:hAnsi="Arial Narrow"/>
          <w:sz w:val="18"/>
          <w:szCs w:val="18"/>
        </w:rPr>
        <w:t>submission.</w:t>
      </w:r>
    </w:p>
    <w:p w14:paraId="79751DFA" w14:textId="524B6927" w:rsidR="00546DBD" w:rsidRPr="00FA2AB8" w:rsidRDefault="005534A8" w:rsidP="00546DBD">
      <w:pPr>
        <w:rPr>
          <w:rFonts w:ascii="Arial Narrow" w:eastAsiaTheme="majorEastAsia" w:hAnsi="Arial Narrow"/>
          <w:sz w:val="18"/>
          <w:szCs w:val="18"/>
        </w:rPr>
      </w:pPr>
      <w:r w:rsidRPr="00FA2AB8">
        <w:rPr>
          <w:rFonts w:ascii="Arial Narrow" w:eastAsiaTheme="majorEastAsia" w:hAnsi="Arial Narrow"/>
          <w:sz w:val="18"/>
          <w:szCs w:val="18"/>
        </w:rPr>
        <w:t xml:space="preserve">DCO = data cut-off); </w:t>
      </w:r>
      <w:r w:rsidR="00546DBD" w:rsidRPr="00FA2AB8">
        <w:rPr>
          <w:rFonts w:ascii="Arial Narrow" w:eastAsiaTheme="majorEastAsia" w:hAnsi="Arial Narrow"/>
          <w:sz w:val="18"/>
          <w:szCs w:val="18"/>
        </w:rPr>
        <w:t>DLQI = Dermatology Life Quality Index; EASI-50 = proportion of patients with ≥ 50% improvement in Eczema Area and Severity Index from baseline; EASI-75 = proportion of patients with ≥ 75% improvement in Eczema Area and Severity Index from baseline; IGA = Investigator’s Global Assessment; LTE = long term extension; NEMO = nemolizumab; PNE = previous NEMO exposure; NNE = no NEMO exposure.</w:t>
      </w:r>
    </w:p>
    <w:p w14:paraId="11BBE868" w14:textId="47AFE807" w:rsidR="00B94D80" w:rsidRPr="00FA2AB8" w:rsidRDefault="00B94D80" w:rsidP="00546DBD">
      <w:pPr>
        <w:rPr>
          <w:rFonts w:ascii="Arial Narrow" w:eastAsiaTheme="majorEastAsia" w:hAnsi="Arial Narrow"/>
          <w:sz w:val="18"/>
          <w:szCs w:val="18"/>
        </w:rPr>
      </w:pPr>
      <w:r w:rsidRPr="00FA2AB8">
        <w:rPr>
          <w:rFonts w:ascii="Arial Narrow" w:eastAsiaTheme="majorEastAsia" w:hAnsi="Arial Narrow"/>
          <w:sz w:val="18"/>
          <w:szCs w:val="18"/>
          <w:vertAlign w:val="superscript"/>
        </w:rPr>
        <w:t xml:space="preserve">1 </w:t>
      </w:r>
      <w:r w:rsidRPr="00FA2AB8">
        <w:rPr>
          <w:rFonts w:ascii="Arial Narrow" w:eastAsiaTheme="majorEastAsia" w:hAnsi="Arial Narrow"/>
          <w:sz w:val="18"/>
          <w:szCs w:val="18"/>
        </w:rPr>
        <w:t>1164 patients were enrolled who had previous nemolizumab exposure</w:t>
      </w:r>
      <w:r w:rsidR="005534A8" w:rsidRPr="00FA2AB8">
        <w:rPr>
          <w:rFonts w:ascii="Arial Narrow" w:eastAsiaTheme="majorEastAsia" w:hAnsi="Arial Narrow"/>
          <w:sz w:val="18"/>
          <w:szCs w:val="18"/>
        </w:rPr>
        <w:t>.</w:t>
      </w:r>
    </w:p>
    <w:p w14:paraId="3E18DE21" w14:textId="25848B02" w:rsidR="005534A8" w:rsidRPr="00FA2AB8" w:rsidRDefault="005534A8" w:rsidP="007D4B4B">
      <w:pPr>
        <w:rPr>
          <w:rFonts w:ascii="Arial Narrow" w:eastAsiaTheme="majorEastAsia" w:hAnsi="Arial Narrow"/>
          <w:sz w:val="18"/>
          <w:szCs w:val="18"/>
        </w:rPr>
      </w:pPr>
      <w:r w:rsidRPr="00FA2AB8">
        <w:rPr>
          <w:rFonts w:ascii="Arial Narrow" w:eastAsiaTheme="majorEastAsia" w:hAnsi="Arial Narrow"/>
          <w:sz w:val="18"/>
          <w:szCs w:val="18"/>
          <w:vertAlign w:val="superscript"/>
        </w:rPr>
        <w:t>2</w:t>
      </w:r>
      <w:r w:rsidRPr="00FA2AB8">
        <w:rPr>
          <w:rFonts w:ascii="Arial Narrow" w:eastAsiaTheme="majorEastAsia" w:hAnsi="Arial Narrow"/>
          <w:sz w:val="18"/>
          <w:szCs w:val="18"/>
        </w:rPr>
        <w:t xml:space="preserve"> 737 patients were enrolled who had no previous exposure to nemolizumab.</w:t>
      </w:r>
    </w:p>
    <w:p w14:paraId="1D0C03C6" w14:textId="4984E078" w:rsidR="00546DBD" w:rsidRPr="00FA2AB8" w:rsidRDefault="00E069C7" w:rsidP="007D4B4B">
      <w:pPr>
        <w:rPr>
          <w:rFonts w:ascii="Arial Narrow" w:eastAsiaTheme="majorEastAsia" w:hAnsi="Arial Narrow"/>
          <w:sz w:val="18"/>
          <w:szCs w:val="18"/>
        </w:rPr>
      </w:pPr>
      <w:r w:rsidRPr="00FA2AB8">
        <w:rPr>
          <w:rFonts w:ascii="Arial Narrow" w:eastAsiaTheme="majorEastAsia" w:hAnsi="Arial Narrow"/>
          <w:sz w:val="18"/>
          <w:szCs w:val="18"/>
        </w:rPr>
        <w:t>Italics = calculated during the evaluation.</w:t>
      </w:r>
    </w:p>
    <w:p w14:paraId="70F97175" w14:textId="73128591" w:rsidR="00546DBD" w:rsidRPr="00FA2AB8" w:rsidRDefault="00546DBD" w:rsidP="007D4B4B">
      <w:pPr>
        <w:pStyle w:val="3-BodyText"/>
        <w:spacing w:before="160" w:after="160"/>
      </w:pPr>
      <w:bookmarkStart w:id="41" w:name="_Ref221102137"/>
      <w:r w:rsidRPr="00FA2AB8">
        <w:t xml:space="preserve">The results presented in </w:t>
      </w:r>
      <w:r w:rsidRPr="00FA2AB8">
        <w:fldChar w:fldCharType="begin"/>
      </w:r>
      <w:r w:rsidRPr="00FA2AB8">
        <w:instrText xml:space="preserve"> REF _Ref215843304 \h </w:instrText>
      </w:r>
      <w:r w:rsidR="00FA2AB8" w:rsidRPr="00FA2AB8">
        <w:instrText xml:space="preserve"> \* MERGEFORMAT </w:instrText>
      </w:r>
      <w:r w:rsidRPr="00FA2AB8">
        <w:fldChar w:fldCharType="separate"/>
      </w:r>
      <w:r w:rsidR="00F51AFF" w:rsidRPr="00FA2AB8">
        <w:t xml:space="preserve">Table </w:t>
      </w:r>
      <w:r w:rsidR="00F51AFF" w:rsidRPr="00FA2AB8">
        <w:rPr>
          <w:noProof/>
        </w:rPr>
        <w:t>6</w:t>
      </w:r>
      <w:r w:rsidRPr="00FA2AB8">
        <w:fldChar w:fldCharType="end"/>
      </w:r>
      <w:r w:rsidRPr="00FA2AB8">
        <w:t xml:space="preserve"> show that, at </w:t>
      </w:r>
      <w:r w:rsidR="001B4C80" w:rsidRPr="00FA2AB8">
        <w:t xml:space="preserve">Week </w:t>
      </w:r>
      <w:r w:rsidRPr="00FA2AB8">
        <w:t>104</w:t>
      </w:r>
      <w:r w:rsidR="00F94CA9" w:rsidRPr="00FA2AB8">
        <w:t xml:space="preserve"> </w:t>
      </w:r>
      <w:r w:rsidRPr="00FA2AB8">
        <w:t xml:space="preserve">of NEMO treatment, more patients reported a positive response across </w:t>
      </w:r>
      <w:r w:rsidR="00305CBA" w:rsidRPr="00FA2AB8">
        <w:t>all</w:t>
      </w:r>
      <w:r w:rsidRPr="00FA2AB8">
        <w:t xml:space="preserve"> the key outcomes. These </w:t>
      </w:r>
      <w:r w:rsidRPr="00FA2AB8">
        <w:lastRenderedPageBreak/>
        <w:t>improvements were seen across both the PNE group and the NNE group. Although the ARCADIA LTE study was unblinded and not comparative, these results suggest that extended treatment with NEMO may result in a greater proportion of patients reporting positive responses and that use of NEMO is associated with a sustained improvement in patient relevant outcomes</w:t>
      </w:r>
      <w:r w:rsidR="00B1615A" w:rsidRPr="00FA2AB8">
        <w:t>, particularly for those who had not previously received NEMO</w:t>
      </w:r>
      <w:r w:rsidRPr="00FA2AB8">
        <w:t xml:space="preserve">. It should be noted that all patients received NEMO at Q4W for the duration of the ARCADIA LTE, rather than an induction period of Q4W followed by a maintenance period of NEMO </w:t>
      </w:r>
      <w:r w:rsidR="002702DE" w:rsidRPr="00FA2AB8">
        <w:t>every 8 weeks (</w:t>
      </w:r>
      <w:r w:rsidRPr="00FA2AB8">
        <w:t>Q8W</w:t>
      </w:r>
      <w:r w:rsidR="002702DE" w:rsidRPr="00FA2AB8">
        <w:t>)</w:t>
      </w:r>
      <w:r w:rsidRPr="00FA2AB8">
        <w:t>, as detailed in the PI.</w:t>
      </w:r>
      <w:bookmarkEnd w:id="41"/>
    </w:p>
    <w:p w14:paraId="0D991E41" w14:textId="14251AF1" w:rsidR="00546DBD" w:rsidRPr="00FA2AB8" w:rsidRDefault="00546DBD" w:rsidP="00546DBD">
      <w:pPr>
        <w:pStyle w:val="3-BodyText"/>
        <w:spacing w:before="160" w:after="160"/>
        <w:rPr>
          <w:rStyle w:val="CommentReference"/>
          <w:rFonts w:asciiTheme="minorHAnsi" w:hAnsiTheme="minorHAnsi"/>
          <w:b w:val="0"/>
          <w:sz w:val="24"/>
          <w:szCs w:val="22"/>
        </w:rPr>
      </w:pPr>
      <w:r w:rsidRPr="00FA2AB8">
        <w:fldChar w:fldCharType="begin"/>
      </w:r>
      <w:r w:rsidRPr="00FA2AB8">
        <w:instrText xml:space="preserve"> REF _Ref215844588 \h </w:instrText>
      </w:r>
      <w:r w:rsidR="00FA2AB8" w:rsidRPr="00FA2AB8">
        <w:instrText xml:space="preserve"> \* MERGEFORMAT </w:instrText>
      </w:r>
      <w:r w:rsidRPr="00FA2AB8">
        <w:fldChar w:fldCharType="separate"/>
      </w:r>
      <w:r w:rsidR="00F51AFF" w:rsidRPr="00FA2AB8">
        <w:t xml:space="preserve">Table </w:t>
      </w:r>
      <w:r w:rsidR="00F51AFF" w:rsidRPr="00FA2AB8">
        <w:rPr>
          <w:noProof/>
        </w:rPr>
        <w:t>7</w:t>
      </w:r>
      <w:r w:rsidRPr="00FA2AB8">
        <w:fldChar w:fldCharType="end"/>
      </w:r>
      <w:r w:rsidRPr="00FA2AB8">
        <w:t xml:space="preserve"> presents the additional analyses from the ARCADIA LTE demonstrating the effects of an extended induction phase of an additional 8 and 20 weeks of NEMO Q4W in patients who did not achieve a full clinical response (EASI 75 or IGA 0/1) to the initial induction period of NEMO Q4W for 16 weeks. This data was provided in the PSCR to the previous submission. The </w:t>
      </w:r>
      <w:r w:rsidR="00A236F7" w:rsidRPr="00FA2AB8">
        <w:t>re</w:t>
      </w:r>
      <w:r w:rsidRPr="00FA2AB8">
        <w:t>submission stated that</w:t>
      </w:r>
      <w:r w:rsidR="00B1615A" w:rsidRPr="00FA2AB8">
        <w:t>,</w:t>
      </w:r>
      <w:r w:rsidRPr="00FA2AB8">
        <w:t xml:space="preserve"> based on these results, an additional 8 weeks of Q4W treatment with NEMO is expected to result in an additional 30.1% of intention-to-treat </w:t>
      </w:r>
      <w:r w:rsidR="0000640A" w:rsidRPr="00FA2AB8">
        <w:t>(</w:t>
      </w:r>
      <w:r w:rsidRPr="00FA2AB8">
        <w:t>ITT</w:t>
      </w:r>
      <w:r w:rsidR="0000640A" w:rsidRPr="00FA2AB8">
        <w:t>)</w:t>
      </w:r>
      <w:r w:rsidRPr="00FA2AB8">
        <w:t xml:space="preserve"> patients demonstrating an EASI-75 response, an additional 9.6% of ITT patients demonstrating an IGA 0/1 response, and an additional 34.5% of patients in the severe AD PBS population demonstrating an EASI-50 response.</w:t>
      </w:r>
    </w:p>
    <w:p w14:paraId="462A4B40" w14:textId="287D1F6D" w:rsidR="00546DBD" w:rsidRPr="00FA2AB8" w:rsidRDefault="00546DBD" w:rsidP="00546DBD">
      <w:pPr>
        <w:pStyle w:val="Caption"/>
      </w:pPr>
      <w:bookmarkStart w:id="42" w:name="_Ref215844588"/>
      <w:r w:rsidRPr="00FA2AB8">
        <w:t xml:space="preserve">Table </w:t>
      </w:r>
      <w:fldSimple w:instr=" SEQ Table \* ARABIC ">
        <w:r w:rsidR="00CB23C7">
          <w:rPr>
            <w:noProof/>
          </w:rPr>
          <w:t>7</w:t>
        </w:r>
      </w:fldSimple>
      <w:bookmarkEnd w:id="42"/>
      <w:r w:rsidRPr="00FA2AB8">
        <w:t>: Results of the LTE study: proportion of additional patients who respond with an additional 8 or 20 weeks of induction treatment with NEMO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Results of the LTE study: proportion of additional patients who respond with an additional 8 or 20 weeks of induction treatment with NEMO"/>
      </w:tblPr>
      <w:tblGrid>
        <w:gridCol w:w="1079"/>
        <w:gridCol w:w="1200"/>
        <w:gridCol w:w="958"/>
        <w:gridCol w:w="1078"/>
        <w:gridCol w:w="1082"/>
        <w:gridCol w:w="1078"/>
        <w:gridCol w:w="1316"/>
        <w:gridCol w:w="1226"/>
      </w:tblGrid>
      <w:tr w:rsidR="00EE10B5" w:rsidRPr="00FA2AB8" w14:paraId="21154FCB" w14:textId="77777777" w:rsidTr="00AF29CF">
        <w:trPr>
          <w:trHeight w:val="20"/>
          <w:tblHeader/>
        </w:trPr>
        <w:tc>
          <w:tcPr>
            <w:tcW w:w="598" w:type="pct"/>
            <w:shd w:val="clear" w:color="auto" w:fill="B8CCE4"/>
            <w:noWrap/>
            <w:tcMar>
              <w:left w:w="20" w:type="dxa"/>
              <w:right w:w="20" w:type="dxa"/>
            </w:tcMar>
            <w:vAlign w:val="center"/>
            <w:hideMark/>
          </w:tcPr>
          <w:p w14:paraId="5F95B376" w14:textId="77777777" w:rsidR="00546DBD" w:rsidRPr="00FA2AB8" w:rsidRDefault="00546DBD">
            <w:pPr>
              <w:keepNext/>
              <w:jc w:val="center"/>
              <w:rPr>
                <w:rFonts w:ascii="Arial Narrow" w:hAnsi="Arial Narrow" w:cstheme="minorHAnsi"/>
                <w:b/>
                <w:bCs/>
                <w:color w:val="000000"/>
                <w:sz w:val="20"/>
                <w:szCs w:val="20"/>
              </w:rPr>
            </w:pPr>
            <w:r w:rsidRPr="00FA2AB8">
              <w:rPr>
                <w:rFonts w:ascii="Arial Narrow" w:hAnsi="Arial Narrow" w:cstheme="minorHAnsi"/>
                <w:b/>
                <w:bCs/>
                <w:color w:val="000000"/>
                <w:sz w:val="20"/>
                <w:szCs w:val="20"/>
              </w:rPr>
              <w:t>Population</w:t>
            </w:r>
          </w:p>
        </w:tc>
        <w:tc>
          <w:tcPr>
            <w:tcW w:w="665" w:type="pct"/>
            <w:tcBorders>
              <w:bottom w:val="nil"/>
            </w:tcBorders>
            <w:shd w:val="clear" w:color="auto" w:fill="B8CCE4"/>
            <w:noWrap/>
            <w:tcMar>
              <w:left w:w="20" w:type="dxa"/>
              <w:right w:w="20" w:type="dxa"/>
            </w:tcMar>
            <w:vAlign w:val="center"/>
            <w:hideMark/>
          </w:tcPr>
          <w:p w14:paraId="0D128E36" w14:textId="77777777" w:rsidR="00546DBD" w:rsidRPr="00FA2AB8" w:rsidRDefault="00546DBD">
            <w:pPr>
              <w:keepNext/>
              <w:jc w:val="center"/>
              <w:rPr>
                <w:rFonts w:ascii="Arial Narrow" w:hAnsi="Arial Narrow" w:cstheme="minorHAnsi"/>
                <w:b/>
                <w:bCs/>
                <w:color w:val="000000"/>
                <w:sz w:val="20"/>
                <w:szCs w:val="20"/>
              </w:rPr>
            </w:pPr>
            <w:r w:rsidRPr="00FA2AB8">
              <w:rPr>
                <w:rFonts w:ascii="Arial Narrow" w:hAnsi="Arial Narrow" w:cstheme="minorHAnsi"/>
                <w:b/>
                <w:bCs/>
                <w:color w:val="000000"/>
                <w:sz w:val="20"/>
                <w:szCs w:val="20"/>
              </w:rPr>
              <w:t>Outcome</w:t>
            </w:r>
          </w:p>
        </w:tc>
        <w:tc>
          <w:tcPr>
            <w:tcW w:w="531" w:type="pct"/>
            <w:shd w:val="clear" w:color="auto" w:fill="B8CCE4"/>
            <w:tcMar>
              <w:left w:w="20" w:type="dxa"/>
              <w:right w:w="20" w:type="dxa"/>
            </w:tcMar>
            <w:vAlign w:val="center"/>
          </w:tcPr>
          <w:p w14:paraId="1BE66704" w14:textId="77777777" w:rsidR="00546DBD" w:rsidRPr="00FA2AB8" w:rsidRDefault="00546DBD">
            <w:pPr>
              <w:keepNext/>
              <w:jc w:val="center"/>
              <w:rPr>
                <w:rFonts w:ascii="Arial Narrow" w:hAnsi="Arial Narrow" w:cstheme="minorHAnsi"/>
                <w:b/>
                <w:bCs/>
                <w:color w:val="000000"/>
                <w:sz w:val="20"/>
                <w:szCs w:val="20"/>
              </w:rPr>
            </w:pPr>
            <w:r w:rsidRPr="00FA2AB8">
              <w:rPr>
                <w:rFonts w:ascii="Arial Narrow" w:hAnsi="Arial Narrow" w:cstheme="minorHAnsi"/>
                <w:b/>
                <w:bCs/>
                <w:color w:val="000000"/>
                <w:sz w:val="20"/>
                <w:szCs w:val="20"/>
              </w:rPr>
              <w:t>LTE, N</w:t>
            </w:r>
          </w:p>
        </w:tc>
        <w:tc>
          <w:tcPr>
            <w:tcW w:w="598" w:type="pct"/>
            <w:shd w:val="clear" w:color="auto" w:fill="B8CCE4"/>
            <w:tcMar>
              <w:left w:w="20" w:type="dxa"/>
              <w:right w:w="20" w:type="dxa"/>
            </w:tcMar>
            <w:vAlign w:val="center"/>
            <w:hideMark/>
          </w:tcPr>
          <w:p w14:paraId="710ABD2C" w14:textId="67DCF523" w:rsidR="00546DBD" w:rsidRPr="00FA2AB8" w:rsidRDefault="00546DBD">
            <w:pPr>
              <w:keepNext/>
              <w:jc w:val="center"/>
              <w:rPr>
                <w:rFonts w:ascii="Arial Narrow" w:hAnsi="Arial Narrow" w:cstheme="minorHAnsi"/>
                <w:b/>
                <w:bCs/>
                <w:color w:val="000000"/>
                <w:sz w:val="20"/>
                <w:szCs w:val="20"/>
              </w:rPr>
            </w:pPr>
            <w:r w:rsidRPr="00FA2AB8">
              <w:rPr>
                <w:rFonts w:ascii="Arial Narrow" w:hAnsi="Arial Narrow" w:cstheme="minorHAnsi"/>
                <w:b/>
                <w:bCs/>
                <w:color w:val="000000"/>
                <w:sz w:val="20"/>
                <w:szCs w:val="20"/>
              </w:rPr>
              <w:t>LTE baseline response</w:t>
            </w:r>
            <w:r w:rsidR="0003505A" w:rsidRPr="00FA2AB8">
              <w:rPr>
                <w:rFonts w:ascii="Arial Narrow" w:hAnsi="Arial Narrow" w:cstheme="minorHAnsi"/>
                <w:b/>
                <w:bCs/>
                <w:color w:val="000000"/>
                <w:sz w:val="20"/>
                <w:szCs w:val="20"/>
              </w:rPr>
              <w:t xml:space="preserve"> (16 weeks)</w:t>
            </w:r>
            <w:r w:rsidRPr="00FA2AB8">
              <w:rPr>
                <w:rFonts w:ascii="Arial Narrow" w:hAnsi="Arial Narrow" w:cstheme="minorHAnsi"/>
                <w:b/>
                <w:bCs/>
                <w:color w:val="000000"/>
                <w:sz w:val="20"/>
                <w:szCs w:val="20"/>
              </w:rPr>
              <w:t>, n</w:t>
            </w:r>
          </w:p>
        </w:tc>
        <w:tc>
          <w:tcPr>
            <w:tcW w:w="600" w:type="pct"/>
            <w:shd w:val="clear" w:color="auto" w:fill="B8CCE4"/>
            <w:tcMar>
              <w:left w:w="20" w:type="dxa"/>
              <w:right w:w="20" w:type="dxa"/>
            </w:tcMar>
            <w:vAlign w:val="center"/>
          </w:tcPr>
          <w:p w14:paraId="44082E14" w14:textId="77777777" w:rsidR="00546DBD" w:rsidRPr="00FA2AB8" w:rsidRDefault="00546DBD">
            <w:pPr>
              <w:keepNext/>
              <w:jc w:val="center"/>
              <w:rPr>
                <w:rFonts w:ascii="Arial Narrow" w:hAnsi="Arial Narrow" w:cstheme="minorHAnsi"/>
                <w:b/>
                <w:bCs/>
                <w:color w:val="000000"/>
                <w:sz w:val="20"/>
                <w:szCs w:val="20"/>
              </w:rPr>
            </w:pPr>
            <w:r w:rsidRPr="00FA2AB8">
              <w:rPr>
                <w:rFonts w:ascii="Arial Narrow" w:hAnsi="Arial Narrow" w:cstheme="minorHAnsi"/>
                <w:b/>
                <w:bCs/>
                <w:color w:val="000000"/>
                <w:sz w:val="20"/>
                <w:szCs w:val="20"/>
              </w:rPr>
              <w:t>N available to respond</w:t>
            </w:r>
          </w:p>
        </w:tc>
        <w:tc>
          <w:tcPr>
            <w:tcW w:w="598" w:type="pct"/>
            <w:shd w:val="clear" w:color="auto" w:fill="B8CCE4"/>
            <w:tcMar>
              <w:left w:w="20" w:type="dxa"/>
              <w:right w:w="20" w:type="dxa"/>
            </w:tcMar>
            <w:vAlign w:val="center"/>
          </w:tcPr>
          <w:p w14:paraId="08DCA117" w14:textId="31D339C0" w:rsidR="00546DBD" w:rsidRPr="00FA2AB8" w:rsidRDefault="00EE10B5">
            <w:pPr>
              <w:keepNext/>
              <w:jc w:val="center"/>
              <w:rPr>
                <w:rFonts w:ascii="Arial Narrow" w:hAnsi="Arial Narrow" w:cstheme="minorHAnsi"/>
                <w:b/>
                <w:bCs/>
                <w:color w:val="000000"/>
                <w:sz w:val="20"/>
                <w:szCs w:val="20"/>
              </w:rPr>
            </w:pPr>
            <w:r w:rsidRPr="00FA2AB8">
              <w:rPr>
                <w:rFonts w:ascii="Arial Narrow" w:hAnsi="Arial Narrow" w:cstheme="minorHAnsi"/>
                <w:b/>
                <w:bCs/>
                <w:color w:val="000000"/>
                <w:sz w:val="20"/>
                <w:szCs w:val="20"/>
              </w:rPr>
              <w:t>Total responders at timepoint, n</w:t>
            </w:r>
          </w:p>
        </w:tc>
        <w:tc>
          <w:tcPr>
            <w:tcW w:w="730" w:type="pct"/>
            <w:shd w:val="clear" w:color="auto" w:fill="B8CCE4"/>
            <w:tcMar>
              <w:left w:w="20" w:type="dxa"/>
              <w:right w:w="20" w:type="dxa"/>
            </w:tcMar>
            <w:vAlign w:val="center"/>
            <w:hideMark/>
          </w:tcPr>
          <w:p w14:paraId="131CB172" w14:textId="586A625A" w:rsidR="00546DBD" w:rsidRPr="00FA2AB8" w:rsidRDefault="00546DBD">
            <w:pPr>
              <w:keepNext/>
              <w:jc w:val="center"/>
              <w:rPr>
                <w:rFonts w:ascii="Arial Narrow" w:hAnsi="Arial Narrow" w:cstheme="minorHAnsi"/>
                <w:b/>
                <w:bCs/>
                <w:color w:val="000000"/>
                <w:sz w:val="20"/>
                <w:szCs w:val="20"/>
              </w:rPr>
            </w:pPr>
            <w:r w:rsidRPr="00FA2AB8">
              <w:rPr>
                <w:rFonts w:ascii="Arial Narrow" w:hAnsi="Arial Narrow" w:cstheme="minorHAnsi"/>
                <w:b/>
                <w:bCs/>
                <w:color w:val="000000"/>
                <w:sz w:val="20"/>
                <w:szCs w:val="20"/>
              </w:rPr>
              <w:t>Additional responders, n</w:t>
            </w:r>
          </w:p>
        </w:tc>
        <w:tc>
          <w:tcPr>
            <w:tcW w:w="680" w:type="pct"/>
            <w:shd w:val="clear" w:color="auto" w:fill="B8CCE4"/>
            <w:tcMar>
              <w:left w:w="20" w:type="dxa"/>
              <w:right w:w="20" w:type="dxa"/>
            </w:tcMar>
            <w:vAlign w:val="center"/>
          </w:tcPr>
          <w:p w14:paraId="4ED01DD5" w14:textId="3928ABCF" w:rsidR="00546DBD" w:rsidRPr="00FA2AB8" w:rsidRDefault="00546DBD">
            <w:pPr>
              <w:keepNext/>
              <w:jc w:val="center"/>
              <w:rPr>
                <w:rFonts w:ascii="Arial Narrow" w:hAnsi="Arial Narrow" w:cstheme="minorHAnsi"/>
                <w:b/>
                <w:bCs/>
                <w:color w:val="000000"/>
                <w:sz w:val="20"/>
                <w:szCs w:val="20"/>
                <w:vertAlign w:val="superscript"/>
              </w:rPr>
            </w:pPr>
            <w:r w:rsidRPr="00FA2AB8">
              <w:rPr>
                <w:rFonts w:ascii="Arial Narrow" w:hAnsi="Arial Narrow" w:cstheme="minorHAnsi"/>
                <w:b/>
                <w:bCs/>
                <w:color w:val="000000"/>
                <w:sz w:val="20"/>
                <w:szCs w:val="20"/>
              </w:rPr>
              <w:t>% additional response from LTE</w:t>
            </w:r>
            <w:r w:rsidR="00EE10B5" w:rsidRPr="00FA2AB8">
              <w:rPr>
                <w:rFonts w:ascii="Arial Narrow" w:hAnsi="Arial Narrow" w:cstheme="minorHAnsi"/>
                <w:b/>
                <w:bCs/>
                <w:color w:val="000000"/>
                <w:sz w:val="20"/>
                <w:szCs w:val="20"/>
                <w:vertAlign w:val="superscript"/>
              </w:rPr>
              <w:t>1</w:t>
            </w:r>
          </w:p>
        </w:tc>
      </w:tr>
      <w:tr w:rsidR="00546DBD" w:rsidRPr="00FA2AB8" w14:paraId="09DCFE8D" w14:textId="77777777" w:rsidTr="00AF29CF">
        <w:trPr>
          <w:trHeight w:val="20"/>
        </w:trPr>
        <w:tc>
          <w:tcPr>
            <w:tcW w:w="5000" w:type="pct"/>
            <w:gridSpan w:val="8"/>
            <w:shd w:val="clear" w:color="auto" w:fill="B8CCE4"/>
            <w:noWrap/>
            <w:tcMar>
              <w:left w:w="20" w:type="dxa"/>
              <w:right w:w="20" w:type="dxa"/>
            </w:tcMar>
            <w:vAlign w:val="center"/>
          </w:tcPr>
          <w:p w14:paraId="49A2E94D" w14:textId="23A299F8" w:rsidR="00546DBD" w:rsidRPr="00FA2AB8" w:rsidRDefault="0000640A">
            <w:pPr>
              <w:keepNext/>
              <w:rPr>
                <w:rFonts w:ascii="Arial Narrow" w:hAnsi="Arial Narrow" w:cstheme="minorHAnsi"/>
                <w:b/>
                <w:bCs/>
                <w:color w:val="000000"/>
                <w:sz w:val="20"/>
                <w:szCs w:val="20"/>
              </w:rPr>
            </w:pPr>
            <w:r w:rsidRPr="00FA2AB8">
              <w:rPr>
                <w:rFonts w:ascii="Arial Narrow" w:hAnsi="Arial Narrow" w:cstheme="minorHAnsi"/>
                <w:b/>
                <w:bCs/>
                <w:color w:val="000000"/>
                <w:sz w:val="20"/>
                <w:szCs w:val="20"/>
              </w:rPr>
              <w:t>Additional i</w:t>
            </w:r>
            <w:r w:rsidR="0003505A" w:rsidRPr="00FA2AB8">
              <w:rPr>
                <w:rFonts w:ascii="Arial Narrow" w:hAnsi="Arial Narrow" w:cstheme="minorHAnsi"/>
                <w:b/>
                <w:bCs/>
                <w:color w:val="000000"/>
                <w:sz w:val="20"/>
                <w:szCs w:val="20"/>
              </w:rPr>
              <w:t xml:space="preserve">nduction </w:t>
            </w:r>
            <w:r w:rsidR="00546DBD" w:rsidRPr="00FA2AB8">
              <w:rPr>
                <w:rFonts w:ascii="Arial Narrow" w:hAnsi="Arial Narrow" w:cstheme="minorHAnsi"/>
                <w:b/>
                <w:bCs/>
                <w:color w:val="000000"/>
                <w:sz w:val="20"/>
                <w:szCs w:val="20"/>
              </w:rPr>
              <w:t>8 weeks</w:t>
            </w:r>
            <w:r w:rsidR="00EE10B5" w:rsidRPr="00FA2AB8">
              <w:rPr>
                <w:rFonts w:ascii="Arial Narrow" w:hAnsi="Arial Narrow" w:cstheme="minorHAnsi"/>
                <w:b/>
                <w:bCs/>
                <w:color w:val="000000"/>
                <w:sz w:val="20"/>
                <w:szCs w:val="20"/>
              </w:rPr>
              <w:t xml:space="preserve"> (24 weeks of induction therapy)</w:t>
            </w:r>
          </w:p>
        </w:tc>
      </w:tr>
      <w:tr w:rsidR="00EE10B5" w:rsidRPr="00FA2AB8" w14:paraId="65D863D8" w14:textId="77777777" w:rsidTr="00AF29CF">
        <w:trPr>
          <w:trHeight w:val="20"/>
        </w:trPr>
        <w:tc>
          <w:tcPr>
            <w:tcW w:w="598" w:type="pct"/>
            <w:shd w:val="clear" w:color="auto" w:fill="B8CCE4"/>
            <w:noWrap/>
            <w:tcMar>
              <w:left w:w="20" w:type="dxa"/>
              <w:right w:w="20" w:type="dxa"/>
            </w:tcMar>
            <w:vAlign w:val="center"/>
          </w:tcPr>
          <w:p w14:paraId="7E1E16F3"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ITT</w:t>
            </w:r>
          </w:p>
        </w:tc>
        <w:tc>
          <w:tcPr>
            <w:tcW w:w="665" w:type="pct"/>
            <w:shd w:val="clear" w:color="auto" w:fill="B8CCE4"/>
            <w:noWrap/>
            <w:tcMar>
              <w:left w:w="20" w:type="dxa"/>
              <w:right w:w="20" w:type="dxa"/>
            </w:tcMar>
            <w:vAlign w:val="center"/>
          </w:tcPr>
          <w:p w14:paraId="63635D2A"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EASI-75</w:t>
            </w:r>
          </w:p>
        </w:tc>
        <w:tc>
          <w:tcPr>
            <w:tcW w:w="531" w:type="pct"/>
            <w:shd w:val="clear" w:color="auto" w:fill="B8CCE4"/>
            <w:tcMar>
              <w:left w:w="20" w:type="dxa"/>
              <w:right w:w="20" w:type="dxa"/>
            </w:tcMar>
            <w:vAlign w:val="center"/>
          </w:tcPr>
          <w:p w14:paraId="75F9FBE1"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937</w:t>
            </w:r>
          </w:p>
        </w:tc>
        <w:tc>
          <w:tcPr>
            <w:tcW w:w="598" w:type="pct"/>
            <w:shd w:val="clear" w:color="auto" w:fill="B8CCE4"/>
            <w:noWrap/>
            <w:tcMar>
              <w:left w:w="20" w:type="dxa"/>
              <w:right w:w="20" w:type="dxa"/>
            </w:tcMar>
            <w:vAlign w:val="center"/>
          </w:tcPr>
          <w:p w14:paraId="1240EEF6"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356</w:t>
            </w:r>
          </w:p>
        </w:tc>
        <w:tc>
          <w:tcPr>
            <w:tcW w:w="600" w:type="pct"/>
            <w:shd w:val="clear" w:color="auto" w:fill="B8CCE4"/>
            <w:tcMar>
              <w:left w:w="20" w:type="dxa"/>
              <w:right w:w="20" w:type="dxa"/>
            </w:tcMar>
            <w:vAlign w:val="center"/>
          </w:tcPr>
          <w:p w14:paraId="601C0F88"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581</w:t>
            </w:r>
          </w:p>
        </w:tc>
        <w:tc>
          <w:tcPr>
            <w:tcW w:w="598" w:type="pct"/>
            <w:shd w:val="clear" w:color="auto" w:fill="B8CCE4"/>
            <w:noWrap/>
            <w:tcMar>
              <w:left w:w="20" w:type="dxa"/>
              <w:right w:w="20" w:type="dxa"/>
            </w:tcMar>
            <w:vAlign w:val="center"/>
          </w:tcPr>
          <w:p w14:paraId="2F8CCF24"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531</w:t>
            </w:r>
          </w:p>
        </w:tc>
        <w:tc>
          <w:tcPr>
            <w:tcW w:w="730" w:type="pct"/>
            <w:shd w:val="clear" w:color="auto" w:fill="B8CCE4"/>
            <w:noWrap/>
            <w:tcMar>
              <w:left w:w="20" w:type="dxa"/>
              <w:right w:w="20" w:type="dxa"/>
            </w:tcMar>
            <w:vAlign w:val="center"/>
          </w:tcPr>
          <w:p w14:paraId="47F35FC9"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175</w:t>
            </w:r>
          </w:p>
        </w:tc>
        <w:tc>
          <w:tcPr>
            <w:tcW w:w="680" w:type="pct"/>
            <w:shd w:val="clear" w:color="auto" w:fill="B8CCE4"/>
            <w:noWrap/>
            <w:tcMar>
              <w:left w:w="20" w:type="dxa"/>
              <w:right w:w="20" w:type="dxa"/>
            </w:tcMar>
            <w:vAlign w:val="center"/>
          </w:tcPr>
          <w:p w14:paraId="5EAE7557"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30.1%</w:t>
            </w:r>
          </w:p>
        </w:tc>
      </w:tr>
      <w:tr w:rsidR="00EE10B5" w:rsidRPr="00FA2AB8" w14:paraId="4DF2AC89" w14:textId="77777777" w:rsidTr="00AF29CF">
        <w:trPr>
          <w:trHeight w:val="20"/>
        </w:trPr>
        <w:tc>
          <w:tcPr>
            <w:tcW w:w="598" w:type="pct"/>
            <w:shd w:val="clear" w:color="auto" w:fill="B8CCE4"/>
            <w:noWrap/>
            <w:tcMar>
              <w:left w:w="20" w:type="dxa"/>
              <w:right w:w="20" w:type="dxa"/>
            </w:tcMar>
            <w:vAlign w:val="center"/>
            <w:hideMark/>
          </w:tcPr>
          <w:p w14:paraId="397B3C1F"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ITT</w:t>
            </w:r>
          </w:p>
        </w:tc>
        <w:tc>
          <w:tcPr>
            <w:tcW w:w="665" w:type="pct"/>
            <w:shd w:val="clear" w:color="auto" w:fill="B8CCE4"/>
            <w:noWrap/>
            <w:tcMar>
              <w:left w:w="20" w:type="dxa"/>
              <w:right w:w="20" w:type="dxa"/>
            </w:tcMar>
            <w:vAlign w:val="center"/>
            <w:hideMark/>
          </w:tcPr>
          <w:p w14:paraId="47BE4542"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IGA 0/1</w:t>
            </w:r>
          </w:p>
        </w:tc>
        <w:tc>
          <w:tcPr>
            <w:tcW w:w="531" w:type="pct"/>
            <w:shd w:val="clear" w:color="auto" w:fill="B8CCE4"/>
            <w:tcMar>
              <w:left w:w="20" w:type="dxa"/>
              <w:right w:w="20" w:type="dxa"/>
            </w:tcMar>
            <w:vAlign w:val="center"/>
          </w:tcPr>
          <w:p w14:paraId="6973C034"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937</w:t>
            </w:r>
          </w:p>
        </w:tc>
        <w:tc>
          <w:tcPr>
            <w:tcW w:w="598" w:type="pct"/>
            <w:shd w:val="clear" w:color="auto" w:fill="B8CCE4"/>
            <w:noWrap/>
            <w:tcMar>
              <w:left w:w="20" w:type="dxa"/>
              <w:right w:w="20" w:type="dxa"/>
            </w:tcMar>
            <w:vAlign w:val="center"/>
            <w:hideMark/>
          </w:tcPr>
          <w:p w14:paraId="18A172D2"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273</w:t>
            </w:r>
          </w:p>
        </w:tc>
        <w:tc>
          <w:tcPr>
            <w:tcW w:w="600" w:type="pct"/>
            <w:shd w:val="clear" w:color="auto" w:fill="B8CCE4"/>
            <w:tcMar>
              <w:left w:w="20" w:type="dxa"/>
              <w:right w:w="20" w:type="dxa"/>
            </w:tcMar>
            <w:vAlign w:val="center"/>
          </w:tcPr>
          <w:p w14:paraId="04BE934C"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664</w:t>
            </w:r>
          </w:p>
        </w:tc>
        <w:tc>
          <w:tcPr>
            <w:tcW w:w="598" w:type="pct"/>
            <w:shd w:val="clear" w:color="auto" w:fill="B8CCE4"/>
            <w:noWrap/>
            <w:tcMar>
              <w:left w:w="20" w:type="dxa"/>
              <w:right w:w="20" w:type="dxa"/>
            </w:tcMar>
            <w:vAlign w:val="center"/>
          </w:tcPr>
          <w:p w14:paraId="1E257625"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337</w:t>
            </w:r>
          </w:p>
        </w:tc>
        <w:tc>
          <w:tcPr>
            <w:tcW w:w="730" w:type="pct"/>
            <w:shd w:val="clear" w:color="auto" w:fill="B8CCE4"/>
            <w:noWrap/>
            <w:tcMar>
              <w:left w:w="20" w:type="dxa"/>
              <w:right w:w="20" w:type="dxa"/>
            </w:tcMar>
            <w:vAlign w:val="center"/>
            <w:hideMark/>
          </w:tcPr>
          <w:p w14:paraId="1E323160"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64</w:t>
            </w:r>
          </w:p>
        </w:tc>
        <w:tc>
          <w:tcPr>
            <w:tcW w:w="680" w:type="pct"/>
            <w:shd w:val="clear" w:color="auto" w:fill="B8CCE4"/>
            <w:noWrap/>
            <w:tcMar>
              <w:left w:w="20" w:type="dxa"/>
              <w:right w:w="20" w:type="dxa"/>
            </w:tcMar>
            <w:vAlign w:val="center"/>
          </w:tcPr>
          <w:p w14:paraId="069CF1BE"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9.6%</w:t>
            </w:r>
          </w:p>
        </w:tc>
      </w:tr>
      <w:tr w:rsidR="00EE10B5" w:rsidRPr="00FA2AB8" w14:paraId="38BDB9EE" w14:textId="77777777" w:rsidTr="00AF29CF">
        <w:trPr>
          <w:trHeight w:val="20"/>
        </w:trPr>
        <w:tc>
          <w:tcPr>
            <w:tcW w:w="598" w:type="pct"/>
            <w:shd w:val="clear" w:color="auto" w:fill="B8CCE4"/>
            <w:noWrap/>
            <w:tcMar>
              <w:left w:w="20" w:type="dxa"/>
              <w:right w:w="20" w:type="dxa"/>
            </w:tcMar>
            <w:vAlign w:val="center"/>
            <w:hideMark/>
          </w:tcPr>
          <w:p w14:paraId="71D1EB8B" w14:textId="11899B3B" w:rsidR="00546DBD" w:rsidRPr="00FA2AB8" w:rsidRDefault="00546DBD">
            <w:pPr>
              <w:keepNext/>
              <w:rPr>
                <w:rFonts w:ascii="Arial Narrow" w:hAnsi="Arial Narrow" w:cstheme="minorHAnsi"/>
                <w:color w:val="000000"/>
                <w:sz w:val="20"/>
                <w:szCs w:val="20"/>
                <w:vertAlign w:val="superscript"/>
              </w:rPr>
            </w:pPr>
            <w:r w:rsidRPr="00FA2AB8">
              <w:rPr>
                <w:rFonts w:ascii="Arial Narrow" w:hAnsi="Arial Narrow" w:cstheme="minorHAnsi"/>
                <w:color w:val="000000"/>
                <w:sz w:val="20"/>
                <w:szCs w:val="20"/>
              </w:rPr>
              <w:t>PBS</w:t>
            </w:r>
            <w:r w:rsidR="00EE10B5" w:rsidRPr="00FA2AB8">
              <w:rPr>
                <w:rFonts w:ascii="Arial Narrow" w:hAnsi="Arial Narrow" w:cstheme="minorHAnsi"/>
                <w:color w:val="000000"/>
                <w:sz w:val="20"/>
                <w:szCs w:val="20"/>
                <w:vertAlign w:val="superscript"/>
              </w:rPr>
              <w:t>2</w:t>
            </w:r>
          </w:p>
        </w:tc>
        <w:tc>
          <w:tcPr>
            <w:tcW w:w="665" w:type="pct"/>
            <w:shd w:val="clear" w:color="auto" w:fill="B8CCE4"/>
            <w:noWrap/>
            <w:tcMar>
              <w:left w:w="20" w:type="dxa"/>
              <w:right w:w="20" w:type="dxa"/>
            </w:tcMar>
            <w:vAlign w:val="center"/>
            <w:hideMark/>
          </w:tcPr>
          <w:p w14:paraId="1D46234B"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EASI-50</w:t>
            </w:r>
          </w:p>
        </w:tc>
        <w:tc>
          <w:tcPr>
            <w:tcW w:w="531" w:type="pct"/>
            <w:shd w:val="clear" w:color="auto" w:fill="B8CCE4"/>
            <w:tcMar>
              <w:left w:w="20" w:type="dxa"/>
              <w:right w:w="20" w:type="dxa"/>
            </w:tcMar>
            <w:vAlign w:val="center"/>
          </w:tcPr>
          <w:p w14:paraId="26C4A806"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172</w:t>
            </w:r>
          </w:p>
        </w:tc>
        <w:tc>
          <w:tcPr>
            <w:tcW w:w="598" w:type="pct"/>
            <w:shd w:val="clear" w:color="auto" w:fill="B8CCE4"/>
            <w:noWrap/>
            <w:tcMar>
              <w:left w:w="20" w:type="dxa"/>
              <w:right w:w="20" w:type="dxa"/>
            </w:tcMar>
            <w:vAlign w:val="center"/>
            <w:hideMark/>
          </w:tcPr>
          <w:p w14:paraId="616EB55C"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59</w:t>
            </w:r>
          </w:p>
        </w:tc>
        <w:tc>
          <w:tcPr>
            <w:tcW w:w="600" w:type="pct"/>
            <w:shd w:val="clear" w:color="auto" w:fill="B8CCE4"/>
            <w:tcMar>
              <w:left w:w="20" w:type="dxa"/>
              <w:right w:w="20" w:type="dxa"/>
            </w:tcMar>
            <w:vAlign w:val="center"/>
          </w:tcPr>
          <w:p w14:paraId="6F3079B0"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113</w:t>
            </w:r>
          </w:p>
        </w:tc>
        <w:tc>
          <w:tcPr>
            <w:tcW w:w="598" w:type="pct"/>
            <w:shd w:val="clear" w:color="auto" w:fill="B8CCE4"/>
            <w:noWrap/>
            <w:tcMar>
              <w:left w:w="20" w:type="dxa"/>
              <w:right w:w="20" w:type="dxa"/>
            </w:tcMar>
            <w:vAlign w:val="center"/>
          </w:tcPr>
          <w:p w14:paraId="31B94B07"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98</w:t>
            </w:r>
          </w:p>
        </w:tc>
        <w:tc>
          <w:tcPr>
            <w:tcW w:w="730" w:type="pct"/>
            <w:shd w:val="clear" w:color="auto" w:fill="B8CCE4"/>
            <w:noWrap/>
            <w:tcMar>
              <w:left w:w="20" w:type="dxa"/>
              <w:right w:w="20" w:type="dxa"/>
            </w:tcMar>
            <w:vAlign w:val="center"/>
            <w:hideMark/>
          </w:tcPr>
          <w:p w14:paraId="2C800936"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39</w:t>
            </w:r>
          </w:p>
        </w:tc>
        <w:tc>
          <w:tcPr>
            <w:tcW w:w="680" w:type="pct"/>
            <w:shd w:val="clear" w:color="auto" w:fill="B8CCE4"/>
            <w:noWrap/>
            <w:tcMar>
              <w:left w:w="20" w:type="dxa"/>
              <w:right w:w="20" w:type="dxa"/>
            </w:tcMar>
            <w:vAlign w:val="center"/>
          </w:tcPr>
          <w:p w14:paraId="46EE22E6"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34.5%</w:t>
            </w:r>
          </w:p>
        </w:tc>
      </w:tr>
      <w:tr w:rsidR="00546DBD" w:rsidRPr="00FA2AB8" w14:paraId="5500EEF6" w14:textId="77777777" w:rsidTr="00AF29CF">
        <w:trPr>
          <w:trHeight w:val="20"/>
        </w:trPr>
        <w:tc>
          <w:tcPr>
            <w:tcW w:w="5000" w:type="pct"/>
            <w:gridSpan w:val="8"/>
            <w:shd w:val="clear" w:color="auto" w:fill="B8CCE4"/>
            <w:noWrap/>
            <w:tcMar>
              <w:left w:w="20" w:type="dxa"/>
              <w:right w:w="20" w:type="dxa"/>
            </w:tcMar>
            <w:vAlign w:val="center"/>
          </w:tcPr>
          <w:p w14:paraId="6192BA46" w14:textId="39F657A3" w:rsidR="00546DBD" w:rsidRPr="00FA2AB8" w:rsidRDefault="0000640A">
            <w:pPr>
              <w:keepNext/>
              <w:rPr>
                <w:rFonts w:ascii="Arial Narrow" w:hAnsi="Arial Narrow" w:cstheme="minorHAnsi"/>
                <w:b/>
                <w:color w:val="000000"/>
                <w:sz w:val="20"/>
                <w:szCs w:val="20"/>
              </w:rPr>
            </w:pPr>
            <w:r w:rsidRPr="00FA2AB8">
              <w:rPr>
                <w:rFonts w:ascii="Arial Narrow" w:hAnsi="Arial Narrow" w:cstheme="minorHAnsi"/>
                <w:b/>
                <w:color w:val="000000"/>
                <w:sz w:val="20"/>
                <w:szCs w:val="20"/>
              </w:rPr>
              <w:t>Additional i</w:t>
            </w:r>
            <w:r w:rsidR="0003505A" w:rsidRPr="00FA2AB8">
              <w:rPr>
                <w:rFonts w:ascii="Arial Narrow" w:hAnsi="Arial Narrow" w:cstheme="minorHAnsi"/>
                <w:b/>
                <w:color w:val="000000"/>
                <w:sz w:val="20"/>
                <w:szCs w:val="20"/>
              </w:rPr>
              <w:t xml:space="preserve">nduction </w:t>
            </w:r>
            <w:r w:rsidR="00546DBD" w:rsidRPr="00FA2AB8">
              <w:rPr>
                <w:rFonts w:ascii="Arial Narrow" w:hAnsi="Arial Narrow" w:cstheme="minorHAnsi"/>
                <w:b/>
                <w:color w:val="000000"/>
                <w:sz w:val="20"/>
                <w:szCs w:val="20"/>
              </w:rPr>
              <w:t>20 weeks</w:t>
            </w:r>
            <w:r w:rsidR="00EE10B5" w:rsidRPr="00FA2AB8">
              <w:rPr>
                <w:rFonts w:ascii="Arial Narrow" w:hAnsi="Arial Narrow" w:cstheme="minorHAnsi"/>
                <w:b/>
                <w:color w:val="000000"/>
                <w:sz w:val="20"/>
                <w:szCs w:val="20"/>
              </w:rPr>
              <w:t xml:space="preserve"> (36 weeks of induction therapy)</w:t>
            </w:r>
          </w:p>
        </w:tc>
      </w:tr>
      <w:tr w:rsidR="00EE10B5" w:rsidRPr="00FA2AB8" w14:paraId="3608E780" w14:textId="77777777" w:rsidTr="00AF29CF">
        <w:trPr>
          <w:trHeight w:val="20"/>
        </w:trPr>
        <w:tc>
          <w:tcPr>
            <w:tcW w:w="598" w:type="pct"/>
            <w:shd w:val="clear" w:color="auto" w:fill="B8CCE4"/>
            <w:noWrap/>
            <w:tcMar>
              <w:left w:w="20" w:type="dxa"/>
              <w:right w:w="20" w:type="dxa"/>
            </w:tcMar>
            <w:vAlign w:val="center"/>
          </w:tcPr>
          <w:p w14:paraId="1FDC43E9"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ITT</w:t>
            </w:r>
          </w:p>
        </w:tc>
        <w:tc>
          <w:tcPr>
            <w:tcW w:w="665" w:type="pct"/>
            <w:shd w:val="clear" w:color="auto" w:fill="B8CCE4"/>
            <w:noWrap/>
            <w:tcMar>
              <w:left w:w="20" w:type="dxa"/>
              <w:right w:w="20" w:type="dxa"/>
            </w:tcMar>
            <w:vAlign w:val="center"/>
          </w:tcPr>
          <w:p w14:paraId="602614BD"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EASI-75</w:t>
            </w:r>
          </w:p>
        </w:tc>
        <w:tc>
          <w:tcPr>
            <w:tcW w:w="531" w:type="pct"/>
            <w:shd w:val="clear" w:color="auto" w:fill="B8CCE4"/>
            <w:tcMar>
              <w:left w:w="20" w:type="dxa"/>
              <w:right w:w="20" w:type="dxa"/>
            </w:tcMar>
            <w:vAlign w:val="bottom"/>
          </w:tcPr>
          <w:p w14:paraId="2FF6815C"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937</w:t>
            </w:r>
          </w:p>
        </w:tc>
        <w:tc>
          <w:tcPr>
            <w:tcW w:w="598" w:type="pct"/>
            <w:shd w:val="clear" w:color="auto" w:fill="B8CCE4"/>
            <w:noWrap/>
            <w:tcMar>
              <w:left w:w="20" w:type="dxa"/>
              <w:right w:w="20" w:type="dxa"/>
            </w:tcMar>
            <w:vAlign w:val="bottom"/>
          </w:tcPr>
          <w:p w14:paraId="1ECD7313"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356</w:t>
            </w:r>
          </w:p>
        </w:tc>
        <w:tc>
          <w:tcPr>
            <w:tcW w:w="600" w:type="pct"/>
            <w:shd w:val="clear" w:color="auto" w:fill="B8CCE4"/>
            <w:tcMar>
              <w:left w:w="20" w:type="dxa"/>
              <w:right w:w="20" w:type="dxa"/>
            </w:tcMar>
            <w:vAlign w:val="bottom"/>
          </w:tcPr>
          <w:p w14:paraId="4AC472C6"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581</w:t>
            </w:r>
          </w:p>
        </w:tc>
        <w:tc>
          <w:tcPr>
            <w:tcW w:w="598" w:type="pct"/>
            <w:shd w:val="clear" w:color="auto" w:fill="B8CCE4"/>
            <w:noWrap/>
            <w:tcMar>
              <w:left w:w="20" w:type="dxa"/>
              <w:right w:w="20" w:type="dxa"/>
            </w:tcMar>
            <w:vAlign w:val="bottom"/>
          </w:tcPr>
          <w:p w14:paraId="6D73EBB8"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569</w:t>
            </w:r>
          </w:p>
        </w:tc>
        <w:tc>
          <w:tcPr>
            <w:tcW w:w="730" w:type="pct"/>
            <w:shd w:val="clear" w:color="auto" w:fill="B8CCE4"/>
            <w:noWrap/>
            <w:tcMar>
              <w:left w:w="20" w:type="dxa"/>
              <w:right w:w="20" w:type="dxa"/>
            </w:tcMar>
            <w:vAlign w:val="bottom"/>
          </w:tcPr>
          <w:p w14:paraId="1326F13A"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213</w:t>
            </w:r>
          </w:p>
        </w:tc>
        <w:tc>
          <w:tcPr>
            <w:tcW w:w="680" w:type="pct"/>
            <w:shd w:val="clear" w:color="auto" w:fill="B8CCE4"/>
            <w:noWrap/>
            <w:tcMar>
              <w:left w:w="20" w:type="dxa"/>
              <w:right w:w="20" w:type="dxa"/>
            </w:tcMar>
            <w:vAlign w:val="bottom"/>
          </w:tcPr>
          <w:p w14:paraId="5800E974" w14:textId="77777777" w:rsidR="00546DBD" w:rsidRPr="00FA2AB8" w:rsidRDefault="00546DBD">
            <w:pPr>
              <w:keepNext/>
              <w:jc w:val="center"/>
              <w:rPr>
                <w:rFonts w:ascii="Arial Narrow" w:hAnsi="Arial Narrow" w:cstheme="minorHAnsi"/>
                <w:bCs/>
                <w:color w:val="000000"/>
                <w:sz w:val="20"/>
                <w:szCs w:val="20"/>
              </w:rPr>
            </w:pPr>
            <w:r w:rsidRPr="00FA2AB8">
              <w:rPr>
                <w:rFonts w:ascii="Arial Narrow" w:hAnsi="Arial Narrow" w:cstheme="minorHAnsi"/>
                <w:bCs/>
                <w:color w:val="000000"/>
                <w:sz w:val="20"/>
                <w:szCs w:val="20"/>
              </w:rPr>
              <w:t>36.7%</w:t>
            </w:r>
          </w:p>
        </w:tc>
      </w:tr>
      <w:tr w:rsidR="00EE10B5" w:rsidRPr="00FA2AB8" w14:paraId="4FC4B498" w14:textId="77777777" w:rsidTr="00AF29CF">
        <w:trPr>
          <w:trHeight w:val="20"/>
        </w:trPr>
        <w:tc>
          <w:tcPr>
            <w:tcW w:w="598" w:type="pct"/>
            <w:shd w:val="clear" w:color="auto" w:fill="B8CCE4"/>
            <w:noWrap/>
            <w:tcMar>
              <w:left w:w="20" w:type="dxa"/>
              <w:right w:w="20" w:type="dxa"/>
            </w:tcMar>
            <w:vAlign w:val="center"/>
          </w:tcPr>
          <w:p w14:paraId="0EA5E39B"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ITT</w:t>
            </w:r>
          </w:p>
        </w:tc>
        <w:tc>
          <w:tcPr>
            <w:tcW w:w="665" w:type="pct"/>
            <w:shd w:val="clear" w:color="auto" w:fill="B8CCE4"/>
            <w:noWrap/>
            <w:tcMar>
              <w:left w:w="20" w:type="dxa"/>
              <w:right w:w="20" w:type="dxa"/>
            </w:tcMar>
            <w:vAlign w:val="center"/>
          </w:tcPr>
          <w:p w14:paraId="0D197D70"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IGA 0/1</w:t>
            </w:r>
          </w:p>
        </w:tc>
        <w:tc>
          <w:tcPr>
            <w:tcW w:w="531" w:type="pct"/>
            <w:shd w:val="clear" w:color="auto" w:fill="B8CCE4"/>
            <w:tcMar>
              <w:left w:w="20" w:type="dxa"/>
              <w:right w:w="20" w:type="dxa"/>
            </w:tcMar>
            <w:vAlign w:val="bottom"/>
          </w:tcPr>
          <w:p w14:paraId="25EDFA25"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937</w:t>
            </w:r>
          </w:p>
        </w:tc>
        <w:tc>
          <w:tcPr>
            <w:tcW w:w="598" w:type="pct"/>
            <w:shd w:val="clear" w:color="auto" w:fill="B8CCE4"/>
            <w:noWrap/>
            <w:tcMar>
              <w:left w:w="20" w:type="dxa"/>
              <w:right w:w="20" w:type="dxa"/>
            </w:tcMar>
            <w:vAlign w:val="bottom"/>
          </w:tcPr>
          <w:p w14:paraId="35A229B8"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273</w:t>
            </w:r>
          </w:p>
        </w:tc>
        <w:tc>
          <w:tcPr>
            <w:tcW w:w="600" w:type="pct"/>
            <w:shd w:val="clear" w:color="auto" w:fill="B8CCE4"/>
            <w:tcMar>
              <w:left w:w="20" w:type="dxa"/>
              <w:right w:w="20" w:type="dxa"/>
            </w:tcMar>
            <w:vAlign w:val="bottom"/>
          </w:tcPr>
          <w:p w14:paraId="29274E3D"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664</w:t>
            </w:r>
          </w:p>
        </w:tc>
        <w:tc>
          <w:tcPr>
            <w:tcW w:w="598" w:type="pct"/>
            <w:shd w:val="clear" w:color="auto" w:fill="B8CCE4"/>
            <w:noWrap/>
            <w:tcMar>
              <w:left w:w="20" w:type="dxa"/>
              <w:right w:w="20" w:type="dxa"/>
            </w:tcMar>
            <w:vAlign w:val="bottom"/>
          </w:tcPr>
          <w:p w14:paraId="63F13E31"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374</w:t>
            </w:r>
          </w:p>
        </w:tc>
        <w:tc>
          <w:tcPr>
            <w:tcW w:w="730" w:type="pct"/>
            <w:shd w:val="clear" w:color="auto" w:fill="B8CCE4"/>
            <w:noWrap/>
            <w:tcMar>
              <w:left w:w="20" w:type="dxa"/>
              <w:right w:w="20" w:type="dxa"/>
            </w:tcMar>
            <w:vAlign w:val="bottom"/>
          </w:tcPr>
          <w:p w14:paraId="38EBDB4E"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101</w:t>
            </w:r>
          </w:p>
        </w:tc>
        <w:tc>
          <w:tcPr>
            <w:tcW w:w="680" w:type="pct"/>
            <w:shd w:val="clear" w:color="auto" w:fill="B8CCE4"/>
            <w:noWrap/>
            <w:tcMar>
              <w:left w:w="20" w:type="dxa"/>
              <w:right w:w="20" w:type="dxa"/>
            </w:tcMar>
            <w:vAlign w:val="bottom"/>
          </w:tcPr>
          <w:p w14:paraId="4B4922B1" w14:textId="77777777" w:rsidR="00546DBD" w:rsidRPr="00FA2AB8" w:rsidRDefault="00546DBD">
            <w:pPr>
              <w:keepNext/>
              <w:jc w:val="center"/>
              <w:rPr>
                <w:rFonts w:ascii="Arial Narrow" w:hAnsi="Arial Narrow" w:cstheme="minorHAnsi"/>
                <w:bCs/>
                <w:color w:val="000000"/>
                <w:sz w:val="20"/>
                <w:szCs w:val="20"/>
              </w:rPr>
            </w:pPr>
            <w:r w:rsidRPr="00FA2AB8">
              <w:rPr>
                <w:rFonts w:ascii="Arial Narrow" w:hAnsi="Arial Narrow" w:cstheme="minorHAnsi"/>
                <w:bCs/>
                <w:color w:val="000000"/>
                <w:sz w:val="20"/>
                <w:szCs w:val="20"/>
              </w:rPr>
              <w:t>15.2%</w:t>
            </w:r>
          </w:p>
        </w:tc>
      </w:tr>
      <w:tr w:rsidR="00EE10B5" w:rsidRPr="00FA2AB8" w14:paraId="30B57D13" w14:textId="77777777" w:rsidTr="00AF29CF">
        <w:trPr>
          <w:trHeight w:val="20"/>
        </w:trPr>
        <w:tc>
          <w:tcPr>
            <w:tcW w:w="598" w:type="pct"/>
            <w:shd w:val="clear" w:color="auto" w:fill="B8CCE4"/>
            <w:noWrap/>
            <w:tcMar>
              <w:left w:w="20" w:type="dxa"/>
              <w:right w:w="20" w:type="dxa"/>
            </w:tcMar>
            <w:vAlign w:val="center"/>
          </w:tcPr>
          <w:p w14:paraId="48511252"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 xml:space="preserve">PBS </w:t>
            </w:r>
          </w:p>
        </w:tc>
        <w:tc>
          <w:tcPr>
            <w:tcW w:w="665" w:type="pct"/>
            <w:shd w:val="clear" w:color="auto" w:fill="B8CCE4"/>
            <w:noWrap/>
            <w:tcMar>
              <w:left w:w="20" w:type="dxa"/>
              <w:right w:w="20" w:type="dxa"/>
            </w:tcMar>
            <w:vAlign w:val="center"/>
          </w:tcPr>
          <w:p w14:paraId="6938AB3A"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EASI-50</w:t>
            </w:r>
          </w:p>
        </w:tc>
        <w:tc>
          <w:tcPr>
            <w:tcW w:w="531" w:type="pct"/>
            <w:shd w:val="clear" w:color="auto" w:fill="B8CCE4"/>
            <w:tcMar>
              <w:left w:w="20" w:type="dxa"/>
              <w:right w:w="20" w:type="dxa"/>
            </w:tcMar>
            <w:vAlign w:val="bottom"/>
          </w:tcPr>
          <w:p w14:paraId="3E0DCF4D"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172</w:t>
            </w:r>
          </w:p>
        </w:tc>
        <w:tc>
          <w:tcPr>
            <w:tcW w:w="598" w:type="pct"/>
            <w:shd w:val="clear" w:color="auto" w:fill="B8CCE4"/>
            <w:noWrap/>
            <w:tcMar>
              <w:left w:w="20" w:type="dxa"/>
              <w:right w:w="20" w:type="dxa"/>
            </w:tcMar>
            <w:vAlign w:val="bottom"/>
          </w:tcPr>
          <w:p w14:paraId="32D680C9"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59</w:t>
            </w:r>
          </w:p>
        </w:tc>
        <w:tc>
          <w:tcPr>
            <w:tcW w:w="600" w:type="pct"/>
            <w:shd w:val="clear" w:color="auto" w:fill="B8CCE4"/>
            <w:tcMar>
              <w:left w:w="20" w:type="dxa"/>
              <w:right w:w="20" w:type="dxa"/>
            </w:tcMar>
            <w:vAlign w:val="bottom"/>
          </w:tcPr>
          <w:p w14:paraId="6A176141"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113</w:t>
            </w:r>
          </w:p>
        </w:tc>
        <w:tc>
          <w:tcPr>
            <w:tcW w:w="598" w:type="pct"/>
            <w:shd w:val="clear" w:color="auto" w:fill="B8CCE4"/>
            <w:noWrap/>
            <w:tcMar>
              <w:left w:w="20" w:type="dxa"/>
              <w:right w:w="20" w:type="dxa"/>
            </w:tcMar>
            <w:vAlign w:val="bottom"/>
          </w:tcPr>
          <w:p w14:paraId="1DFAEA55"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114</w:t>
            </w:r>
          </w:p>
        </w:tc>
        <w:tc>
          <w:tcPr>
            <w:tcW w:w="730" w:type="pct"/>
            <w:shd w:val="clear" w:color="auto" w:fill="B8CCE4"/>
            <w:noWrap/>
            <w:tcMar>
              <w:left w:w="20" w:type="dxa"/>
              <w:right w:w="20" w:type="dxa"/>
            </w:tcMar>
            <w:vAlign w:val="bottom"/>
          </w:tcPr>
          <w:p w14:paraId="3DFC920D"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55</w:t>
            </w:r>
          </w:p>
        </w:tc>
        <w:tc>
          <w:tcPr>
            <w:tcW w:w="680" w:type="pct"/>
            <w:shd w:val="clear" w:color="auto" w:fill="B8CCE4"/>
            <w:noWrap/>
            <w:tcMar>
              <w:left w:w="20" w:type="dxa"/>
              <w:right w:w="20" w:type="dxa"/>
            </w:tcMar>
            <w:vAlign w:val="bottom"/>
          </w:tcPr>
          <w:p w14:paraId="1D7BC807" w14:textId="77777777" w:rsidR="00546DBD" w:rsidRPr="00FA2AB8" w:rsidRDefault="00546DBD">
            <w:pPr>
              <w:keepNext/>
              <w:jc w:val="center"/>
              <w:rPr>
                <w:rFonts w:ascii="Arial Narrow" w:hAnsi="Arial Narrow" w:cstheme="minorHAnsi"/>
                <w:bCs/>
                <w:color w:val="000000"/>
                <w:sz w:val="20"/>
                <w:szCs w:val="20"/>
              </w:rPr>
            </w:pPr>
            <w:r w:rsidRPr="00FA2AB8">
              <w:rPr>
                <w:rFonts w:ascii="Arial Narrow" w:hAnsi="Arial Narrow" w:cstheme="minorHAnsi"/>
                <w:bCs/>
                <w:color w:val="000000"/>
                <w:sz w:val="20"/>
                <w:szCs w:val="20"/>
              </w:rPr>
              <w:t>48.7%</w:t>
            </w:r>
          </w:p>
        </w:tc>
      </w:tr>
      <w:tr w:rsidR="00EE10B5" w:rsidRPr="00FA2AB8" w14:paraId="21B26895" w14:textId="77777777" w:rsidTr="00AF29CF">
        <w:trPr>
          <w:trHeight w:val="20"/>
        </w:trPr>
        <w:tc>
          <w:tcPr>
            <w:tcW w:w="598" w:type="pct"/>
            <w:shd w:val="clear" w:color="auto" w:fill="B8CCE4"/>
            <w:noWrap/>
            <w:tcMar>
              <w:left w:w="20" w:type="dxa"/>
              <w:right w:w="20" w:type="dxa"/>
            </w:tcMar>
            <w:vAlign w:val="center"/>
          </w:tcPr>
          <w:p w14:paraId="3D8C1526"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 xml:space="preserve">PBS </w:t>
            </w:r>
          </w:p>
        </w:tc>
        <w:tc>
          <w:tcPr>
            <w:tcW w:w="665" w:type="pct"/>
            <w:shd w:val="clear" w:color="auto" w:fill="B8CCE4"/>
            <w:noWrap/>
            <w:tcMar>
              <w:left w:w="20" w:type="dxa"/>
              <w:right w:w="20" w:type="dxa"/>
            </w:tcMar>
            <w:vAlign w:val="center"/>
          </w:tcPr>
          <w:p w14:paraId="42142513"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DLQI ≥ 4 point</w:t>
            </w:r>
          </w:p>
        </w:tc>
        <w:tc>
          <w:tcPr>
            <w:tcW w:w="531" w:type="pct"/>
            <w:shd w:val="clear" w:color="auto" w:fill="B8CCE4"/>
            <w:tcMar>
              <w:left w:w="20" w:type="dxa"/>
              <w:right w:w="20" w:type="dxa"/>
            </w:tcMar>
            <w:vAlign w:val="bottom"/>
          </w:tcPr>
          <w:p w14:paraId="19DF34AE"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172</w:t>
            </w:r>
          </w:p>
        </w:tc>
        <w:tc>
          <w:tcPr>
            <w:tcW w:w="598" w:type="pct"/>
            <w:shd w:val="clear" w:color="auto" w:fill="B8CCE4"/>
            <w:noWrap/>
            <w:tcMar>
              <w:left w:w="20" w:type="dxa"/>
              <w:right w:w="20" w:type="dxa"/>
            </w:tcMar>
            <w:vAlign w:val="bottom"/>
          </w:tcPr>
          <w:p w14:paraId="22F4A478"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105</w:t>
            </w:r>
          </w:p>
        </w:tc>
        <w:tc>
          <w:tcPr>
            <w:tcW w:w="600" w:type="pct"/>
            <w:shd w:val="clear" w:color="auto" w:fill="B8CCE4"/>
            <w:tcMar>
              <w:left w:w="20" w:type="dxa"/>
              <w:right w:w="20" w:type="dxa"/>
            </w:tcMar>
            <w:vAlign w:val="bottom"/>
          </w:tcPr>
          <w:p w14:paraId="1E565E59"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67</w:t>
            </w:r>
          </w:p>
        </w:tc>
        <w:tc>
          <w:tcPr>
            <w:tcW w:w="598" w:type="pct"/>
            <w:shd w:val="clear" w:color="auto" w:fill="B8CCE4"/>
            <w:noWrap/>
            <w:tcMar>
              <w:left w:w="20" w:type="dxa"/>
              <w:right w:w="20" w:type="dxa"/>
            </w:tcMar>
            <w:vAlign w:val="bottom"/>
          </w:tcPr>
          <w:p w14:paraId="726E2C22"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114</w:t>
            </w:r>
          </w:p>
        </w:tc>
        <w:tc>
          <w:tcPr>
            <w:tcW w:w="730" w:type="pct"/>
            <w:shd w:val="clear" w:color="auto" w:fill="B8CCE4"/>
            <w:noWrap/>
            <w:tcMar>
              <w:left w:w="20" w:type="dxa"/>
              <w:right w:w="20" w:type="dxa"/>
            </w:tcMar>
            <w:vAlign w:val="bottom"/>
          </w:tcPr>
          <w:p w14:paraId="07A01036"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9</w:t>
            </w:r>
          </w:p>
        </w:tc>
        <w:tc>
          <w:tcPr>
            <w:tcW w:w="680" w:type="pct"/>
            <w:shd w:val="clear" w:color="auto" w:fill="B8CCE4"/>
            <w:noWrap/>
            <w:tcMar>
              <w:left w:w="20" w:type="dxa"/>
              <w:right w:w="20" w:type="dxa"/>
            </w:tcMar>
            <w:vAlign w:val="bottom"/>
          </w:tcPr>
          <w:p w14:paraId="229AA4D6" w14:textId="77777777" w:rsidR="00546DBD" w:rsidRPr="00FA2AB8" w:rsidRDefault="00546DBD">
            <w:pPr>
              <w:keepNext/>
              <w:jc w:val="center"/>
              <w:rPr>
                <w:rFonts w:ascii="Arial Narrow" w:hAnsi="Arial Narrow" w:cstheme="minorHAnsi"/>
                <w:bCs/>
                <w:color w:val="000000"/>
                <w:sz w:val="20"/>
                <w:szCs w:val="20"/>
              </w:rPr>
            </w:pPr>
            <w:r w:rsidRPr="00FA2AB8">
              <w:rPr>
                <w:rFonts w:ascii="Arial Narrow" w:hAnsi="Arial Narrow" w:cstheme="minorHAnsi"/>
                <w:bCs/>
                <w:color w:val="000000"/>
                <w:sz w:val="20"/>
                <w:szCs w:val="20"/>
              </w:rPr>
              <w:t>13.4%</w:t>
            </w:r>
          </w:p>
        </w:tc>
      </w:tr>
      <w:tr w:rsidR="00EE10B5" w:rsidRPr="00FA2AB8" w14:paraId="3DFE2563" w14:textId="77777777" w:rsidTr="00AF29CF">
        <w:trPr>
          <w:trHeight w:val="20"/>
        </w:trPr>
        <w:tc>
          <w:tcPr>
            <w:tcW w:w="598" w:type="pct"/>
            <w:shd w:val="clear" w:color="auto" w:fill="B8CCE4"/>
            <w:noWrap/>
            <w:tcMar>
              <w:left w:w="20" w:type="dxa"/>
              <w:right w:w="20" w:type="dxa"/>
            </w:tcMar>
            <w:vAlign w:val="center"/>
          </w:tcPr>
          <w:p w14:paraId="5462D081"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 xml:space="preserve">PBS </w:t>
            </w:r>
          </w:p>
        </w:tc>
        <w:tc>
          <w:tcPr>
            <w:tcW w:w="665" w:type="pct"/>
            <w:shd w:val="clear" w:color="auto" w:fill="B8CCE4"/>
            <w:noWrap/>
            <w:tcMar>
              <w:left w:w="20" w:type="dxa"/>
              <w:right w:w="20" w:type="dxa"/>
            </w:tcMar>
            <w:vAlign w:val="center"/>
          </w:tcPr>
          <w:p w14:paraId="6DE5BD6D" w14:textId="77777777" w:rsidR="00546DBD" w:rsidRPr="00FA2AB8" w:rsidRDefault="00546DBD">
            <w:pPr>
              <w:keepNext/>
              <w:rPr>
                <w:rFonts w:ascii="Arial Narrow" w:hAnsi="Arial Narrow" w:cstheme="minorHAnsi"/>
                <w:color w:val="000000"/>
                <w:sz w:val="20"/>
                <w:szCs w:val="20"/>
              </w:rPr>
            </w:pPr>
            <w:r w:rsidRPr="00FA2AB8">
              <w:rPr>
                <w:rFonts w:ascii="Arial Narrow" w:hAnsi="Arial Narrow" w:cstheme="minorHAnsi"/>
                <w:color w:val="000000"/>
                <w:sz w:val="20"/>
                <w:szCs w:val="20"/>
              </w:rPr>
              <w:t>Composite</w:t>
            </w:r>
          </w:p>
        </w:tc>
        <w:tc>
          <w:tcPr>
            <w:tcW w:w="531" w:type="pct"/>
            <w:shd w:val="clear" w:color="auto" w:fill="B8CCE4"/>
            <w:tcMar>
              <w:left w:w="20" w:type="dxa"/>
              <w:right w:w="20" w:type="dxa"/>
            </w:tcMar>
            <w:vAlign w:val="bottom"/>
          </w:tcPr>
          <w:p w14:paraId="21A0F343"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172</w:t>
            </w:r>
          </w:p>
        </w:tc>
        <w:tc>
          <w:tcPr>
            <w:tcW w:w="598" w:type="pct"/>
            <w:shd w:val="clear" w:color="auto" w:fill="B8CCE4"/>
            <w:noWrap/>
            <w:tcMar>
              <w:left w:w="20" w:type="dxa"/>
              <w:right w:w="20" w:type="dxa"/>
            </w:tcMar>
            <w:vAlign w:val="bottom"/>
          </w:tcPr>
          <w:p w14:paraId="36A12423"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45</w:t>
            </w:r>
          </w:p>
        </w:tc>
        <w:tc>
          <w:tcPr>
            <w:tcW w:w="600" w:type="pct"/>
            <w:shd w:val="clear" w:color="auto" w:fill="B8CCE4"/>
            <w:tcMar>
              <w:left w:w="20" w:type="dxa"/>
              <w:right w:w="20" w:type="dxa"/>
            </w:tcMar>
            <w:vAlign w:val="bottom"/>
          </w:tcPr>
          <w:p w14:paraId="5EF4218A"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127</w:t>
            </w:r>
          </w:p>
        </w:tc>
        <w:tc>
          <w:tcPr>
            <w:tcW w:w="598" w:type="pct"/>
            <w:shd w:val="clear" w:color="auto" w:fill="B8CCE4"/>
            <w:noWrap/>
            <w:tcMar>
              <w:left w:w="20" w:type="dxa"/>
              <w:right w:w="20" w:type="dxa"/>
            </w:tcMar>
            <w:vAlign w:val="bottom"/>
          </w:tcPr>
          <w:p w14:paraId="56B78845"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87</w:t>
            </w:r>
          </w:p>
        </w:tc>
        <w:tc>
          <w:tcPr>
            <w:tcW w:w="730" w:type="pct"/>
            <w:shd w:val="clear" w:color="auto" w:fill="B8CCE4"/>
            <w:noWrap/>
            <w:tcMar>
              <w:left w:w="20" w:type="dxa"/>
              <w:right w:w="20" w:type="dxa"/>
            </w:tcMar>
            <w:vAlign w:val="bottom"/>
          </w:tcPr>
          <w:p w14:paraId="59F39070" w14:textId="77777777" w:rsidR="00546DBD" w:rsidRPr="00FA2AB8" w:rsidRDefault="00546DBD">
            <w:pPr>
              <w:keepNext/>
              <w:jc w:val="center"/>
              <w:rPr>
                <w:rFonts w:ascii="Arial Narrow" w:hAnsi="Arial Narrow" w:cstheme="minorHAnsi"/>
                <w:color w:val="000000"/>
                <w:sz w:val="20"/>
                <w:szCs w:val="20"/>
              </w:rPr>
            </w:pPr>
            <w:r w:rsidRPr="00FA2AB8">
              <w:rPr>
                <w:rFonts w:ascii="Arial Narrow" w:hAnsi="Arial Narrow" w:cstheme="minorHAnsi"/>
                <w:color w:val="000000"/>
                <w:sz w:val="20"/>
                <w:szCs w:val="20"/>
              </w:rPr>
              <w:t>42</w:t>
            </w:r>
          </w:p>
        </w:tc>
        <w:tc>
          <w:tcPr>
            <w:tcW w:w="680" w:type="pct"/>
            <w:shd w:val="clear" w:color="auto" w:fill="B8CCE4"/>
            <w:noWrap/>
            <w:tcMar>
              <w:left w:w="20" w:type="dxa"/>
              <w:right w:w="20" w:type="dxa"/>
            </w:tcMar>
            <w:vAlign w:val="bottom"/>
          </w:tcPr>
          <w:p w14:paraId="6FF8FC90" w14:textId="77777777" w:rsidR="00546DBD" w:rsidRPr="00FA2AB8" w:rsidRDefault="00546DBD">
            <w:pPr>
              <w:keepNext/>
              <w:jc w:val="center"/>
              <w:rPr>
                <w:rFonts w:ascii="Arial Narrow" w:hAnsi="Arial Narrow" w:cstheme="minorHAnsi"/>
                <w:bCs/>
                <w:color w:val="000000"/>
                <w:sz w:val="20"/>
                <w:szCs w:val="20"/>
              </w:rPr>
            </w:pPr>
            <w:r w:rsidRPr="00FA2AB8">
              <w:rPr>
                <w:rFonts w:ascii="Arial Narrow" w:hAnsi="Arial Narrow" w:cstheme="minorHAnsi"/>
                <w:bCs/>
                <w:color w:val="000000"/>
                <w:sz w:val="20"/>
                <w:szCs w:val="20"/>
              </w:rPr>
              <w:t>33.1%</w:t>
            </w:r>
          </w:p>
        </w:tc>
      </w:tr>
    </w:tbl>
    <w:p w14:paraId="43B5C560" w14:textId="77777777" w:rsidR="00ED1BC2" w:rsidRDefault="00546DBD" w:rsidP="00546DBD">
      <w:pPr>
        <w:pStyle w:val="3-BodyText"/>
        <w:numPr>
          <w:ilvl w:val="0"/>
          <w:numId w:val="0"/>
        </w:numPr>
        <w:spacing w:before="0" w:after="0"/>
        <w:ind w:left="720" w:hanging="720"/>
      </w:pPr>
      <w:r w:rsidRPr="00FA2AB8">
        <w:rPr>
          <w:rStyle w:val="CommentReference"/>
          <w:b w:val="0"/>
          <w:sz w:val="18"/>
          <w:szCs w:val="18"/>
        </w:rPr>
        <w:t xml:space="preserve">Source: </w:t>
      </w:r>
      <w:r w:rsidRPr="00EC3AE4">
        <w:rPr>
          <w:rStyle w:val="CommentReference"/>
          <w:b w:val="0"/>
          <w:sz w:val="18"/>
          <w:szCs w:val="18"/>
        </w:rPr>
        <w:t>Table 2-10, p59 of the submission.</w:t>
      </w:r>
      <w:r w:rsidRPr="00FA2AB8">
        <w:t xml:space="preserve"> </w:t>
      </w:r>
    </w:p>
    <w:p w14:paraId="59ED1138" w14:textId="138A824F" w:rsidR="00546DBD" w:rsidRPr="00FA2AB8" w:rsidRDefault="00546DBD" w:rsidP="00546DBD">
      <w:pPr>
        <w:pStyle w:val="3-BodyText"/>
        <w:numPr>
          <w:ilvl w:val="0"/>
          <w:numId w:val="0"/>
        </w:numPr>
        <w:spacing w:before="0" w:after="0"/>
        <w:ind w:left="720" w:hanging="720"/>
        <w:rPr>
          <w:rStyle w:val="CommentReference"/>
          <w:b w:val="0"/>
          <w:sz w:val="18"/>
          <w:szCs w:val="18"/>
        </w:rPr>
      </w:pPr>
      <w:r w:rsidRPr="00FA2AB8">
        <w:rPr>
          <w:rStyle w:val="CommentReference"/>
          <w:b w:val="0"/>
          <w:sz w:val="18"/>
          <w:szCs w:val="18"/>
        </w:rPr>
        <w:t>AD = atopic dermatitis; DLQI = Dermatology Life Quality Index; EASI = Eczema Area and</w:t>
      </w:r>
    </w:p>
    <w:p w14:paraId="76BA6B68" w14:textId="77777777" w:rsidR="00546DBD" w:rsidRPr="00FA2AB8" w:rsidRDefault="00546DBD" w:rsidP="00546DBD">
      <w:pPr>
        <w:pStyle w:val="3-BodyText"/>
        <w:numPr>
          <w:ilvl w:val="0"/>
          <w:numId w:val="0"/>
        </w:numPr>
        <w:spacing w:before="0" w:after="0"/>
        <w:ind w:left="720" w:hanging="720"/>
        <w:rPr>
          <w:rStyle w:val="CommentReference"/>
          <w:b w:val="0"/>
          <w:sz w:val="18"/>
          <w:szCs w:val="18"/>
        </w:rPr>
      </w:pPr>
      <w:r w:rsidRPr="00FA2AB8">
        <w:rPr>
          <w:rStyle w:val="CommentReference"/>
          <w:b w:val="0"/>
          <w:sz w:val="18"/>
          <w:szCs w:val="18"/>
        </w:rPr>
        <w:t>Severity Index; IGA = Investigator’s Global Assessment; ITT = intent to treat; LTE = long-term extension; NEMO = nemolizumab; PBS =</w:t>
      </w:r>
    </w:p>
    <w:p w14:paraId="68B75B5B" w14:textId="77777777" w:rsidR="00546DBD" w:rsidRPr="00FA2AB8" w:rsidRDefault="00546DBD" w:rsidP="00546DBD">
      <w:pPr>
        <w:pStyle w:val="3-BodyText"/>
        <w:numPr>
          <w:ilvl w:val="0"/>
          <w:numId w:val="0"/>
        </w:numPr>
        <w:spacing w:before="0" w:after="0"/>
        <w:ind w:left="720" w:hanging="720"/>
        <w:rPr>
          <w:rStyle w:val="CommentReference"/>
          <w:b w:val="0"/>
          <w:sz w:val="18"/>
          <w:szCs w:val="18"/>
        </w:rPr>
      </w:pPr>
      <w:r w:rsidRPr="00FA2AB8">
        <w:rPr>
          <w:rStyle w:val="CommentReference"/>
          <w:b w:val="0"/>
          <w:sz w:val="18"/>
          <w:szCs w:val="18"/>
        </w:rPr>
        <w:t>Pharmaceutical Benefits Scheme; PGA = Physician’s Global Assessment.</w:t>
      </w:r>
    </w:p>
    <w:p w14:paraId="5D38A586" w14:textId="7AAFC702" w:rsidR="00546DBD" w:rsidRPr="00FA2AB8" w:rsidRDefault="00EE10B5" w:rsidP="00546DBD">
      <w:pPr>
        <w:pStyle w:val="CaptionFootnote"/>
        <w:rPr>
          <w:rFonts w:ascii="Arial Narrow" w:hAnsi="Arial Narrow"/>
          <w:sz w:val="18"/>
          <w:szCs w:val="18"/>
        </w:rPr>
      </w:pPr>
      <w:r w:rsidRPr="00FA2AB8">
        <w:rPr>
          <w:rFonts w:ascii="Arial Narrow" w:hAnsi="Arial Narrow"/>
          <w:sz w:val="18"/>
          <w:szCs w:val="18"/>
          <w:vertAlign w:val="superscript"/>
        </w:rPr>
        <w:t>1</w:t>
      </w:r>
      <w:r w:rsidR="00546DBD" w:rsidRPr="00FA2AB8">
        <w:rPr>
          <w:rFonts w:ascii="Arial Narrow" w:hAnsi="Arial Narrow"/>
          <w:sz w:val="18"/>
          <w:szCs w:val="18"/>
        </w:rPr>
        <w:t xml:space="preserve"> Calculated as additional responders in LTE divided by those patients who entered LTE following treatment with NEMO in ARCADIA 1 or 2 as non-responders</w:t>
      </w:r>
    </w:p>
    <w:p w14:paraId="6132DBFF" w14:textId="481DE1B0" w:rsidR="00546DBD" w:rsidRPr="00FA2AB8" w:rsidRDefault="00EE10B5" w:rsidP="007D4B4B">
      <w:pPr>
        <w:pStyle w:val="CaptionFootnote"/>
        <w:rPr>
          <w:rFonts w:ascii="Arial Narrow" w:hAnsi="Arial Narrow"/>
          <w:sz w:val="18"/>
          <w:szCs w:val="18"/>
        </w:rPr>
      </w:pPr>
      <w:r w:rsidRPr="00FA2AB8">
        <w:rPr>
          <w:rFonts w:ascii="Arial Narrow" w:hAnsi="Arial Narrow"/>
          <w:sz w:val="18"/>
          <w:szCs w:val="18"/>
          <w:vertAlign w:val="superscript"/>
        </w:rPr>
        <w:t>2</w:t>
      </w:r>
      <w:r w:rsidR="00546DBD" w:rsidRPr="00FA2AB8">
        <w:rPr>
          <w:rFonts w:ascii="Arial Narrow" w:hAnsi="Arial Narrow"/>
          <w:sz w:val="18"/>
          <w:szCs w:val="18"/>
        </w:rPr>
        <w:t xml:space="preserve"> Subgroup population with severe AD only defined as an EASI score ≥ 20 and an PGA/IGA score of 4</w:t>
      </w:r>
    </w:p>
    <w:p w14:paraId="772EA910" w14:textId="5FBCDE4A" w:rsidR="00546DBD" w:rsidRPr="00FA2AB8" w:rsidRDefault="00200CBE" w:rsidP="007D4B4B">
      <w:pPr>
        <w:pStyle w:val="CaptionFootnote"/>
        <w:rPr>
          <w:rStyle w:val="CommentReference"/>
          <w:b w:val="0"/>
          <w:sz w:val="18"/>
          <w:szCs w:val="18"/>
        </w:rPr>
      </w:pPr>
      <w:r w:rsidRPr="00FA2AB8">
        <w:rPr>
          <w:rStyle w:val="CommentReference"/>
          <w:b w:val="0"/>
          <w:bCs/>
          <w:sz w:val="18"/>
          <w:szCs w:val="18"/>
          <w:shd w:val="clear" w:color="auto" w:fill="B8CCE4" w:themeFill="accent1" w:themeFillTint="66"/>
        </w:rPr>
        <w:t>Blue shading</w:t>
      </w:r>
      <w:r w:rsidRPr="00FA2AB8">
        <w:rPr>
          <w:rStyle w:val="CommentReference"/>
          <w:b w:val="0"/>
          <w:bCs/>
          <w:sz w:val="18"/>
          <w:szCs w:val="18"/>
        </w:rPr>
        <w:t xml:space="preserve"> indicates data previously seen by the PBAC</w:t>
      </w:r>
    </w:p>
    <w:p w14:paraId="5418CC70" w14:textId="69290002" w:rsidR="00546DBD" w:rsidRPr="00FA2AB8" w:rsidRDefault="00546DBD" w:rsidP="007D4B4B">
      <w:pPr>
        <w:pStyle w:val="3-BodyText"/>
        <w:spacing w:before="160" w:after="160"/>
        <w:rPr>
          <w:rStyle w:val="CommentReference"/>
          <w:rFonts w:asciiTheme="minorHAnsi" w:hAnsiTheme="minorHAnsi"/>
          <w:b w:val="0"/>
          <w:sz w:val="24"/>
          <w:szCs w:val="22"/>
        </w:rPr>
      </w:pPr>
      <w:r w:rsidRPr="00FA2AB8">
        <w:fldChar w:fldCharType="begin"/>
      </w:r>
      <w:r w:rsidRPr="00FA2AB8">
        <w:instrText xml:space="preserve"> REF _Ref215845185 \h  \* MERGEFORMAT </w:instrText>
      </w:r>
      <w:r w:rsidRPr="00FA2AB8">
        <w:fldChar w:fldCharType="separate"/>
      </w:r>
      <w:r w:rsidR="00F51AFF" w:rsidRPr="00FA2AB8">
        <w:t>Table 8</w:t>
      </w:r>
      <w:r w:rsidRPr="00FA2AB8">
        <w:fldChar w:fldCharType="end"/>
      </w:r>
      <w:r w:rsidRPr="00FA2AB8">
        <w:t xml:space="preserve"> presents an analysis of the proportion of patients achieving relevant efficacy outcomes with an additional 8 weeks of NEMO Q4W (i.e., induction extended to 24 weeks). The outcomes are EASI</w:t>
      </w:r>
      <w:r w:rsidR="00A236F7" w:rsidRPr="00FA2AB8">
        <w:t>-</w:t>
      </w:r>
      <w:r w:rsidRPr="00FA2AB8">
        <w:t>50 in the severe PBS population, as well as IGA 0/1 and EASI</w:t>
      </w:r>
      <w:r w:rsidR="00A236F7" w:rsidRPr="00FA2AB8">
        <w:t>-</w:t>
      </w:r>
      <w:r w:rsidRPr="00FA2AB8">
        <w:t xml:space="preserve">75 in the ITT population. Of note, DLQI data was not collected at the 8-week </w:t>
      </w:r>
      <w:r w:rsidRPr="00FA2AB8">
        <w:lastRenderedPageBreak/>
        <w:t>timepoint in the LTE (thereby prohibiting an analysis of both DLQI ≥4 improvement, and the composite endpoint of DLQI ≥4 improvement from baseline and EASI</w:t>
      </w:r>
      <w:r w:rsidR="00A236F7" w:rsidRPr="00FA2AB8">
        <w:t>-</w:t>
      </w:r>
      <w:r w:rsidRPr="00FA2AB8">
        <w:t>50 in both the ITT and PBS populations).</w:t>
      </w:r>
    </w:p>
    <w:p w14:paraId="666982AD" w14:textId="35AA4FFE" w:rsidR="00546DBD" w:rsidRPr="00FA2AB8" w:rsidRDefault="00546DBD" w:rsidP="00546DBD">
      <w:pPr>
        <w:pStyle w:val="Caption"/>
      </w:pPr>
      <w:bookmarkStart w:id="43" w:name="_Ref215845185"/>
      <w:r w:rsidRPr="00FA2AB8">
        <w:t xml:space="preserve">Table </w:t>
      </w:r>
      <w:fldSimple w:instr=" SEQ Table \* ARABIC ">
        <w:r w:rsidR="00CB23C7">
          <w:rPr>
            <w:noProof/>
          </w:rPr>
          <w:t>8</w:t>
        </w:r>
      </w:fldSimple>
      <w:bookmarkEnd w:id="43"/>
      <w:r w:rsidRPr="00FA2AB8">
        <w:t xml:space="preserve">: Naïve </w:t>
      </w:r>
      <w:r w:rsidR="007E048C" w:rsidRPr="00FA2AB8">
        <w:t xml:space="preserve">(unanchored and unadjusted) indirect </w:t>
      </w:r>
      <w:r w:rsidRPr="00FA2AB8">
        <w:t>comparison of NEMO 24 weeks (16 + 8) and DUPI 16 weeks response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Naïve (unanchored and unadjusted) indirect comparison of NEMO 24 weeks (16 + 8) and DUPI 16 weeks response rates"/>
      </w:tblPr>
      <w:tblGrid>
        <w:gridCol w:w="760"/>
        <w:gridCol w:w="1018"/>
        <w:gridCol w:w="476"/>
        <w:gridCol w:w="483"/>
        <w:gridCol w:w="770"/>
        <w:gridCol w:w="1316"/>
        <w:gridCol w:w="958"/>
        <w:gridCol w:w="1316"/>
        <w:gridCol w:w="959"/>
        <w:gridCol w:w="961"/>
      </w:tblGrid>
      <w:tr w:rsidR="00546DBD" w:rsidRPr="00FA2AB8" w14:paraId="14F26696" w14:textId="77777777" w:rsidTr="00AF29CF">
        <w:trPr>
          <w:trHeight w:val="20"/>
        </w:trPr>
        <w:tc>
          <w:tcPr>
            <w:tcW w:w="985" w:type="pct"/>
            <w:gridSpan w:val="2"/>
            <w:shd w:val="clear" w:color="auto" w:fill="FFFFFF" w:themeFill="background1"/>
            <w:noWrap/>
            <w:tcMar>
              <w:left w:w="20" w:type="dxa"/>
              <w:right w:w="20" w:type="dxa"/>
            </w:tcMar>
            <w:vAlign w:val="center"/>
            <w:hideMark/>
          </w:tcPr>
          <w:p w14:paraId="78C71A4F" w14:textId="77777777" w:rsidR="00546DBD" w:rsidRPr="00FA2AB8" w:rsidRDefault="00546DBD">
            <w:pPr>
              <w:pStyle w:val="TableText0"/>
              <w:rPr>
                <w:rFonts w:cs="Calibri"/>
                <w:b/>
                <w:bCs w:val="0"/>
                <w:szCs w:val="20"/>
              </w:rPr>
            </w:pPr>
          </w:p>
        </w:tc>
        <w:tc>
          <w:tcPr>
            <w:tcW w:w="1688" w:type="pct"/>
            <w:gridSpan w:val="4"/>
            <w:shd w:val="clear" w:color="auto" w:fill="FFFFFF" w:themeFill="background1"/>
            <w:noWrap/>
            <w:tcMar>
              <w:left w:w="20" w:type="dxa"/>
              <w:right w:w="20" w:type="dxa"/>
            </w:tcMar>
            <w:vAlign w:val="center"/>
            <w:hideMark/>
          </w:tcPr>
          <w:p w14:paraId="09494562" w14:textId="77777777" w:rsidR="00546DBD" w:rsidRPr="00FA2AB8" w:rsidRDefault="00546DBD">
            <w:pPr>
              <w:pStyle w:val="TableText0"/>
              <w:jc w:val="center"/>
              <w:rPr>
                <w:rFonts w:cs="Calibri"/>
                <w:b/>
                <w:bCs w:val="0"/>
                <w:szCs w:val="20"/>
              </w:rPr>
            </w:pPr>
            <w:r w:rsidRPr="00FA2AB8">
              <w:rPr>
                <w:rFonts w:cs="Calibri"/>
                <w:b/>
                <w:bCs w:val="0"/>
                <w:szCs w:val="20"/>
              </w:rPr>
              <w:t>NEMO Week 16 from trial</w:t>
            </w:r>
          </w:p>
        </w:tc>
        <w:tc>
          <w:tcPr>
            <w:tcW w:w="1792" w:type="pct"/>
            <w:gridSpan w:val="3"/>
            <w:shd w:val="clear" w:color="auto" w:fill="FFFFFF" w:themeFill="background1"/>
            <w:tcMar>
              <w:left w:w="20" w:type="dxa"/>
              <w:right w:w="20" w:type="dxa"/>
            </w:tcMar>
            <w:vAlign w:val="center"/>
          </w:tcPr>
          <w:p w14:paraId="5AF77DAB" w14:textId="77777777" w:rsidR="00546DBD" w:rsidRPr="00FA2AB8" w:rsidRDefault="00546DBD">
            <w:pPr>
              <w:pStyle w:val="TableText0"/>
              <w:jc w:val="center"/>
              <w:rPr>
                <w:rFonts w:cs="Calibri"/>
                <w:b/>
                <w:bCs w:val="0"/>
                <w:szCs w:val="20"/>
              </w:rPr>
            </w:pPr>
            <w:r w:rsidRPr="00FA2AB8">
              <w:rPr>
                <w:rFonts w:cs="Calibri"/>
                <w:b/>
                <w:bCs w:val="0"/>
                <w:szCs w:val="20"/>
              </w:rPr>
              <w:t xml:space="preserve">Additional 8 weeks </w:t>
            </w:r>
            <w:r w:rsidRPr="00FA2AB8">
              <w:rPr>
                <w:rFonts w:cs="Calibri"/>
                <w:b/>
                <w:bCs w:val="0"/>
                <w:szCs w:val="20"/>
              </w:rPr>
              <w:br/>
              <w:t>(i.e. up to 24 weeks initial period)</w:t>
            </w:r>
          </w:p>
        </w:tc>
        <w:tc>
          <w:tcPr>
            <w:tcW w:w="534" w:type="pct"/>
            <w:vMerge w:val="restart"/>
            <w:shd w:val="clear" w:color="auto" w:fill="FFFFFF" w:themeFill="background1"/>
            <w:tcMar>
              <w:left w:w="20" w:type="dxa"/>
              <w:right w:w="20" w:type="dxa"/>
            </w:tcMar>
            <w:vAlign w:val="center"/>
          </w:tcPr>
          <w:p w14:paraId="639CE462" w14:textId="004FDF6B" w:rsidR="00546DBD" w:rsidRPr="00FA2AB8" w:rsidRDefault="00546DBD">
            <w:pPr>
              <w:pStyle w:val="TableText0"/>
              <w:jc w:val="center"/>
              <w:rPr>
                <w:rFonts w:cs="Calibri"/>
                <w:b/>
                <w:bCs w:val="0"/>
                <w:szCs w:val="20"/>
                <w:vertAlign w:val="superscript"/>
              </w:rPr>
            </w:pPr>
            <w:r w:rsidRPr="00FA2AB8">
              <w:rPr>
                <w:rFonts w:cs="Calibri"/>
                <w:b/>
                <w:bCs w:val="0"/>
                <w:szCs w:val="20"/>
                <w:shd w:val="clear" w:color="auto" w:fill="FFFFFF" w:themeFill="background1"/>
              </w:rPr>
              <w:t xml:space="preserve">DUPI response at 16 </w:t>
            </w:r>
            <w:proofErr w:type="spellStart"/>
            <w:r w:rsidRPr="00FA2AB8">
              <w:rPr>
                <w:rFonts w:cs="Calibri"/>
                <w:b/>
                <w:bCs w:val="0"/>
                <w:szCs w:val="20"/>
                <w:shd w:val="clear" w:color="auto" w:fill="FFFFFF" w:themeFill="background1"/>
              </w:rPr>
              <w:t>weeks</w:t>
            </w:r>
            <w:r w:rsidR="00A9403C" w:rsidRPr="00FA2AB8">
              <w:rPr>
                <w:rFonts w:cs="Calibri"/>
                <w:b/>
                <w:bCs w:val="0"/>
                <w:szCs w:val="20"/>
                <w:shd w:val="clear" w:color="auto" w:fill="FFFFFF" w:themeFill="background1"/>
                <w:vertAlign w:val="superscript"/>
              </w:rPr>
              <w:t>a</w:t>
            </w:r>
            <w:proofErr w:type="spellEnd"/>
          </w:p>
        </w:tc>
      </w:tr>
      <w:tr w:rsidR="00546DBD" w:rsidRPr="00FA2AB8" w14:paraId="18D8A88C" w14:textId="77777777" w:rsidTr="00AF29CF">
        <w:trPr>
          <w:trHeight w:val="20"/>
        </w:trPr>
        <w:tc>
          <w:tcPr>
            <w:tcW w:w="421" w:type="pct"/>
            <w:shd w:val="clear" w:color="auto" w:fill="FFFFFF" w:themeFill="background1"/>
            <w:noWrap/>
            <w:tcMar>
              <w:left w:w="20" w:type="dxa"/>
              <w:right w:w="20" w:type="dxa"/>
            </w:tcMar>
            <w:vAlign w:val="center"/>
            <w:hideMark/>
          </w:tcPr>
          <w:p w14:paraId="325639F2" w14:textId="77777777" w:rsidR="00546DBD" w:rsidRPr="00FA2AB8" w:rsidRDefault="00546DBD">
            <w:pPr>
              <w:pStyle w:val="TableText0"/>
              <w:rPr>
                <w:rFonts w:cs="Calibri"/>
                <w:b/>
                <w:bCs w:val="0"/>
                <w:szCs w:val="20"/>
              </w:rPr>
            </w:pPr>
            <w:r w:rsidRPr="00FA2AB8">
              <w:rPr>
                <w:rFonts w:cs="Calibri"/>
                <w:b/>
                <w:bCs w:val="0"/>
                <w:szCs w:val="20"/>
              </w:rPr>
              <w:t>Pop</w:t>
            </w:r>
          </w:p>
        </w:tc>
        <w:tc>
          <w:tcPr>
            <w:tcW w:w="564" w:type="pct"/>
            <w:shd w:val="clear" w:color="auto" w:fill="FFFFFF" w:themeFill="background1"/>
            <w:noWrap/>
            <w:tcMar>
              <w:left w:w="20" w:type="dxa"/>
              <w:right w:w="20" w:type="dxa"/>
            </w:tcMar>
            <w:vAlign w:val="center"/>
            <w:hideMark/>
          </w:tcPr>
          <w:p w14:paraId="30F9CE42" w14:textId="77777777" w:rsidR="00546DBD" w:rsidRPr="00FA2AB8" w:rsidRDefault="00546DBD">
            <w:pPr>
              <w:pStyle w:val="TableText0"/>
              <w:rPr>
                <w:rFonts w:cs="Calibri"/>
                <w:b/>
                <w:bCs w:val="0"/>
                <w:szCs w:val="20"/>
              </w:rPr>
            </w:pPr>
            <w:r w:rsidRPr="00FA2AB8">
              <w:rPr>
                <w:rFonts w:cs="Calibri"/>
                <w:b/>
                <w:bCs w:val="0"/>
                <w:szCs w:val="20"/>
              </w:rPr>
              <w:t>Outcome</w:t>
            </w:r>
          </w:p>
        </w:tc>
        <w:tc>
          <w:tcPr>
            <w:tcW w:w="264" w:type="pct"/>
            <w:shd w:val="clear" w:color="auto" w:fill="FFFFFF" w:themeFill="background1"/>
            <w:noWrap/>
            <w:tcMar>
              <w:left w:w="20" w:type="dxa"/>
              <w:right w:w="20" w:type="dxa"/>
            </w:tcMar>
            <w:vAlign w:val="center"/>
            <w:hideMark/>
          </w:tcPr>
          <w:p w14:paraId="7A6A8F8B" w14:textId="77777777" w:rsidR="00546DBD" w:rsidRPr="00FA2AB8" w:rsidRDefault="00546DBD" w:rsidP="00E5288D">
            <w:pPr>
              <w:pStyle w:val="TableText0"/>
              <w:jc w:val="center"/>
              <w:rPr>
                <w:rFonts w:cs="Calibri"/>
                <w:b/>
                <w:bCs w:val="0"/>
                <w:szCs w:val="20"/>
              </w:rPr>
            </w:pPr>
            <w:r w:rsidRPr="00FA2AB8">
              <w:rPr>
                <w:rFonts w:cs="Calibri"/>
                <w:b/>
                <w:bCs w:val="0"/>
                <w:szCs w:val="20"/>
              </w:rPr>
              <w:t>n</w:t>
            </w:r>
          </w:p>
        </w:tc>
        <w:tc>
          <w:tcPr>
            <w:tcW w:w="268" w:type="pct"/>
            <w:shd w:val="clear" w:color="auto" w:fill="FFFFFF" w:themeFill="background1"/>
            <w:noWrap/>
            <w:tcMar>
              <w:left w:w="20" w:type="dxa"/>
              <w:right w:w="20" w:type="dxa"/>
            </w:tcMar>
            <w:vAlign w:val="center"/>
            <w:hideMark/>
          </w:tcPr>
          <w:p w14:paraId="6511B1F8" w14:textId="77777777" w:rsidR="00546DBD" w:rsidRPr="00FA2AB8" w:rsidRDefault="00546DBD" w:rsidP="00E5288D">
            <w:pPr>
              <w:pStyle w:val="TableText0"/>
              <w:jc w:val="center"/>
              <w:rPr>
                <w:rFonts w:cs="Calibri"/>
                <w:b/>
                <w:bCs w:val="0"/>
                <w:szCs w:val="20"/>
              </w:rPr>
            </w:pPr>
            <w:r w:rsidRPr="00FA2AB8">
              <w:rPr>
                <w:rFonts w:cs="Calibri"/>
                <w:b/>
                <w:bCs w:val="0"/>
                <w:szCs w:val="20"/>
              </w:rPr>
              <w:t>N</w:t>
            </w:r>
          </w:p>
        </w:tc>
        <w:tc>
          <w:tcPr>
            <w:tcW w:w="427" w:type="pct"/>
            <w:shd w:val="clear" w:color="auto" w:fill="FFFFFF" w:themeFill="background1"/>
            <w:noWrap/>
            <w:tcMar>
              <w:left w:w="20" w:type="dxa"/>
              <w:right w:w="20" w:type="dxa"/>
            </w:tcMar>
            <w:vAlign w:val="center"/>
            <w:hideMark/>
          </w:tcPr>
          <w:p w14:paraId="72E55547" w14:textId="77777777" w:rsidR="00546DBD" w:rsidRPr="00FA2AB8" w:rsidRDefault="00546DBD" w:rsidP="00E5288D">
            <w:pPr>
              <w:pStyle w:val="TableText0"/>
              <w:jc w:val="center"/>
              <w:rPr>
                <w:rFonts w:cs="Calibri"/>
                <w:b/>
                <w:bCs w:val="0"/>
                <w:szCs w:val="20"/>
              </w:rPr>
            </w:pPr>
            <w:r w:rsidRPr="00FA2AB8">
              <w:rPr>
                <w:rFonts w:cs="Calibri"/>
                <w:b/>
                <w:bCs w:val="0"/>
                <w:szCs w:val="20"/>
              </w:rPr>
              <w:t xml:space="preserve">% </w:t>
            </w:r>
            <w:r w:rsidRPr="00FA2AB8">
              <w:rPr>
                <w:rFonts w:cs="Calibri"/>
                <w:b/>
                <w:bCs w:val="0"/>
                <w:szCs w:val="20"/>
              </w:rPr>
              <w:br/>
              <w:t>response</w:t>
            </w:r>
          </w:p>
        </w:tc>
        <w:tc>
          <w:tcPr>
            <w:tcW w:w="730" w:type="pct"/>
            <w:shd w:val="clear" w:color="auto" w:fill="FFFFFF" w:themeFill="background1"/>
            <w:tcMar>
              <w:left w:w="20" w:type="dxa"/>
              <w:right w:w="20" w:type="dxa"/>
            </w:tcMar>
            <w:vAlign w:val="center"/>
          </w:tcPr>
          <w:p w14:paraId="63056AFE" w14:textId="77777777" w:rsidR="00546DBD" w:rsidRPr="00381C24" w:rsidRDefault="00546DBD">
            <w:pPr>
              <w:pStyle w:val="TableText0"/>
              <w:jc w:val="center"/>
              <w:rPr>
                <w:rFonts w:cs="Calibri"/>
                <w:b/>
                <w:bCs w:val="0"/>
                <w:szCs w:val="20"/>
                <w:lang w:val="it-IT"/>
              </w:rPr>
            </w:pPr>
            <w:r w:rsidRPr="00381C24">
              <w:rPr>
                <w:rFonts w:cs="Calibri"/>
                <w:b/>
                <w:bCs w:val="0"/>
                <w:szCs w:val="20"/>
                <w:lang w:val="it-IT"/>
              </w:rPr>
              <w:t>Non-responders in ARCADIA 1&amp;2, n</w:t>
            </w:r>
          </w:p>
        </w:tc>
        <w:tc>
          <w:tcPr>
            <w:tcW w:w="531" w:type="pct"/>
            <w:shd w:val="clear" w:color="auto" w:fill="FFFFFF" w:themeFill="background1"/>
            <w:tcMar>
              <w:left w:w="20" w:type="dxa"/>
              <w:right w:w="20" w:type="dxa"/>
            </w:tcMar>
            <w:vAlign w:val="center"/>
          </w:tcPr>
          <w:p w14:paraId="61E6892F" w14:textId="161B9121" w:rsidR="00546DBD" w:rsidRPr="00FA2AB8" w:rsidRDefault="00546DBD">
            <w:pPr>
              <w:pStyle w:val="TableText0"/>
              <w:jc w:val="center"/>
              <w:rPr>
                <w:rFonts w:cs="Calibri"/>
                <w:b/>
                <w:bCs w:val="0"/>
                <w:szCs w:val="20"/>
                <w:vertAlign w:val="superscript"/>
              </w:rPr>
            </w:pPr>
            <w:r w:rsidRPr="00FA2AB8">
              <w:rPr>
                <w:rFonts w:cs="Calibri"/>
                <w:b/>
                <w:bCs w:val="0"/>
                <w:szCs w:val="20"/>
              </w:rPr>
              <w:t xml:space="preserve">% additional response from </w:t>
            </w:r>
            <w:proofErr w:type="spellStart"/>
            <w:r w:rsidRPr="00FA2AB8">
              <w:rPr>
                <w:rFonts w:cs="Calibri"/>
                <w:b/>
                <w:bCs w:val="0"/>
                <w:szCs w:val="20"/>
              </w:rPr>
              <w:t>LTE</w:t>
            </w:r>
            <w:r w:rsidR="00A9403C" w:rsidRPr="00FA2AB8">
              <w:rPr>
                <w:rFonts w:cs="Calibri"/>
                <w:b/>
                <w:bCs w:val="0"/>
                <w:szCs w:val="20"/>
                <w:vertAlign w:val="superscript"/>
              </w:rPr>
              <w:t>b</w:t>
            </w:r>
            <w:proofErr w:type="spellEnd"/>
          </w:p>
        </w:tc>
        <w:tc>
          <w:tcPr>
            <w:tcW w:w="730" w:type="pct"/>
            <w:shd w:val="clear" w:color="auto" w:fill="FFFFFF" w:themeFill="background1"/>
            <w:tcMar>
              <w:left w:w="20" w:type="dxa"/>
              <w:right w:w="20" w:type="dxa"/>
            </w:tcMar>
            <w:vAlign w:val="center"/>
          </w:tcPr>
          <w:p w14:paraId="6429B407" w14:textId="5AFA18AC" w:rsidR="00546DBD" w:rsidRPr="00FA2AB8" w:rsidRDefault="00546DBD">
            <w:pPr>
              <w:pStyle w:val="TableText0"/>
              <w:jc w:val="center"/>
              <w:rPr>
                <w:rFonts w:cs="Calibri"/>
                <w:b/>
                <w:bCs w:val="0"/>
                <w:szCs w:val="20"/>
                <w:vertAlign w:val="superscript"/>
              </w:rPr>
            </w:pPr>
            <w:r w:rsidRPr="00FA2AB8">
              <w:rPr>
                <w:rFonts w:cs="Calibri"/>
                <w:b/>
                <w:bCs w:val="0"/>
                <w:szCs w:val="20"/>
              </w:rPr>
              <w:t xml:space="preserve">Expected total responders after 24 weeks, </w:t>
            </w:r>
            <w:proofErr w:type="spellStart"/>
            <w:r w:rsidRPr="00FA2AB8">
              <w:rPr>
                <w:rFonts w:cs="Calibri"/>
                <w:b/>
                <w:bCs w:val="0"/>
                <w:szCs w:val="20"/>
              </w:rPr>
              <w:t>n</w:t>
            </w:r>
            <w:r w:rsidR="009D4D6F" w:rsidRPr="00FA2AB8">
              <w:rPr>
                <w:rFonts w:cs="Calibri"/>
                <w:b/>
                <w:bCs w:val="0"/>
                <w:szCs w:val="20"/>
                <w:vertAlign w:val="superscript"/>
              </w:rPr>
              <w:t>d</w:t>
            </w:r>
            <w:proofErr w:type="spellEnd"/>
          </w:p>
        </w:tc>
        <w:tc>
          <w:tcPr>
            <w:tcW w:w="532" w:type="pct"/>
            <w:shd w:val="clear" w:color="auto" w:fill="FFFFFF" w:themeFill="background1"/>
            <w:tcMar>
              <w:left w:w="20" w:type="dxa"/>
              <w:right w:w="20" w:type="dxa"/>
            </w:tcMar>
            <w:vAlign w:val="center"/>
            <w:hideMark/>
          </w:tcPr>
          <w:p w14:paraId="2EEC5639" w14:textId="77777777" w:rsidR="00546DBD" w:rsidRPr="00FA2AB8" w:rsidRDefault="00546DBD">
            <w:pPr>
              <w:pStyle w:val="TableText0"/>
              <w:jc w:val="center"/>
              <w:rPr>
                <w:rFonts w:cs="Calibri"/>
                <w:b/>
                <w:bCs w:val="0"/>
                <w:szCs w:val="20"/>
              </w:rPr>
            </w:pPr>
            <w:r w:rsidRPr="00FA2AB8">
              <w:rPr>
                <w:rFonts w:cs="Calibri"/>
                <w:b/>
                <w:bCs w:val="0"/>
                <w:szCs w:val="20"/>
              </w:rPr>
              <w:t>Total NEMO response at 24 weeks</w:t>
            </w:r>
          </w:p>
        </w:tc>
        <w:tc>
          <w:tcPr>
            <w:tcW w:w="534" w:type="pct"/>
            <w:vMerge/>
            <w:shd w:val="clear" w:color="auto" w:fill="D9D9D9" w:themeFill="background1" w:themeFillShade="D9"/>
            <w:tcMar>
              <w:left w:w="20" w:type="dxa"/>
              <w:right w:w="20" w:type="dxa"/>
            </w:tcMar>
            <w:vAlign w:val="center"/>
            <w:hideMark/>
          </w:tcPr>
          <w:p w14:paraId="3BB48ED7" w14:textId="77777777" w:rsidR="00546DBD" w:rsidRPr="00FA2AB8" w:rsidRDefault="00546DBD">
            <w:pPr>
              <w:pStyle w:val="TableText0"/>
              <w:jc w:val="center"/>
              <w:rPr>
                <w:rFonts w:cs="Calibri"/>
                <w:b/>
                <w:bCs w:val="0"/>
                <w:szCs w:val="20"/>
              </w:rPr>
            </w:pPr>
          </w:p>
        </w:tc>
      </w:tr>
      <w:tr w:rsidR="00546DBD" w:rsidRPr="00FA2AB8" w14:paraId="7D6E7CEC" w14:textId="77777777" w:rsidTr="00AF29CF">
        <w:trPr>
          <w:trHeight w:val="20"/>
        </w:trPr>
        <w:tc>
          <w:tcPr>
            <w:tcW w:w="421" w:type="pct"/>
            <w:noWrap/>
            <w:tcMar>
              <w:left w:w="20" w:type="dxa"/>
              <w:right w:w="20" w:type="dxa"/>
            </w:tcMar>
            <w:vAlign w:val="center"/>
            <w:hideMark/>
          </w:tcPr>
          <w:p w14:paraId="4AC6BF8D" w14:textId="77777777" w:rsidR="00546DBD" w:rsidRPr="00FA2AB8" w:rsidRDefault="00546DBD">
            <w:pPr>
              <w:pStyle w:val="TableText0"/>
              <w:rPr>
                <w:rFonts w:cs="Calibri"/>
                <w:szCs w:val="20"/>
              </w:rPr>
            </w:pPr>
            <w:r w:rsidRPr="00FA2AB8">
              <w:rPr>
                <w:rFonts w:cs="Calibri"/>
                <w:szCs w:val="20"/>
              </w:rPr>
              <w:t>ITT</w:t>
            </w:r>
          </w:p>
        </w:tc>
        <w:tc>
          <w:tcPr>
            <w:tcW w:w="564" w:type="pct"/>
            <w:noWrap/>
            <w:tcMar>
              <w:left w:w="20" w:type="dxa"/>
              <w:right w:w="20" w:type="dxa"/>
            </w:tcMar>
            <w:vAlign w:val="center"/>
            <w:hideMark/>
          </w:tcPr>
          <w:p w14:paraId="45AF6302" w14:textId="77777777" w:rsidR="00546DBD" w:rsidRPr="00FA2AB8" w:rsidRDefault="00546DBD">
            <w:pPr>
              <w:pStyle w:val="TableText0"/>
              <w:rPr>
                <w:rFonts w:cs="Calibri"/>
                <w:szCs w:val="20"/>
              </w:rPr>
            </w:pPr>
            <w:r w:rsidRPr="00FA2AB8">
              <w:rPr>
                <w:rFonts w:cs="Calibri"/>
                <w:szCs w:val="20"/>
              </w:rPr>
              <w:t>EASI-75</w:t>
            </w:r>
          </w:p>
        </w:tc>
        <w:tc>
          <w:tcPr>
            <w:tcW w:w="264" w:type="pct"/>
            <w:noWrap/>
            <w:tcMar>
              <w:left w:w="20" w:type="dxa"/>
              <w:right w:w="20" w:type="dxa"/>
            </w:tcMar>
            <w:vAlign w:val="center"/>
            <w:hideMark/>
          </w:tcPr>
          <w:p w14:paraId="747614F2" w14:textId="77777777" w:rsidR="00546DBD" w:rsidRPr="00FA2AB8" w:rsidRDefault="00546DBD">
            <w:pPr>
              <w:pStyle w:val="TableText0"/>
              <w:jc w:val="center"/>
              <w:rPr>
                <w:rFonts w:cs="Calibri"/>
                <w:szCs w:val="20"/>
              </w:rPr>
            </w:pPr>
            <w:r w:rsidRPr="00FA2AB8">
              <w:rPr>
                <w:rFonts w:cs="Calibri"/>
                <w:szCs w:val="20"/>
              </w:rPr>
              <w:t>490</w:t>
            </w:r>
          </w:p>
        </w:tc>
        <w:tc>
          <w:tcPr>
            <w:tcW w:w="268" w:type="pct"/>
            <w:noWrap/>
            <w:tcMar>
              <w:left w:w="20" w:type="dxa"/>
              <w:right w:w="20" w:type="dxa"/>
            </w:tcMar>
            <w:vAlign w:val="center"/>
            <w:hideMark/>
          </w:tcPr>
          <w:p w14:paraId="710E8438" w14:textId="77777777" w:rsidR="00546DBD" w:rsidRPr="00FA2AB8" w:rsidRDefault="00546DBD">
            <w:pPr>
              <w:pStyle w:val="TableText0"/>
              <w:jc w:val="center"/>
              <w:rPr>
                <w:rFonts w:cs="Calibri"/>
                <w:szCs w:val="20"/>
              </w:rPr>
            </w:pPr>
            <w:r w:rsidRPr="00FA2AB8">
              <w:rPr>
                <w:rFonts w:cs="Calibri"/>
                <w:szCs w:val="20"/>
              </w:rPr>
              <w:t>1,142</w:t>
            </w:r>
          </w:p>
        </w:tc>
        <w:tc>
          <w:tcPr>
            <w:tcW w:w="427" w:type="pct"/>
            <w:noWrap/>
            <w:tcMar>
              <w:left w:w="20" w:type="dxa"/>
              <w:right w:w="20" w:type="dxa"/>
            </w:tcMar>
            <w:vAlign w:val="center"/>
            <w:hideMark/>
          </w:tcPr>
          <w:p w14:paraId="54F33F5F" w14:textId="77777777" w:rsidR="00546DBD" w:rsidRPr="00FA2AB8" w:rsidRDefault="00546DBD">
            <w:pPr>
              <w:pStyle w:val="TableText0"/>
              <w:jc w:val="center"/>
              <w:rPr>
                <w:rFonts w:cs="Calibri"/>
                <w:szCs w:val="20"/>
              </w:rPr>
            </w:pPr>
            <w:r w:rsidRPr="00FA2AB8">
              <w:rPr>
                <w:rFonts w:cs="Calibri"/>
                <w:szCs w:val="20"/>
              </w:rPr>
              <w:t>42.9%</w:t>
            </w:r>
          </w:p>
        </w:tc>
        <w:tc>
          <w:tcPr>
            <w:tcW w:w="730" w:type="pct"/>
            <w:tcMar>
              <w:left w:w="20" w:type="dxa"/>
              <w:right w:w="20" w:type="dxa"/>
            </w:tcMar>
            <w:vAlign w:val="center"/>
          </w:tcPr>
          <w:p w14:paraId="12D2F010" w14:textId="77777777" w:rsidR="00546DBD" w:rsidRPr="00FA2AB8" w:rsidRDefault="00546DBD">
            <w:pPr>
              <w:pStyle w:val="TableText0"/>
              <w:jc w:val="center"/>
              <w:rPr>
                <w:rFonts w:cs="Calibri"/>
                <w:szCs w:val="20"/>
              </w:rPr>
            </w:pPr>
            <w:r w:rsidRPr="00FA2AB8">
              <w:rPr>
                <w:rFonts w:cs="Calibri"/>
                <w:szCs w:val="20"/>
              </w:rPr>
              <w:t>652</w:t>
            </w:r>
          </w:p>
        </w:tc>
        <w:tc>
          <w:tcPr>
            <w:tcW w:w="531" w:type="pct"/>
            <w:tcMar>
              <w:left w:w="20" w:type="dxa"/>
              <w:right w:w="20" w:type="dxa"/>
            </w:tcMar>
            <w:vAlign w:val="center"/>
          </w:tcPr>
          <w:p w14:paraId="41505367" w14:textId="77777777" w:rsidR="00546DBD" w:rsidRPr="00FA2AB8" w:rsidRDefault="00546DBD">
            <w:pPr>
              <w:pStyle w:val="TableText0"/>
              <w:jc w:val="center"/>
              <w:rPr>
                <w:rFonts w:cs="Calibri"/>
                <w:szCs w:val="20"/>
              </w:rPr>
            </w:pPr>
            <w:r w:rsidRPr="00FA2AB8">
              <w:rPr>
                <w:rFonts w:cs="Calibri"/>
                <w:szCs w:val="20"/>
              </w:rPr>
              <w:t>30.1%</w:t>
            </w:r>
          </w:p>
        </w:tc>
        <w:tc>
          <w:tcPr>
            <w:tcW w:w="730" w:type="pct"/>
            <w:tcMar>
              <w:left w:w="20" w:type="dxa"/>
              <w:right w:w="20" w:type="dxa"/>
            </w:tcMar>
            <w:vAlign w:val="center"/>
          </w:tcPr>
          <w:p w14:paraId="419C7C19" w14:textId="77777777" w:rsidR="00546DBD" w:rsidRPr="00FA2AB8" w:rsidRDefault="00546DBD">
            <w:pPr>
              <w:pStyle w:val="TableText0"/>
              <w:jc w:val="center"/>
              <w:rPr>
                <w:rFonts w:cs="Calibri"/>
                <w:szCs w:val="20"/>
              </w:rPr>
            </w:pPr>
            <w:r w:rsidRPr="00FA2AB8">
              <w:rPr>
                <w:rFonts w:cs="Calibri"/>
                <w:szCs w:val="20"/>
              </w:rPr>
              <w:t>686</w:t>
            </w:r>
          </w:p>
        </w:tc>
        <w:tc>
          <w:tcPr>
            <w:tcW w:w="532" w:type="pct"/>
            <w:noWrap/>
            <w:tcMar>
              <w:left w:w="20" w:type="dxa"/>
              <w:right w:w="20" w:type="dxa"/>
            </w:tcMar>
            <w:vAlign w:val="center"/>
          </w:tcPr>
          <w:p w14:paraId="2B519137" w14:textId="77777777" w:rsidR="00546DBD" w:rsidRPr="00FA2AB8" w:rsidRDefault="00546DBD">
            <w:pPr>
              <w:pStyle w:val="TableText0"/>
              <w:jc w:val="center"/>
              <w:rPr>
                <w:rFonts w:cs="Calibri"/>
                <w:szCs w:val="20"/>
              </w:rPr>
            </w:pPr>
            <w:r w:rsidRPr="00FA2AB8">
              <w:rPr>
                <w:rFonts w:cs="Calibri"/>
                <w:szCs w:val="20"/>
              </w:rPr>
              <w:t>60.1%</w:t>
            </w:r>
          </w:p>
        </w:tc>
        <w:tc>
          <w:tcPr>
            <w:tcW w:w="534" w:type="pct"/>
            <w:noWrap/>
            <w:tcMar>
              <w:left w:w="20" w:type="dxa"/>
              <w:right w:w="20" w:type="dxa"/>
            </w:tcMar>
            <w:vAlign w:val="center"/>
            <w:hideMark/>
          </w:tcPr>
          <w:p w14:paraId="733CC56B" w14:textId="77777777" w:rsidR="00546DBD" w:rsidRPr="00FA2AB8" w:rsidRDefault="00546DBD">
            <w:pPr>
              <w:pStyle w:val="TableText0"/>
              <w:jc w:val="center"/>
              <w:rPr>
                <w:rFonts w:cs="Calibri"/>
                <w:szCs w:val="20"/>
              </w:rPr>
            </w:pPr>
            <w:r w:rsidRPr="00FA2AB8">
              <w:rPr>
                <w:rFonts w:cs="Calibri"/>
                <w:szCs w:val="20"/>
              </w:rPr>
              <w:t>64.2%</w:t>
            </w:r>
          </w:p>
        </w:tc>
      </w:tr>
      <w:tr w:rsidR="00546DBD" w:rsidRPr="00FA2AB8" w14:paraId="26D44BFE" w14:textId="77777777" w:rsidTr="00AF29CF">
        <w:trPr>
          <w:trHeight w:val="20"/>
        </w:trPr>
        <w:tc>
          <w:tcPr>
            <w:tcW w:w="421" w:type="pct"/>
            <w:noWrap/>
            <w:tcMar>
              <w:left w:w="20" w:type="dxa"/>
              <w:right w:w="20" w:type="dxa"/>
            </w:tcMar>
            <w:vAlign w:val="center"/>
            <w:hideMark/>
          </w:tcPr>
          <w:p w14:paraId="12BB6F09" w14:textId="77777777" w:rsidR="00546DBD" w:rsidRPr="00FA2AB8" w:rsidRDefault="00546DBD">
            <w:pPr>
              <w:pStyle w:val="TableText0"/>
              <w:rPr>
                <w:rFonts w:cs="Calibri"/>
                <w:szCs w:val="20"/>
              </w:rPr>
            </w:pPr>
            <w:r w:rsidRPr="00FA2AB8">
              <w:rPr>
                <w:rFonts w:cs="Calibri"/>
                <w:szCs w:val="20"/>
              </w:rPr>
              <w:t>ITT</w:t>
            </w:r>
          </w:p>
        </w:tc>
        <w:tc>
          <w:tcPr>
            <w:tcW w:w="564" w:type="pct"/>
            <w:noWrap/>
            <w:tcMar>
              <w:left w:w="20" w:type="dxa"/>
              <w:right w:w="20" w:type="dxa"/>
            </w:tcMar>
            <w:vAlign w:val="center"/>
            <w:hideMark/>
          </w:tcPr>
          <w:p w14:paraId="3B9F6524" w14:textId="77777777" w:rsidR="00546DBD" w:rsidRPr="00FA2AB8" w:rsidRDefault="00546DBD">
            <w:pPr>
              <w:pStyle w:val="TableText0"/>
              <w:rPr>
                <w:rFonts w:cs="Calibri"/>
                <w:szCs w:val="20"/>
              </w:rPr>
            </w:pPr>
            <w:r w:rsidRPr="00FA2AB8">
              <w:rPr>
                <w:rFonts w:cs="Calibri"/>
                <w:szCs w:val="20"/>
              </w:rPr>
              <w:t>IGA 0/1</w:t>
            </w:r>
          </w:p>
        </w:tc>
        <w:tc>
          <w:tcPr>
            <w:tcW w:w="264" w:type="pct"/>
            <w:noWrap/>
            <w:tcMar>
              <w:left w:w="20" w:type="dxa"/>
              <w:right w:w="20" w:type="dxa"/>
            </w:tcMar>
            <w:vAlign w:val="center"/>
            <w:hideMark/>
          </w:tcPr>
          <w:p w14:paraId="6CF7EABF" w14:textId="77777777" w:rsidR="00546DBD" w:rsidRPr="00FA2AB8" w:rsidRDefault="00546DBD">
            <w:pPr>
              <w:pStyle w:val="TableText0"/>
              <w:jc w:val="center"/>
              <w:rPr>
                <w:rFonts w:cs="Calibri"/>
                <w:szCs w:val="20"/>
              </w:rPr>
            </w:pPr>
            <w:r w:rsidRPr="00FA2AB8">
              <w:rPr>
                <w:rFonts w:cs="Calibri"/>
                <w:szCs w:val="20"/>
              </w:rPr>
              <w:t>418</w:t>
            </w:r>
          </w:p>
        </w:tc>
        <w:tc>
          <w:tcPr>
            <w:tcW w:w="268" w:type="pct"/>
            <w:noWrap/>
            <w:tcMar>
              <w:left w:w="20" w:type="dxa"/>
              <w:right w:w="20" w:type="dxa"/>
            </w:tcMar>
            <w:vAlign w:val="center"/>
            <w:hideMark/>
          </w:tcPr>
          <w:p w14:paraId="7DF584F7" w14:textId="77777777" w:rsidR="00546DBD" w:rsidRPr="00FA2AB8" w:rsidRDefault="00546DBD">
            <w:pPr>
              <w:pStyle w:val="TableText0"/>
              <w:jc w:val="center"/>
              <w:rPr>
                <w:rFonts w:cs="Calibri"/>
                <w:szCs w:val="20"/>
              </w:rPr>
            </w:pPr>
            <w:r w:rsidRPr="00FA2AB8">
              <w:rPr>
                <w:rFonts w:cs="Calibri"/>
                <w:szCs w:val="20"/>
              </w:rPr>
              <w:t>1,142</w:t>
            </w:r>
          </w:p>
        </w:tc>
        <w:tc>
          <w:tcPr>
            <w:tcW w:w="427" w:type="pct"/>
            <w:noWrap/>
            <w:tcMar>
              <w:left w:w="20" w:type="dxa"/>
              <w:right w:w="20" w:type="dxa"/>
            </w:tcMar>
            <w:vAlign w:val="center"/>
            <w:hideMark/>
          </w:tcPr>
          <w:p w14:paraId="4EFAE101" w14:textId="77777777" w:rsidR="00546DBD" w:rsidRPr="00FA2AB8" w:rsidRDefault="00546DBD">
            <w:pPr>
              <w:pStyle w:val="TableText0"/>
              <w:jc w:val="center"/>
              <w:rPr>
                <w:rFonts w:cs="Calibri"/>
                <w:szCs w:val="20"/>
              </w:rPr>
            </w:pPr>
            <w:r w:rsidRPr="00FA2AB8">
              <w:rPr>
                <w:rFonts w:cs="Calibri"/>
                <w:szCs w:val="20"/>
              </w:rPr>
              <w:t>36.6%</w:t>
            </w:r>
          </w:p>
        </w:tc>
        <w:tc>
          <w:tcPr>
            <w:tcW w:w="730" w:type="pct"/>
            <w:tcMar>
              <w:left w:w="20" w:type="dxa"/>
              <w:right w:w="20" w:type="dxa"/>
            </w:tcMar>
            <w:vAlign w:val="center"/>
          </w:tcPr>
          <w:p w14:paraId="0996C526" w14:textId="77777777" w:rsidR="00546DBD" w:rsidRPr="00FA2AB8" w:rsidRDefault="00546DBD">
            <w:pPr>
              <w:pStyle w:val="TableText0"/>
              <w:jc w:val="center"/>
              <w:rPr>
                <w:rFonts w:cs="Calibri"/>
                <w:szCs w:val="20"/>
              </w:rPr>
            </w:pPr>
            <w:r w:rsidRPr="00FA2AB8">
              <w:rPr>
                <w:rFonts w:cs="Calibri"/>
                <w:szCs w:val="20"/>
              </w:rPr>
              <w:t>724</w:t>
            </w:r>
          </w:p>
        </w:tc>
        <w:tc>
          <w:tcPr>
            <w:tcW w:w="531" w:type="pct"/>
            <w:tcMar>
              <w:left w:w="20" w:type="dxa"/>
              <w:right w:w="20" w:type="dxa"/>
            </w:tcMar>
            <w:vAlign w:val="center"/>
          </w:tcPr>
          <w:p w14:paraId="7815F7DA" w14:textId="77777777" w:rsidR="00546DBD" w:rsidRPr="00FA2AB8" w:rsidRDefault="00546DBD">
            <w:pPr>
              <w:pStyle w:val="TableText0"/>
              <w:jc w:val="center"/>
              <w:rPr>
                <w:rFonts w:cs="Calibri"/>
                <w:szCs w:val="20"/>
              </w:rPr>
            </w:pPr>
            <w:r w:rsidRPr="00FA2AB8">
              <w:rPr>
                <w:rFonts w:cs="Calibri"/>
                <w:szCs w:val="20"/>
              </w:rPr>
              <w:t>9.6%</w:t>
            </w:r>
          </w:p>
        </w:tc>
        <w:tc>
          <w:tcPr>
            <w:tcW w:w="730" w:type="pct"/>
            <w:tcMar>
              <w:left w:w="20" w:type="dxa"/>
              <w:right w:w="20" w:type="dxa"/>
            </w:tcMar>
            <w:vAlign w:val="center"/>
          </w:tcPr>
          <w:p w14:paraId="7DD2571C" w14:textId="77777777" w:rsidR="00546DBD" w:rsidRPr="00FA2AB8" w:rsidRDefault="00546DBD">
            <w:pPr>
              <w:pStyle w:val="TableText0"/>
              <w:jc w:val="center"/>
              <w:rPr>
                <w:rFonts w:cs="Calibri"/>
                <w:szCs w:val="20"/>
              </w:rPr>
            </w:pPr>
            <w:r w:rsidRPr="00FA2AB8">
              <w:rPr>
                <w:rFonts w:cs="Calibri"/>
                <w:szCs w:val="20"/>
              </w:rPr>
              <w:t>488</w:t>
            </w:r>
          </w:p>
        </w:tc>
        <w:tc>
          <w:tcPr>
            <w:tcW w:w="532" w:type="pct"/>
            <w:noWrap/>
            <w:tcMar>
              <w:left w:w="20" w:type="dxa"/>
              <w:right w:w="20" w:type="dxa"/>
            </w:tcMar>
            <w:vAlign w:val="center"/>
          </w:tcPr>
          <w:p w14:paraId="0964C330" w14:textId="77777777" w:rsidR="00546DBD" w:rsidRPr="00FA2AB8" w:rsidRDefault="00546DBD">
            <w:pPr>
              <w:pStyle w:val="TableText0"/>
              <w:jc w:val="center"/>
              <w:rPr>
                <w:rFonts w:cs="Calibri"/>
                <w:szCs w:val="20"/>
              </w:rPr>
            </w:pPr>
            <w:r w:rsidRPr="00FA2AB8">
              <w:rPr>
                <w:rFonts w:cs="Calibri"/>
                <w:szCs w:val="20"/>
              </w:rPr>
              <w:t>42.7%</w:t>
            </w:r>
          </w:p>
        </w:tc>
        <w:tc>
          <w:tcPr>
            <w:tcW w:w="534" w:type="pct"/>
            <w:noWrap/>
            <w:tcMar>
              <w:left w:w="20" w:type="dxa"/>
              <w:right w:w="20" w:type="dxa"/>
            </w:tcMar>
            <w:vAlign w:val="center"/>
            <w:hideMark/>
          </w:tcPr>
          <w:p w14:paraId="79A0BF35" w14:textId="77777777" w:rsidR="00546DBD" w:rsidRPr="00FA2AB8" w:rsidRDefault="00546DBD">
            <w:pPr>
              <w:pStyle w:val="TableText0"/>
              <w:jc w:val="center"/>
              <w:rPr>
                <w:rFonts w:cs="Calibri"/>
                <w:szCs w:val="20"/>
              </w:rPr>
            </w:pPr>
            <w:r w:rsidRPr="00FA2AB8">
              <w:rPr>
                <w:rFonts w:cs="Calibri"/>
                <w:szCs w:val="20"/>
              </w:rPr>
              <w:t>38.2%</w:t>
            </w:r>
          </w:p>
        </w:tc>
      </w:tr>
      <w:tr w:rsidR="00546DBD" w:rsidRPr="00FA2AB8" w14:paraId="4E5DA329" w14:textId="77777777" w:rsidTr="00AF29CF">
        <w:trPr>
          <w:trHeight w:val="20"/>
        </w:trPr>
        <w:tc>
          <w:tcPr>
            <w:tcW w:w="421" w:type="pct"/>
            <w:noWrap/>
            <w:tcMar>
              <w:left w:w="20" w:type="dxa"/>
              <w:right w:w="20" w:type="dxa"/>
            </w:tcMar>
            <w:vAlign w:val="center"/>
            <w:hideMark/>
          </w:tcPr>
          <w:p w14:paraId="39740CF1" w14:textId="20F4F6E3" w:rsidR="00546DBD" w:rsidRPr="00FA2AB8" w:rsidRDefault="00546DBD">
            <w:pPr>
              <w:pStyle w:val="TableText0"/>
              <w:rPr>
                <w:rFonts w:cs="Calibri"/>
                <w:szCs w:val="20"/>
              </w:rPr>
            </w:pPr>
            <w:proofErr w:type="spellStart"/>
            <w:r w:rsidRPr="00FA2AB8">
              <w:rPr>
                <w:rFonts w:cs="Calibri"/>
                <w:szCs w:val="20"/>
              </w:rPr>
              <w:t>PBS</w:t>
            </w:r>
            <w:r w:rsidR="00A9403C" w:rsidRPr="00FA2AB8">
              <w:rPr>
                <w:rFonts w:cs="Calibri"/>
                <w:szCs w:val="20"/>
                <w:vertAlign w:val="superscript"/>
              </w:rPr>
              <w:t>c</w:t>
            </w:r>
            <w:proofErr w:type="spellEnd"/>
            <w:r w:rsidRPr="00FA2AB8">
              <w:rPr>
                <w:rFonts w:cs="Calibri"/>
                <w:szCs w:val="20"/>
              </w:rPr>
              <w:t xml:space="preserve"> </w:t>
            </w:r>
          </w:p>
        </w:tc>
        <w:tc>
          <w:tcPr>
            <w:tcW w:w="564" w:type="pct"/>
            <w:noWrap/>
            <w:tcMar>
              <w:left w:w="20" w:type="dxa"/>
              <w:right w:w="20" w:type="dxa"/>
            </w:tcMar>
            <w:vAlign w:val="center"/>
            <w:hideMark/>
          </w:tcPr>
          <w:p w14:paraId="34213FD6" w14:textId="77777777" w:rsidR="00546DBD" w:rsidRPr="00FA2AB8" w:rsidRDefault="00546DBD">
            <w:pPr>
              <w:pStyle w:val="TableText0"/>
              <w:rPr>
                <w:rFonts w:cs="Calibri"/>
                <w:szCs w:val="20"/>
              </w:rPr>
            </w:pPr>
            <w:r w:rsidRPr="00FA2AB8">
              <w:rPr>
                <w:rFonts w:cs="Calibri"/>
                <w:szCs w:val="20"/>
              </w:rPr>
              <w:t>EASI-50</w:t>
            </w:r>
          </w:p>
        </w:tc>
        <w:tc>
          <w:tcPr>
            <w:tcW w:w="264" w:type="pct"/>
            <w:noWrap/>
            <w:tcMar>
              <w:left w:w="20" w:type="dxa"/>
              <w:right w:w="20" w:type="dxa"/>
            </w:tcMar>
            <w:vAlign w:val="center"/>
            <w:hideMark/>
          </w:tcPr>
          <w:p w14:paraId="7A9AB6C0" w14:textId="77777777" w:rsidR="00546DBD" w:rsidRPr="00FA2AB8" w:rsidRDefault="00546DBD">
            <w:pPr>
              <w:pStyle w:val="TableText0"/>
              <w:jc w:val="center"/>
              <w:rPr>
                <w:rFonts w:cs="Calibri"/>
                <w:szCs w:val="20"/>
              </w:rPr>
            </w:pPr>
            <w:r w:rsidRPr="00FA2AB8">
              <w:rPr>
                <w:rFonts w:cs="Calibri"/>
                <w:szCs w:val="20"/>
              </w:rPr>
              <w:t>164</w:t>
            </w:r>
          </w:p>
        </w:tc>
        <w:tc>
          <w:tcPr>
            <w:tcW w:w="268" w:type="pct"/>
            <w:noWrap/>
            <w:tcMar>
              <w:left w:w="20" w:type="dxa"/>
              <w:right w:w="20" w:type="dxa"/>
            </w:tcMar>
            <w:vAlign w:val="center"/>
            <w:hideMark/>
          </w:tcPr>
          <w:p w14:paraId="1C61E4EE" w14:textId="77777777" w:rsidR="00546DBD" w:rsidRPr="00FA2AB8" w:rsidRDefault="00546DBD">
            <w:pPr>
              <w:pStyle w:val="TableText0"/>
              <w:jc w:val="center"/>
              <w:rPr>
                <w:rFonts w:cs="Calibri"/>
                <w:szCs w:val="20"/>
              </w:rPr>
            </w:pPr>
            <w:r w:rsidRPr="00FA2AB8">
              <w:rPr>
                <w:rFonts w:cs="Calibri"/>
                <w:szCs w:val="20"/>
              </w:rPr>
              <w:t>330</w:t>
            </w:r>
          </w:p>
        </w:tc>
        <w:tc>
          <w:tcPr>
            <w:tcW w:w="427" w:type="pct"/>
            <w:noWrap/>
            <w:tcMar>
              <w:left w:w="20" w:type="dxa"/>
              <w:right w:w="20" w:type="dxa"/>
            </w:tcMar>
            <w:vAlign w:val="center"/>
            <w:hideMark/>
          </w:tcPr>
          <w:p w14:paraId="729837A1" w14:textId="77777777" w:rsidR="00546DBD" w:rsidRPr="00FA2AB8" w:rsidRDefault="00546DBD">
            <w:pPr>
              <w:pStyle w:val="TableText0"/>
              <w:jc w:val="center"/>
              <w:rPr>
                <w:rFonts w:cs="Calibri"/>
                <w:szCs w:val="20"/>
              </w:rPr>
            </w:pPr>
            <w:r w:rsidRPr="00FA2AB8">
              <w:rPr>
                <w:rFonts w:cs="Calibri"/>
                <w:szCs w:val="20"/>
              </w:rPr>
              <w:t>49.7%</w:t>
            </w:r>
          </w:p>
        </w:tc>
        <w:tc>
          <w:tcPr>
            <w:tcW w:w="730" w:type="pct"/>
            <w:tcMar>
              <w:left w:w="20" w:type="dxa"/>
              <w:right w:w="20" w:type="dxa"/>
            </w:tcMar>
            <w:vAlign w:val="center"/>
          </w:tcPr>
          <w:p w14:paraId="549B0C08" w14:textId="3BB70756" w:rsidR="00546DBD" w:rsidRPr="00FA2AB8" w:rsidRDefault="00546DBD">
            <w:pPr>
              <w:pStyle w:val="TableText0"/>
              <w:jc w:val="center"/>
              <w:rPr>
                <w:rFonts w:cs="Calibri"/>
                <w:szCs w:val="20"/>
                <w:vertAlign w:val="superscript"/>
              </w:rPr>
            </w:pPr>
            <w:r w:rsidRPr="00FA2AB8">
              <w:rPr>
                <w:rFonts w:cs="Calibri"/>
                <w:szCs w:val="20"/>
              </w:rPr>
              <w:t>166</w:t>
            </w:r>
            <w:r w:rsidR="002927AD" w:rsidRPr="00FA2AB8">
              <w:rPr>
                <w:rFonts w:cs="Calibri"/>
                <w:szCs w:val="20"/>
                <w:vertAlign w:val="superscript"/>
              </w:rPr>
              <w:t>e</w:t>
            </w:r>
          </w:p>
        </w:tc>
        <w:tc>
          <w:tcPr>
            <w:tcW w:w="531" w:type="pct"/>
            <w:tcMar>
              <w:left w:w="20" w:type="dxa"/>
              <w:right w:w="20" w:type="dxa"/>
            </w:tcMar>
            <w:vAlign w:val="center"/>
          </w:tcPr>
          <w:p w14:paraId="5B296226" w14:textId="77777777" w:rsidR="00546DBD" w:rsidRPr="00FA2AB8" w:rsidRDefault="00546DBD">
            <w:pPr>
              <w:pStyle w:val="TableText0"/>
              <w:jc w:val="center"/>
              <w:rPr>
                <w:rFonts w:cs="Calibri"/>
                <w:szCs w:val="20"/>
              </w:rPr>
            </w:pPr>
            <w:r w:rsidRPr="00FA2AB8">
              <w:rPr>
                <w:rFonts w:cs="Calibri"/>
                <w:szCs w:val="20"/>
              </w:rPr>
              <w:t>34.5%</w:t>
            </w:r>
          </w:p>
        </w:tc>
        <w:tc>
          <w:tcPr>
            <w:tcW w:w="730" w:type="pct"/>
            <w:tcMar>
              <w:left w:w="20" w:type="dxa"/>
              <w:right w:w="20" w:type="dxa"/>
            </w:tcMar>
            <w:vAlign w:val="center"/>
          </w:tcPr>
          <w:p w14:paraId="5DA74470" w14:textId="77777777" w:rsidR="00546DBD" w:rsidRPr="00FA2AB8" w:rsidRDefault="00546DBD">
            <w:pPr>
              <w:pStyle w:val="TableText0"/>
              <w:jc w:val="center"/>
              <w:rPr>
                <w:rFonts w:cs="Calibri"/>
                <w:szCs w:val="20"/>
              </w:rPr>
            </w:pPr>
            <w:r w:rsidRPr="00FA2AB8">
              <w:rPr>
                <w:rFonts w:cs="Calibri"/>
                <w:szCs w:val="20"/>
              </w:rPr>
              <w:t>221</w:t>
            </w:r>
          </w:p>
        </w:tc>
        <w:tc>
          <w:tcPr>
            <w:tcW w:w="532" w:type="pct"/>
            <w:noWrap/>
            <w:tcMar>
              <w:left w:w="20" w:type="dxa"/>
              <w:right w:w="20" w:type="dxa"/>
            </w:tcMar>
            <w:vAlign w:val="center"/>
          </w:tcPr>
          <w:p w14:paraId="74F96775" w14:textId="77777777" w:rsidR="00546DBD" w:rsidRPr="00FA2AB8" w:rsidRDefault="00546DBD">
            <w:pPr>
              <w:pStyle w:val="TableText0"/>
              <w:jc w:val="center"/>
              <w:rPr>
                <w:rFonts w:cs="Calibri"/>
                <w:szCs w:val="20"/>
              </w:rPr>
            </w:pPr>
            <w:r w:rsidRPr="00FA2AB8">
              <w:rPr>
                <w:rFonts w:cs="Calibri"/>
                <w:szCs w:val="20"/>
              </w:rPr>
              <w:t>67.1%</w:t>
            </w:r>
          </w:p>
        </w:tc>
        <w:tc>
          <w:tcPr>
            <w:tcW w:w="534" w:type="pct"/>
            <w:noWrap/>
            <w:tcMar>
              <w:left w:w="20" w:type="dxa"/>
              <w:right w:w="20" w:type="dxa"/>
            </w:tcMar>
            <w:vAlign w:val="center"/>
            <w:hideMark/>
          </w:tcPr>
          <w:p w14:paraId="1F02ED7D" w14:textId="77777777" w:rsidR="00546DBD" w:rsidRPr="00FA2AB8" w:rsidRDefault="00546DBD">
            <w:pPr>
              <w:pStyle w:val="TableText0"/>
              <w:jc w:val="center"/>
              <w:rPr>
                <w:rFonts w:cs="Calibri"/>
                <w:szCs w:val="20"/>
              </w:rPr>
            </w:pPr>
            <w:r w:rsidRPr="00FA2AB8">
              <w:rPr>
                <w:rFonts w:cs="Calibri"/>
                <w:szCs w:val="20"/>
              </w:rPr>
              <w:t>67.0%</w:t>
            </w:r>
          </w:p>
        </w:tc>
      </w:tr>
    </w:tbl>
    <w:p w14:paraId="7949320F" w14:textId="622DEC5C" w:rsidR="00546DBD" w:rsidRPr="00FA2AB8" w:rsidRDefault="00546DBD" w:rsidP="00546DBD">
      <w:pPr>
        <w:pStyle w:val="3-BodyText"/>
        <w:numPr>
          <w:ilvl w:val="0"/>
          <w:numId w:val="0"/>
        </w:numPr>
        <w:spacing w:before="0" w:after="0"/>
        <w:rPr>
          <w:rStyle w:val="CommentReference"/>
          <w:b w:val="0"/>
          <w:sz w:val="18"/>
          <w:szCs w:val="18"/>
        </w:rPr>
      </w:pPr>
      <w:r w:rsidRPr="00FA2AB8">
        <w:rPr>
          <w:rStyle w:val="CommentReference"/>
          <w:b w:val="0"/>
          <w:sz w:val="18"/>
          <w:szCs w:val="18"/>
        </w:rPr>
        <w:t xml:space="preserve">Source: Table 2-11, p59 of the </w:t>
      </w:r>
      <w:r w:rsidR="00ED1BC2">
        <w:rPr>
          <w:rStyle w:val="CommentReference"/>
          <w:b w:val="0"/>
          <w:sz w:val="18"/>
          <w:szCs w:val="18"/>
        </w:rPr>
        <w:t>re</w:t>
      </w:r>
      <w:r w:rsidRPr="00FA2AB8">
        <w:rPr>
          <w:rStyle w:val="CommentReference"/>
          <w:b w:val="0"/>
          <w:sz w:val="18"/>
          <w:szCs w:val="18"/>
        </w:rPr>
        <w:t>submission.</w:t>
      </w:r>
      <w:r w:rsidRPr="00FA2AB8">
        <w:rPr>
          <w:rStyle w:val="CommentReference"/>
          <w:sz w:val="18"/>
          <w:szCs w:val="18"/>
        </w:rPr>
        <w:t xml:space="preserve"> </w:t>
      </w:r>
      <w:r w:rsidRPr="00FA2AB8">
        <w:rPr>
          <w:rStyle w:val="CommentReference"/>
          <w:b w:val="0"/>
          <w:sz w:val="18"/>
          <w:szCs w:val="18"/>
        </w:rPr>
        <w:t>AD = atopic dermatitis; DUPI = dupilumab; EASI = Eczema Area and Severity Index; IGA = Investigator’s Global Assessment; ITT = intent to treat; LTE = long-term extension; NEMO = nemolizumab; PBS = Pharmaceutical Benefits Scheme; PGA = Physician’s Global Assessment.</w:t>
      </w:r>
    </w:p>
    <w:p w14:paraId="0812654F" w14:textId="4F3051FD" w:rsidR="00546DBD" w:rsidRPr="00FA2AB8" w:rsidRDefault="00A9403C" w:rsidP="00546DBD">
      <w:pPr>
        <w:pStyle w:val="CaptionFootnote"/>
        <w:rPr>
          <w:rStyle w:val="TableFigureFooterChar"/>
          <w:i/>
          <w:iCs/>
          <w:szCs w:val="18"/>
        </w:rPr>
      </w:pPr>
      <w:r w:rsidRPr="00FA2AB8">
        <w:rPr>
          <w:rStyle w:val="TableFigureFooterChar"/>
          <w:szCs w:val="18"/>
          <w:vertAlign w:val="superscript"/>
        </w:rPr>
        <w:t>a</w:t>
      </w:r>
      <w:r w:rsidR="00546DBD" w:rsidRPr="00FA2AB8">
        <w:rPr>
          <w:rStyle w:val="TableFigureFooterChar"/>
          <w:szCs w:val="18"/>
        </w:rPr>
        <w:t xml:space="preserve"> Derived from LEB PSD, March 2024 PBAC meeting</w:t>
      </w:r>
    </w:p>
    <w:p w14:paraId="44C544EA" w14:textId="0AE8D919" w:rsidR="00546DBD" w:rsidRPr="00FA2AB8" w:rsidRDefault="00A9403C" w:rsidP="00546DBD">
      <w:pPr>
        <w:pStyle w:val="CaptionFootnote"/>
        <w:rPr>
          <w:rFonts w:ascii="Arial Narrow" w:hAnsi="Arial Narrow"/>
          <w:sz w:val="18"/>
          <w:szCs w:val="18"/>
        </w:rPr>
      </w:pPr>
      <w:r w:rsidRPr="00FA2AB8">
        <w:rPr>
          <w:rFonts w:ascii="Arial Narrow" w:hAnsi="Arial Narrow"/>
          <w:sz w:val="18"/>
          <w:szCs w:val="18"/>
          <w:vertAlign w:val="superscript"/>
        </w:rPr>
        <w:t>b</w:t>
      </w:r>
      <w:r w:rsidR="00546DBD" w:rsidRPr="00FA2AB8">
        <w:rPr>
          <w:rFonts w:ascii="Arial Narrow" w:hAnsi="Arial Narrow"/>
          <w:sz w:val="18"/>
          <w:szCs w:val="18"/>
        </w:rPr>
        <w:t xml:space="preserve"> Calculated as additional responders in LTE</w:t>
      </w:r>
      <w:r w:rsidR="00C75D4B" w:rsidRPr="00FA2AB8">
        <w:rPr>
          <w:rFonts w:ascii="Arial Narrow" w:hAnsi="Arial Narrow"/>
          <w:sz w:val="18"/>
          <w:szCs w:val="18"/>
        </w:rPr>
        <w:t xml:space="preserve"> (displayed in </w:t>
      </w:r>
      <w:r w:rsidR="00C75D4B" w:rsidRPr="00FA2AB8">
        <w:rPr>
          <w:rFonts w:ascii="Arial Narrow" w:hAnsi="Arial Narrow"/>
          <w:sz w:val="18"/>
          <w:szCs w:val="18"/>
        </w:rPr>
        <w:fldChar w:fldCharType="begin"/>
      </w:r>
      <w:r w:rsidR="00C75D4B" w:rsidRPr="00FA2AB8">
        <w:rPr>
          <w:rFonts w:ascii="Arial Narrow" w:hAnsi="Arial Narrow"/>
          <w:sz w:val="18"/>
          <w:szCs w:val="18"/>
        </w:rPr>
        <w:instrText xml:space="preserve"> REF _Ref215844588 \h  \* MERGEFORMAT </w:instrText>
      </w:r>
      <w:r w:rsidR="00C75D4B" w:rsidRPr="00FA2AB8">
        <w:rPr>
          <w:rFonts w:ascii="Arial Narrow" w:hAnsi="Arial Narrow"/>
          <w:sz w:val="18"/>
          <w:szCs w:val="18"/>
        </w:rPr>
      </w:r>
      <w:r w:rsidR="00C75D4B" w:rsidRPr="00FA2AB8">
        <w:rPr>
          <w:rFonts w:ascii="Arial Narrow" w:hAnsi="Arial Narrow"/>
          <w:sz w:val="18"/>
          <w:szCs w:val="18"/>
        </w:rPr>
        <w:fldChar w:fldCharType="separate"/>
      </w:r>
      <w:r w:rsidR="00F51AFF" w:rsidRPr="00FA2AB8">
        <w:rPr>
          <w:rFonts w:ascii="Arial Narrow" w:hAnsi="Arial Narrow"/>
          <w:sz w:val="18"/>
          <w:szCs w:val="18"/>
        </w:rPr>
        <w:t>Table 7</w:t>
      </w:r>
      <w:r w:rsidR="00C75D4B" w:rsidRPr="00FA2AB8">
        <w:rPr>
          <w:rFonts w:ascii="Arial Narrow" w:hAnsi="Arial Narrow"/>
          <w:sz w:val="18"/>
          <w:szCs w:val="18"/>
        </w:rPr>
        <w:fldChar w:fldCharType="end"/>
      </w:r>
      <w:r w:rsidR="00C75D4B" w:rsidRPr="00FA2AB8">
        <w:rPr>
          <w:rFonts w:ascii="Arial Narrow" w:hAnsi="Arial Narrow"/>
          <w:sz w:val="18"/>
          <w:szCs w:val="18"/>
        </w:rPr>
        <w:t>)</w:t>
      </w:r>
      <w:r w:rsidR="00546DBD" w:rsidRPr="00FA2AB8">
        <w:rPr>
          <w:rFonts w:ascii="Arial Narrow" w:hAnsi="Arial Narrow"/>
          <w:sz w:val="18"/>
          <w:szCs w:val="18"/>
        </w:rPr>
        <w:t xml:space="preserve"> divided by those patients who entered LTE following treatment with NEMO in ARCADIA 1 or 2 as non-responders</w:t>
      </w:r>
      <w:r w:rsidR="00EE10B5" w:rsidRPr="00FA2AB8">
        <w:rPr>
          <w:rFonts w:ascii="Arial Narrow" w:hAnsi="Arial Narrow"/>
          <w:sz w:val="18"/>
          <w:szCs w:val="18"/>
        </w:rPr>
        <w:t>.</w:t>
      </w:r>
      <w:r w:rsidR="00546DBD" w:rsidRPr="00FA2AB8">
        <w:rPr>
          <w:rFonts w:ascii="Arial Narrow" w:hAnsi="Arial Narrow"/>
          <w:sz w:val="18"/>
          <w:szCs w:val="18"/>
        </w:rPr>
        <w:t xml:space="preserve"> </w:t>
      </w:r>
    </w:p>
    <w:p w14:paraId="5EF1AE35" w14:textId="102F1B31" w:rsidR="00546DBD" w:rsidRPr="00FA2AB8" w:rsidRDefault="00A9403C" w:rsidP="00546DBD">
      <w:pPr>
        <w:pStyle w:val="CaptionFootnote"/>
        <w:rPr>
          <w:rFonts w:ascii="Arial Narrow" w:hAnsi="Arial Narrow"/>
          <w:sz w:val="18"/>
          <w:szCs w:val="18"/>
        </w:rPr>
      </w:pPr>
      <w:r w:rsidRPr="00FA2AB8">
        <w:rPr>
          <w:rFonts w:ascii="Arial Narrow" w:hAnsi="Arial Narrow"/>
          <w:sz w:val="18"/>
          <w:szCs w:val="18"/>
          <w:vertAlign w:val="superscript"/>
        </w:rPr>
        <w:t xml:space="preserve">c </w:t>
      </w:r>
      <w:r w:rsidR="00546DBD" w:rsidRPr="00FA2AB8">
        <w:rPr>
          <w:rFonts w:ascii="Arial Narrow" w:hAnsi="Arial Narrow"/>
          <w:sz w:val="18"/>
          <w:szCs w:val="18"/>
        </w:rPr>
        <w:t>Subgroup population with severe AD only defined as an EASI score ≥ 20 and an PGA/IGA score of 4</w:t>
      </w:r>
    </w:p>
    <w:p w14:paraId="31BC0E5F" w14:textId="63A838DB" w:rsidR="009D4D6F" w:rsidRPr="00FA2AB8" w:rsidRDefault="009D4D6F" w:rsidP="00A0536B">
      <w:pPr>
        <w:pStyle w:val="CaptionFootnote"/>
        <w:rPr>
          <w:rFonts w:ascii="Arial Narrow" w:hAnsi="Arial Narrow"/>
          <w:sz w:val="18"/>
          <w:szCs w:val="18"/>
        </w:rPr>
      </w:pPr>
      <w:r w:rsidRPr="00FA2AB8">
        <w:rPr>
          <w:rFonts w:ascii="Arial Narrow" w:hAnsi="Arial Narrow"/>
          <w:sz w:val="18"/>
          <w:szCs w:val="18"/>
          <w:vertAlign w:val="superscript"/>
        </w:rPr>
        <w:t>d</w:t>
      </w:r>
      <w:r w:rsidRPr="00FA2AB8">
        <w:rPr>
          <w:rFonts w:ascii="Arial Narrow" w:hAnsi="Arial Narrow"/>
          <w:sz w:val="18"/>
          <w:szCs w:val="18"/>
        </w:rPr>
        <w:t xml:space="preserve"> The number of expected total responders was calculated by taking the observed additional response rate from </w:t>
      </w:r>
      <w:r w:rsidRPr="00FA2AB8">
        <w:rPr>
          <w:rFonts w:ascii="Arial Narrow" w:hAnsi="Arial Narrow"/>
          <w:sz w:val="18"/>
          <w:szCs w:val="18"/>
        </w:rPr>
        <w:fldChar w:fldCharType="begin"/>
      </w:r>
      <w:r w:rsidRPr="00FA2AB8">
        <w:rPr>
          <w:rFonts w:ascii="Arial Narrow" w:hAnsi="Arial Narrow"/>
          <w:sz w:val="18"/>
          <w:szCs w:val="18"/>
        </w:rPr>
        <w:instrText xml:space="preserve"> REF _Ref215844588 \h  \* MERGEFORMAT </w:instrText>
      </w:r>
      <w:r w:rsidRPr="00FA2AB8">
        <w:rPr>
          <w:rFonts w:ascii="Arial Narrow" w:hAnsi="Arial Narrow"/>
          <w:sz w:val="18"/>
          <w:szCs w:val="18"/>
        </w:rPr>
      </w:r>
      <w:r w:rsidRPr="00FA2AB8">
        <w:rPr>
          <w:rFonts w:ascii="Arial Narrow" w:hAnsi="Arial Narrow"/>
          <w:sz w:val="18"/>
          <w:szCs w:val="18"/>
        </w:rPr>
        <w:fldChar w:fldCharType="separate"/>
      </w:r>
      <w:r w:rsidR="00F51AFF" w:rsidRPr="00FA2AB8">
        <w:rPr>
          <w:rFonts w:ascii="Arial Narrow" w:hAnsi="Arial Narrow"/>
          <w:sz w:val="18"/>
          <w:szCs w:val="18"/>
        </w:rPr>
        <w:t>Table 7</w:t>
      </w:r>
      <w:r w:rsidRPr="00FA2AB8">
        <w:rPr>
          <w:rFonts w:ascii="Arial Narrow" w:hAnsi="Arial Narrow"/>
          <w:sz w:val="18"/>
          <w:szCs w:val="18"/>
        </w:rPr>
        <w:fldChar w:fldCharType="end"/>
      </w:r>
      <w:r w:rsidRPr="00FA2AB8">
        <w:rPr>
          <w:rFonts w:ascii="Arial Narrow" w:hAnsi="Arial Narrow"/>
          <w:sz w:val="18"/>
          <w:szCs w:val="18"/>
        </w:rPr>
        <w:t xml:space="preserve"> and applying it to the number of non-responders at week 16 in ARCADIA 1 and ARCADIA 2. This was then added to the number of responders at week 16 in ARCADIA 1 and ARCADIA 2.</w:t>
      </w:r>
    </w:p>
    <w:p w14:paraId="78B501FD" w14:textId="5363A9E2" w:rsidR="00546DBD" w:rsidRPr="00FA2AB8" w:rsidRDefault="002927AD" w:rsidP="00D42CDA">
      <w:pPr>
        <w:pStyle w:val="3-BodyText"/>
        <w:numPr>
          <w:ilvl w:val="0"/>
          <w:numId w:val="0"/>
        </w:numPr>
        <w:spacing w:before="0" w:after="0"/>
        <w:rPr>
          <w:rStyle w:val="CommentReference"/>
          <w:rFonts w:eastAsia="SimSun" w:cs="Times New Roman"/>
          <w:b w:val="0"/>
          <w:kern w:val="28"/>
          <w:sz w:val="18"/>
          <w:szCs w:val="18"/>
          <w:lang w:eastAsia="en-GB"/>
        </w:rPr>
      </w:pPr>
      <w:r w:rsidRPr="00FA2AB8">
        <w:rPr>
          <w:rStyle w:val="CommentReference"/>
          <w:b w:val="0"/>
          <w:sz w:val="18"/>
          <w:szCs w:val="18"/>
          <w:vertAlign w:val="superscript"/>
        </w:rPr>
        <w:t xml:space="preserve">e </w:t>
      </w:r>
      <w:r w:rsidRPr="00FA2AB8">
        <w:rPr>
          <w:rStyle w:val="CommentReference"/>
          <w:b w:val="0"/>
          <w:sz w:val="18"/>
          <w:szCs w:val="18"/>
        </w:rPr>
        <w:t xml:space="preserve">For the EASI-50 outcome measured in the PBS population, there were 166 patients who did not respond in ARCADIA 1 and ARCADIA 2. However, only 113 of these patients </w:t>
      </w:r>
      <w:r w:rsidR="00384BE2" w:rsidRPr="00FA2AB8">
        <w:rPr>
          <w:rStyle w:val="CommentReference"/>
          <w:b w:val="0"/>
          <w:sz w:val="18"/>
          <w:szCs w:val="18"/>
        </w:rPr>
        <w:t>continued</w:t>
      </w:r>
      <w:r w:rsidRPr="00FA2AB8">
        <w:rPr>
          <w:rStyle w:val="CommentReference"/>
          <w:b w:val="0"/>
          <w:sz w:val="18"/>
          <w:szCs w:val="18"/>
        </w:rPr>
        <w:t xml:space="preserve"> to ARCADIA LTE, leaving 53 patients who did not </w:t>
      </w:r>
      <w:r w:rsidR="00430578" w:rsidRPr="00FA2AB8">
        <w:rPr>
          <w:rStyle w:val="CommentReference"/>
          <w:b w:val="0"/>
          <w:sz w:val="18"/>
          <w:szCs w:val="18"/>
        </w:rPr>
        <w:t>continue</w:t>
      </w:r>
      <w:r w:rsidRPr="00FA2AB8">
        <w:rPr>
          <w:rStyle w:val="CommentReference"/>
          <w:b w:val="0"/>
          <w:sz w:val="18"/>
          <w:szCs w:val="18"/>
        </w:rPr>
        <w:t>.</w:t>
      </w:r>
      <w:r w:rsidR="00384BE2" w:rsidRPr="00FA2AB8">
        <w:rPr>
          <w:rStyle w:val="CommentReference"/>
          <w:b w:val="0"/>
          <w:sz w:val="18"/>
          <w:szCs w:val="18"/>
        </w:rPr>
        <w:t xml:space="preserve"> </w:t>
      </w:r>
    </w:p>
    <w:p w14:paraId="531A45D6" w14:textId="239D18AC" w:rsidR="00546DBD" w:rsidRPr="00EA316B" w:rsidRDefault="00546DBD" w:rsidP="007D4B4B">
      <w:pPr>
        <w:pStyle w:val="3-BodyText"/>
        <w:spacing w:before="160" w:after="160"/>
      </w:pPr>
      <w:r w:rsidRPr="00EA316B">
        <w:t xml:space="preserve">Although the results presented in </w:t>
      </w:r>
      <w:r w:rsidRPr="00EA316B">
        <w:fldChar w:fldCharType="begin"/>
      </w:r>
      <w:r w:rsidRPr="00EA316B">
        <w:instrText xml:space="preserve"> REF _Ref215845185 \h  \* MERGEFORMAT </w:instrText>
      </w:r>
      <w:r w:rsidRPr="00EA316B">
        <w:fldChar w:fldCharType="separate"/>
      </w:r>
      <w:r w:rsidR="00F51AFF" w:rsidRPr="00EA316B">
        <w:t>Table 8</w:t>
      </w:r>
      <w:r w:rsidRPr="00EA316B">
        <w:fldChar w:fldCharType="end"/>
      </w:r>
      <w:r w:rsidRPr="00EA316B">
        <w:t xml:space="preserve"> suggest that the response rate of NEMO with an extended induction phase is non-inferior to the response rate of DUPI at 16 weeks, the</w:t>
      </w:r>
      <w:r w:rsidR="00747367" w:rsidRPr="00EA316B">
        <w:t xml:space="preserve"> ESC noted that the</w:t>
      </w:r>
      <w:r w:rsidRPr="00EA316B">
        <w:t>re are several issues with the analys</w:t>
      </w:r>
      <w:r w:rsidR="00747367" w:rsidRPr="00EA316B">
        <w:t>e</w:t>
      </w:r>
      <w:r w:rsidRPr="00EA316B">
        <w:t xml:space="preserve">s. The data from the ARCADIA LTE is </w:t>
      </w:r>
      <w:r w:rsidR="00FC27FD" w:rsidRPr="00EA316B">
        <w:t>single arm</w:t>
      </w:r>
      <w:r w:rsidRPr="00EA316B">
        <w:t xml:space="preserve">, open-label, and is a </w:t>
      </w:r>
      <w:r w:rsidRPr="00C26F78">
        <w:rPr>
          <w:i/>
          <w:iCs/>
        </w:rPr>
        <w:t>post</w:t>
      </w:r>
      <w:r w:rsidR="00240EB2" w:rsidRPr="00C26F78">
        <w:rPr>
          <w:i/>
          <w:iCs/>
        </w:rPr>
        <w:t>-</w:t>
      </w:r>
      <w:r w:rsidR="007E048C" w:rsidRPr="00C26F78">
        <w:rPr>
          <w:i/>
          <w:iCs/>
        </w:rPr>
        <w:t>hoc</w:t>
      </w:r>
      <w:r w:rsidR="007E048C" w:rsidRPr="00EA316B">
        <w:t xml:space="preserve"> </w:t>
      </w:r>
      <w:r w:rsidRPr="00EA316B">
        <w:t xml:space="preserve">selected subgroup consisting of patients who did not respond at </w:t>
      </w:r>
      <w:r w:rsidR="00F72AE3" w:rsidRPr="00EA316B">
        <w:t xml:space="preserve">Week </w:t>
      </w:r>
      <w:r w:rsidRPr="00EA316B">
        <w:t xml:space="preserve">16. Because randomisation </w:t>
      </w:r>
      <w:r w:rsidR="00164E18" w:rsidRPr="00EA316B">
        <w:t>was</w:t>
      </w:r>
      <w:r w:rsidRPr="00EA316B">
        <w:t xml:space="preserve"> lost after </w:t>
      </w:r>
      <w:r w:rsidR="00F72AE3" w:rsidRPr="00EA316B">
        <w:t xml:space="preserve">Week </w:t>
      </w:r>
      <w:r w:rsidRPr="00EA316B">
        <w:t xml:space="preserve">16 and continuation into the extension </w:t>
      </w:r>
      <w:r w:rsidR="003B0F78" w:rsidRPr="00EA316B">
        <w:t>phase was</w:t>
      </w:r>
      <w:r w:rsidRPr="00EA316B">
        <w:t xml:space="preserve"> influenced by clinical judgement and patient behaviour, the extension outcomes are subject to selection bias and informative continuation that cannot be quantified or </w:t>
      </w:r>
      <w:r w:rsidR="00C455F1" w:rsidRPr="00EA316B">
        <w:t>adjusted for</w:t>
      </w:r>
      <w:r w:rsidRPr="00EA316B">
        <w:t xml:space="preserve">. As a result, the ITC compares </w:t>
      </w:r>
      <w:r w:rsidR="007E048C" w:rsidRPr="00EA316B">
        <w:t xml:space="preserve">a </w:t>
      </w:r>
      <w:r w:rsidRPr="00EA316B">
        <w:t>random</w:t>
      </w:r>
      <w:r w:rsidR="007E048C" w:rsidRPr="00EA316B">
        <w:t>ly selected</w:t>
      </w:r>
      <w:r w:rsidRPr="00EA316B">
        <w:t xml:space="preserve"> ITT population </w:t>
      </w:r>
      <w:r w:rsidR="007E048C" w:rsidRPr="00EA316B">
        <w:t xml:space="preserve">in the DUPI treatment arm </w:t>
      </w:r>
      <w:r w:rsidRPr="00EA316B">
        <w:t xml:space="preserve">with an uncharacterised, selectively enriched, and potentially biased subgroup from the ARCADIA LTE trial, meaning that </w:t>
      </w:r>
      <w:r w:rsidR="0084070C" w:rsidRPr="00EA316B">
        <w:t xml:space="preserve">the conclusions were uncertain. </w:t>
      </w:r>
    </w:p>
    <w:p w14:paraId="64BD8C5F" w14:textId="63061510" w:rsidR="00BC0AF2" w:rsidRPr="00EA316B" w:rsidRDefault="00BC0AF2" w:rsidP="007D4B4B">
      <w:pPr>
        <w:pStyle w:val="3-BodyText"/>
        <w:spacing w:before="160" w:after="160"/>
      </w:pPr>
      <w:r w:rsidRPr="00EA316B">
        <w:t xml:space="preserve">In addition to the above issues, only the EASI-50 outcome is presented for the severe AD population that aligns with the requested PBS population. Although EASI-50 has been used to inform decision making in </w:t>
      </w:r>
      <w:r w:rsidR="00684519">
        <w:t>previous</w:t>
      </w:r>
      <w:r w:rsidR="00684519" w:rsidRPr="00EA316B">
        <w:t xml:space="preserve"> </w:t>
      </w:r>
      <w:r w:rsidRPr="00EA316B">
        <w:t xml:space="preserve">submissions, the PBAC has expressed a preference for the composite outcome of EASI-50 and </w:t>
      </w:r>
      <w:r w:rsidRPr="00EA316B">
        <w:rPr>
          <w:rFonts w:cstheme="minorHAnsi"/>
        </w:rPr>
        <w:t>≥</w:t>
      </w:r>
      <w:r w:rsidRPr="00EA316B">
        <w:t xml:space="preserve"> 4-point improvement in DLQI.</w:t>
      </w:r>
    </w:p>
    <w:p w14:paraId="12B4A837" w14:textId="6CFB206D" w:rsidR="006F70B0" w:rsidRPr="00EA316B" w:rsidRDefault="006F70B0" w:rsidP="007D4B4B">
      <w:pPr>
        <w:pStyle w:val="3-BodyText"/>
        <w:spacing w:before="160" w:after="160"/>
      </w:pPr>
      <w:r w:rsidRPr="00EA316B">
        <w:t>To support the results of the extended induction phase, the resubmission presented a statistical analysis to account for non-responders who did not enter the ARCADIA LTE. The three scenarios presented were:</w:t>
      </w:r>
    </w:p>
    <w:p w14:paraId="6EBDA2A1" w14:textId="257EAD3A" w:rsidR="000E2A8F" w:rsidRPr="00FA2AB8" w:rsidRDefault="000E2A8F" w:rsidP="005C4F91">
      <w:pPr>
        <w:pStyle w:val="ListParagraph"/>
        <w:numPr>
          <w:ilvl w:val="0"/>
          <w:numId w:val="8"/>
        </w:numPr>
        <w:spacing w:before="160" w:after="160"/>
        <w:contextualSpacing/>
        <w:jc w:val="both"/>
      </w:pPr>
      <w:r w:rsidRPr="00FA2AB8">
        <w:lastRenderedPageBreak/>
        <w:t xml:space="preserve">Best </w:t>
      </w:r>
      <w:r w:rsidR="000B0BBA">
        <w:t xml:space="preserve">case </w:t>
      </w:r>
      <w:r w:rsidRPr="00FA2AB8">
        <w:t>– all non-responding patients at 16 weeks who did not enter the extension study are assumed to be responders at 24 weeks.</w:t>
      </w:r>
    </w:p>
    <w:p w14:paraId="7C14DDB1" w14:textId="3E433E8D" w:rsidR="000E2A8F" w:rsidRPr="00FA2AB8" w:rsidRDefault="000E2A8F" w:rsidP="005C4F91">
      <w:pPr>
        <w:pStyle w:val="ListParagraph"/>
        <w:numPr>
          <w:ilvl w:val="0"/>
          <w:numId w:val="8"/>
        </w:numPr>
        <w:spacing w:before="160" w:after="160"/>
        <w:contextualSpacing/>
        <w:jc w:val="both"/>
      </w:pPr>
      <w:r w:rsidRPr="00FA2AB8">
        <w:t xml:space="preserve">Average </w:t>
      </w:r>
      <w:r w:rsidR="000B0BBA">
        <w:t xml:space="preserve">case </w:t>
      </w:r>
      <w:r w:rsidRPr="00FA2AB8">
        <w:t>– non-responding patients at 16 weeks who did not enter the extension study are assumed to respond at the same rate as non-responding patients at 16 weeks who did enter the extension study.</w:t>
      </w:r>
    </w:p>
    <w:p w14:paraId="280878EF" w14:textId="7855A7DD" w:rsidR="000E2A8F" w:rsidRPr="00FA2AB8" w:rsidRDefault="000E2A8F" w:rsidP="005C4F91">
      <w:pPr>
        <w:pStyle w:val="ListParagraph"/>
        <w:numPr>
          <w:ilvl w:val="0"/>
          <w:numId w:val="8"/>
        </w:numPr>
        <w:spacing w:before="160" w:after="160"/>
        <w:ind w:left="1077" w:hanging="357"/>
        <w:contextualSpacing/>
        <w:jc w:val="both"/>
      </w:pPr>
      <w:r w:rsidRPr="00FA2AB8">
        <w:t xml:space="preserve">Worst </w:t>
      </w:r>
      <w:r w:rsidR="000B0BBA">
        <w:t xml:space="preserve">case </w:t>
      </w:r>
      <w:r w:rsidRPr="00FA2AB8">
        <w:t>– all non-responding patients at 16 weeks who did not enter the extension study are assumed to be non-responders at 24 weeks.</w:t>
      </w:r>
    </w:p>
    <w:p w14:paraId="0FE8DB63" w14:textId="5ED30C1B" w:rsidR="00B86F8F" w:rsidRPr="00FA2AB8" w:rsidRDefault="000E2A8F" w:rsidP="007D4B4B">
      <w:pPr>
        <w:pStyle w:val="3-BodyText"/>
        <w:spacing w:before="160" w:after="160"/>
      </w:pPr>
      <w:r w:rsidRPr="00FA2AB8">
        <w:t xml:space="preserve">The results of the three scenarios and </w:t>
      </w:r>
      <w:r w:rsidR="00561CF5" w:rsidRPr="00FA2AB8">
        <w:t>a</w:t>
      </w:r>
      <w:r w:rsidR="007E048C" w:rsidRPr="00FA2AB8">
        <w:t xml:space="preserve"> </w:t>
      </w:r>
      <w:r w:rsidRPr="00FA2AB8">
        <w:t xml:space="preserve">comparison to the </w:t>
      </w:r>
      <w:r w:rsidR="007E048C" w:rsidRPr="00FA2AB8">
        <w:t xml:space="preserve">findings in the </w:t>
      </w:r>
      <w:r w:rsidRPr="00FA2AB8">
        <w:t>DUPI</w:t>
      </w:r>
      <w:r w:rsidR="007E048C" w:rsidRPr="00FA2AB8">
        <w:t xml:space="preserve"> treatment arm</w:t>
      </w:r>
      <w:r w:rsidRPr="00FA2AB8">
        <w:t xml:space="preserve"> are presented in </w:t>
      </w:r>
      <w:r w:rsidRPr="00FA2AB8">
        <w:fldChar w:fldCharType="begin"/>
      </w:r>
      <w:r w:rsidRPr="00FA2AB8">
        <w:instrText xml:space="preserve"> REF _Ref216350850 \h </w:instrText>
      </w:r>
      <w:r w:rsidR="00FA2AB8" w:rsidRPr="00FA2AB8">
        <w:instrText xml:space="preserve"> \* MERGEFORMAT </w:instrText>
      </w:r>
      <w:r w:rsidRPr="00FA2AB8">
        <w:fldChar w:fldCharType="separate"/>
      </w:r>
      <w:r w:rsidR="00F51AFF" w:rsidRPr="00FA2AB8">
        <w:t xml:space="preserve">Table </w:t>
      </w:r>
      <w:r w:rsidR="00F51AFF" w:rsidRPr="00FA2AB8">
        <w:rPr>
          <w:noProof/>
        </w:rPr>
        <w:t>9</w:t>
      </w:r>
      <w:r w:rsidRPr="00FA2AB8">
        <w:fldChar w:fldCharType="end"/>
      </w:r>
      <w:r w:rsidRPr="00FA2AB8">
        <w:t>.</w:t>
      </w:r>
    </w:p>
    <w:p w14:paraId="7962EF00" w14:textId="6E54C0B4" w:rsidR="00B86F8F" w:rsidRPr="00FA2AB8" w:rsidRDefault="00B86F8F" w:rsidP="007D4B4B">
      <w:pPr>
        <w:pStyle w:val="Caption"/>
      </w:pPr>
      <w:bookmarkStart w:id="44" w:name="_Ref216350850"/>
      <w:r w:rsidRPr="00FA2AB8">
        <w:t xml:space="preserve">Table </w:t>
      </w:r>
      <w:fldSimple w:instr=" SEQ Table \* ARABIC ">
        <w:r w:rsidR="00CB23C7">
          <w:rPr>
            <w:noProof/>
          </w:rPr>
          <w:t>9</w:t>
        </w:r>
      </w:fldSimple>
      <w:bookmarkEnd w:id="44"/>
      <w:r w:rsidRPr="00FA2AB8">
        <w:t>: Meta-estimates of the percentage of responders in treatment arms</w:t>
      </w:r>
    </w:p>
    <w:tbl>
      <w:tblPr>
        <w:tblStyle w:val="TableGrid"/>
        <w:tblW w:w="5000" w:type="pct"/>
        <w:tblLook w:val="04A0" w:firstRow="1" w:lastRow="0" w:firstColumn="1" w:lastColumn="0" w:noHBand="0" w:noVBand="1"/>
        <w:tblCaption w:val="Table 9: Meta-estimates of the percentage of responders in treatment arms"/>
      </w:tblPr>
      <w:tblGrid>
        <w:gridCol w:w="3538"/>
        <w:gridCol w:w="1614"/>
        <w:gridCol w:w="1769"/>
        <w:gridCol w:w="2096"/>
      </w:tblGrid>
      <w:tr w:rsidR="0066607C" w:rsidRPr="00FA2AB8" w14:paraId="013E00CA" w14:textId="77777777" w:rsidTr="00AF29CF">
        <w:trPr>
          <w:trHeight w:val="227"/>
        </w:trPr>
        <w:tc>
          <w:tcPr>
            <w:tcW w:w="1962" w:type="pct"/>
            <w:vMerge w:val="restart"/>
          </w:tcPr>
          <w:p w14:paraId="0E607B67" w14:textId="77777777" w:rsidR="0066607C" w:rsidRPr="00FA2AB8" w:rsidRDefault="0066607C" w:rsidP="007D4B4B">
            <w:pPr>
              <w:rPr>
                <w:rFonts w:ascii="Arial Narrow" w:hAnsi="Arial Narrow" w:cstheme="minorHAnsi"/>
                <w:sz w:val="20"/>
                <w:szCs w:val="20"/>
              </w:rPr>
            </w:pPr>
          </w:p>
        </w:tc>
        <w:tc>
          <w:tcPr>
            <w:tcW w:w="1876" w:type="pct"/>
            <w:gridSpan w:val="2"/>
          </w:tcPr>
          <w:p w14:paraId="266AD1D2" w14:textId="77777777" w:rsidR="0066607C" w:rsidRPr="00FA2AB8" w:rsidRDefault="0066607C" w:rsidP="007D4B4B">
            <w:pPr>
              <w:jc w:val="center"/>
              <w:rPr>
                <w:rFonts w:ascii="Arial Narrow" w:hAnsi="Arial Narrow" w:cstheme="minorHAnsi"/>
                <w:b/>
                <w:bCs/>
                <w:sz w:val="20"/>
                <w:szCs w:val="20"/>
              </w:rPr>
            </w:pPr>
            <w:r w:rsidRPr="00FA2AB8">
              <w:rPr>
                <w:rFonts w:ascii="Arial Narrow" w:hAnsi="Arial Narrow" w:cstheme="minorHAnsi"/>
                <w:b/>
                <w:bCs/>
                <w:sz w:val="20"/>
                <w:szCs w:val="20"/>
              </w:rPr>
              <w:t>Meta-estimates</w:t>
            </w:r>
          </w:p>
        </w:tc>
        <w:tc>
          <w:tcPr>
            <w:tcW w:w="1162" w:type="pct"/>
            <w:vMerge w:val="restart"/>
            <w:vAlign w:val="center"/>
          </w:tcPr>
          <w:p w14:paraId="6B002FFE" w14:textId="7700FC7E" w:rsidR="0066607C" w:rsidRPr="00FA2AB8" w:rsidRDefault="0066607C" w:rsidP="007D4B4B">
            <w:pPr>
              <w:jc w:val="center"/>
              <w:rPr>
                <w:rFonts w:ascii="Arial Narrow" w:hAnsi="Arial Narrow" w:cstheme="minorHAnsi"/>
                <w:b/>
                <w:bCs/>
                <w:sz w:val="20"/>
                <w:szCs w:val="20"/>
              </w:rPr>
            </w:pPr>
            <w:r w:rsidRPr="00FA2AB8">
              <w:rPr>
                <w:rFonts w:ascii="Arial Narrow" w:hAnsi="Arial Narrow" w:cstheme="minorHAnsi"/>
                <w:b/>
                <w:bCs/>
                <w:sz w:val="20"/>
                <w:szCs w:val="20"/>
              </w:rPr>
              <w:t xml:space="preserve">Difference </w:t>
            </w:r>
            <w:r w:rsidRPr="00FA2AB8">
              <w:rPr>
                <w:rFonts w:ascii="Arial Narrow" w:hAnsi="Arial Narrow" w:cstheme="minorHAnsi"/>
                <w:b/>
                <w:bCs/>
                <w:sz w:val="20"/>
                <w:szCs w:val="20"/>
              </w:rPr>
              <w:br/>
              <w:t>(NEMO – DUPI)</w:t>
            </w:r>
          </w:p>
        </w:tc>
      </w:tr>
      <w:tr w:rsidR="0066607C" w:rsidRPr="00FA2AB8" w14:paraId="33FEAC8A" w14:textId="77777777" w:rsidTr="00AF29CF">
        <w:trPr>
          <w:trHeight w:val="227"/>
        </w:trPr>
        <w:tc>
          <w:tcPr>
            <w:tcW w:w="1962" w:type="pct"/>
            <w:vMerge/>
          </w:tcPr>
          <w:p w14:paraId="42B0ECDF" w14:textId="77777777" w:rsidR="0066607C" w:rsidRPr="00FA2AB8" w:rsidRDefault="0066607C">
            <w:pPr>
              <w:rPr>
                <w:rFonts w:ascii="Arial Narrow" w:hAnsi="Arial Narrow" w:cstheme="minorHAnsi"/>
                <w:sz w:val="20"/>
                <w:szCs w:val="20"/>
              </w:rPr>
            </w:pPr>
          </w:p>
        </w:tc>
        <w:tc>
          <w:tcPr>
            <w:tcW w:w="895" w:type="pct"/>
          </w:tcPr>
          <w:p w14:paraId="187BF64A" w14:textId="53890267" w:rsidR="0066607C" w:rsidRPr="00FA2AB8" w:rsidRDefault="0066607C">
            <w:pPr>
              <w:jc w:val="center"/>
              <w:rPr>
                <w:rFonts w:ascii="Arial Narrow" w:hAnsi="Arial Narrow" w:cstheme="minorHAnsi"/>
                <w:b/>
                <w:bCs/>
                <w:sz w:val="20"/>
                <w:szCs w:val="20"/>
              </w:rPr>
            </w:pPr>
            <w:r w:rsidRPr="00FA2AB8">
              <w:rPr>
                <w:rFonts w:ascii="Arial Narrow" w:hAnsi="Arial Narrow" w:cstheme="minorHAnsi"/>
                <w:b/>
                <w:bCs/>
                <w:sz w:val="20"/>
                <w:szCs w:val="20"/>
              </w:rPr>
              <w:t>NEMO, 24 weeks % (95% CI)</w:t>
            </w:r>
          </w:p>
        </w:tc>
        <w:tc>
          <w:tcPr>
            <w:tcW w:w="981" w:type="pct"/>
          </w:tcPr>
          <w:p w14:paraId="51F57C7F" w14:textId="77777777" w:rsidR="0066607C" w:rsidRPr="00FA2AB8" w:rsidRDefault="0066607C">
            <w:pPr>
              <w:jc w:val="center"/>
              <w:rPr>
                <w:rFonts w:ascii="Arial Narrow" w:hAnsi="Arial Narrow" w:cstheme="minorHAnsi"/>
                <w:b/>
                <w:bCs/>
                <w:sz w:val="20"/>
                <w:szCs w:val="20"/>
              </w:rPr>
            </w:pPr>
            <w:r w:rsidRPr="00FA2AB8">
              <w:rPr>
                <w:rFonts w:ascii="Arial Narrow" w:hAnsi="Arial Narrow" w:cstheme="minorHAnsi"/>
                <w:b/>
                <w:bCs/>
                <w:sz w:val="20"/>
                <w:szCs w:val="20"/>
              </w:rPr>
              <w:t xml:space="preserve">DUPI, 16 weeks </w:t>
            </w:r>
          </w:p>
          <w:p w14:paraId="66A43A90" w14:textId="4E41EB87" w:rsidR="0066607C" w:rsidRPr="00FA2AB8" w:rsidRDefault="0066607C">
            <w:pPr>
              <w:jc w:val="center"/>
              <w:rPr>
                <w:rFonts w:ascii="Arial Narrow" w:hAnsi="Arial Narrow" w:cstheme="minorHAnsi"/>
                <w:b/>
                <w:bCs/>
                <w:sz w:val="20"/>
                <w:szCs w:val="20"/>
              </w:rPr>
            </w:pPr>
            <w:r w:rsidRPr="00FA2AB8">
              <w:rPr>
                <w:rFonts w:ascii="Arial Narrow" w:hAnsi="Arial Narrow" w:cstheme="minorHAnsi"/>
                <w:b/>
                <w:bCs/>
                <w:sz w:val="20"/>
                <w:szCs w:val="20"/>
              </w:rPr>
              <w:t>% (95% CI)</w:t>
            </w:r>
          </w:p>
        </w:tc>
        <w:tc>
          <w:tcPr>
            <w:tcW w:w="1162" w:type="pct"/>
            <w:vMerge/>
          </w:tcPr>
          <w:p w14:paraId="4567A3AB" w14:textId="307B8EFD" w:rsidR="0066607C" w:rsidRPr="00FA2AB8" w:rsidRDefault="0066607C">
            <w:pPr>
              <w:jc w:val="center"/>
              <w:rPr>
                <w:rFonts w:ascii="Arial Narrow" w:hAnsi="Arial Narrow" w:cstheme="minorHAnsi"/>
                <w:b/>
                <w:bCs/>
                <w:sz w:val="20"/>
                <w:szCs w:val="20"/>
              </w:rPr>
            </w:pPr>
          </w:p>
        </w:tc>
      </w:tr>
      <w:tr w:rsidR="0066607C" w:rsidRPr="00FA2AB8" w14:paraId="17BD0545" w14:textId="77777777" w:rsidTr="00AF29CF">
        <w:trPr>
          <w:trHeight w:val="227"/>
        </w:trPr>
        <w:tc>
          <w:tcPr>
            <w:tcW w:w="5000" w:type="pct"/>
            <w:gridSpan w:val="4"/>
          </w:tcPr>
          <w:p w14:paraId="2F241EC4" w14:textId="17C7A85A" w:rsidR="0066607C" w:rsidRPr="00FA2AB8" w:rsidRDefault="0066607C" w:rsidP="00E5288D">
            <w:pPr>
              <w:jc w:val="left"/>
              <w:rPr>
                <w:rFonts w:ascii="Arial Narrow" w:hAnsi="Arial Narrow" w:cstheme="minorHAnsi"/>
                <w:b/>
                <w:bCs/>
                <w:sz w:val="20"/>
                <w:szCs w:val="20"/>
              </w:rPr>
            </w:pPr>
            <w:r w:rsidRPr="00FA2AB8">
              <w:rPr>
                <w:rFonts w:ascii="Arial Narrow" w:hAnsi="Arial Narrow" w:cstheme="minorHAnsi"/>
                <w:b/>
                <w:bCs/>
                <w:sz w:val="20"/>
                <w:szCs w:val="20"/>
              </w:rPr>
              <w:t>ITT population</w:t>
            </w:r>
          </w:p>
        </w:tc>
      </w:tr>
      <w:tr w:rsidR="00BC0AF2" w:rsidRPr="00FA2AB8" w14:paraId="554DDE5F" w14:textId="77777777" w:rsidTr="00AF29CF">
        <w:trPr>
          <w:trHeight w:val="227"/>
        </w:trPr>
        <w:tc>
          <w:tcPr>
            <w:tcW w:w="1962" w:type="pct"/>
            <w:vAlign w:val="center"/>
          </w:tcPr>
          <w:p w14:paraId="497FE728" w14:textId="77777777" w:rsidR="00BC0AF2" w:rsidRPr="00FA2AB8" w:rsidRDefault="00BC0AF2" w:rsidP="00E5288D">
            <w:pPr>
              <w:jc w:val="left"/>
              <w:rPr>
                <w:rFonts w:ascii="Arial Narrow" w:hAnsi="Arial Narrow" w:cstheme="minorHAnsi"/>
                <w:sz w:val="20"/>
                <w:szCs w:val="20"/>
              </w:rPr>
            </w:pPr>
            <w:r w:rsidRPr="00FA2AB8">
              <w:rPr>
                <w:rFonts w:ascii="Arial Narrow" w:hAnsi="Arial Narrow" w:cstheme="minorHAnsi"/>
                <w:sz w:val="20"/>
                <w:szCs w:val="20"/>
              </w:rPr>
              <w:t>EASI-75, (NEMO best case)</w:t>
            </w:r>
          </w:p>
        </w:tc>
        <w:tc>
          <w:tcPr>
            <w:tcW w:w="895" w:type="pct"/>
          </w:tcPr>
          <w:p w14:paraId="07305660"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 xml:space="preserve">64.5% </w:t>
            </w:r>
          </w:p>
          <w:p w14:paraId="4AD3C11F" w14:textId="113DB408" w:rsidR="00BC0AF2"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(61.1%, 67.7%)</w:t>
            </w:r>
          </w:p>
        </w:tc>
        <w:tc>
          <w:tcPr>
            <w:tcW w:w="981" w:type="pct"/>
          </w:tcPr>
          <w:p w14:paraId="338DE829"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64.1%</w:t>
            </w:r>
            <w:r w:rsidR="00B86F8F" w:rsidRPr="00FA2AB8">
              <w:rPr>
                <w:rFonts w:ascii="Arial Narrow" w:hAnsi="Arial Narrow" w:cstheme="minorHAnsi"/>
                <w:sz w:val="20"/>
                <w:szCs w:val="20"/>
              </w:rPr>
              <w:t xml:space="preserve"> </w:t>
            </w:r>
          </w:p>
          <w:p w14:paraId="38A4A910" w14:textId="07967EDF"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(59.6%, 68.4%)</w:t>
            </w:r>
          </w:p>
        </w:tc>
        <w:tc>
          <w:tcPr>
            <w:tcW w:w="1162" w:type="pct"/>
            <w:vAlign w:val="center"/>
          </w:tcPr>
          <w:p w14:paraId="1FF6ACBF" w14:textId="77777777" w:rsidR="00BC0AF2" w:rsidRPr="00FA2AB8" w:rsidRDefault="00BC0AF2">
            <w:pPr>
              <w:tabs>
                <w:tab w:val="decimal" w:pos="451"/>
              </w:tabs>
              <w:jc w:val="center"/>
              <w:rPr>
                <w:rFonts w:ascii="Arial Narrow" w:hAnsi="Arial Narrow" w:cstheme="minorHAnsi"/>
                <w:sz w:val="20"/>
                <w:szCs w:val="20"/>
              </w:rPr>
            </w:pPr>
            <w:r w:rsidRPr="00FA2AB8">
              <w:rPr>
                <w:rFonts w:ascii="Arial Narrow" w:hAnsi="Arial Narrow" w:cstheme="minorHAnsi"/>
                <w:color w:val="000000"/>
                <w:sz w:val="20"/>
                <w:szCs w:val="20"/>
              </w:rPr>
              <w:t>0.40%</w:t>
            </w:r>
          </w:p>
        </w:tc>
      </w:tr>
      <w:tr w:rsidR="00BC0AF2" w:rsidRPr="00FA2AB8" w14:paraId="3C34DD3C" w14:textId="77777777" w:rsidTr="00AF29CF">
        <w:trPr>
          <w:trHeight w:val="227"/>
        </w:trPr>
        <w:tc>
          <w:tcPr>
            <w:tcW w:w="1962" w:type="pct"/>
            <w:vAlign w:val="center"/>
          </w:tcPr>
          <w:p w14:paraId="2758CB30" w14:textId="77777777" w:rsidR="00BC0AF2" w:rsidRPr="00FA2AB8" w:rsidRDefault="00BC0AF2" w:rsidP="00E5288D">
            <w:pPr>
              <w:jc w:val="left"/>
              <w:rPr>
                <w:rFonts w:ascii="Arial Narrow" w:hAnsi="Arial Narrow" w:cstheme="minorHAnsi"/>
                <w:sz w:val="20"/>
                <w:szCs w:val="20"/>
              </w:rPr>
            </w:pPr>
            <w:r w:rsidRPr="00FA2AB8">
              <w:rPr>
                <w:rFonts w:ascii="Arial Narrow" w:hAnsi="Arial Narrow" w:cstheme="minorHAnsi"/>
                <w:sz w:val="20"/>
                <w:szCs w:val="20"/>
              </w:rPr>
              <w:t>EASI-75, (NEMO average case)</w:t>
            </w:r>
          </w:p>
        </w:tc>
        <w:tc>
          <w:tcPr>
            <w:tcW w:w="895" w:type="pct"/>
          </w:tcPr>
          <w:p w14:paraId="76C97C52"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60.2%</w:t>
            </w:r>
            <w:r w:rsidR="00B86F8F" w:rsidRPr="00FA2AB8">
              <w:rPr>
                <w:rFonts w:ascii="Arial Narrow" w:hAnsi="Arial Narrow" w:cstheme="minorHAnsi"/>
                <w:sz w:val="20"/>
                <w:szCs w:val="20"/>
              </w:rPr>
              <w:t xml:space="preserve"> </w:t>
            </w:r>
          </w:p>
          <w:p w14:paraId="1477C0C3" w14:textId="646E4E94"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(57.3%, 63.0%)</w:t>
            </w:r>
          </w:p>
        </w:tc>
        <w:tc>
          <w:tcPr>
            <w:tcW w:w="981" w:type="pct"/>
          </w:tcPr>
          <w:p w14:paraId="17AA80AA"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64.1%</w:t>
            </w:r>
            <w:r w:rsidR="00B86F8F" w:rsidRPr="00FA2AB8">
              <w:rPr>
                <w:rFonts w:ascii="Arial Narrow" w:hAnsi="Arial Narrow" w:cstheme="minorHAnsi"/>
                <w:sz w:val="20"/>
                <w:szCs w:val="20"/>
              </w:rPr>
              <w:t xml:space="preserve"> </w:t>
            </w:r>
          </w:p>
          <w:p w14:paraId="512AC7E3" w14:textId="66103ABE"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(59.6%, 68.4%)</w:t>
            </w:r>
          </w:p>
        </w:tc>
        <w:tc>
          <w:tcPr>
            <w:tcW w:w="1162" w:type="pct"/>
            <w:vAlign w:val="center"/>
          </w:tcPr>
          <w:p w14:paraId="71434181" w14:textId="77777777" w:rsidR="00BC0AF2" w:rsidRPr="00FA2AB8" w:rsidRDefault="00BC0AF2">
            <w:pPr>
              <w:tabs>
                <w:tab w:val="decimal" w:pos="451"/>
              </w:tabs>
              <w:jc w:val="center"/>
              <w:rPr>
                <w:rFonts w:ascii="Arial Narrow" w:hAnsi="Arial Narrow" w:cstheme="minorHAnsi"/>
                <w:sz w:val="20"/>
                <w:szCs w:val="20"/>
              </w:rPr>
            </w:pPr>
            <w:r w:rsidRPr="00FA2AB8">
              <w:rPr>
                <w:rFonts w:ascii="Arial Narrow" w:hAnsi="Arial Narrow" w:cstheme="minorHAnsi"/>
                <w:color w:val="000000"/>
                <w:sz w:val="20"/>
                <w:szCs w:val="20"/>
              </w:rPr>
              <w:t>–3.90%</w:t>
            </w:r>
          </w:p>
        </w:tc>
      </w:tr>
      <w:tr w:rsidR="00BC0AF2" w:rsidRPr="00FA2AB8" w14:paraId="3C46BA1F" w14:textId="77777777" w:rsidTr="00AF29CF">
        <w:trPr>
          <w:trHeight w:val="227"/>
        </w:trPr>
        <w:tc>
          <w:tcPr>
            <w:tcW w:w="1962" w:type="pct"/>
            <w:vAlign w:val="center"/>
          </w:tcPr>
          <w:p w14:paraId="53182BE0" w14:textId="77777777" w:rsidR="00BC0AF2" w:rsidRPr="00FA2AB8" w:rsidRDefault="00BC0AF2" w:rsidP="00E5288D">
            <w:pPr>
              <w:jc w:val="left"/>
              <w:rPr>
                <w:rFonts w:ascii="Arial Narrow" w:hAnsi="Arial Narrow" w:cstheme="minorHAnsi"/>
                <w:sz w:val="20"/>
                <w:szCs w:val="20"/>
              </w:rPr>
            </w:pPr>
            <w:r w:rsidRPr="00FA2AB8">
              <w:rPr>
                <w:rFonts w:ascii="Arial Narrow" w:hAnsi="Arial Narrow" w:cstheme="minorHAnsi"/>
                <w:sz w:val="20"/>
                <w:szCs w:val="20"/>
              </w:rPr>
              <w:t>EASI-75, (NEMO worst case)</w:t>
            </w:r>
          </w:p>
        </w:tc>
        <w:tc>
          <w:tcPr>
            <w:tcW w:w="895" w:type="pct"/>
          </w:tcPr>
          <w:p w14:paraId="3E7511BF"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58.2%</w:t>
            </w:r>
            <w:r w:rsidR="00B86F8F" w:rsidRPr="00FA2AB8">
              <w:rPr>
                <w:rFonts w:ascii="Arial Narrow" w:hAnsi="Arial Narrow" w:cstheme="minorHAnsi"/>
                <w:sz w:val="20"/>
                <w:szCs w:val="20"/>
              </w:rPr>
              <w:t xml:space="preserve"> </w:t>
            </w:r>
          </w:p>
          <w:p w14:paraId="61580B7C" w14:textId="2AB35FF5"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(55.4%, 61.1%)</w:t>
            </w:r>
          </w:p>
        </w:tc>
        <w:tc>
          <w:tcPr>
            <w:tcW w:w="981" w:type="pct"/>
          </w:tcPr>
          <w:p w14:paraId="03091031"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64.1%</w:t>
            </w:r>
            <w:r w:rsidR="00B86F8F" w:rsidRPr="00FA2AB8">
              <w:rPr>
                <w:rFonts w:ascii="Arial Narrow" w:hAnsi="Arial Narrow" w:cstheme="minorHAnsi"/>
                <w:sz w:val="20"/>
                <w:szCs w:val="20"/>
              </w:rPr>
              <w:t xml:space="preserve"> </w:t>
            </w:r>
          </w:p>
          <w:p w14:paraId="09BD8F75" w14:textId="5E3DC706"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(59.6%, 68.4%)</w:t>
            </w:r>
          </w:p>
        </w:tc>
        <w:tc>
          <w:tcPr>
            <w:tcW w:w="1162" w:type="pct"/>
            <w:vAlign w:val="center"/>
          </w:tcPr>
          <w:p w14:paraId="48353533" w14:textId="77777777" w:rsidR="00BC0AF2" w:rsidRPr="00FA2AB8" w:rsidRDefault="00BC0AF2">
            <w:pPr>
              <w:tabs>
                <w:tab w:val="decimal" w:pos="451"/>
              </w:tabs>
              <w:jc w:val="center"/>
              <w:rPr>
                <w:rFonts w:ascii="Arial Narrow" w:hAnsi="Arial Narrow" w:cstheme="minorHAnsi"/>
                <w:sz w:val="20"/>
                <w:szCs w:val="20"/>
              </w:rPr>
            </w:pPr>
            <w:r w:rsidRPr="00FA2AB8">
              <w:rPr>
                <w:rFonts w:ascii="Arial Narrow" w:hAnsi="Arial Narrow" w:cstheme="minorHAnsi"/>
                <w:color w:val="000000"/>
                <w:sz w:val="20"/>
                <w:szCs w:val="20"/>
              </w:rPr>
              <w:t>–5.90%</w:t>
            </w:r>
          </w:p>
        </w:tc>
      </w:tr>
      <w:tr w:rsidR="00BC0AF2" w:rsidRPr="00FA2AB8" w14:paraId="4579C2BF" w14:textId="77777777" w:rsidTr="00AF29CF">
        <w:trPr>
          <w:trHeight w:val="227"/>
        </w:trPr>
        <w:tc>
          <w:tcPr>
            <w:tcW w:w="1962" w:type="pct"/>
            <w:vAlign w:val="center"/>
          </w:tcPr>
          <w:p w14:paraId="005F13E1" w14:textId="77777777" w:rsidR="00BC0AF2" w:rsidRPr="00FA2AB8" w:rsidRDefault="00BC0AF2" w:rsidP="00E5288D">
            <w:pPr>
              <w:jc w:val="left"/>
              <w:rPr>
                <w:rFonts w:ascii="Arial Narrow" w:hAnsi="Arial Narrow" w:cstheme="minorHAnsi"/>
                <w:sz w:val="20"/>
                <w:szCs w:val="20"/>
              </w:rPr>
            </w:pPr>
            <w:r w:rsidRPr="00FA2AB8">
              <w:rPr>
                <w:rFonts w:ascii="Arial Narrow" w:hAnsi="Arial Narrow" w:cstheme="minorHAnsi"/>
                <w:sz w:val="20"/>
                <w:szCs w:val="20"/>
              </w:rPr>
              <w:t>IGA, (NEMO best case)</w:t>
            </w:r>
          </w:p>
        </w:tc>
        <w:tc>
          <w:tcPr>
            <w:tcW w:w="895" w:type="pct"/>
          </w:tcPr>
          <w:p w14:paraId="45DC0487"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47.6%</w:t>
            </w:r>
            <w:r w:rsidR="00B86F8F" w:rsidRPr="00FA2AB8">
              <w:rPr>
                <w:rFonts w:ascii="Arial Narrow" w:hAnsi="Arial Narrow" w:cstheme="minorHAnsi"/>
                <w:sz w:val="20"/>
                <w:szCs w:val="20"/>
              </w:rPr>
              <w:t xml:space="preserve"> </w:t>
            </w:r>
          </w:p>
          <w:p w14:paraId="5A8A3F55" w14:textId="2C369AC3"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(42.1%, 53.3%)</w:t>
            </w:r>
          </w:p>
        </w:tc>
        <w:tc>
          <w:tcPr>
            <w:tcW w:w="981" w:type="pct"/>
          </w:tcPr>
          <w:p w14:paraId="6FC66F41"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38.3%</w:t>
            </w:r>
            <w:r w:rsidR="00B86F8F" w:rsidRPr="00FA2AB8">
              <w:rPr>
                <w:rFonts w:ascii="Arial Narrow" w:hAnsi="Arial Narrow" w:cstheme="minorHAnsi"/>
                <w:sz w:val="20"/>
                <w:szCs w:val="20"/>
              </w:rPr>
              <w:t xml:space="preserve"> </w:t>
            </w:r>
          </w:p>
          <w:p w14:paraId="04AC7A3F" w14:textId="0DBEE791"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(33.9%, 42.8%)</w:t>
            </w:r>
          </w:p>
        </w:tc>
        <w:tc>
          <w:tcPr>
            <w:tcW w:w="1162" w:type="pct"/>
            <w:vAlign w:val="center"/>
          </w:tcPr>
          <w:p w14:paraId="67DA86FF" w14:textId="77777777" w:rsidR="00BC0AF2" w:rsidRPr="00FA2AB8" w:rsidRDefault="00BC0AF2">
            <w:pPr>
              <w:tabs>
                <w:tab w:val="decimal" w:pos="451"/>
              </w:tabs>
              <w:jc w:val="center"/>
              <w:rPr>
                <w:rFonts w:ascii="Arial Narrow" w:hAnsi="Arial Narrow" w:cstheme="minorHAnsi"/>
                <w:sz w:val="20"/>
                <w:szCs w:val="20"/>
              </w:rPr>
            </w:pPr>
            <w:r w:rsidRPr="00FA2AB8">
              <w:rPr>
                <w:rFonts w:ascii="Arial Narrow" w:hAnsi="Arial Narrow" w:cstheme="minorHAnsi"/>
                <w:color w:val="000000"/>
                <w:sz w:val="20"/>
                <w:szCs w:val="20"/>
              </w:rPr>
              <w:t>9.30%</w:t>
            </w:r>
          </w:p>
        </w:tc>
      </w:tr>
      <w:tr w:rsidR="00BC0AF2" w:rsidRPr="00FA2AB8" w14:paraId="03309D67" w14:textId="77777777" w:rsidTr="00AF29CF">
        <w:trPr>
          <w:trHeight w:val="227"/>
        </w:trPr>
        <w:tc>
          <w:tcPr>
            <w:tcW w:w="1962" w:type="pct"/>
            <w:vAlign w:val="center"/>
          </w:tcPr>
          <w:p w14:paraId="6B30F89E" w14:textId="77777777" w:rsidR="00BC0AF2" w:rsidRPr="00FA2AB8" w:rsidRDefault="00BC0AF2" w:rsidP="00E5288D">
            <w:pPr>
              <w:jc w:val="left"/>
              <w:rPr>
                <w:rFonts w:ascii="Arial Narrow" w:hAnsi="Arial Narrow" w:cstheme="minorHAnsi"/>
                <w:sz w:val="20"/>
                <w:szCs w:val="20"/>
              </w:rPr>
            </w:pPr>
            <w:r w:rsidRPr="00FA2AB8">
              <w:rPr>
                <w:rFonts w:ascii="Arial Narrow" w:hAnsi="Arial Narrow" w:cstheme="minorHAnsi"/>
                <w:sz w:val="20"/>
                <w:szCs w:val="20"/>
              </w:rPr>
              <w:t>IGA, (NEMO average case)</w:t>
            </w:r>
          </w:p>
        </w:tc>
        <w:tc>
          <w:tcPr>
            <w:tcW w:w="895" w:type="pct"/>
          </w:tcPr>
          <w:p w14:paraId="264DDBB6"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42.7%</w:t>
            </w:r>
            <w:r w:rsidR="00B86F8F" w:rsidRPr="00FA2AB8">
              <w:rPr>
                <w:rFonts w:ascii="Arial Narrow" w:hAnsi="Arial Narrow" w:cstheme="minorHAnsi"/>
                <w:sz w:val="20"/>
                <w:szCs w:val="20"/>
              </w:rPr>
              <w:t xml:space="preserve"> </w:t>
            </w:r>
          </w:p>
          <w:p w14:paraId="50BEC06E" w14:textId="24A69925"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(39.9%, 45.6%)</w:t>
            </w:r>
          </w:p>
        </w:tc>
        <w:tc>
          <w:tcPr>
            <w:tcW w:w="981" w:type="pct"/>
          </w:tcPr>
          <w:p w14:paraId="6611D589"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38.3%</w:t>
            </w:r>
            <w:r w:rsidR="00B86F8F" w:rsidRPr="00FA2AB8">
              <w:rPr>
                <w:rFonts w:ascii="Arial Narrow" w:hAnsi="Arial Narrow" w:cstheme="minorHAnsi"/>
                <w:sz w:val="20"/>
                <w:szCs w:val="20"/>
              </w:rPr>
              <w:t xml:space="preserve"> </w:t>
            </w:r>
          </w:p>
          <w:p w14:paraId="40E91FB1" w14:textId="2AA70FB1"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(33.9%, 42.8%)</w:t>
            </w:r>
          </w:p>
        </w:tc>
        <w:tc>
          <w:tcPr>
            <w:tcW w:w="1162" w:type="pct"/>
            <w:vAlign w:val="center"/>
          </w:tcPr>
          <w:p w14:paraId="4A719A13" w14:textId="77777777" w:rsidR="00BC0AF2" w:rsidRPr="00FA2AB8" w:rsidRDefault="00BC0AF2">
            <w:pPr>
              <w:tabs>
                <w:tab w:val="decimal" w:pos="451"/>
              </w:tabs>
              <w:jc w:val="center"/>
              <w:rPr>
                <w:rFonts w:ascii="Arial Narrow" w:hAnsi="Arial Narrow" w:cstheme="minorHAnsi"/>
                <w:sz w:val="20"/>
                <w:szCs w:val="20"/>
              </w:rPr>
            </w:pPr>
            <w:r w:rsidRPr="00FA2AB8">
              <w:rPr>
                <w:rFonts w:ascii="Arial Narrow" w:hAnsi="Arial Narrow" w:cstheme="minorHAnsi"/>
                <w:color w:val="000000"/>
                <w:sz w:val="20"/>
                <w:szCs w:val="20"/>
              </w:rPr>
              <w:t>4.40%</w:t>
            </w:r>
          </w:p>
        </w:tc>
      </w:tr>
      <w:tr w:rsidR="00BC0AF2" w:rsidRPr="00FA2AB8" w14:paraId="48CF6081" w14:textId="77777777" w:rsidTr="00AF29CF">
        <w:trPr>
          <w:trHeight w:val="227"/>
        </w:trPr>
        <w:tc>
          <w:tcPr>
            <w:tcW w:w="1962" w:type="pct"/>
            <w:vAlign w:val="center"/>
          </w:tcPr>
          <w:p w14:paraId="7B132B5E" w14:textId="77777777" w:rsidR="00BC0AF2" w:rsidRPr="00FA2AB8" w:rsidRDefault="00BC0AF2" w:rsidP="00E5288D">
            <w:pPr>
              <w:jc w:val="left"/>
              <w:rPr>
                <w:rFonts w:ascii="Arial Narrow" w:hAnsi="Arial Narrow" w:cstheme="minorHAnsi"/>
                <w:sz w:val="20"/>
                <w:szCs w:val="20"/>
              </w:rPr>
            </w:pPr>
            <w:r w:rsidRPr="00FA2AB8">
              <w:rPr>
                <w:rFonts w:ascii="Arial Narrow" w:hAnsi="Arial Narrow" w:cstheme="minorHAnsi"/>
                <w:sz w:val="20"/>
                <w:szCs w:val="20"/>
              </w:rPr>
              <w:t>IGA, (NEMO worst case)</w:t>
            </w:r>
          </w:p>
        </w:tc>
        <w:tc>
          <w:tcPr>
            <w:tcW w:w="895" w:type="pct"/>
          </w:tcPr>
          <w:p w14:paraId="5E547403"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42.2%</w:t>
            </w:r>
            <w:r w:rsidR="00B86F8F" w:rsidRPr="00FA2AB8">
              <w:rPr>
                <w:rFonts w:ascii="Arial Narrow" w:hAnsi="Arial Narrow" w:cstheme="minorHAnsi"/>
                <w:sz w:val="20"/>
                <w:szCs w:val="20"/>
              </w:rPr>
              <w:t xml:space="preserve"> </w:t>
            </w:r>
          </w:p>
          <w:p w14:paraId="2973A2C6" w14:textId="13F2A299"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(39.4%, 45.1%)</w:t>
            </w:r>
          </w:p>
        </w:tc>
        <w:tc>
          <w:tcPr>
            <w:tcW w:w="981" w:type="pct"/>
          </w:tcPr>
          <w:p w14:paraId="275E24A4"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38.3%</w:t>
            </w:r>
            <w:r w:rsidR="00B86F8F" w:rsidRPr="00FA2AB8">
              <w:rPr>
                <w:rFonts w:ascii="Arial Narrow" w:hAnsi="Arial Narrow" w:cstheme="minorHAnsi"/>
                <w:sz w:val="20"/>
                <w:szCs w:val="20"/>
              </w:rPr>
              <w:t xml:space="preserve"> </w:t>
            </w:r>
          </w:p>
          <w:p w14:paraId="54384671" w14:textId="5539D99C"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(33.9%, 42.8%)</w:t>
            </w:r>
          </w:p>
        </w:tc>
        <w:tc>
          <w:tcPr>
            <w:tcW w:w="1162" w:type="pct"/>
            <w:vAlign w:val="center"/>
          </w:tcPr>
          <w:p w14:paraId="0DF345F4" w14:textId="77777777" w:rsidR="00BC0AF2" w:rsidRPr="00FA2AB8" w:rsidRDefault="00BC0AF2">
            <w:pPr>
              <w:tabs>
                <w:tab w:val="decimal" w:pos="451"/>
              </w:tabs>
              <w:jc w:val="center"/>
              <w:rPr>
                <w:rFonts w:ascii="Arial Narrow" w:hAnsi="Arial Narrow" w:cstheme="minorHAnsi"/>
                <w:sz w:val="20"/>
                <w:szCs w:val="20"/>
              </w:rPr>
            </w:pPr>
            <w:r w:rsidRPr="00FA2AB8">
              <w:rPr>
                <w:rFonts w:ascii="Arial Narrow" w:hAnsi="Arial Narrow" w:cstheme="minorHAnsi"/>
                <w:color w:val="000000"/>
                <w:sz w:val="20"/>
                <w:szCs w:val="20"/>
              </w:rPr>
              <w:t>3.90%</w:t>
            </w:r>
          </w:p>
        </w:tc>
      </w:tr>
      <w:tr w:rsidR="0066607C" w:rsidRPr="00FA2AB8" w14:paraId="7CEB838E" w14:textId="77777777" w:rsidTr="00AF29CF">
        <w:trPr>
          <w:trHeight w:val="227"/>
        </w:trPr>
        <w:tc>
          <w:tcPr>
            <w:tcW w:w="5000" w:type="pct"/>
            <w:gridSpan w:val="4"/>
          </w:tcPr>
          <w:p w14:paraId="6F17BE46" w14:textId="20704A5F" w:rsidR="0066607C" w:rsidRPr="00FA2AB8" w:rsidRDefault="0066607C" w:rsidP="00E5288D">
            <w:pPr>
              <w:rPr>
                <w:rFonts w:ascii="Arial Narrow" w:hAnsi="Arial Narrow" w:cstheme="minorHAnsi"/>
                <w:sz w:val="20"/>
                <w:szCs w:val="20"/>
              </w:rPr>
            </w:pPr>
            <w:r w:rsidRPr="00FA2AB8">
              <w:rPr>
                <w:rFonts w:ascii="Arial Narrow" w:hAnsi="Arial Narrow" w:cstheme="minorHAnsi"/>
                <w:b/>
                <w:bCs/>
                <w:sz w:val="20"/>
                <w:szCs w:val="20"/>
              </w:rPr>
              <w:t>Severe population</w:t>
            </w:r>
            <w:r w:rsidRPr="00FA2AB8">
              <w:rPr>
                <w:rFonts w:ascii="Arial Narrow" w:hAnsi="Arial Narrow" w:cstheme="minorHAnsi"/>
                <w:color w:val="000000"/>
                <w:sz w:val="20"/>
                <w:szCs w:val="20"/>
              </w:rPr>
              <w:t> </w:t>
            </w:r>
          </w:p>
        </w:tc>
      </w:tr>
      <w:tr w:rsidR="00BC0AF2" w:rsidRPr="00FA2AB8" w14:paraId="4899EFE8" w14:textId="77777777" w:rsidTr="00AF29CF">
        <w:trPr>
          <w:trHeight w:val="227"/>
        </w:trPr>
        <w:tc>
          <w:tcPr>
            <w:tcW w:w="1962" w:type="pct"/>
            <w:vAlign w:val="center"/>
          </w:tcPr>
          <w:p w14:paraId="7222CFCD" w14:textId="77777777" w:rsidR="00BC0AF2" w:rsidRPr="00FA2AB8" w:rsidRDefault="00BC0AF2" w:rsidP="00E5288D">
            <w:pPr>
              <w:jc w:val="left"/>
              <w:rPr>
                <w:rFonts w:ascii="Arial Narrow" w:hAnsi="Arial Narrow" w:cstheme="minorHAnsi"/>
                <w:sz w:val="20"/>
                <w:szCs w:val="20"/>
              </w:rPr>
            </w:pPr>
            <w:r w:rsidRPr="00FA2AB8">
              <w:rPr>
                <w:rFonts w:ascii="Arial Narrow" w:hAnsi="Arial Narrow" w:cstheme="minorHAnsi"/>
                <w:sz w:val="20"/>
                <w:szCs w:val="20"/>
              </w:rPr>
              <w:t>EASI-50, (NEMO best case)</w:t>
            </w:r>
          </w:p>
        </w:tc>
        <w:tc>
          <w:tcPr>
            <w:tcW w:w="895" w:type="pct"/>
          </w:tcPr>
          <w:p w14:paraId="62595CED"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77.5%</w:t>
            </w:r>
            <w:r w:rsidR="00B86F8F" w:rsidRPr="00FA2AB8">
              <w:rPr>
                <w:rFonts w:ascii="Arial Narrow" w:hAnsi="Arial Narrow" w:cstheme="minorHAnsi"/>
                <w:sz w:val="20"/>
                <w:szCs w:val="20"/>
              </w:rPr>
              <w:t xml:space="preserve"> </w:t>
            </w:r>
          </w:p>
          <w:p w14:paraId="3C8AD6FF" w14:textId="68F38C47"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(72.7%, 81.7%)</w:t>
            </w:r>
          </w:p>
        </w:tc>
        <w:tc>
          <w:tcPr>
            <w:tcW w:w="981" w:type="pct"/>
          </w:tcPr>
          <w:p w14:paraId="4B7016E5"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67.0%</w:t>
            </w:r>
            <w:r w:rsidR="00B86F8F" w:rsidRPr="00FA2AB8">
              <w:rPr>
                <w:rFonts w:ascii="Arial Narrow" w:hAnsi="Arial Narrow" w:cstheme="minorHAnsi"/>
                <w:sz w:val="20"/>
                <w:szCs w:val="20"/>
              </w:rPr>
              <w:t xml:space="preserve"> </w:t>
            </w:r>
          </w:p>
          <w:p w14:paraId="3566C14A" w14:textId="61B081CA"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(61.5%, 72.1%)</w:t>
            </w:r>
          </w:p>
        </w:tc>
        <w:tc>
          <w:tcPr>
            <w:tcW w:w="1162" w:type="pct"/>
            <w:vAlign w:val="center"/>
          </w:tcPr>
          <w:p w14:paraId="421206C1" w14:textId="77777777" w:rsidR="00BC0AF2" w:rsidRPr="00FA2AB8" w:rsidRDefault="00BC0AF2">
            <w:pPr>
              <w:tabs>
                <w:tab w:val="decimal" w:pos="451"/>
              </w:tabs>
              <w:jc w:val="center"/>
              <w:rPr>
                <w:rFonts w:ascii="Arial Narrow" w:hAnsi="Arial Narrow" w:cstheme="minorHAnsi"/>
                <w:sz w:val="20"/>
                <w:szCs w:val="20"/>
              </w:rPr>
            </w:pPr>
            <w:r w:rsidRPr="00FA2AB8">
              <w:rPr>
                <w:rFonts w:ascii="Arial Narrow" w:hAnsi="Arial Narrow" w:cstheme="minorHAnsi"/>
                <w:color w:val="000000"/>
                <w:sz w:val="20"/>
                <w:szCs w:val="20"/>
              </w:rPr>
              <w:t>10.50%</w:t>
            </w:r>
          </w:p>
        </w:tc>
      </w:tr>
      <w:tr w:rsidR="00BC0AF2" w:rsidRPr="00FA2AB8" w14:paraId="214FE0F3" w14:textId="77777777" w:rsidTr="00AF29CF">
        <w:trPr>
          <w:trHeight w:val="227"/>
        </w:trPr>
        <w:tc>
          <w:tcPr>
            <w:tcW w:w="1962" w:type="pct"/>
            <w:vAlign w:val="center"/>
          </w:tcPr>
          <w:p w14:paraId="5495704C" w14:textId="77777777" w:rsidR="00BC0AF2" w:rsidRPr="00FA2AB8" w:rsidRDefault="00BC0AF2" w:rsidP="00E5288D">
            <w:pPr>
              <w:jc w:val="left"/>
              <w:rPr>
                <w:rFonts w:ascii="Arial Narrow" w:hAnsi="Arial Narrow" w:cstheme="minorHAnsi"/>
                <w:sz w:val="20"/>
                <w:szCs w:val="20"/>
              </w:rPr>
            </w:pPr>
            <w:r w:rsidRPr="00FA2AB8">
              <w:rPr>
                <w:rFonts w:ascii="Arial Narrow" w:hAnsi="Arial Narrow" w:cstheme="minorHAnsi"/>
                <w:sz w:val="20"/>
                <w:szCs w:val="20"/>
              </w:rPr>
              <w:t>EASI-50, (NEMO average case)</w:t>
            </w:r>
          </w:p>
        </w:tc>
        <w:tc>
          <w:tcPr>
            <w:tcW w:w="895" w:type="pct"/>
          </w:tcPr>
          <w:p w14:paraId="0320BA43"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67.2%</w:t>
            </w:r>
            <w:r w:rsidR="00B86F8F" w:rsidRPr="00FA2AB8">
              <w:rPr>
                <w:rFonts w:ascii="Arial Narrow" w:hAnsi="Arial Narrow" w:cstheme="minorHAnsi"/>
                <w:sz w:val="20"/>
                <w:szCs w:val="20"/>
              </w:rPr>
              <w:t xml:space="preserve"> </w:t>
            </w:r>
          </w:p>
          <w:p w14:paraId="0401E55C" w14:textId="194EE7D6"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(60.2%, 73.5%)</w:t>
            </w:r>
          </w:p>
        </w:tc>
        <w:tc>
          <w:tcPr>
            <w:tcW w:w="981" w:type="pct"/>
          </w:tcPr>
          <w:p w14:paraId="6369EBB4"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67.0%</w:t>
            </w:r>
            <w:r w:rsidR="00B86F8F" w:rsidRPr="00FA2AB8">
              <w:rPr>
                <w:rFonts w:ascii="Arial Narrow" w:hAnsi="Arial Narrow" w:cstheme="minorHAnsi"/>
                <w:sz w:val="20"/>
                <w:szCs w:val="20"/>
              </w:rPr>
              <w:t xml:space="preserve"> </w:t>
            </w:r>
          </w:p>
          <w:p w14:paraId="57C8B46A" w14:textId="262B3A57"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(61.5%, 72.1%)</w:t>
            </w:r>
          </w:p>
        </w:tc>
        <w:tc>
          <w:tcPr>
            <w:tcW w:w="1162" w:type="pct"/>
            <w:vAlign w:val="center"/>
          </w:tcPr>
          <w:p w14:paraId="49BE36FA" w14:textId="77777777" w:rsidR="00BC0AF2" w:rsidRPr="00FA2AB8" w:rsidRDefault="00BC0AF2">
            <w:pPr>
              <w:tabs>
                <w:tab w:val="decimal" w:pos="451"/>
              </w:tabs>
              <w:jc w:val="center"/>
              <w:rPr>
                <w:rFonts w:ascii="Arial Narrow" w:hAnsi="Arial Narrow" w:cstheme="minorHAnsi"/>
                <w:sz w:val="20"/>
                <w:szCs w:val="20"/>
              </w:rPr>
            </w:pPr>
            <w:r w:rsidRPr="00FA2AB8">
              <w:rPr>
                <w:rFonts w:ascii="Arial Narrow" w:hAnsi="Arial Narrow" w:cstheme="minorHAnsi"/>
                <w:color w:val="000000"/>
                <w:sz w:val="20"/>
                <w:szCs w:val="20"/>
              </w:rPr>
              <w:t>0.20%</w:t>
            </w:r>
          </w:p>
        </w:tc>
      </w:tr>
      <w:tr w:rsidR="00BC0AF2" w:rsidRPr="00FA2AB8" w14:paraId="46642F95" w14:textId="77777777" w:rsidTr="00AF29CF">
        <w:trPr>
          <w:trHeight w:val="227"/>
        </w:trPr>
        <w:tc>
          <w:tcPr>
            <w:tcW w:w="1962" w:type="pct"/>
            <w:vAlign w:val="center"/>
          </w:tcPr>
          <w:p w14:paraId="107592BC" w14:textId="77777777" w:rsidR="00BC0AF2" w:rsidRPr="00FA2AB8" w:rsidRDefault="00BC0AF2" w:rsidP="00E5288D">
            <w:pPr>
              <w:jc w:val="left"/>
              <w:rPr>
                <w:rFonts w:ascii="Arial Narrow" w:hAnsi="Arial Narrow" w:cstheme="minorHAnsi"/>
                <w:sz w:val="20"/>
                <w:szCs w:val="20"/>
              </w:rPr>
            </w:pPr>
            <w:r w:rsidRPr="00FA2AB8">
              <w:rPr>
                <w:rFonts w:ascii="Arial Narrow" w:hAnsi="Arial Narrow" w:cstheme="minorHAnsi"/>
                <w:sz w:val="20"/>
                <w:szCs w:val="20"/>
              </w:rPr>
              <w:t>EASI-50, (NEMO worst case)</w:t>
            </w:r>
          </w:p>
        </w:tc>
        <w:tc>
          <w:tcPr>
            <w:tcW w:w="895" w:type="pct"/>
          </w:tcPr>
          <w:p w14:paraId="373BAE32"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61.4%</w:t>
            </w:r>
            <w:r w:rsidR="00B86F8F" w:rsidRPr="00FA2AB8">
              <w:rPr>
                <w:rFonts w:ascii="Arial Narrow" w:hAnsi="Arial Narrow" w:cstheme="minorHAnsi"/>
                <w:sz w:val="20"/>
                <w:szCs w:val="20"/>
              </w:rPr>
              <w:t xml:space="preserve"> </w:t>
            </w:r>
          </w:p>
          <w:p w14:paraId="098B0294" w14:textId="199654B0"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(54.6%, 67.8%)</w:t>
            </w:r>
          </w:p>
        </w:tc>
        <w:tc>
          <w:tcPr>
            <w:tcW w:w="981" w:type="pct"/>
          </w:tcPr>
          <w:p w14:paraId="7887A798" w14:textId="77777777" w:rsidR="00B86F8F" w:rsidRPr="00FA2AB8" w:rsidRDefault="00BC0AF2">
            <w:pPr>
              <w:jc w:val="center"/>
              <w:rPr>
                <w:rFonts w:ascii="Arial Narrow" w:hAnsi="Arial Narrow" w:cstheme="minorHAnsi"/>
                <w:sz w:val="20"/>
                <w:szCs w:val="20"/>
              </w:rPr>
            </w:pPr>
            <w:r w:rsidRPr="00FA2AB8">
              <w:rPr>
                <w:rFonts w:ascii="Arial Narrow" w:hAnsi="Arial Narrow" w:cstheme="minorHAnsi"/>
                <w:sz w:val="20"/>
                <w:szCs w:val="20"/>
              </w:rPr>
              <w:t>67.0%</w:t>
            </w:r>
            <w:r w:rsidR="00B86F8F" w:rsidRPr="00FA2AB8">
              <w:rPr>
                <w:rFonts w:ascii="Arial Narrow" w:hAnsi="Arial Narrow" w:cstheme="minorHAnsi"/>
                <w:sz w:val="20"/>
                <w:szCs w:val="20"/>
              </w:rPr>
              <w:t xml:space="preserve"> </w:t>
            </w:r>
          </w:p>
          <w:p w14:paraId="34EE97CC" w14:textId="718438E5" w:rsidR="00BC0AF2" w:rsidRPr="00FA2AB8" w:rsidRDefault="00B86F8F">
            <w:pPr>
              <w:jc w:val="center"/>
              <w:rPr>
                <w:rFonts w:ascii="Arial Narrow" w:hAnsi="Arial Narrow" w:cstheme="minorHAnsi"/>
                <w:sz w:val="20"/>
                <w:szCs w:val="20"/>
              </w:rPr>
            </w:pPr>
            <w:r w:rsidRPr="00FA2AB8">
              <w:rPr>
                <w:rFonts w:ascii="Arial Narrow" w:hAnsi="Arial Narrow" w:cstheme="minorHAnsi"/>
                <w:sz w:val="20"/>
                <w:szCs w:val="20"/>
              </w:rPr>
              <w:t>(61.5%, 72.1%)</w:t>
            </w:r>
          </w:p>
        </w:tc>
        <w:tc>
          <w:tcPr>
            <w:tcW w:w="1162" w:type="pct"/>
            <w:vAlign w:val="center"/>
          </w:tcPr>
          <w:p w14:paraId="40423125" w14:textId="77777777" w:rsidR="00BC0AF2" w:rsidRPr="00FA2AB8" w:rsidRDefault="00BC0AF2">
            <w:pPr>
              <w:tabs>
                <w:tab w:val="decimal" w:pos="451"/>
              </w:tabs>
              <w:jc w:val="center"/>
              <w:rPr>
                <w:rFonts w:ascii="Arial Narrow" w:hAnsi="Arial Narrow" w:cstheme="minorHAnsi"/>
                <w:sz w:val="20"/>
                <w:szCs w:val="20"/>
              </w:rPr>
            </w:pPr>
            <w:r w:rsidRPr="00FA2AB8">
              <w:rPr>
                <w:rFonts w:ascii="Arial Narrow" w:hAnsi="Arial Narrow" w:cstheme="minorHAnsi"/>
                <w:color w:val="000000"/>
                <w:sz w:val="20"/>
                <w:szCs w:val="20"/>
              </w:rPr>
              <w:t>–5.60%</w:t>
            </w:r>
          </w:p>
        </w:tc>
      </w:tr>
    </w:tbl>
    <w:p w14:paraId="67FAA91D" w14:textId="3B321C3F" w:rsidR="00BC0AF2" w:rsidRPr="00FA2AB8" w:rsidRDefault="005934E5" w:rsidP="00384BE2">
      <w:pPr>
        <w:pStyle w:val="3-BodyText"/>
        <w:numPr>
          <w:ilvl w:val="0"/>
          <w:numId w:val="0"/>
        </w:numPr>
        <w:spacing w:before="0" w:after="0"/>
        <w:rPr>
          <w:rStyle w:val="CommentReference"/>
          <w:b w:val="0"/>
          <w:bCs/>
          <w:sz w:val="18"/>
          <w:szCs w:val="18"/>
        </w:rPr>
      </w:pPr>
      <w:r w:rsidRPr="00FA2AB8">
        <w:rPr>
          <w:rStyle w:val="CommentReference"/>
          <w:b w:val="0"/>
          <w:bCs/>
          <w:sz w:val="18"/>
          <w:szCs w:val="18"/>
        </w:rPr>
        <w:t>Source: Table 2-15, pp64-65 and Table 2-16, p65.</w:t>
      </w:r>
    </w:p>
    <w:p w14:paraId="6BCD936D" w14:textId="1659A009" w:rsidR="005934E5" w:rsidRPr="00FA2AB8" w:rsidRDefault="005934E5" w:rsidP="007E0E84">
      <w:pPr>
        <w:pStyle w:val="3-BodyText"/>
        <w:numPr>
          <w:ilvl w:val="0"/>
          <w:numId w:val="0"/>
        </w:numPr>
        <w:spacing w:before="0" w:after="0"/>
        <w:rPr>
          <w:rStyle w:val="CommentReference"/>
          <w:b w:val="0"/>
          <w:bCs/>
          <w:sz w:val="18"/>
          <w:szCs w:val="18"/>
        </w:rPr>
      </w:pPr>
      <w:r w:rsidRPr="00FA2AB8">
        <w:rPr>
          <w:rStyle w:val="CommentReference"/>
          <w:b w:val="0"/>
          <w:bCs/>
          <w:sz w:val="18"/>
          <w:szCs w:val="18"/>
        </w:rPr>
        <w:t>CI = confidence interval; DUPI = dupilumab; EASI = Eczema Area and Severity Index; IGA = Investigator’s Global Assessment; ITT = intent to treat; NEMO = nemolizumab.</w:t>
      </w:r>
    </w:p>
    <w:p w14:paraId="42C9DD1A" w14:textId="2F95AEE9" w:rsidR="005934E5" w:rsidRPr="00EA316B" w:rsidRDefault="008706F5" w:rsidP="007E0E84">
      <w:pPr>
        <w:pStyle w:val="3-BodyText"/>
        <w:spacing w:before="160" w:after="160"/>
      </w:pPr>
      <w:r w:rsidRPr="00EA316B">
        <w:t xml:space="preserve">The </w:t>
      </w:r>
      <w:r w:rsidR="00A35AA7" w:rsidRPr="00EA316B">
        <w:t>PBS population had a better response rate</w:t>
      </w:r>
      <w:r w:rsidR="00F84C3D" w:rsidRPr="00EA316B">
        <w:t xml:space="preserve"> under the best-case scenario</w:t>
      </w:r>
      <w:r w:rsidR="00A35AA7" w:rsidRPr="00EA316B">
        <w:t xml:space="preserve">, by EASI-50, with NEMO than with DUPI, while under the worst-case scenario they had a worse response rate, and with the average scenario, the response rate between NEMO and DUPI was similar. However, the non-responder patients who did not carry on to the ARCADIA </w:t>
      </w:r>
      <w:r w:rsidR="00A270BB" w:rsidRPr="00EA316B">
        <w:t>LTE may have been judged as unlikely to respond</w:t>
      </w:r>
      <w:r w:rsidR="00A9403C" w:rsidRPr="00EA316B">
        <w:t xml:space="preserve"> or who could not carry on </w:t>
      </w:r>
      <w:r w:rsidR="008B0A40" w:rsidRPr="00EA316B">
        <w:t xml:space="preserve">with treatment </w:t>
      </w:r>
      <w:r w:rsidR="00A9403C" w:rsidRPr="00EA316B">
        <w:t xml:space="preserve">due to </w:t>
      </w:r>
      <w:r w:rsidR="004F17C7" w:rsidRPr="00EA316B">
        <w:t>toxicity and</w:t>
      </w:r>
      <w:r w:rsidR="00A270BB" w:rsidRPr="00EA316B">
        <w:t xml:space="preserve"> hence</w:t>
      </w:r>
      <w:r w:rsidR="000646EC" w:rsidRPr="00EA316B">
        <w:t>,</w:t>
      </w:r>
      <w:r w:rsidR="00A270BB" w:rsidRPr="00EA316B">
        <w:t xml:space="preserve"> would not benefit from an extended induction period, the </w:t>
      </w:r>
      <w:r w:rsidR="000646EC" w:rsidRPr="00EA316B">
        <w:t xml:space="preserve">ESC considered that the </w:t>
      </w:r>
      <w:r w:rsidR="00A270BB" w:rsidRPr="00EA316B">
        <w:t>most reasonable assumption is the “worst-case” scenario where none of these patients respond, or at least a scenario where many of these patients do not respond.</w:t>
      </w:r>
    </w:p>
    <w:p w14:paraId="31F6178E" w14:textId="1B9CD84D" w:rsidR="00546DBD" w:rsidRPr="00FA2AB8" w:rsidRDefault="006F70B0" w:rsidP="007E0E84">
      <w:pPr>
        <w:pStyle w:val="3-BodyText"/>
        <w:spacing w:before="160" w:after="160"/>
        <w:rPr>
          <w:rStyle w:val="CommentReference"/>
          <w:b w:val="0"/>
          <w:color w:val="0066FF"/>
        </w:rPr>
      </w:pPr>
      <w:r w:rsidRPr="00FA2AB8">
        <w:lastRenderedPageBreak/>
        <w:t xml:space="preserve">The </w:t>
      </w:r>
      <w:r w:rsidR="00CF7CEA">
        <w:t xml:space="preserve">evaluation noted that the </w:t>
      </w:r>
      <w:r w:rsidR="005C157E">
        <w:t>approach</w:t>
      </w:r>
      <w:r w:rsidR="00ED199A">
        <w:t>,</w:t>
      </w:r>
      <w:r w:rsidR="005C157E">
        <w:t xml:space="preserve"> </w:t>
      </w:r>
      <w:r w:rsidR="00C14FE7">
        <w:t xml:space="preserve">which included the </w:t>
      </w:r>
      <w:r w:rsidRPr="00FA2AB8">
        <w:t xml:space="preserve">analysis </w:t>
      </w:r>
      <w:r w:rsidR="00C14FE7">
        <w:t>of long-term extension data</w:t>
      </w:r>
      <w:r w:rsidR="00632A16">
        <w:t xml:space="preserve"> and an updated economic analysis</w:t>
      </w:r>
      <w:r w:rsidR="00ED199A">
        <w:t>,</w:t>
      </w:r>
      <w:r w:rsidR="002E214A">
        <w:t xml:space="preserve"> </w:t>
      </w:r>
      <w:r w:rsidRPr="00FA2AB8">
        <w:t>align</w:t>
      </w:r>
      <w:r w:rsidR="002E214A">
        <w:t>ed</w:t>
      </w:r>
      <w:r w:rsidRPr="00FA2AB8">
        <w:t xml:space="preserve"> with </w:t>
      </w:r>
      <w:r w:rsidR="009450BF">
        <w:t xml:space="preserve">that used in </w:t>
      </w:r>
      <w:r w:rsidR="007157EE" w:rsidRPr="00FA2AB8">
        <w:t>the LEB submission</w:t>
      </w:r>
      <w:r w:rsidR="00E34DA4">
        <w:rPr>
          <w:rStyle w:val="FootnoteReference"/>
        </w:rPr>
        <w:footnoteReference w:id="14"/>
      </w:r>
      <w:r w:rsidR="007157EE" w:rsidRPr="00FA2AB8">
        <w:t xml:space="preserve">. </w:t>
      </w:r>
    </w:p>
    <w:p w14:paraId="48F2833E" w14:textId="77777777" w:rsidR="00546DBD" w:rsidRPr="00FA2AB8" w:rsidRDefault="00546DBD" w:rsidP="004D74DA">
      <w:pPr>
        <w:pStyle w:val="4-SubsectionHeading"/>
      </w:pPr>
      <w:bookmarkStart w:id="45" w:name="_Toc22897642"/>
      <w:bookmarkStart w:id="46" w:name="_Toc202884176"/>
      <w:bookmarkStart w:id="47" w:name="_Toc216710461"/>
      <w:r w:rsidRPr="00FA2AB8">
        <w:t>Comparative harms</w:t>
      </w:r>
      <w:bookmarkEnd w:id="45"/>
      <w:bookmarkEnd w:id="46"/>
      <w:bookmarkEnd w:id="47"/>
    </w:p>
    <w:p w14:paraId="1AA1C781" w14:textId="7299C25B" w:rsidR="00546DBD" w:rsidRPr="00FA2AB8" w:rsidRDefault="00546DBD" w:rsidP="007E0E84">
      <w:pPr>
        <w:pStyle w:val="3-BodyText"/>
        <w:spacing w:before="160" w:after="160"/>
      </w:pPr>
      <w:bookmarkStart w:id="48" w:name="_Hlk104801403"/>
      <w:r w:rsidRPr="00FA2AB8">
        <w:t xml:space="preserve">The </w:t>
      </w:r>
      <w:r w:rsidR="00EE5EF0">
        <w:t>re</w:t>
      </w:r>
      <w:r w:rsidRPr="00FA2AB8">
        <w:t xml:space="preserve">submission presented an overall summary of treatment emergent adverse events (TEAEs) </w:t>
      </w:r>
      <w:r w:rsidR="00332040" w:rsidRPr="00FA2AB8">
        <w:t>at the 21 July DCO of the ARCADIA LTE, representing</w:t>
      </w:r>
      <w:r w:rsidRPr="00FA2AB8">
        <w:t xml:space="preserve"> 104 weeks of treatment (</w:t>
      </w:r>
      <w:r w:rsidRPr="00FA2AB8">
        <w:fldChar w:fldCharType="begin"/>
      </w:r>
      <w:r w:rsidRPr="00FA2AB8">
        <w:instrText xml:space="preserve"> REF _Ref215946957 \h </w:instrText>
      </w:r>
      <w:r w:rsidR="00FA2AB8" w:rsidRPr="00FA2AB8">
        <w:instrText xml:space="preserve"> \* MERGEFORMAT </w:instrText>
      </w:r>
      <w:r w:rsidRPr="00FA2AB8">
        <w:fldChar w:fldCharType="separate"/>
      </w:r>
      <w:r w:rsidR="00F51AFF" w:rsidRPr="00FA2AB8">
        <w:t xml:space="preserve">Table </w:t>
      </w:r>
      <w:r w:rsidR="00F51AFF" w:rsidRPr="00FA2AB8">
        <w:rPr>
          <w:noProof/>
        </w:rPr>
        <w:t>10</w:t>
      </w:r>
      <w:r w:rsidRPr="00FA2AB8">
        <w:fldChar w:fldCharType="end"/>
      </w:r>
      <w:r w:rsidRPr="00FA2AB8">
        <w:t xml:space="preserve">). </w:t>
      </w:r>
      <w:bookmarkEnd w:id="48"/>
    </w:p>
    <w:p w14:paraId="4B6F5B81" w14:textId="5DFBE08D" w:rsidR="00546DBD" w:rsidRPr="00FA2AB8" w:rsidRDefault="00546DBD" w:rsidP="007E0E84">
      <w:pPr>
        <w:pStyle w:val="3-BodyText"/>
        <w:spacing w:before="160" w:after="160"/>
      </w:pPr>
      <w:r w:rsidRPr="00FA2AB8">
        <w:t xml:space="preserve">The number of TEAEs experienced by patients in the ARCADIA LTE was higher than what was reported in ARCADIA 1 and ARCADIA 2, which is to be expected given the </w:t>
      </w:r>
      <w:r w:rsidR="00FF2BE1">
        <w:t>longer</w:t>
      </w:r>
      <w:r w:rsidRPr="00FA2AB8">
        <w:t xml:space="preserve"> treatment duration.</w:t>
      </w:r>
      <w:r w:rsidR="00332040" w:rsidRPr="00FA2AB8">
        <w:t xml:space="preserve"> Difference in TEAEs in the PNE and NNE groups were not presented.</w:t>
      </w:r>
      <w:r w:rsidRPr="00FA2AB8">
        <w:t xml:space="preserve"> The </w:t>
      </w:r>
      <w:r w:rsidR="00EE5EF0">
        <w:t>re</w:t>
      </w:r>
      <w:r w:rsidRPr="00FA2AB8">
        <w:t>submission stated that there was no new safety finding</w:t>
      </w:r>
      <w:r w:rsidR="008B0A40" w:rsidRPr="00FA2AB8">
        <w:t>s</w:t>
      </w:r>
      <w:r w:rsidRPr="00FA2AB8">
        <w:t xml:space="preserve"> observed, with the most common study drug-related TEAEs being AD, asthma, nasopharyngitis and upper respiratory tract infection</w:t>
      </w:r>
      <w:r w:rsidR="00CF5A5A" w:rsidRPr="00FA2AB8">
        <w:t xml:space="preserve">. </w:t>
      </w:r>
    </w:p>
    <w:p w14:paraId="0A16542F" w14:textId="102D202F" w:rsidR="00546DBD" w:rsidRPr="00FA2AB8" w:rsidRDefault="00546DBD" w:rsidP="007E0E84">
      <w:pPr>
        <w:pStyle w:val="3-BodyText"/>
        <w:spacing w:before="160" w:after="160"/>
      </w:pPr>
      <w:r w:rsidRPr="00FA2AB8">
        <w:t xml:space="preserve">Treatment-emergent adverse events of special interest (AESI) were mild-to-moderate and experienced by 29.2% of patients during the treatment period, most of which were infections (24.9%). Of note is that the proportion of TEAEs leading to </w:t>
      </w:r>
      <w:r w:rsidR="008B0A40" w:rsidRPr="00FA2AB8">
        <w:t xml:space="preserve">treatment </w:t>
      </w:r>
      <w:r w:rsidRPr="00FA2AB8">
        <w:t>discontinuation was low (4.7%) indicating that long term use of NEMO is well tolerated and that drug related AEs were able to be resolved.</w:t>
      </w:r>
    </w:p>
    <w:p w14:paraId="15A84D45" w14:textId="77777777" w:rsidR="00546DBD" w:rsidRPr="00FA2AB8" w:rsidRDefault="00546DBD" w:rsidP="00546DBD">
      <w:pPr>
        <w:pStyle w:val="3-BodyText"/>
        <w:numPr>
          <w:ilvl w:val="0"/>
          <w:numId w:val="0"/>
        </w:numPr>
        <w:ind w:left="720"/>
      </w:pPr>
    </w:p>
    <w:p w14:paraId="74A8FA66" w14:textId="7636E328" w:rsidR="00546DBD" w:rsidRPr="00FA2AB8" w:rsidRDefault="00546DBD" w:rsidP="00546DBD">
      <w:pPr>
        <w:pStyle w:val="TableFigureHeading"/>
        <w:rPr>
          <w:rStyle w:val="CommentReference"/>
          <w:b/>
          <w:szCs w:val="24"/>
        </w:rPr>
      </w:pPr>
      <w:bookmarkStart w:id="49" w:name="_Ref215946957"/>
      <w:r w:rsidRPr="00FA2AB8">
        <w:lastRenderedPageBreak/>
        <w:t xml:space="preserve">Table </w:t>
      </w:r>
      <w:fldSimple w:instr=" SEQ Table \* ARABIC ">
        <w:r w:rsidR="00CB23C7">
          <w:rPr>
            <w:noProof/>
          </w:rPr>
          <w:t>10</w:t>
        </w:r>
      </w:fldSimple>
      <w:bookmarkEnd w:id="49"/>
      <w:r w:rsidRPr="00FA2AB8">
        <w:t xml:space="preserve">: </w:t>
      </w:r>
      <w:r w:rsidRPr="00FA2AB8">
        <w:rPr>
          <w:rStyle w:val="CommentReference"/>
          <w:b/>
          <w:szCs w:val="24"/>
        </w:rPr>
        <w:t xml:space="preserve">Summary of key adverse events in the ARCADIA LTE </w:t>
      </w:r>
      <w:r w:rsidR="008B0A40" w:rsidRPr="00FA2AB8">
        <w:rPr>
          <w:rStyle w:val="CommentReference"/>
          <w:b/>
          <w:szCs w:val="24"/>
        </w:rPr>
        <w:t>study</w:t>
      </w:r>
    </w:p>
    <w:tbl>
      <w:tblPr>
        <w:tblStyle w:val="TableGrid"/>
        <w:tblW w:w="5000" w:type="pct"/>
        <w:jc w:val="center"/>
        <w:tblLook w:val="04A0" w:firstRow="1" w:lastRow="0" w:firstColumn="1" w:lastColumn="0" w:noHBand="0" w:noVBand="1"/>
        <w:tblCaption w:val="Table 10: Summary of key adverse events in the ARCADIA LTE study"/>
      </w:tblPr>
      <w:tblGrid>
        <w:gridCol w:w="3665"/>
        <w:gridCol w:w="1877"/>
        <w:gridCol w:w="1737"/>
        <w:gridCol w:w="1738"/>
      </w:tblGrid>
      <w:tr w:rsidR="00546DBD" w:rsidRPr="00FA2AB8" w14:paraId="2F2C6E1B" w14:textId="77777777" w:rsidTr="00AF29CF">
        <w:trPr>
          <w:tblHeader/>
          <w:jc w:val="center"/>
        </w:trPr>
        <w:tc>
          <w:tcPr>
            <w:tcW w:w="2032" w:type="pct"/>
          </w:tcPr>
          <w:p w14:paraId="119B0CF3" w14:textId="77777777" w:rsidR="00546DBD" w:rsidRPr="00FA2AB8" w:rsidRDefault="00546DBD">
            <w:pPr>
              <w:keepNext/>
              <w:rPr>
                <w:rFonts w:ascii="Arial Narrow" w:hAnsi="Arial Narrow"/>
                <w:b/>
                <w:sz w:val="20"/>
                <w:szCs w:val="20"/>
              </w:rPr>
            </w:pPr>
          </w:p>
        </w:tc>
        <w:tc>
          <w:tcPr>
            <w:tcW w:w="1041" w:type="pct"/>
          </w:tcPr>
          <w:p w14:paraId="044C7D5B" w14:textId="77777777" w:rsidR="00546DBD" w:rsidRPr="00FA2AB8" w:rsidRDefault="00546DBD">
            <w:pPr>
              <w:keepNext/>
              <w:jc w:val="center"/>
              <w:rPr>
                <w:rFonts w:ascii="Arial Narrow" w:hAnsi="Arial Narrow"/>
                <w:b/>
                <w:sz w:val="20"/>
                <w:szCs w:val="20"/>
              </w:rPr>
            </w:pPr>
            <w:r w:rsidRPr="00FA2AB8">
              <w:rPr>
                <w:rFonts w:ascii="Arial Narrow" w:hAnsi="Arial Narrow"/>
                <w:b/>
                <w:sz w:val="20"/>
                <w:szCs w:val="20"/>
              </w:rPr>
              <w:t>Total study population (N=1901) n (%)</w:t>
            </w:r>
          </w:p>
        </w:tc>
        <w:tc>
          <w:tcPr>
            <w:tcW w:w="963" w:type="pct"/>
          </w:tcPr>
          <w:p w14:paraId="0571AC95" w14:textId="77777777" w:rsidR="00546DBD" w:rsidRPr="00FA2AB8" w:rsidRDefault="00546DBD">
            <w:pPr>
              <w:keepNext/>
              <w:jc w:val="center"/>
              <w:rPr>
                <w:rFonts w:ascii="Arial Narrow" w:hAnsi="Arial Narrow"/>
                <w:b/>
                <w:sz w:val="20"/>
                <w:szCs w:val="20"/>
              </w:rPr>
            </w:pPr>
            <w:r w:rsidRPr="00FA2AB8">
              <w:rPr>
                <w:rFonts w:ascii="Arial Narrow" w:hAnsi="Arial Narrow"/>
                <w:b/>
                <w:sz w:val="20"/>
                <w:szCs w:val="20"/>
              </w:rPr>
              <w:t>EAIR/100 person year</w:t>
            </w:r>
          </w:p>
        </w:tc>
        <w:tc>
          <w:tcPr>
            <w:tcW w:w="964" w:type="pct"/>
          </w:tcPr>
          <w:p w14:paraId="74F67D28" w14:textId="77777777" w:rsidR="00546DBD" w:rsidRPr="00FA2AB8" w:rsidRDefault="00546DBD">
            <w:pPr>
              <w:keepNext/>
              <w:jc w:val="center"/>
              <w:rPr>
                <w:rFonts w:ascii="Arial Narrow" w:hAnsi="Arial Narrow"/>
                <w:b/>
                <w:sz w:val="20"/>
                <w:szCs w:val="20"/>
              </w:rPr>
            </w:pPr>
            <w:r w:rsidRPr="00FA2AB8">
              <w:rPr>
                <w:rFonts w:ascii="Arial Narrow" w:hAnsi="Arial Narrow"/>
                <w:b/>
                <w:sz w:val="20"/>
                <w:szCs w:val="20"/>
              </w:rPr>
              <w:t xml:space="preserve">EAER/100 </w:t>
            </w:r>
            <w:r w:rsidRPr="00FA2AB8">
              <w:rPr>
                <w:rFonts w:ascii="Arial Narrow" w:hAnsi="Arial Narrow"/>
                <w:b/>
                <w:bCs/>
                <w:sz w:val="20"/>
                <w:szCs w:val="20"/>
              </w:rPr>
              <w:t>person year</w:t>
            </w:r>
          </w:p>
        </w:tc>
      </w:tr>
      <w:tr w:rsidR="0095189E" w:rsidRPr="00FA2AB8" w14:paraId="6D624519" w14:textId="77777777" w:rsidTr="00AF29CF">
        <w:trPr>
          <w:jc w:val="center"/>
        </w:trPr>
        <w:tc>
          <w:tcPr>
            <w:tcW w:w="5000" w:type="pct"/>
            <w:gridSpan w:val="4"/>
          </w:tcPr>
          <w:p w14:paraId="2A39258C" w14:textId="080124DB" w:rsidR="0095189E" w:rsidRPr="00FA2AB8" w:rsidRDefault="0095189E" w:rsidP="00E5288D">
            <w:pPr>
              <w:keepNext/>
              <w:jc w:val="left"/>
              <w:rPr>
                <w:rFonts w:ascii="Arial Narrow" w:hAnsi="Arial Narrow"/>
                <w:sz w:val="20"/>
                <w:szCs w:val="20"/>
              </w:rPr>
            </w:pPr>
            <w:r w:rsidRPr="00FA2AB8">
              <w:rPr>
                <w:rFonts w:ascii="Arial Narrow" w:hAnsi="Arial Narrow"/>
                <w:sz w:val="20"/>
                <w:szCs w:val="20"/>
              </w:rPr>
              <w:t>AEs or SAEs</w:t>
            </w:r>
          </w:p>
        </w:tc>
      </w:tr>
      <w:tr w:rsidR="00546DBD" w:rsidRPr="00FA2AB8" w14:paraId="50DCE2EA" w14:textId="77777777" w:rsidTr="00AF29CF">
        <w:trPr>
          <w:jc w:val="center"/>
        </w:trPr>
        <w:tc>
          <w:tcPr>
            <w:tcW w:w="2032" w:type="pct"/>
          </w:tcPr>
          <w:p w14:paraId="6E01B6BB"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Any TEAE</w:t>
            </w:r>
          </w:p>
        </w:tc>
        <w:tc>
          <w:tcPr>
            <w:tcW w:w="1041" w:type="pct"/>
            <w:vAlign w:val="center"/>
          </w:tcPr>
          <w:p w14:paraId="52CC1E71"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1510 (79.4)</w:t>
            </w:r>
          </w:p>
        </w:tc>
        <w:tc>
          <w:tcPr>
            <w:tcW w:w="963" w:type="pct"/>
            <w:vAlign w:val="center"/>
          </w:tcPr>
          <w:p w14:paraId="7BB8AE49"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114.4</w:t>
            </w:r>
          </w:p>
        </w:tc>
        <w:tc>
          <w:tcPr>
            <w:tcW w:w="964" w:type="pct"/>
            <w:vAlign w:val="center"/>
          </w:tcPr>
          <w:p w14:paraId="77033388"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205.4</w:t>
            </w:r>
          </w:p>
        </w:tc>
      </w:tr>
      <w:tr w:rsidR="00546DBD" w:rsidRPr="00FA2AB8" w14:paraId="32FED7E8" w14:textId="77777777" w:rsidTr="00AF29CF">
        <w:trPr>
          <w:jc w:val="center"/>
        </w:trPr>
        <w:tc>
          <w:tcPr>
            <w:tcW w:w="2032" w:type="pct"/>
          </w:tcPr>
          <w:p w14:paraId="44FA043F"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Any TEAE related to study drug</w:t>
            </w:r>
          </w:p>
        </w:tc>
        <w:tc>
          <w:tcPr>
            <w:tcW w:w="1041" w:type="pct"/>
            <w:vAlign w:val="center"/>
          </w:tcPr>
          <w:p w14:paraId="4681CB8A"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421 (22.1)</w:t>
            </w:r>
          </w:p>
        </w:tc>
        <w:tc>
          <w:tcPr>
            <w:tcW w:w="963" w:type="pct"/>
            <w:vAlign w:val="center"/>
          </w:tcPr>
          <w:p w14:paraId="7C6A4120"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12.7</w:t>
            </w:r>
          </w:p>
        </w:tc>
        <w:tc>
          <w:tcPr>
            <w:tcW w:w="964" w:type="pct"/>
            <w:vAlign w:val="center"/>
          </w:tcPr>
          <w:p w14:paraId="13515A38"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26.9</w:t>
            </w:r>
          </w:p>
        </w:tc>
      </w:tr>
      <w:tr w:rsidR="00546DBD" w:rsidRPr="00FA2AB8" w14:paraId="478E90B8" w14:textId="77777777" w:rsidTr="00AF29CF">
        <w:trPr>
          <w:jc w:val="center"/>
        </w:trPr>
        <w:tc>
          <w:tcPr>
            <w:tcW w:w="2032" w:type="pct"/>
          </w:tcPr>
          <w:p w14:paraId="75ADB6A5"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Any serious TEAE</w:t>
            </w:r>
          </w:p>
        </w:tc>
        <w:tc>
          <w:tcPr>
            <w:tcW w:w="1041" w:type="pct"/>
            <w:vAlign w:val="center"/>
          </w:tcPr>
          <w:p w14:paraId="2444D034"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154 (8.1)</w:t>
            </w:r>
          </w:p>
        </w:tc>
        <w:tc>
          <w:tcPr>
            <w:tcW w:w="963" w:type="pct"/>
            <w:vAlign w:val="center"/>
          </w:tcPr>
          <w:p w14:paraId="7EF422E5"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4.1</w:t>
            </w:r>
          </w:p>
        </w:tc>
        <w:tc>
          <w:tcPr>
            <w:tcW w:w="964" w:type="pct"/>
            <w:vAlign w:val="center"/>
          </w:tcPr>
          <w:p w14:paraId="76EB9A62"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5.0</w:t>
            </w:r>
          </w:p>
        </w:tc>
      </w:tr>
      <w:tr w:rsidR="00546DBD" w:rsidRPr="00FA2AB8" w14:paraId="2ECC496B" w14:textId="77777777" w:rsidTr="00AF29CF">
        <w:trPr>
          <w:jc w:val="center"/>
        </w:trPr>
        <w:tc>
          <w:tcPr>
            <w:tcW w:w="2032" w:type="pct"/>
          </w:tcPr>
          <w:p w14:paraId="4352CB12"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Any serious TEAE related to study drug</w:t>
            </w:r>
          </w:p>
        </w:tc>
        <w:tc>
          <w:tcPr>
            <w:tcW w:w="1041" w:type="pct"/>
            <w:vAlign w:val="center"/>
          </w:tcPr>
          <w:p w14:paraId="5A453E6A"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17 (0.9)</w:t>
            </w:r>
          </w:p>
        </w:tc>
        <w:tc>
          <w:tcPr>
            <w:tcW w:w="963" w:type="pct"/>
            <w:vAlign w:val="center"/>
          </w:tcPr>
          <w:p w14:paraId="2D785049"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0.4</w:t>
            </w:r>
          </w:p>
        </w:tc>
        <w:tc>
          <w:tcPr>
            <w:tcW w:w="964" w:type="pct"/>
            <w:vAlign w:val="center"/>
          </w:tcPr>
          <w:p w14:paraId="7BACC9F2"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0.5</w:t>
            </w:r>
          </w:p>
        </w:tc>
      </w:tr>
      <w:tr w:rsidR="00546DBD" w:rsidRPr="00FA2AB8" w14:paraId="0B58648F" w14:textId="77777777" w:rsidTr="00AF29CF">
        <w:trPr>
          <w:jc w:val="center"/>
        </w:trPr>
        <w:tc>
          <w:tcPr>
            <w:tcW w:w="2032" w:type="pct"/>
          </w:tcPr>
          <w:p w14:paraId="6E295520"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Any severe TEAE</w:t>
            </w:r>
          </w:p>
        </w:tc>
        <w:tc>
          <w:tcPr>
            <w:tcW w:w="1041" w:type="pct"/>
            <w:vAlign w:val="center"/>
          </w:tcPr>
          <w:p w14:paraId="42B3A2DD"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140 (7.4)</w:t>
            </w:r>
          </w:p>
        </w:tc>
        <w:tc>
          <w:tcPr>
            <w:tcW w:w="963" w:type="pct"/>
            <w:vAlign w:val="center"/>
          </w:tcPr>
          <w:p w14:paraId="007BC40B"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3.7</w:t>
            </w:r>
          </w:p>
        </w:tc>
        <w:tc>
          <w:tcPr>
            <w:tcW w:w="964" w:type="pct"/>
            <w:vAlign w:val="center"/>
          </w:tcPr>
          <w:p w14:paraId="271C7F9D"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5.1</w:t>
            </w:r>
          </w:p>
        </w:tc>
      </w:tr>
      <w:tr w:rsidR="00546DBD" w:rsidRPr="00FA2AB8" w14:paraId="5B01A492" w14:textId="77777777" w:rsidTr="00AF29CF">
        <w:trPr>
          <w:jc w:val="center"/>
        </w:trPr>
        <w:tc>
          <w:tcPr>
            <w:tcW w:w="2032" w:type="pct"/>
          </w:tcPr>
          <w:p w14:paraId="59167B9B" w14:textId="77777777" w:rsidR="00546DBD" w:rsidRPr="00FA2AB8" w:rsidRDefault="00546DBD">
            <w:pPr>
              <w:keepNext/>
              <w:rPr>
                <w:rFonts w:ascii="Arial Narrow" w:hAnsi="Arial Narrow"/>
                <w:sz w:val="20"/>
                <w:szCs w:val="20"/>
              </w:rPr>
            </w:pPr>
            <w:r w:rsidRPr="00FA2AB8">
              <w:rPr>
                <w:rFonts w:ascii="Arial Narrow" w:hAnsi="Arial Narrow"/>
                <w:sz w:val="20"/>
                <w:szCs w:val="20"/>
              </w:rPr>
              <w:t>Any TEAE leading to temporary discontinuation of study drug</w:t>
            </w:r>
          </w:p>
        </w:tc>
        <w:tc>
          <w:tcPr>
            <w:tcW w:w="1041" w:type="pct"/>
            <w:vAlign w:val="center"/>
          </w:tcPr>
          <w:p w14:paraId="4E90CD99"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261 (13.7)</w:t>
            </w:r>
          </w:p>
        </w:tc>
        <w:tc>
          <w:tcPr>
            <w:tcW w:w="963" w:type="pct"/>
            <w:vAlign w:val="center"/>
          </w:tcPr>
          <w:p w14:paraId="242C587A"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7.3</w:t>
            </w:r>
          </w:p>
        </w:tc>
        <w:tc>
          <w:tcPr>
            <w:tcW w:w="964" w:type="pct"/>
            <w:vAlign w:val="center"/>
          </w:tcPr>
          <w:p w14:paraId="544AF764"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9.5</w:t>
            </w:r>
          </w:p>
        </w:tc>
      </w:tr>
      <w:tr w:rsidR="00546DBD" w:rsidRPr="00FA2AB8" w14:paraId="1A1A9E96" w14:textId="77777777" w:rsidTr="00AF29CF">
        <w:trPr>
          <w:jc w:val="center"/>
        </w:trPr>
        <w:tc>
          <w:tcPr>
            <w:tcW w:w="2032" w:type="pct"/>
          </w:tcPr>
          <w:p w14:paraId="69136ECC" w14:textId="77777777" w:rsidR="00546DBD" w:rsidRPr="00FA2AB8" w:rsidRDefault="00546DBD">
            <w:pPr>
              <w:keepNext/>
              <w:rPr>
                <w:rFonts w:ascii="Arial Narrow" w:hAnsi="Arial Narrow"/>
                <w:sz w:val="20"/>
                <w:szCs w:val="20"/>
              </w:rPr>
            </w:pPr>
            <w:r w:rsidRPr="00FA2AB8">
              <w:rPr>
                <w:rFonts w:ascii="Arial Narrow" w:hAnsi="Arial Narrow"/>
                <w:sz w:val="20"/>
                <w:szCs w:val="20"/>
              </w:rPr>
              <w:t>Any TEAE leading to permanent discontinuation of study drug</w:t>
            </w:r>
          </w:p>
        </w:tc>
        <w:tc>
          <w:tcPr>
            <w:tcW w:w="1041" w:type="pct"/>
            <w:vAlign w:val="center"/>
          </w:tcPr>
          <w:p w14:paraId="298E6852"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90 (4.7)</w:t>
            </w:r>
          </w:p>
        </w:tc>
        <w:tc>
          <w:tcPr>
            <w:tcW w:w="963" w:type="pct"/>
            <w:vAlign w:val="center"/>
          </w:tcPr>
          <w:p w14:paraId="5744CDF5"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2.3</w:t>
            </w:r>
          </w:p>
        </w:tc>
        <w:tc>
          <w:tcPr>
            <w:tcW w:w="964" w:type="pct"/>
            <w:vAlign w:val="center"/>
          </w:tcPr>
          <w:p w14:paraId="059E0461"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2.7</w:t>
            </w:r>
          </w:p>
        </w:tc>
      </w:tr>
      <w:tr w:rsidR="00546DBD" w:rsidRPr="00FA2AB8" w14:paraId="448EB310" w14:textId="77777777" w:rsidTr="00AF29CF">
        <w:trPr>
          <w:jc w:val="center"/>
        </w:trPr>
        <w:tc>
          <w:tcPr>
            <w:tcW w:w="2032" w:type="pct"/>
          </w:tcPr>
          <w:p w14:paraId="0A428D74" w14:textId="77777777" w:rsidR="00546DBD" w:rsidRPr="00FA2AB8" w:rsidRDefault="00546DBD">
            <w:pPr>
              <w:keepNext/>
              <w:rPr>
                <w:rFonts w:ascii="Arial Narrow" w:hAnsi="Arial Narrow"/>
                <w:sz w:val="20"/>
                <w:szCs w:val="20"/>
              </w:rPr>
            </w:pPr>
            <w:r w:rsidRPr="00FA2AB8">
              <w:rPr>
                <w:rFonts w:ascii="Arial Narrow" w:hAnsi="Arial Narrow"/>
                <w:sz w:val="20"/>
                <w:szCs w:val="20"/>
              </w:rPr>
              <w:t>Any TEAE leading to permanent discontinuation from study</w:t>
            </w:r>
          </w:p>
        </w:tc>
        <w:tc>
          <w:tcPr>
            <w:tcW w:w="1041" w:type="pct"/>
            <w:vAlign w:val="center"/>
          </w:tcPr>
          <w:p w14:paraId="36394E05"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88 (4.6)</w:t>
            </w:r>
          </w:p>
        </w:tc>
        <w:tc>
          <w:tcPr>
            <w:tcW w:w="963" w:type="pct"/>
            <w:vAlign w:val="center"/>
          </w:tcPr>
          <w:p w14:paraId="4F72D61B"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2.2</w:t>
            </w:r>
          </w:p>
        </w:tc>
        <w:tc>
          <w:tcPr>
            <w:tcW w:w="964" w:type="pct"/>
            <w:vAlign w:val="center"/>
          </w:tcPr>
          <w:p w14:paraId="038C9DCF"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2.6</w:t>
            </w:r>
          </w:p>
        </w:tc>
      </w:tr>
      <w:tr w:rsidR="00546DBD" w:rsidRPr="00FA2AB8" w14:paraId="1674375B" w14:textId="77777777" w:rsidTr="00AF29CF">
        <w:trPr>
          <w:jc w:val="center"/>
        </w:trPr>
        <w:tc>
          <w:tcPr>
            <w:tcW w:w="2032" w:type="pct"/>
          </w:tcPr>
          <w:p w14:paraId="317854BD" w14:textId="77777777" w:rsidR="00546DBD" w:rsidRPr="00FA2AB8" w:rsidRDefault="00546DBD">
            <w:pPr>
              <w:keepNext/>
              <w:rPr>
                <w:rFonts w:ascii="Arial Narrow" w:hAnsi="Arial Narrow"/>
                <w:sz w:val="20"/>
                <w:szCs w:val="20"/>
              </w:rPr>
            </w:pPr>
            <w:r w:rsidRPr="00FA2AB8">
              <w:rPr>
                <w:rFonts w:ascii="Arial Narrow" w:hAnsi="Arial Narrow"/>
                <w:sz w:val="20"/>
                <w:szCs w:val="20"/>
              </w:rPr>
              <w:t>Any TEAE leading to death</w:t>
            </w:r>
          </w:p>
        </w:tc>
        <w:tc>
          <w:tcPr>
            <w:tcW w:w="1041" w:type="pct"/>
            <w:vAlign w:val="center"/>
          </w:tcPr>
          <w:p w14:paraId="7057AE06"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0</w:t>
            </w:r>
          </w:p>
        </w:tc>
        <w:tc>
          <w:tcPr>
            <w:tcW w:w="963" w:type="pct"/>
            <w:vAlign w:val="center"/>
          </w:tcPr>
          <w:p w14:paraId="6EBC1470"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0</w:t>
            </w:r>
          </w:p>
        </w:tc>
        <w:tc>
          <w:tcPr>
            <w:tcW w:w="964" w:type="pct"/>
            <w:vAlign w:val="center"/>
          </w:tcPr>
          <w:p w14:paraId="4068FB0F"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0</w:t>
            </w:r>
          </w:p>
        </w:tc>
      </w:tr>
      <w:tr w:rsidR="0095189E" w:rsidRPr="00FA2AB8" w14:paraId="0E1E28A9" w14:textId="77777777" w:rsidTr="00AF29CF">
        <w:trPr>
          <w:jc w:val="center"/>
        </w:trPr>
        <w:tc>
          <w:tcPr>
            <w:tcW w:w="5000" w:type="pct"/>
            <w:gridSpan w:val="4"/>
          </w:tcPr>
          <w:p w14:paraId="029AF7B9" w14:textId="7A787CD3" w:rsidR="0095189E" w:rsidRPr="00FA2AB8" w:rsidRDefault="0095189E" w:rsidP="00E5288D">
            <w:pPr>
              <w:keepNext/>
              <w:jc w:val="left"/>
              <w:rPr>
                <w:rFonts w:ascii="Arial Narrow" w:hAnsi="Arial Narrow"/>
                <w:sz w:val="20"/>
                <w:szCs w:val="20"/>
              </w:rPr>
            </w:pPr>
            <w:r w:rsidRPr="00FA2AB8">
              <w:rPr>
                <w:rFonts w:ascii="Arial Narrow" w:hAnsi="Arial Narrow"/>
                <w:sz w:val="20"/>
                <w:szCs w:val="20"/>
              </w:rPr>
              <w:t>AESI</w:t>
            </w:r>
          </w:p>
        </w:tc>
      </w:tr>
      <w:tr w:rsidR="00546DBD" w:rsidRPr="00FA2AB8" w14:paraId="1E12CA0D" w14:textId="77777777" w:rsidTr="00AF29CF">
        <w:trPr>
          <w:jc w:val="center"/>
        </w:trPr>
        <w:tc>
          <w:tcPr>
            <w:tcW w:w="2032" w:type="pct"/>
          </w:tcPr>
          <w:p w14:paraId="360A9491"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Infections</w:t>
            </w:r>
          </w:p>
        </w:tc>
        <w:tc>
          <w:tcPr>
            <w:tcW w:w="1041" w:type="pct"/>
            <w:vAlign w:val="center"/>
          </w:tcPr>
          <w:p w14:paraId="4EF25FDB"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473 (24.9)</w:t>
            </w:r>
          </w:p>
        </w:tc>
        <w:tc>
          <w:tcPr>
            <w:tcW w:w="963" w:type="pct"/>
            <w:vAlign w:val="center"/>
          </w:tcPr>
          <w:p w14:paraId="435444F3"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15.1</w:t>
            </w:r>
          </w:p>
        </w:tc>
        <w:tc>
          <w:tcPr>
            <w:tcW w:w="964" w:type="pct"/>
            <w:vAlign w:val="center"/>
          </w:tcPr>
          <w:p w14:paraId="12E609CD"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15.0</w:t>
            </w:r>
          </w:p>
        </w:tc>
      </w:tr>
      <w:tr w:rsidR="00546DBD" w:rsidRPr="00FA2AB8" w14:paraId="2497C7A1" w14:textId="77777777" w:rsidTr="00AF29CF">
        <w:trPr>
          <w:jc w:val="center"/>
        </w:trPr>
        <w:tc>
          <w:tcPr>
            <w:tcW w:w="2032" w:type="pct"/>
          </w:tcPr>
          <w:p w14:paraId="51DE20A0" w14:textId="77777777" w:rsidR="00546DBD" w:rsidRPr="00381C24" w:rsidRDefault="00546DBD" w:rsidP="00706FD6">
            <w:pPr>
              <w:keepNext/>
              <w:ind w:left="174" w:hanging="174"/>
              <w:rPr>
                <w:rFonts w:ascii="Arial Narrow" w:hAnsi="Arial Narrow"/>
                <w:sz w:val="20"/>
                <w:szCs w:val="20"/>
                <w:lang w:val="pt-BR"/>
              </w:rPr>
            </w:pPr>
            <w:r w:rsidRPr="00381C24">
              <w:rPr>
                <w:rFonts w:ascii="Arial Narrow" w:hAnsi="Arial Narrow"/>
                <w:sz w:val="20"/>
                <w:szCs w:val="20"/>
                <w:lang w:val="pt-BR"/>
              </w:rPr>
              <w:t xml:space="preserve">     Peripheral oedema: limbs, bilateral; facial oedema</w:t>
            </w:r>
          </w:p>
        </w:tc>
        <w:tc>
          <w:tcPr>
            <w:tcW w:w="1041" w:type="pct"/>
            <w:vAlign w:val="center"/>
          </w:tcPr>
          <w:p w14:paraId="5196740A"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34 (1.8)</w:t>
            </w:r>
          </w:p>
        </w:tc>
        <w:tc>
          <w:tcPr>
            <w:tcW w:w="963" w:type="pct"/>
            <w:vAlign w:val="center"/>
          </w:tcPr>
          <w:p w14:paraId="13EE7C47"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0.9</w:t>
            </w:r>
          </w:p>
        </w:tc>
        <w:tc>
          <w:tcPr>
            <w:tcW w:w="964" w:type="pct"/>
            <w:vAlign w:val="center"/>
          </w:tcPr>
          <w:p w14:paraId="3F225EB3"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1.3</w:t>
            </w:r>
          </w:p>
        </w:tc>
      </w:tr>
      <w:tr w:rsidR="00546DBD" w:rsidRPr="00FA2AB8" w14:paraId="70046A9A" w14:textId="77777777" w:rsidTr="00AF29CF">
        <w:trPr>
          <w:jc w:val="center"/>
        </w:trPr>
        <w:tc>
          <w:tcPr>
            <w:tcW w:w="2032" w:type="pct"/>
          </w:tcPr>
          <w:p w14:paraId="6DD233B7"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Injection-related reactions</w:t>
            </w:r>
          </w:p>
        </w:tc>
        <w:tc>
          <w:tcPr>
            <w:tcW w:w="1041" w:type="pct"/>
            <w:vAlign w:val="center"/>
          </w:tcPr>
          <w:p w14:paraId="3416F795"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2 (0.1)</w:t>
            </w:r>
          </w:p>
        </w:tc>
        <w:tc>
          <w:tcPr>
            <w:tcW w:w="963" w:type="pct"/>
            <w:vAlign w:val="center"/>
          </w:tcPr>
          <w:p w14:paraId="7024CB98"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0.1</w:t>
            </w:r>
          </w:p>
        </w:tc>
        <w:tc>
          <w:tcPr>
            <w:tcW w:w="964" w:type="pct"/>
            <w:vAlign w:val="center"/>
          </w:tcPr>
          <w:p w14:paraId="4EA37676"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0.1</w:t>
            </w:r>
          </w:p>
        </w:tc>
      </w:tr>
      <w:tr w:rsidR="0095189E" w:rsidRPr="00FA2AB8" w14:paraId="3A869801" w14:textId="77777777" w:rsidTr="00AF29CF">
        <w:trPr>
          <w:jc w:val="center"/>
        </w:trPr>
        <w:tc>
          <w:tcPr>
            <w:tcW w:w="5000" w:type="pct"/>
            <w:gridSpan w:val="4"/>
          </w:tcPr>
          <w:p w14:paraId="379A6E4F" w14:textId="34759CEC" w:rsidR="0095189E" w:rsidRPr="00FA2AB8" w:rsidRDefault="0095189E" w:rsidP="00E5288D">
            <w:pPr>
              <w:keepNext/>
              <w:jc w:val="left"/>
              <w:rPr>
                <w:rFonts w:ascii="Arial Narrow" w:hAnsi="Arial Narrow"/>
                <w:sz w:val="20"/>
                <w:szCs w:val="20"/>
              </w:rPr>
            </w:pPr>
            <w:r w:rsidRPr="00FA2AB8">
              <w:rPr>
                <w:rFonts w:ascii="Arial Narrow" w:hAnsi="Arial Narrow"/>
                <w:sz w:val="20"/>
                <w:szCs w:val="20"/>
              </w:rPr>
              <w:t xml:space="preserve">TEAEs with overall incidence </w:t>
            </w:r>
            <w:r w:rsidRPr="00FA2AB8">
              <w:rPr>
                <w:rFonts w:ascii="Arial Narrow" w:hAnsi="Arial Narrow" w:cs="Calibri"/>
                <w:sz w:val="20"/>
                <w:szCs w:val="20"/>
              </w:rPr>
              <w:t>≥</w:t>
            </w:r>
            <w:r w:rsidRPr="00FA2AB8">
              <w:rPr>
                <w:rFonts w:ascii="Arial Narrow" w:hAnsi="Arial Narrow"/>
                <w:sz w:val="20"/>
                <w:szCs w:val="20"/>
              </w:rPr>
              <w:t>5% (MedDRA preferred term)</w:t>
            </w:r>
          </w:p>
        </w:tc>
      </w:tr>
      <w:tr w:rsidR="00546DBD" w:rsidRPr="00FA2AB8" w14:paraId="4C9EC6EA" w14:textId="77777777" w:rsidTr="00AF29CF">
        <w:trPr>
          <w:jc w:val="center"/>
        </w:trPr>
        <w:tc>
          <w:tcPr>
            <w:tcW w:w="2032" w:type="pct"/>
          </w:tcPr>
          <w:p w14:paraId="588226E5"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COVID-19</w:t>
            </w:r>
          </w:p>
        </w:tc>
        <w:tc>
          <w:tcPr>
            <w:tcW w:w="1041" w:type="pct"/>
            <w:vAlign w:val="center"/>
          </w:tcPr>
          <w:p w14:paraId="141AF271"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372 (19.6)</w:t>
            </w:r>
          </w:p>
        </w:tc>
        <w:tc>
          <w:tcPr>
            <w:tcW w:w="963" w:type="pct"/>
            <w:vAlign w:val="center"/>
          </w:tcPr>
          <w:p w14:paraId="68D384F5"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11.3</w:t>
            </w:r>
          </w:p>
        </w:tc>
        <w:tc>
          <w:tcPr>
            <w:tcW w:w="964" w:type="pct"/>
            <w:vAlign w:val="center"/>
          </w:tcPr>
          <w:p w14:paraId="15A095C8"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11.4</w:t>
            </w:r>
          </w:p>
        </w:tc>
      </w:tr>
      <w:tr w:rsidR="00546DBD" w:rsidRPr="00FA2AB8" w14:paraId="046B9C9F" w14:textId="77777777" w:rsidTr="00AF29CF">
        <w:trPr>
          <w:jc w:val="center"/>
        </w:trPr>
        <w:tc>
          <w:tcPr>
            <w:tcW w:w="2032" w:type="pct"/>
          </w:tcPr>
          <w:p w14:paraId="0241CDC3"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Nasopharyngitis</w:t>
            </w:r>
          </w:p>
        </w:tc>
        <w:tc>
          <w:tcPr>
            <w:tcW w:w="1041" w:type="pct"/>
            <w:vAlign w:val="center"/>
          </w:tcPr>
          <w:p w14:paraId="317F61A5"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370 (19.5)</w:t>
            </w:r>
          </w:p>
        </w:tc>
        <w:tc>
          <w:tcPr>
            <w:tcW w:w="963" w:type="pct"/>
            <w:vAlign w:val="center"/>
          </w:tcPr>
          <w:p w14:paraId="7ED1CC6F"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10.9</w:t>
            </w:r>
          </w:p>
        </w:tc>
        <w:tc>
          <w:tcPr>
            <w:tcW w:w="964" w:type="pct"/>
            <w:vAlign w:val="center"/>
          </w:tcPr>
          <w:p w14:paraId="519CB8D5"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19.8</w:t>
            </w:r>
          </w:p>
        </w:tc>
      </w:tr>
      <w:tr w:rsidR="00546DBD" w:rsidRPr="00FA2AB8" w14:paraId="4D4F8A99" w14:textId="77777777" w:rsidTr="00AF29CF">
        <w:trPr>
          <w:jc w:val="center"/>
        </w:trPr>
        <w:tc>
          <w:tcPr>
            <w:tcW w:w="2032" w:type="pct"/>
          </w:tcPr>
          <w:p w14:paraId="2F64400D"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Upper respiratory tract infection</w:t>
            </w:r>
          </w:p>
        </w:tc>
        <w:tc>
          <w:tcPr>
            <w:tcW w:w="1041" w:type="pct"/>
            <w:vAlign w:val="center"/>
          </w:tcPr>
          <w:p w14:paraId="33FA06B8"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241 (12.7)</w:t>
            </w:r>
          </w:p>
        </w:tc>
        <w:tc>
          <w:tcPr>
            <w:tcW w:w="963" w:type="pct"/>
            <w:vAlign w:val="center"/>
          </w:tcPr>
          <w:p w14:paraId="19E08C13"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6.7</w:t>
            </w:r>
          </w:p>
        </w:tc>
        <w:tc>
          <w:tcPr>
            <w:tcW w:w="964" w:type="pct"/>
            <w:vAlign w:val="center"/>
          </w:tcPr>
          <w:p w14:paraId="566A7677"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9.7</w:t>
            </w:r>
          </w:p>
        </w:tc>
      </w:tr>
      <w:tr w:rsidR="00546DBD" w:rsidRPr="00FA2AB8" w14:paraId="7AA826C1" w14:textId="77777777" w:rsidTr="00AF29CF">
        <w:trPr>
          <w:jc w:val="center"/>
        </w:trPr>
        <w:tc>
          <w:tcPr>
            <w:tcW w:w="2032" w:type="pct"/>
          </w:tcPr>
          <w:p w14:paraId="7F84E17A"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Headache</w:t>
            </w:r>
          </w:p>
        </w:tc>
        <w:tc>
          <w:tcPr>
            <w:tcW w:w="1041" w:type="pct"/>
            <w:vAlign w:val="center"/>
          </w:tcPr>
          <w:p w14:paraId="27CAF39E"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123 (6.5)</w:t>
            </w:r>
          </w:p>
        </w:tc>
        <w:tc>
          <w:tcPr>
            <w:tcW w:w="963" w:type="pct"/>
            <w:vAlign w:val="center"/>
          </w:tcPr>
          <w:p w14:paraId="2FF0B643"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3.3</w:t>
            </w:r>
          </w:p>
        </w:tc>
        <w:tc>
          <w:tcPr>
            <w:tcW w:w="964" w:type="pct"/>
            <w:vAlign w:val="center"/>
          </w:tcPr>
          <w:p w14:paraId="408CF537"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5.4</w:t>
            </w:r>
          </w:p>
        </w:tc>
      </w:tr>
      <w:tr w:rsidR="00546DBD" w:rsidRPr="00FA2AB8" w14:paraId="284383C3" w14:textId="77777777" w:rsidTr="00AF29CF">
        <w:trPr>
          <w:jc w:val="center"/>
        </w:trPr>
        <w:tc>
          <w:tcPr>
            <w:tcW w:w="2032" w:type="pct"/>
          </w:tcPr>
          <w:p w14:paraId="1FE3A9E9"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Asthma</w:t>
            </w:r>
          </w:p>
        </w:tc>
        <w:tc>
          <w:tcPr>
            <w:tcW w:w="1041" w:type="pct"/>
            <w:vAlign w:val="center"/>
          </w:tcPr>
          <w:p w14:paraId="7BFA036B"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105 (5.5)</w:t>
            </w:r>
          </w:p>
        </w:tc>
        <w:tc>
          <w:tcPr>
            <w:tcW w:w="963" w:type="pct"/>
            <w:vAlign w:val="center"/>
          </w:tcPr>
          <w:p w14:paraId="41620D6B"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2.8</w:t>
            </w:r>
          </w:p>
        </w:tc>
        <w:tc>
          <w:tcPr>
            <w:tcW w:w="964" w:type="pct"/>
            <w:vAlign w:val="center"/>
          </w:tcPr>
          <w:p w14:paraId="69A98AED"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3.7</w:t>
            </w:r>
          </w:p>
        </w:tc>
      </w:tr>
      <w:tr w:rsidR="00546DBD" w:rsidRPr="00FA2AB8" w14:paraId="074CFA6D" w14:textId="77777777" w:rsidTr="00AF29CF">
        <w:trPr>
          <w:jc w:val="center"/>
        </w:trPr>
        <w:tc>
          <w:tcPr>
            <w:tcW w:w="2032" w:type="pct"/>
          </w:tcPr>
          <w:p w14:paraId="41228544" w14:textId="77777777" w:rsidR="00546DBD" w:rsidRPr="00FA2AB8" w:rsidRDefault="00546DBD">
            <w:pPr>
              <w:keepNext/>
              <w:rPr>
                <w:rFonts w:ascii="Arial Narrow" w:hAnsi="Arial Narrow"/>
                <w:sz w:val="20"/>
                <w:szCs w:val="20"/>
              </w:rPr>
            </w:pPr>
            <w:r w:rsidRPr="00FA2AB8">
              <w:rPr>
                <w:rFonts w:ascii="Arial Narrow" w:hAnsi="Arial Narrow"/>
                <w:sz w:val="20"/>
                <w:szCs w:val="20"/>
              </w:rPr>
              <w:t xml:space="preserve">     Dermatitis atopic</w:t>
            </w:r>
          </w:p>
        </w:tc>
        <w:tc>
          <w:tcPr>
            <w:tcW w:w="1041" w:type="pct"/>
            <w:vAlign w:val="center"/>
          </w:tcPr>
          <w:p w14:paraId="645F48BC"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344 (18.1)</w:t>
            </w:r>
          </w:p>
        </w:tc>
        <w:tc>
          <w:tcPr>
            <w:tcW w:w="963" w:type="pct"/>
            <w:vAlign w:val="center"/>
          </w:tcPr>
          <w:p w14:paraId="367635A1"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9.8</w:t>
            </w:r>
          </w:p>
        </w:tc>
        <w:tc>
          <w:tcPr>
            <w:tcW w:w="964" w:type="pct"/>
            <w:vAlign w:val="center"/>
          </w:tcPr>
          <w:p w14:paraId="6FF43974" w14:textId="77777777" w:rsidR="00546DBD" w:rsidRPr="00FA2AB8" w:rsidRDefault="00546DBD">
            <w:pPr>
              <w:keepNext/>
              <w:jc w:val="center"/>
              <w:rPr>
                <w:rFonts w:ascii="Arial Narrow" w:hAnsi="Arial Narrow"/>
                <w:sz w:val="20"/>
                <w:szCs w:val="20"/>
              </w:rPr>
            </w:pPr>
            <w:r w:rsidRPr="00FA2AB8">
              <w:rPr>
                <w:rFonts w:ascii="Arial Narrow" w:hAnsi="Arial Narrow"/>
                <w:sz w:val="20"/>
                <w:szCs w:val="20"/>
              </w:rPr>
              <w:t>13.8</w:t>
            </w:r>
          </w:p>
        </w:tc>
      </w:tr>
    </w:tbl>
    <w:p w14:paraId="2F2FCEA3" w14:textId="2B5DA328" w:rsidR="00546DBD" w:rsidRPr="00FA2AB8" w:rsidRDefault="00546DBD" w:rsidP="00546DBD">
      <w:pPr>
        <w:pStyle w:val="FooterTableFigure"/>
        <w:keepNext/>
      </w:pPr>
      <w:r w:rsidRPr="00FA2AB8">
        <w:t xml:space="preserve">Source: Table 2-9, p57 of the </w:t>
      </w:r>
      <w:r w:rsidR="00EE5EF0">
        <w:t>re</w:t>
      </w:r>
      <w:r w:rsidRPr="00FA2AB8">
        <w:t>submission.</w:t>
      </w:r>
    </w:p>
    <w:p w14:paraId="07A8EBF2" w14:textId="0B2998F6" w:rsidR="00546DBD" w:rsidRPr="00FA2AB8" w:rsidRDefault="00546DBD" w:rsidP="004E3921">
      <w:pPr>
        <w:pStyle w:val="FooterTableFigure"/>
        <w:keepNext/>
        <w:spacing w:before="160" w:after="160"/>
        <w:rPr>
          <w:sz w:val="20"/>
        </w:rPr>
      </w:pPr>
      <w:r w:rsidRPr="00FA2AB8">
        <w:t>AE = adverse event; AESI = adverse event of special interest; COVID-19 = coronavirus disease 2019; EAER = exposure-adjusted event rate; EAIR = exposure-adjusted incidence rate; MedDRA = Medical Dictionary for Regulatory Activities; N = total number of patients; n = number of patients who experienced the events; SAE = serious adverse event; TEAE = treatment-emergent adverse event.</w:t>
      </w:r>
    </w:p>
    <w:p w14:paraId="7670594F" w14:textId="48AD7F47" w:rsidR="00546DBD" w:rsidRPr="00FA2AB8" w:rsidRDefault="00546DBD" w:rsidP="004E3921">
      <w:pPr>
        <w:pStyle w:val="3-BodyText"/>
        <w:spacing w:before="160" w:after="160"/>
      </w:pPr>
      <w:r w:rsidRPr="00FA2AB8">
        <w:t xml:space="preserve">The </w:t>
      </w:r>
      <w:r w:rsidR="00EE5EF0">
        <w:t>re</w:t>
      </w:r>
      <w:r w:rsidRPr="00FA2AB8">
        <w:t>submission stated that no additional safety data w</w:t>
      </w:r>
      <w:r w:rsidR="008B0A40" w:rsidRPr="00FA2AB8">
        <w:t>ere</w:t>
      </w:r>
      <w:r w:rsidRPr="00FA2AB8">
        <w:t xml:space="preserve"> identified and did not present an updated ITC </w:t>
      </w:r>
      <w:r w:rsidR="008B0A40" w:rsidRPr="00FA2AB8">
        <w:t xml:space="preserve">comparing the safety </w:t>
      </w:r>
      <w:r w:rsidRPr="00FA2AB8">
        <w:t xml:space="preserve">of NEMO to DUPI. The safety ITC from the previous submission is presented in </w:t>
      </w:r>
      <w:r w:rsidRPr="00FA2AB8">
        <w:fldChar w:fldCharType="begin"/>
      </w:r>
      <w:r w:rsidRPr="00FA2AB8">
        <w:instrText xml:space="preserve"> REF _Ref215948746 \h </w:instrText>
      </w:r>
      <w:r w:rsidR="00FA2AB8" w:rsidRPr="00FA2AB8">
        <w:instrText xml:space="preserve"> \* MERGEFORMAT </w:instrText>
      </w:r>
      <w:r w:rsidRPr="00FA2AB8">
        <w:fldChar w:fldCharType="separate"/>
      </w:r>
      <w:r w:rsidR="00F51AFF" w:rsidRPr="00FA2AB8">
        <w:t xml:space="preserve">Table </w:t>
      </w:r>
      <w:r w:rsidR="00F51AFF" w:rsidRPr="00FA2AB8">
        <w:rPr>
          <w:noProof/>
        </w:rPr>
        <w:t>11</w:t>
      </w:r>
      <w:r w:rsidRPr="00FA2AB8">
        <w:fldChar w:fldCharType="end"/>
      </w:r>
      <w:r w:rsidRPr="00FA2AB8">
        <w:t xml:space="preserve">. </w:t>
      </w:r>
    </w:p>
    <w:p w14:paraId="4F1F26F5" w14:textId="441FA836" w:rsidR="00546DBD" w:rsidRPr="00FA2AB8" w:rsidRDefault="00546DBD" w:rsidP="00546DBD">
      <w:pPr>
        <w:pStyle w:val="TableFigureHeading"/>
        <w:keepLines/>
        <w:jc w:val="both"/>
        <w:rPr>
          <w:rFonts w:cs="Calibri"/>
        </w:rPr>
      </w:pPr>
      <w:bookmarkStart w:id="50" w:name="_Ref215948746"/>
      <w:r w:rsidRPr="00FA2AB8">
        <w:lastRenderedPageBreak/>
        <w:t xml:space="preserve">Table </w:t>
      </w:r>
      <w:fldSimple w:instr=" SEQ Table \* ARABIC ">
        <w:r w:rsidR="00CB23C7">
          <w:rPr>
            <w:noProof/>
          </w:rPr>
          <w:t>11</w:t>
        </w:r>
      </w:fldSimple>
      <w:bookmarkEnd w:id="50"/>
      <w:r w:rsidRPr="00FA2AB8">
        <w:t xml:space="preserve">: ITCs of NEMO 30 mg Q4W vs DUPI 300 mg Q2W: </w:t>
      </w:r>
      <w:r w:rsidRPr="00FA2AB8">
        <w:rPr>
          <w:rFonts w:cs="Calibri"/>
        </w:rPr>
        <w:t>TEAEs, serious TEAEs and TEAEs leading to discontinuation (Safety population)</w:t>
      </w:r>
      <w:r w:rsidRPr="00FA2AB8">
        <w:rPr>
          <w:rFonts w:cs="Calibri"/>
          <w:vertAlign w:val="superscript"/>
        </w:rPr>
        <w:t>a</w:t>
      </w:r>
    </w:p>
    <w:tbl>
      <w:tblPr>
        <w:tblStyle w:val="Submissionstandard"/>
        <w:tblW w:w="5000" w:type="pct"/>
        <w:tblLook w:val="04A0" w:firstRow="1" w:lastRow="0" w:firstColumn="1" w:lastColumn="0" w:noHBand="0" w:noVBand="1"/>
        <w:tblCaption w:val="Table 11: ITCs of NEMO 30 mg Q4W vs DUPI 300 mg Q2W: TEAEs, serious TEAEs and TEAEs leading to discontinuation (Safety population)"/>
      </w:tblPr>
      <w:tblGrid>
        <w:gridCol w:w="2008"/>
        <w:gridCol w:w="1656"/>
        <w:gridCol w:w="1656"/>
        <w:gridCol w:w="1859"/>
        <w:gridCol w:w="1838"/>
      </w:tblGrid>
      <w:tr w:rsidR="00546DBD" w:rsidRPr="00FA2AB8" w14:paraId="3D1BB6F8" w14:textId="77777777" w:rsidTr="00AF29CF">
        <w:trPr>
          <w:cnfStyle w:val="100000000000" w:firstRow="1" w:lastRow="0" w:firstColumn="0" w:lastColumn="0" w:oddVBand="0" w:evenVBand="0" w:oddHBand="0" w:evenHBand="0" w:firstRowFirstColumn="0" w:firstRowLastColumn="0" w:lastRowFirstColumn="0" w:lastRowLastColumn="0"/>
          <w:tblHeader/>
        </w:trPr>
        <w:tc>
          <w:tcPr>
            <w:tcW w:w="1114" w:type="pct"/>
            <w:shd w:val="clear" w:color="auto" w:fill="B8CCE4"/>
          </w:tcPr>
          <w:p w14:paraId="79265732" w14:textId="77777777" w:rsidR="00546DBD" w:rsidRPr="00FA2AB8" w:rsidRDefault="00546DBD">
            <w:pPr>
              <w:pStyle w:val="TableLeft"/>
              <w:keepNext/>
              <w:keepLines/>
              <w:rPr>
                <w:rFonts w:ascii="Arial Narrow" w:hAnsi="Arial Narrow"/>
                <w:sz w:val="20"/>
                <w:szCs w:val="20"/>
                <w:lang w:val="en-AU"/>
              </w:rPr>
            </w:pPr>
          </w:p>
        </w:tc>
        <w:tc>
          <w:tcPr>
            <w:tcW w:w="918" w:type="pct"/>
            <w:shd w:val="clear" w:color="auto" w:fill="B8CCE4"/>
          </w:tcPr>
          <w:p w14:paraId="4EEC2355" w14:textId="77777777" w:rsidR="00546DBD" w:rsidRPr="00FA2AB8" w:rsidRDefault="00546DBD">
            <w:pPr>
              <w:pStyle w:val="TableCentre"/>
              <w:keepNext/>
              <w:keepLines/>
              <w:rPr>
                <w:rFonts w:ascii="Arial Narrow" w:hAnsi="Arial Narrow"/>
                <w:b w:val="0"/>
                <w:sz w:val="20"/>
                <w:szCs w:val="20"/>
                <w:lang w:val="en-AU"/>
              </w:rPr>
            </w:pPr>
            <w:r w:rsidRPr="00FA2AB8">
              <w:rPr>
                <w:rFonts w:ascii="Arial Narrow" w:hAnsi="Arial Narrow"/>
                <w:sz w:val="20"/>
                <w:szCs w:val="20"/>
                <w:lang w:val="en-AU"/>
              </w:rPr>
              <w:t>Intervention</w:t>
            </w:r>
          </w:p>
          <w:p w14:paraId="54144B9E"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n/N (%)</w:t>
            </w:r>
          </w:p>
        </w:tc>
        <w:tc>
          <w:tcPr>
            <w:tcW w:w="918" w:type="pct"/>
            <w:shd w:val="clear" w:color="auto" w:fill="B8CCE4"/>
          </w:tcPr>
          <w:p w14:paraId="29A5E123" w14:textId="77777777" w:rsidR="00546DBD" w:rsidRPr="00FA2AB8" w:rsidRDefault="00546DBD">
            <w:pPr>
              <w:pStyle w:val="TableCentre"/>
              <w:keepNext/>
              <w:keepLines/>
              <w:rPr>
                <w:rFonts w:ascii="Arial Narrow" w:hAnsi="Arial Narrow"/>
                <w:b w:val="0"/>
                <w:sz w:val="20"/>
                <w:szCs w:val="20"/>
                <w:lang w:val="en-AU"/>
              </w:rPr>
            </w:pPr>
            <w:r w:rsidRPr="00FA2AB8">
              <w:rPr>
                <w:rFonts w:ascii="Arial Narrow" w:hAnsi="Arial Narrow"/>
                <w:sz w:val="20"/>
                <w:szCs w:val="20"/>
                <w:lang w:val="en-AU"/>
              </w:rPr>
              <w:t>Comparator</w:t>
            </w:r>
          </w:p>
          <w:p w14:paraId="5BBAD567"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n/N (%)</w:t>
            </w:r>
          </w:p>
        </w:tc>
        <w:tc>
          <w:tcPr>
            <w:tcW w:w="1031" w:type="pct"/>
            <w:shd w:val="clear" w:color="auto" w:fill="B8CCE4"/>
          </w:tcPr>
          <w:p w14:paraId="2999BA85"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RR (95% CI)</w:t>
            </w:r>
          </w:p>
        </w:tc>
        <w:tc>
          <w:tcPr>
            <w:tcW w:w="1019" w:type="pct"/>
            <w:shd w:val="clear" w:color="auto" w:fill="B8CCE4"/>
          </w:tcPr>
          <w:p w14:paraId="09953B97"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RD (95% CI)</w:t>
            </w:r>
          </w:p>
        </w:tc>
      </w:tr>
      <w:tr w:rsidR="00546DBD" w:rsidRPr="00FA2AB8" w14:paraId="21DF6BA8" w14:textId="77777777" w:rsidTr="00AF29CF">
        <w:tc>
          <w:tcPr>
            <w:tcW w:w="5000" w:type="pct"/>
            <w:gridSpan w:val="5"/>
            <w:shd w:val="clear" w:color="auto" w:fill="B8CCE4"/>
          </w:tcPr>
          <w:p w14:paraId="6B471AE3" w14:textId="77777777" w:rsidR="00546DBD" w:rsidRPr="00FA2AB8" w:rsidRDefault="00546DBD">
            <w:pPr>
              <w:pStyle w:val="TableCentre"/>
              <w:keepNext/>
              <w:keepLines/>
              <w:jc w:val="left"/>
              <w:rPr>
                <w:rFonts w:ascii="Arial Narrow" w:hAnsi="Arial Narrow"/>
                <w:b/>
                <w:bCs/>
                <w:sz w:val="20"/>
                <w:szCs w:val="20"/>
                <w:lang w:val="en-AU"/>
              </w:rPr>
            </w:pPr>
            <w:r w:rsidRPr="00FA2AB8">
              <w:rPr>
                <w:rFonts w:ascii="Arial Narrow" w:hAnsi="Arial Narrow"/>
                <w:b/>
                <w:bCs/>
                <w:sz w:val="20"/>
                <w:szCs w:val="20"/>
                <w:lang w:val="en-AU"/>
              </w:rPr>
              <w:t>Any TEAEs</w:t>
            </w:r>
          </w:p>
        </w:tc>
      </w:tr>
      <w:tr w:rsidR="00546DBD" w:rsidRPr="00CF73CE" w14:paraId="770B2A34" w14:textId="77777777" w:rsidTr="00AF29CF">
        <w:tc>
          <w:tcPr>
            <w:tcW w:w="5000" w:type="pct"/>
            <w:gridSpan w:val="5"/>
            <w:shd w:val="clear" w:color="auto" w:fill="B8CCE4"/>
          </w:tcPr>
          <w:p w14:paraId="1331C2CF" w14:textId="77777777" w:rsidR="00546DBD" w:rsidRPr="00381C24" w:rsidRDefault="00546DBD">
            <w:pPr>
              <w:pStyle w:val="TableCentre"/>
              <w:keepNext/>
              <w:keepLines/>
              <w:jc w:val="left"/>
              <w:rPr>
                <w:rFonts w:ascii="Arial Narrow" w:hAnsi="Arial Narrow"/>
                <w:b/>
                <w:bCs/>
                <w:sz w:val="20"/>
                <w:szCs w:val="20"/>
                <w:lang w:val="pt-BR"/>
              </w:rPr>
            </w:pPr>
            <w:r w:rsidRPr="00381C24">
              <w:rPr>
                <w:rFonts w:ascii="Arial Narrow" w:hAnsi="Arial Narrow"/>
                <w:b/>
                <w:bCs/>
                <w:sz w:val="20"/>
                <w:szCs w:val="20"/>
                <w:lang w:val="pt-BR"/>
              </w:rPr>
              <w:t>NEMO 30 mg Q4W vs placebo</w:t>
            </w:r>
          </w:p>
        </w:tc>
      </w:tr>
      <w:tr w:rsidR="00546DBD" w:rsidRPr="00FA2AB8" w14:paraId="05E18D7E" w14:textId="77777777" w:rsidTr="00AF29CF">
        <w:tc>
          <w:tcPr>
            <w:tcW w:w="1114" w:type="pct"/>
            <w:shd w:val="clear" w:color="auto" w:fill="B8CCE4"/>
          </w:tcPr>
          <w:p w14:paraId="025F1723"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ARCADIA 1</w:t>
            </w:r>
          </w:p>
        </w:tc>
        <w:tc>
          <w:tcPr>
            <w:tcW w:w="918" w:type="pct"/>
            <w:shd w:val="clear" w:color="auto" w:fill="B8CCE4"/>
          </w:tcPr>
          <w:p w14:paraId="15075224"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 xml:space="preserve">306/616 (49.7) </w:t>
            </w:r>
          </w:p>
        </w:tc>
        <w:tc>
          <w:tcPr>
            <w:tcW w:w="918" w:type="pct"/>
            <w:shd w:val="clear" w:color="auto" w:fill="B8CCE4"/>
          </w:tcPr>
          <w:p w14:paraId="54E6D9F0"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146/321 (45.5)</w:t>
            </w:r>
          </w:p>
        </w:tc>
        <w:tc>
          <w:tcPr>
            <w:tcW w:w="1031" w:type="pct"/>
            <w:shd w:val="clear" w:color="auto" w:fill="B8CCE4"/>
          </w:tcPr>
          <w:p w14:paraId="3743B922"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1.09 (0.95, 1.26)</w:t>
            </w:r>
          </w:p>
        </w:tc>
        <w:tc>
          <w:tcPr>
            <w:tcW w:w="1019" w:type="pct"/>
            <w:shd w:val="clear" w:color="auto" w:fill="B8CCE4"/>
          </w:tcPr>
          <w:p w14:paraId="3C222B3D"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0.04 (-0.03, 0.11)</w:t>
            </w:r>
          </w:p>
        </w:tc>
      </w:tr>
      <w:tr w:rsidR="00546DBD" w:rsidRPr="00FA2AB8" w14:paraId="07ED471D" w14:textId="77777777" w:rsidTr="00AF29CF">
        <w:tc>
          <w:tcPr>
            <w:tcW w:w="1114" w:type="pct"/>
            <w:shd w:val="clear" w:color="auto" w:fill="B8CCE4"/>
          </w:tcPr>
          <w:p w14:paraId="38FDD571"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ARCADIA 2</w:t>
            </w:r>
          </w:p>
        </w:tc>
        <w:tc>
          <w:tcPr>
            <w:tcW w:w="918" w:type="pct"/>
            <w:shd w:val="clear" w:color="auto" w:fill="B8CCE4"/>
          </w:tcPr>
          <w:p w14:paraId="7CF23281"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 xml:space="preserve">215/519 (41.4) </w:t>
            </w:r>
          </w:p>
        </w:tc>
        <w:tc>
          <w:tcPr>
            <w:tcW w:w="918" w:type="pct"/>
            <w:shd w:val="clear" w:color="auto" w:fill="B8CCE4"/>
          </w:tcPr>
          <w:p w14:paraId="728872A0"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117/263 (44.5)</w:t>
            </w:r>
          </w:p>
        </w:tc>
        <w:tc>
          <w:tcPr>
            <w:tcW w:w="1031" w:type="pct"/>
            <w:shd w:val="clear" w:color="auto" w:fill="B8CCE4"/>
          </w:tcPr>
          <w:p w14:paraId="77A25663"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0.93 (0.79, 1.10)</w:t>
            </w:r>
          </w:p>
        </w:tc>
        <w:tc>
          <w:tcPr>
            <w:tcW w:w="1019" w:type="pct"/>
            <w:shd w:val="clear" w:color="auto" w:fill="B8CCE4"/>
          </w:tcPr>
          <w:p w14:paraId="29D91452"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-0.03 (-0.10, 0.04)</w:t>
            </w:r>
          </w:p>
        </w:tc>
      </w:tr>
      <w:tr w:rsidR="00546DBD" w:rsidRPr="00FA2AB8" w14:paraId="4FAC33EF" w14:textId="77777777" w:rsidTr="00AF29CF">
        <w:tc>
          <w:tcPr>
            <w:tcW w:w="1114" w:type="pct"/>
            <w:shd w:val="clear" w:color="auto" w:fill="B8CCE4"/>
          </w:tcPr>
          <w:p w14:paraId="34CDD54A"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Study 114322</w:t>
            </w:r>
          </w:p>
        </w:tc>
        <w:tc>
          <w:tcPr>
            <w:tcW w:w="918" w:type="pct"/>
            <w:shd w:val="clear" w:color="auto" w:fill="B8CCE4"/>
          </w:tcPr>
          <w:p w14:paraId="577C42BC"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47/57 (82.5)</w:t>
            </w:r>
          </w:p>
        </w:tc>
        <w:tc>
          <w:tcPr>
            <w:tcW w:w="918" w:type="pct"/>
            <w:shd w:val="clear" w:color="auto" w:fill="B8CCE4"/>
          </w:tcPr>
          <w:p w14:paraId="551911BE"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43/57 (76.8)</w:t>
            </w:r>
          </w:p>
        </w:tc>
        <w:tc>
          <w:tcPr>
            <w:tcW w:w="1031" w:type="pct"/>
            <w:shd w:val="clear" w:color="auto" w:fill="B8CCE4"/>
          </w:tcPr>
          <w:p w14:paraId="3DCA91FF"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1.09 (0.90, 1.32)</w:t>
            </w:r>
          </w:p>
        </w:tc>
        <w:tc>
          <w:tcPr>
            <w:tcW w:w="1019" w:type="pct"/>
            <w:shd w:val="clear" w:color="auto" w:fill="B8CCE4"/>
          </w:tcPr>
          <w:p w14:paraId="1F4FB3AA"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0.07 (-0.08, 0.22)</w:t>
            </w:r>
          </w:p>
        </w:tc>
      </w:tr>
      <w:tr w:rsidR="00546DBD" w:rsidRPr="00FA2AB8" w14:paraId="64EDE17C" w14:textId="77777777" w:rsidTr="00AF29CF">
        <w:tc>
          <w:tcPr>
            <w:tcW w:w="1114" w:type="pct"/>
            <w:shd w:val="clear" w:color="auto" w:fill="B8CCE4"/>
          </w:tcPr>
          <w:p w14:paraId="1C5133FD"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ARCADIA CYCLO</w:t>
            </w:r>
          </w:p>
        </w:tc>
        <w:tc>
          <w:tcPr>
            <w:tcW w:w="918" w:type="pct"/>
            <w:shd w:val="clear" w:color="auto" w:fill="B8CCE4"/>
          </w:tcPr>
          <w:p w14:paraId="7244346B"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71/137 (51.8)</w:t>
            </w:r>
          </w:p>
        </w:tc>
        <w:tc>
          <w:tcPr>
            <w:tcW w:w="918" w:type="pct"/>
            <w:shd w:val="clear" w:color="auto" w:fill="B8CCE4"/>
          </w:tcPr>
          <w:p w14:paraId="3D9BDFF6"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70/137 (51.1)</w:t>
            </w:r>
          </w:p>
        </w:tc>
        <w:tc>
          <w:tcPr>
            <w:tcW w:w="1031" w:type="pct"/>
            <w:shd w:val="clear" w:color="auto" w:fill="B8CCE4"/>
          </w:tcPr>
          <w:p w14:paraId="1FEBBA35"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1.01 (0.81, 1.28)</w:t>
            </w:r>
          </w:p>
        </w:tc>
        <w:tc>
          <w:tcPr>
            <w:tcW w:w="1019" w:type="pct"/>
            <w:shd w:val="clear" w:color="auto" w:fill="B8CCE4"/>
          </w:tcPr>
          <w:p w14:paraId="315354ED"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0.01 (-0.11, 0.13)</w:t>
            </w:r>
          </w:p>
        </w:tc>
      </w:tr>
      <w:tr w:rsidR="00546DBD" w:rsidRPr="00FA2AB8" w14:paraId="0DD497C2" w14:textId="77777777" w:rsidTr="00AF29CF">
        <w:tc>
          <w:tcPr>
            <w:tcW w:w="1114" w:type="pct"/>
            <w:shd w:val="clear" w:color="auto" w:fill="B8CCE4"/>
          </w:tcPr>
          <w:p w14:paraId="14F046A3"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Pooled (REM)</w:t>
            </w:r>
          </w:p>
        </w:tc>
        <w:tc>
          <w:tcPr>
            <w:tcW w:w="918" w:type="pct"/>
            <w:shd w:val="clear" w:color="auto" w:fill="B8CCE4"/>
          </w:tcPr>
          <w:p w14:paraId="60D2A6F7" w14:textId="77777777" w:rsidR="00546DBD" w:rsidRPr="00FA2AB8" w:rsidRDefault="00546DBD">
            <w:pPr>
              <w:pStyle w:val="TableCentre"/>
              <w:keepNext/>
              <w:keepLines/>
              <w:rPr>
                <w:rFonts w:ascii="Arial Narrow" w:hAnsi="Arial Narrow"/>
                <w:sz w:val="20"/>
                <w:szCs w:val="20"/>
                <w:lang w:val="en-AU"/>
              </w:rPr>
            </w:pPr>
          </w:p>
        </w:tc>
        <w:tc>
          <w:tcPr>
            <w:tcW w:w="918" w:type="pct"/>
            <w:shd w:val="clear" w:color="auto" w:fill="B8CCE4"/>
          </w:tcPr>
          <w:p w14:paraId="0C5C4413" w14:textId="77777777" w:rsidR="00546DBD" w:rsidRPr="00FA2AB8" w:rsidRDefault="00546DBD">
            <w:pPr>
              <w:pStyle w:val="TableCentre"/>
              <w:keepNext/>
              <w:keepLines/>
              <w:rPr>
                <w:rFonts w:ascii="Arial Narrow" w:hAnsi="Arial Narrow"/>
                <w:sz w:val="20"/>
                <w:szCs w:val="20"/>
                <w:lang w:val="en-AU"/>
              </w:rPr>
            </w:pPr>
          </w:p>
        </w:tc>
        <w:tc>
          <w:tcPr>
            <w:tcW w:w="1031" w:type="pct"/>
            <w:shd w:val="clear" w:color="auto" w:fill="B8CCE4"/>
          </w:tcPr>
          <w:p w14:paraId="4AAC476C"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1.04 (0.94, 1.15)</w:t>
            </w:r>
          </w:p>
        </w:tc>
        <w:tc>
          <w:tcPr>
            <w:tcW w:w="1019" w:type="pct"/>
            <w:shd w:val="clear" w:color="auto" w:fill="B8CCE4"/>
          </w:tcPr>
          <w:p w14:paraId="4E3CCEC1"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0.02 (-0.04, 0.07)</w:t>
            </w:r>
          </w:p>
        </w:tc>
      </w:tr>
      <w:tr w:rsidR="00546DBD" w:rsidRPr="00FA2AB8" w14:paraId="288AF994" w14:textId="77777777" w:rsidTr="00AF29CF">
        <w:tc>
          <w:tcPr>
            <w:tcW w:w="5000" w:type="pct"/>
            <w:gridSpan w:val="5"/>
            <w:shd w:val="clear" w:color="auto" w:fill="B8CCE4"/>
          </w:tcPr>
          <w:p w14:paraId="2FCEB88E" w14:textId="77777777" w:rsidR="00546DBD" w:rsidRPr="00FA2AB8" w:rsidRDefault="00546DBD">
            <w:pPr>
              <w:pStyle w:val="TableCentre"/>
              <w:keepNext/>
              <w:keepLines/>
              <w:jc w:val="left"/>
              <w:rPr>
                <w:rFonts w:ascii="Arial Narrow" w:hAnsi="Arial Narrow"/>
                <w:b/>
                <w:bCs/>
                <w:sz w:val="20"/>
                <w:szCs w:val="20"/>
                <w:lang w:val="en-AU"/>
              </w:rPr>
            </w:pPr>
            <w:r w:rsidRPr="00FA2AB8">
              <w:rPr>
                <w:rFonts w:ascii="Arial Narrow" w:hAnsi="Arial Narrow"/>
                <w:b/>
                <w:bCs/>
                <w:sz w:val="20"/>
                <w:szCs w:val="20"/>
                <w:lang w:val="en-AU"/>
              </w:rPr>
              <w:t>DUPI 300 mg Q2W vs placebo</w:t>
            </w:r>
          </w:p>
        </w:tc>
      </w:tr>
      <w:tr w:rsidR="00546DBD" w:rsidRPr="00FA2AB8" w14:paraId="772A8424" w14:textId="77777777" w:rsidTr="00AF29CF">
        <w:tc>
          <w:tcPr>
            <w:tcW w:w="1114" w:type="pct"/>
            <w:shd w:val="clear" w:color="auto" w:fill="B8CCE4"/>
          </w:tcPr>
          <w:p w14:paraId="76955C02"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CAFÉ</w:t>
            </w:r>
          </w:p>
        </w:tc>
        <w:tc>
          <w:tcPr>
            <w:tcW w:w="918" w:type="pct"/>
            <w:shd w:val="clear" w:color="auto" w:fill="B8CCE4"/>
          </w:tcPr>
          <w:p w14:paraId="5AF7B03C"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77/107 (72.0)</w:t>
            </w:r>
          </w:p>
        </w:tc>
        <w:tc>
          <w:tcPr>
            <w:tcW w:w="918" w:type="pct"/>
            <w:shd w:val="clear" w:color="auto" w:fill="B8CCE4"/>
          </w:tcPr>
          <w:p w14:paraId="6B30E335"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75/108 (69.4)</w:t>
            </w:r>
          </w:p>
        </w:tc>
        <w:tc>
          <w:tcPr>
            <w:tcW w:w="1031" w:type="pct"/>
            <w:shd w:val="clear" w:color="auto" w:fill="B8CCE4"/>
          </w:tcPr>
          <w:p w14:paraId="4D895A4B"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1.04 (0.87, 1.23)</w:t>
            </w:r>
          </w:p>
        </w:tc>
        <w:tc>
          <w:tcPr>
            <w:tcW w:w="1019" w:type="pct"/>
            <w:shd w:val="clear" w:color="auto" w:fill="B8CCE4"/>
          </w:tcPr>
          <w:p w14:paraId="2959DAC5"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0.03 (-0.10, 0.15)</w:t>
            </w:r>
          </w:p>
        </w:tc>
      </w:tr>
      <w:tr w:rsidR="00546DBD" w:rsidRPr="00FA2AB8" w14:paraId="3D6FB76F" w14:textId="77777777" w:rsidTr="00AF29CF">
        <w:tc>
          <w:tcPr>
            <w:tcW w:w="1114" w:type="pct"/>
            <w:shd w:val="clear" w:color="auto" w:fill="B8CCE4"/>
          </w:tcPr>
          <w:p w14:paraId="351C4B58"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CHRONOS</w:t>
            </w:r>
          </w:p>
        </w:tc>
        <w:tc>
          <w:tcPr>
            <w:tcW w:w="918" w:type="pct"/>
            <w:shd w:val="clear" w:color="auto" w:fill="B8CCE4"/>
          </w:tcPr>
          <w:p w14:paraId="198348F6"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97/110 (88.2)</w:t>
            </w:r>
          </w:p>
        </w:tc>
        <w:tc>
          <w:tcPr>
            <w:tcW w:w="918" w:type="pct"/>
            <w:shd w:val="clear" w:color="auto" w:fill="B8CCE4"/>
          </w:tcPr>
          <w:p w14:paraId="5C92BE9C"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266/315 (84.4)</w:t>
            </w:r>
          </w:p>
        </w:tc>
        <w:tc>
          <w:tcPr>
            <w:tcW w:w="1031" w:type="pct"/>
            <w:shd w:val="clear" w:color="auto" w:fill="B8CCE4"/>
          </w:tcPr>
          <w:p w14:paraId="04A75E30"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1.04 (0.96, 1.14)</w:t>
            </w:r>
          </w:p>
        </w:tc>
        <w:tc>
          <w:tcPr>
            <w:tcW w:w="1019" w:type="pct"/>
            <w:shd w:val="clear" w:color="auto" w:fill="B8CCE4"/>
          </w:tcPr>
          <w:p w14:paraId="23D5000D"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0.04 (-0.04, 0.11)</w:t>
            </w:r>
          </w:p>
        </w:tc>
      </w:tr>
      <w:tr w:rsidR="00546DBD" w:rsidRPr="00FA2AB8" w14:paraId="32585330" w14:textId="77777777" w:rsidTr="00AF29CF">
        <w:tc>
          <w:tcPr>
            <w:tcW w:w="1114" w:type="pct"/>
            <w:shd w:val="clear" w:color="auto" w:fill="B8CCE4"/>
          </w:tcPr>
          <w:p w14:paraId="01DCE675"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JADE COMPARE</w:t>
            </w:r>
          </w:p>
        </w:tc>
        <w:tc>
          <w:tcPr>
            <w:tcW w:w="918" w:type="pct"/>
            <w:shd w:val="clear" w:color="auto" w:fill="B8CCE4"/>
          </w:tcPr>
          <w:p w14:paraId="1281D4C6"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121/242 (50.0)</w:t>
            </w:r>
          </w:p>
        </w:tc>
        <w:tc>
          <w:tcPr>
            <w:tcW w:w="918" w:type="pct"/>
            <w:shd w:val="clear" w:color="auto" w:fill="B8CCE4"/>
          </w:tcPr>
          <w:p w14:paraId="19CC613D"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70/131 (53.4)</w:t>
            </w:r>
          </w:p>
        </w:tc>
        <w:tc>
          <w:tcPr>
            <w:tcW w:w="1031" w:type="pct"/>
            <w:shd w:val="clear" w:color="auto" w:fill="B8CCE4"/>
          </w:tcPr>
          <w:p w14:paraId="50BB1935"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0.94 (0.76, 1.15)</w:t>
            </w:r>
          </w:p>
        </w:tc>
        <w:tc>
          <w:tcPr>
            <w:tcW w:w="1019" w:type="pct"/>
            <w:shd w:val="clear" w:color="auto" w:fill="B8CCE4"/>
          </w:tcPr>
          <w:p w14:paraId="34C2DB00"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-0.03 (-0.14, 0.07)</w:t>
            </w:r>
          </w:p>
        </w:tc>
      </w:tr>
      <w:tr w:rsidR="00546DBD" w:rsidRPr="00FA2AB8" w14:paraId="642286EE" w14:textId="77777777" w:rsidTr="00AF29CF">
        <w:tc>
          <w:tcPr>
            <w:tcW w:w="1114" w:type="pct"/>
            <w:shd w:val="clear" w:color="auto" w:fill="B8CCE4"/>
          </w:tcPr>
          <w:p w14:paraId="017C1728"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Pooled (REM)</w:t>
            </w:r>
          </w:p>
        </w:tc>
        <w:tc>
          <w:tcPr>
            <w:tcW w:w="918" w:type="pct"/>
            <w:shd w:val="clear" w:color="auto" w:fill="B8CCE4"/>
          </w:tcPr>
          <w:p w14:paraId="10910E49" w14:textId="77777777" w:rsidR="00546DBD" w:rsidRPr="00FA2AB8" w:rsidRDefault="00546DBD">
            <w:pPr>
              <w:pStyle w:val="TableCentre"/>
              <w:keepNext/>
              <w:keepLines/>
              <w:rPr>
                <w:rFonts w:ascii="Arial Narrow" w:hAnsi="Arial Narrow"/>
                <w:sz w:val="20"/>
                <w:szCs w:val="20"/>
                <w:lang w:val="en-AU"/>
              </w:rPr>
            </w:pPr>
          </w:p>
        </w:tc>
        <w:tc>
          <w:tcPr>
            <w:tcW w:w="918" w:type="pct"/>
            <w:shd w:val="clear" w:color="auto" w:fill="B8CCE4"/>
          </w:tcPr>
          <w:p w14:paraId="27DDB534" w14:textId="77777777" w:rsidR="00546DBD" w:rsidRPr="00FA2AB8" w:rsidRDefault="00546DBD">
            <w:pPr>
              <w:pStyle w:val="TableCentre"/>
              <w:keepNext/>
              <w:keepLines/>
              <w:rPr>
                <w:rFonts w:ascii="Arial Narrow" w:hAnsi="Arial Narrow"/>
                <w:sz w:val="20"/>
                <w:szCs w:val="20"/>
                <w:lang w:val="en-AU"/>
              </w:rPr>
            </w:pPr>
          </w:p>
        </w:tc>
        <w:tc>
          <w:tcPr>
            <w:tcW w:w="1031" w:type="pct"/>
            <w:shd w:val="clear" w:color="auto" w:fill="B8CCE4"/>
          </w:tcPr>
          <w:p w14:paraId="7F7D5115"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1.03 (0.96, 1.10)</w:t>
            </w:r>
          </w:p>
        </w:tc>
        <w:tc>
          <w:tcPr>
            <w:tcW w:w="1019" w:type="pct"/>
            <w:shd w:val="clear" w:color="auto" w:fill="B8CCE4"/>
          </w:tcPr>
          <w:p w14:paraId="059C9C3D"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0.02 (-0.04, 0.07)</w:t>
            </w:r>
          </w:p>
        </w:tc>
      </w:tr>
      <w:tr w:rsidR="00546DBD" w:rsidRPr="00FA2AB8" w14:paraId="49D4720B" w14:textId="77777777" w:rsidTr="00AF29CF">
        <w:tc>
          <w:tcPr>
            <w:tcW w:w="5000" w:type="pct"/>
            <w:gridSpan w:val="5"/>
            <w:shd w:val="clear" w:color="auto" w:fill="B8CCE4"/>
          </w:tcPr>
          <w:p w14:paraId="1B9F5033" w14:textId="77777777" w:rsidR="00546DBD" w:rsidRPr="00FA2AB8" w:rsidRDefault="00546DBD">
            <w:pPr>
              <w:keepNext/>
              <w:keepLines/>
              <w:rPr>
                <w:rFonts w:ascii="Arial Narrow" w:hAnsi="Arial Narrow"/>
                <w:sz w:val="20"/>
                <w:szCs w:val="20"/>
                <w:lang w:val="en-AU"/>
              </w:rPr>
            </w:pPr>
            <w:r w:rsidRPr="00FA2AB8">
              <w:rPr>
                <w:rFonts w:ascii="Arial Narrow" w:hAnsi="Arial Narrow"/>
                <w:sz w:val="20"/>
                <w:szCs w:val="20"/>
                <w:lang w:val="en-AU"/>
              </w:rPr>
              <w:t>Indirect comparison</w:t>
            </w:r>
          </w:p>
        </w:tc>
      </w:tr>
      <w:tr w:rsidR="00546DBD" w:rsidRPr="00FA2AB8" w14:paraId="6D6939E7" w14:textId="77777777" w:rsidTr="00AF29CF">
        <w:tc>
          <w:tcPr>
            <w:tcW w:w="2949" w:type="pct"/>
            <w:gridSpan w:val="3"/>
            <w:shd w:val="clear" w:color="auto" w:fill="B8CCE4"/>
          </w:tcPr>
          <w:p w14:paraId="7627EEB4" w14:textId="77777777" w:rsidR="00546DBD" w:rsidRPr="00FA2AB8" w:rsidRDefault="00546DBD">
            <w:pPr>
              <w:pStyle w:val="TableCentre"/>
              <w:keepNext/>
              <w:keepLines/>
              <w:jc w:val="both"/>
              <w:rPr>
                <w:rFonts w:ascii="Arial Narrow" w:hAnsi="Arial Narrow"/>
                <w:sz w:val="20"/>
                <w:szCs w:val="20"/>
                <w:lang w:val="en-AU"/>
              </w:rPr>
            </w:pPr>
            <w:r w:rsidRPr="00FA2AB8">
              <w:rPr>
                <w:rFonts w:ascii="Arial Narrow" w:hAnsi="Arial Narrow"/>
                <w:sz w:val="20"/>
                <w:szCs w:val="20"/>
                <w:lang w:val="en-AU"/>
              </w:rPr>
              <w:t>NEMO 30 mg Q4W (pooled) vs DUPI 300 mg Q2W (pooled)</w:t>
            </w:r>
          </w:p>
        </w:tc>
        <w:tc>
          <w:tcPr>
            <w:tcW w:w="1031" w:type="pct"/>
            <w:shd w:val="clear" w:color="auto" w:fill="B8CCE4"/>
          </w:tcPr>
          <w:p w14:paraId="74FD6001"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1.01 (0.90, 1.13)</w:t>
            </w:r>
          </w:p>
        </w:tc>
        <w:tc>
          <w:tcPr>
            <w:tcW w:w="1019" w:type="pct"/>
            <w:shd w:val="clear" w:color="auto" w:fill="B8CCE4"/>
          </w:tcPr>
          <w:p w14:paraId="375906DE"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-0.01 (-0.10, 0.08)</w:t>
            </w:r>
          </w:p>
        </w:tc>
      </w:tr>
      <w:tr w:rsidR="00546DBD" w:rsidRPr="00FA2AB8" w14:paraId="29064F49" w14:textId="77777777" w:rsidTr="00AF29CF">
        <w:tc>
          <w:tcPr>
            <w:tcW w:w="5000" w:type="pct"/>
            <w:gridSpan w:val="5"/>
            <w:shd w:val="clear" w:color="auto" w:fill="B8CCE4"/>
          </w:tcPr>
          <w:p w14:paraId="78DF4927" w14:textId="77777777" w:rsidR="00546DBD" w:rsidRPr="00FA2AB8" w:rsidRDefault="00546DBD">
            <w:pPr>
              <w:pStyle w:val="TableCentre"/>
              <w:keepNext/>
              <w:keepLines/>
              <w:jc w:val="left"/>
              <w:rPr>
                <w:rFonts w:ascii="Arial Narrow" w:hAnsi="Arial Narrow"/>
                <w:b/>
                <w:bCs/>
                <w:sz w:val="20"/>
                <w:szCs w:val="20"/>
                <w:lang w:val="en-AU"/>
              </w:rPr>
            </w:pPr>
            <w:r w:rsidRPr="00FA2AB8">
              <w:rPr>
                <w:rFonts w:ascii="Arial Narrow" w:hAnsi="Arial Narrow"/>
                <w:b/>
                <w:bCs/>
                <w:sz w:val="20"/>
                <w:szCs w:val="20"/>
                <w:lang w:val="en-AU"/>
              </w:rPr>
              <w:t>Serious TEAEs</w:t>
            </w:r>
          </w:p>
        </w:tc>
      </w:tr>
      <w:tr w:rsidR="00546DBD" w:rsidRPr="00CF73CE" w14:paraId="47F11BE4" w14:textId="77777777" w:rsidTr="00AF29CF">
        <w:tc>
          <w:tcPr>
            <w:tcW w:w="5000" w:type="pct"/>
            <w:gridSpan w:val="5"/>
            <w:shd w:val="clear" w:color="auto" w:fill="B8CCE4"/>
          </w:tcPr>
          <w:p w14:paraId="721C6F92" w14:textId="77777777" w:rsidR="00546DBD" w:rsidRPr="00381C24" w:rsidRDefault="00546DBD">
            <w:pPr>
              <w:pStyle w:val="TableCentre"/>
              <w:keepNext/>
              <w:keepLines/>
              <w:jc w:val="left"/>
              <w:rPr>
                <w:rFonts w:ascii="Arial Narrow" w:hAnsi="Arial Narrow"/>
                <w:b/>
                <w:bCs/>
                <w:sz w:val="20"/>
                <w:szCs w:val="20"/>
                <w:lang w:val="pt-BR"/>
              </w:rPr>
            </w:pPr>
            <w:r w:rsidRPr="00381C24">
              <w:rPr>
                <w:rFonts w:ascii="Arial Narrow" w:hAnsi="Arial Narrow"/>
                <w:b/>
                <w:bCs/>
                <w:sz w:val="20"/>
                <w:szCs w:val="20"/>
                <w:lang w:val="pt-BR"/>
              </w:rPr>
              <w:t>NEMO 30 mg Q4W vs placebo</w:t>
            </w:r>
          </w:p>
        </w:tc>
      </w:tr>
      <w:tr w:rsidR="00546DBD" w:rsidRPr="00FA2AB8" w14:paraId="087E15FE" w14:textId="77777777" w:rsidTr="00AF29CF">
        <w:tc>
          <w:tcPr>
            <w:tcW w:w="1114" w:type="pct"/>
            <w:shd w:val="clear" w:color="auto" w:fill="B8CCE4"/>
          </w:tcPr>
          <w:p w14:paraId="07C7CA61"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ARCADIA 1</w:t>
            </w:r>
          </w:p>
        </w:tc>
        <w:tc>
          <w:tcPr>
            <w:tcW w:w="918" w:type="pct"/>
            <w:shd w:val="clear" w:color="auto" w:fill="B8CCE4"/>
          </w:tcPr>
          <w:p w14:paraId="16ABA8D5"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 xml:space="preserve">6/616 (1.0) </w:t>
            </w:r>
          </w:p>
        </w:tc>
        <w:tc>
          <w:tcPr>
            <w:tcW w:w="918" w:type="pct"/>
            <w:shd w:val="clear" w:color="auto" w:fill="B8CCE4"/>
          </w:tcPr>
          <w:p w14:paraId="5278B2B1"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4/321 (1.2)</w:t>
            </w:r>
          </w:p>
        </w:tc>
        <w:tc>
          <w:tcPr>
            <w:tcW w:w="1031" w:type="pct"/>
            <w:shd w:val="clear" w:color="auto" w:fill="B8CCE4"/>
          </w:tcPr>
          <w:p w14:paraId="7B6C1CCB"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0.78 (0.22, 2.75)</w:t>
            </w:r>
          </w:p>
        </w:tc>
        <w:tc>
          <w:tcPr>
            <w:tcW w:w="1019" w:type="pct"/>
            <w:shd w:val="clear" w:color="auto" w:fill="B8CCE4"/>
          </w:tcPr>
          <w:p w14:paraId="7D99988B"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-0.00 (-0.02, 0.01)</w:t>
            </w:r>
          </w:p>
        </w:tc>
      </w:tr>
      <w:tr w:rsidR="00546DBD" w:rsidRPr="00FA2AB8" w14:paraId="7C2C75AC" w14:textId="77777777" w:rsidTr="00AF29CF">
        <w:tc>
          <w:tcPr>
            <w:tcW w:w="1114" w:type="pct"/>
            <w:shd w:val="clear" w:color="auto" w:fill="B8CCE4"/>
          </w:tcPr>
          <w:p w14:paraId="681E70BC"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ARCADIA 2</w:t>
            </w:r>
          </w:p>
        </w:tc>
        <w:tc>
          <w:tcPr>
            <w:tcW w:w="918" w:type="pct"/>
            <w:shd w:val="clear" w:color="auto" w:fill="B8CCE4"/>
          </w:tcPr>
          <w:p w14:paraId="72D7D6BA"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13/519 (2.5)</w:t>
            </w:r>
          </w:p>
        </w:tc>
        <w:tc>
          <w:tcPr>
            <w:tcW w:w="918" w:type="pct"/>
            <w:shd w:val="clear" w:color="auto" w:fill="B8CCE4"/>
          </w:tcPr>
          <w:p w14:paraId="5D559621"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3/263 (1.1)</w:t>
            </w:r>
          </w:p>
        </w:tc>
        <w:tc>
          <w:tcPr>
            <w:tcW w:w="1031" w:type="pct"/>
            <w:shd w:val="clear" w:color="auto" w:fill="B8CCE4"/>
          </w:tcPr>
          <w:p w14:paraId="376D53DE"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2.20 (0.63, 7.64)</w:t>
            </w:r>
          </w:p>
        </w:tc>
        <w:tc>
          <w:tcPr>
            <w:tcW w:w="1019" w:type="pct"/>
            <w:shd w:val="clear" w:color="auto" w:fill="B8CCE4"/>
          </w:tcPr>
          <w:p w14:paraId="78374A5B"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0.01 (-0.01, 0.03)</w:t>
            </w:r>
          </w:p>
        </w:tc>
      </w:tr>
      <w:tr w:rsidR="00546DBD" w:rsidRPr="00FA2AB8" w14:paraId="666C75EF" w14:textId="77777777" w:rsidTr="00AF29CF">
        <w:tc>
          <w:tcPr>
            <w:tcW w:w="1114" w:type="pct"/>
            <w:shd w:val="clear" w:color="auto" w:fill="B8CCE4"/>
          </w:tcPr>
          <w:p w14:paraId="50AB47FC"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Study 114322</w:t>
            </w:r>
          </w:p>
        </w:tc>
        <w:tc>
          <w:tcPr>
            <w:tcW w:w="918" w:type="pct"/>
            <w:shd w:val="clear" w:color="auto" w:fill="B8CCE4"/>
          </w:tcPr>
          <w:p w14:paraId="55F57C2A"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2/57 (3.5)</w:t>
            </w:r>
          </w:p>
        </w:tc>
        <w:tc>
          <w:tcPr>
            <w:tcW w:w="918" w:type="pct"/>
            <w:shd w:val="clear" w:color="auto" w:fill="B8CCE4"/>
          </w:tcPr>
          <w:p w14:paraId="45A94D7F"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1/57 (1.8)</w:t>
            </w:r>
          </w:p>
        </w:tc>
        <w:tc>
          <w:tcPr>
            <w:tcW w:w="1031" w:type="pct"/>
            <w:shd w:val="clear" w:color="auto" w:fill="B8CCE4"/>
          </w:tcPr>
          <w:p w14:paraId="0B0ECCBE"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2.00 (0.187, 21.44)</w:t>
            </w:r>
          </w:p>
        </w:tc>
        <w:tc>
          <w:tcPr>
            <w:tcW w:w="1019" w:type="pct"/>
            <w:shd w:val="clear" w:color="auto" w:fill="B8CCE4"/>
          </w:tcPr>
          <w:p w14:paraId="51D15310"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0.02 (-0.04, 0.08)</w:t>
            </w:r>
          </w:p>
        </w:tc>
      </w:tr>
      <w:tr w:rsidR="00546DBD" w:rsidRPr="00FA2AB8" w14:paraId="408F5670" w14:textId="77777777" w:rsidTr="00AF29CF">
        <w:tc>
          <w:tcPr>
            <w:tcW w:w="1114" w:type="pct"/>
            <w:shd w:val="clear" w:color="auto" w:fill="B8CCE4"/>
          </w:tcPr>
          <w:p w14:paraId="69F54BF5"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ARCADIA CYCLO</w:t>
            </w:r>
          </w:p>
        </w:tc>
        <w:tc>
          <w:tcPr>
            <w:tcW w:w="918" w:type="pct"/>
            <w:shd w:val="clear" w:color="auto" w:fill="B8CCE4"/>
          </w:tcPr>
          <w:p w14:paraId="026FD2B2"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2/137 (1.5)</w:t>
            </w:r>
          </w:p>
        </w:tc>
        <w:tc>
          <w:tcPr>
            <w:tcW w:w="918" w:type="pct"/>
            <w:shd w:val="clear" w:color="auto" w:fill="B8CCE4"/>
          </w:tcPr>
          <w:p w14:paraId="16F29E3B"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2/137 (1.5)</w:t>
            </w:r>
          </w:p>
        </w:tc>
        <w:tc>
          <w:tcPr>
            <w:tcW w:w="1031" w:type="pct"/>
            <w:shd w:val="clear" w:color="auto" w:fill="B8CCE4"/>
          </w:tcPr>
          <w:p w14:paraId="74ACED50"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1.00 (0.14, 7.00)</w:t>
            </w:r>
          </w:p>
        </w:tc>
        <w:tc>
          <w:tcPr>
            <w:tcW w:w="1019" w:type="pct"/>
            <w:shd w:val="clear" w:color="auto" w:fill="B8CCE4"/>
          </w:tcPr>
          <w:p w14:paraId="29190987"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0.00 (-0.03, 0.03)</w:t>
            </w:r>
          </w:p>
        </w:tc>
      </w:tr>
      <w:tr w:rsidR="00546DBD" w:rsidRPr="00FA2AB8" w14:paraId="1F89E837" w14:textId="77777777" w:rsidTr="00AF29CF">
        <w:tc>
          <w:tcPr>
            <w:tcW w:w="1114" w:type="pct"/>
            <w:shd w:val="clear" w:color="auto" w:fill="B8CCE4"/>
          </w:tcPr>
          <w:p w14:paraId="55F3CAB9"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Pooled (REM)</w:t>
            </w:r>
          </w:p>
        </w:tc>
        <w:tc>
          <w:tcPr>
            <w:tcW w:w="918" w:type="pct"/>
            <w:shd w:val="clear" w:color="auto" w:fill="B8CCE4"/>
          </w:tcPr>
          <w:p w14:paraId="04B4F25A" w14:textId="77777777" w:rsidR="00546DBD" w:rsidRPr="00FA2AB8" w:rsidRDefault="00546DBD">
            <w:pPr>
              <w:pStyle w:val="TableCentre"/>
              <w:keepNext/>
              <w:keepLines/>
              <w:rPr>
                <w:rFonts w:ascii="Arial Narrow" w:hAnsi="Arial Narrow"/>
                <w:sz w:val="20"/>
                <w:szCs w:val="20"/>
                <w:lang w:val="en-AU"/>
              </w:rPr>
            </w:pPr>
          </w:p>
        </w:tc>
        <w:tc>
          <w:tcPr>
            <w:tcW w:w="918" w:type="pct"/>
            <w:shd w:val="clear" w:color="auto" w:fill="B8CCE4"/>
          </w:tcPr>
          <w:p w14:paraId="2CC223B0" w14:textId="77777777" w:rsidR="00546DBD" w:rsidRPr="00FA2AB8" w:rsidRDefault="00546DBD">
            <w:pPr>
              <w:pStyle w:val="TableCentre"/>
              <w:keepNext/>
              <w:keepLines/>
              <w:rPr>
                <w:rFonts w:ascii="Arial Narrow" w:hAnsi="Arial Narrow"/>
                <w:sz w:val="20"/>
                <w:szCs w:val="20"/>
                <w:lang w:val="en-AU"/>
              </w:rPr>
            </w:pPr>
          </w:p>
        </w:tc>
        <w:tc>
          <w:tcPr>
            <w:tcW w:w="1031" w:type="pct"/>
            <w:shd w:val="clear" w:color="auto" w:fill="B8CCE4"/>
          </w:tcPr>
          <w:p w14:paraId="2EDFEB3C"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1.32 (0.61, 2.83)</w:t>
            </w:r>
          </w:p>
        </w:tc>
        <w:tc>
          <w:tcPr>
            <w:tcW w:w="1019" w:type="pct"/>
            <w:shd w:val="clear" w:color="auto" w:fill="B8CCE4"/>
          </w:tcPr>
          <w:p w14:paraId="5F501D89"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0.00 (-0.01, 0.01)</w:t>
            </w:r>
          </w:p>
        </w:tc>
      </w:tr>
      <w:tr w:rsidR="00546DBD" w:rsidRPr="00FA2AB8" w14:paraId="38E9B0DC" w14:textId="77777777" w:rsidTr="00AF29CF">
        <w:tc>
          <w:tcPr>
            <w:tcW w:w="5000" w:type="pct"/>
            <w:gridSpan w:val="5"/>
            <w:shd w:val="clear" w:color="auto" w:fill="B8CCE4"/>
          </w:tcPr>
          <w:p w14:paraId="089E387C" w14:textId="77777777" w:rsidR="00546DBD" w:rsidRPr="00FA2AB8" w:rsidRDefault="00546DBD">
            <w:pPr>
              <w:pStyle w:val="TableCentre"/>
              <w:keepNext/>
              <w:keepLines/>
              <w:jc w:val="left"/>
              <w:rPr>
                <w:rFonts w:ascii="Arial Narrow" w:hAnsi="Arial Narrow"/>
                <w:b/>
                <w:bCs/>
                <w:sz w:val="20"/>
                <w:szCs w:val="20"/>
                <w:lang w:val="en-AU"/>
              </w:rPr>
            </w:pPr>
            <w:r w:rsidRPr="00FA2AB8">
              <w:rPr>
                <w:rFonts w:ascii="Arial Narrow" w:hAnsi="Arial Narrow"/>
                <w:b/>
                <w:bCs/>
                <w:sz w:val="20"/>
                <w:szCs w:val="20"/>
                <w:lang w:val="en-AU"/>
              </w:rPr>
              <w:t>DUPI 300 mg Q2W vs placebo</w:t>
            </w:r>
          </w:p>
        </w:tc>
      </w:tr>
      <w:tr w:rsidR="00546DBD" w:rsidRPr="00FA2AB8" w14:paraId="0DA68736" w14:textId="77777777" w:rsidTr="00AF29CF">
        <w:tc>
          <w:tcPr>
            <w:tcW w:w="1114" w:type="pct"/>
            <w:shd w:val="clear" w:color="auto" w:fill="B8CCE4"/>
          </w:tcPr>
          <w:p w14:paraId="7832AA28"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CAFÉ</w:t>
            </w:r>
          </w:p>
        </w:tc>
        <w:tc>
          <w:tcPr>
            <w:tcW w:w="918" w:type="pct"/>
            <w:shd w:val="clear" w:color="auto" w:fill="B8CCE4"/>
          </w:tcPr>
          <w:p w14:paraId="4AB6B040"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2/107 (1.9)</w:t>
            </w:r>
          </w:p>
        </w:tc>
        <w:tc>
          <w:tcPr>
            <w:tcW w:w="918" w:type="pct"/>
            <w:shd w:val="clear" w:color="auto" w:fill="B8CCE4"/>
          </w:tcPr>
          <w:p w14:paraId="5D945A7E"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2/108 (1.9)</w:t>
            </w:r>
          </w:p>
        </w:tc>
        <w:tc>
          <w:tcPr>
            <w:tcW w:w="1031" w:type="pct"/>
            <w:shd w:val="clear" w:color="auto" w:fill="B8CCE4"/>
          </w:tcPr>
          <w:p w14:paraId="1F608C69"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1.01 (0.15, 7.04)</w:t>
            </w:r>
          </w:p>
        </w:tc>
        <w:tc>
          <w:tcPr>
            <w:tcW w:w="1019" w:type="pct"/>
            <w:shd w:val="clear" w:color="auto" w:fill="B8CCE4"/>
          </w:tcPr>
          <w:p w14:paraId="55F75C8E"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 (-0.04, 0.04)</w:t>
            </w:r>
          </w:p>
        </w:tc>
      </w:tr>
      <w:tr w:rsidR="00546DBD" w:rsidRPr="00FA2AB8" w14:paraId="41E61B12" w14:textId="77777777" w:rsidTr="00AF29CF">
        <w:tc>
          <w:tcPr>
            <w:tcW w:w="1114" w:type="pct"/>
            <w:shd w:val="clear" w:color="auto" w:fill="B8CCE4"/>
          </w:tcPr>
          <w:p w14:paraId="489DCB01"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CHRONOS</w:t>
            </w:r>
          </w:p>
        </w:tc>
        <w:tc>
          <w:tcPr>
            <w:tcW w:w="918" w:type="pct"/>
            <w:shd w:val="clear" w:color="auto" w:fill="B8CCE4"/>
          </w:tcPr>
          <w:p w14:paraId="6881BB87"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4/110 (3.6)</w:t>
            </w:r>
          </w:p>
        </w:tc>
        <w:tc>
          <w:tcPr>
            <w:tcW w:w="918" w:type="pct"/>
            <w:shd w:val="clear" w:color="auto" w:fill="B8CCE4"/>
          </w:tcPr>
          <w:p w14:paraId="540425E6"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16/315 (5.1)</w:t>
            </w:r>
          </w:p>
        </w:tc>
        <w:tc>
          <w:tcPr>
            <w:tcW w:w="1031" w:type="pct"/>
            <w:shd w:val="clear" w:color="auto" w:fill="B8CCE4"/>
          </w:tcPr>
          <w:p w14:paraId="3E2ECC0F"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0.72 (0.25, 2.10)</w:t>
            </w:r>
          </w:p>
        </w:tc>
        <w:tc>
          <w:tcPr>
            <w:tcW w:w="1019" w:type="pct"/>
            <w:shd w:val="clear" w:color="auto" w:fill="B8CCE4"/>
          </w:tcPr>
          <w:p w14:paraId="24573DAF"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-0.01 (-0.06, 0.03)</w:t>
            </w:r>
          </w:p>
        </w:tc>
      </w:tr>
      <w:tr w:rsidR="00546DBD" w:rsidRPr="00FA2AB8" w14:paraId="17D72627" w14:textId="77777777" w:rsidTr="00AF29CF">
        <w:tc>
          <w:tcPr>
            <w:tcW w:w="1114" w:type="pct"/>
            <w:shd w:val="clear" w:color="auto" w:fill="B8CCE4"/>
          </w:tcPr>
          <w:p w14:paraId="33A959BB"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JADE COMPARE</w:t>
            </w:r>
          </w:p>
        </w:tc>
        <w:tc>
          <w:tcPr>
            <w:tcW w:w="918" w:type="pct"/>
            <w:shd w:val="clear" w:color="auto" w:fill="B8CCE4"/>
          </w:tcPr>
          <w:p w14:paraId="02E42CC2"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 xml:space="preserve">2/242 (0.8) </w:t>
            </w:r>
          </w:p>
        </w:tc>
        <w:tc>
          <w:tcPr>
            <w:tcW w:w="918" w:type="pct"/>
            <w:shd w:val="clear" w:color="auto" w:fill="B8CCE4"/>
          </w:tcPr>
          <w:p w14:paraId="0695CF71"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5/131 (3.8)</w:t>
            </w:r>
          </w:p>
        </w:tc>
        <w:tc>
          <w:tcPr>
            <w:tcW w:w="1031" w:type="pct"/>
            <w:shd w:val="clear" w:color="auto" w:fill="B8CCE4"/>
          </w:tcPr>
          <w:p w14:paraId="3C43E809"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0.22 (0.04, 1.10)</w:t>
            </w:r>
          </w:p>
        </w:tc>
        <w:tc>
          <w:tcPr>
            <w:tcW w:w="1019" w:type="pct"/>
            <w:shd w:val="clear" w:color="auto" w:fill="B8CCE4"/>
          </w:tcPr>
          <w:p w14:paraId="142984C5"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-0.03 (-0.07, 0.01)</w:t>
            </w:r>
          </w:p>
        </w:tc>
      </w:tr>
      <w:tr w:rsidR="00546DBD" w:rsidRPr="00FA2AB8" w14:paraId="43B15042" w14:textId="77777777" w:rsidTr="00AF29CF">
        <w:tc>
          <w:tcPr>
            <w:tcW w:w="1114" w:type="pct"/>
            <w:shd w:val="clear" w:color="auto" w:fill="B8CCE4"/>
          </w:tcPr>
          <w:p w14:paraId="33DF5C91"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Pooled (REM)</w:t>
            </w:r>
          </w:p>
        </w:tc>
        <w:tc>
          <w:tcPr>
            <w:tcW w:w="918" w:type="pct"/>
            <w:shd w:val="clear" w:color="auto" w:fill="B8CCE4"/>
          </w:tcPr>
          <w:p w14:paraId="1AEEFB92" w14:textId="77777777" w:rsidR="00546DBD" w:rsidRPr="00FA2AB8" w:rsidRDefault="00546DBD">
            <w:pPr>
              <w:pStyle w:val="TableCentre"/>
              <w:keepNext/>
              <w:keepLines/>
              <w:rPr>
                <w:rFonts w:ascii="Arial Narrow" w:hAnsi="Arial Narrow"/>
                <w:sz w:val="20"/>
                <w:szCs w:val="20"/>
                <w:lang w:val="en-AU"/>
              </w:rPr>
            </w:pPr>
          </w:p>
        </w:tc>
        <w:tc>
          <w:tcPr>
            <w:tcW w:w="918" w:type="pct"/>
            <w:shd w:val="clear" w:color="auto" w:fill="B8CCE4"/>
          </w:tcPr>
          <w:p w14:paraId="5D35E229" w14:textId="77777777" w:rsidR="00546DBD" w:rsidRPr="00FA2AB8" w:rsidRDefault="00546DBD">
            <w:pPr>
              <w:pStyle w:val="TableCentre"/>
              <w:keepNext/>
              <w:keepLines/>
              <w:rPr>
                <w:rFonts w:ascii="Arial Narrow" w:hAnsi="Arial Narrow"/>
                <w:sz w:val="20"/>
                <w:szCs w:val="20"/>
                <w:lang w:val="en-AU"/>
              </w:rPr>
            </w:pPr>
          </w:p>
        </w:tc>
        <w:tc>
          <w:tcPr>
            <w:tcW w:w="1031" w:type="pct"/>
            <w:shd w:val="clear" w:color="auto" w:fill="B8CCE4"/>
          </w:tcPr>
          <w:p w14:paraId="77321BBA"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0.56 (0.25, 1.27)</w:t>
            </w:r>
          </w:p>
        </w:tc>
        <w:tc>
          <w:tcPr>
            <w:tcW w:w="1019" w:type="pct"/>
            <w:shd w:val="clear" w:color="auto" w:fill="B8CCE4"/>
          </w:tcPr>
          <w:p w14:paraId="585EB0CB"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-0.02 (-0.04, 0.01)</w:t>
            </w:r>
          </w:p>
        </w:tc>
      </w:tr>
      <w:tr w:rsidR="00546DBD" w:rsidRPr="00FA2AB8" w14:paraId="135C9EBA" w14:textId="77777777" w:rsidTr="00AF29CF">
        <w:tc>
          <w:tcPr>
            <w:tcW w:w="5000" w:type="pct"/>
            <w:gridSpan w:val="5"/>
            <w:shd w:val="clear" w:color="auto" w:fill="B8CCE4"/>
          </w:tcPr>
          <w:p w14:paraId="0460DF21" w14:textId="77777777" w:rsidR="00546DBD" w:rsidRPr="00FA2AB8" w:rsidRDefault="00546DBD">
            <w:pPr>
              <w:keepNext/>
              <w:keepLines/>
              <w:rPr>
                <w:rFonts w:ascii="Arial Narrow" w:hAnsi="Arial Narrow"/>
                <w:sz w:val="20"/>
                <w:szCs w:val="20"/>
                <w:lang w:val="en-AU"/>
              </w:rPr>
            </w:pPr>
            <w:r w:rsidRPr="00FA2AB8">
              <w:rPr>
                <w:rFonts w:ascii="Arial Narrow" w:hAnsi="Arial Narrow"/>
                <w:sz w:val="20"/>
                <w:szCs w:val="20"/>
                <w:lang w:val="en-AU"/>
              </w:rPr>
              <w:t>Indirect comparison</w:t>
            </w:r>
          </w:p>
        </w:tc>
      </w:tr>
      <w:tr w:rsidR="00546DBD" w:rsidRPr="00FA2AB8" w14:paraId="4B745B08" w14:textId="77777777" w:rsidTr="00AF29CF">
        <w:tc>
          <w:tcPr>
            <w:tcW w:w="2949" w:type="pct"/>
            <w:gridSpan w:val="3"/>
            <w:shd w:val="clear" w:color="auto" w:fill="B8CCE4"/>
          </w:tcPr>
          <w:p w14:paraId="6341FFB6" w14:textId="77777777" w:rsidR="00546DBD" w:rsidRPr="00FA2AB8" w:rsidRDefault="00546DBD">
            <w:pPr>
              <w:pStyle w:val="TableCentre"/>
              <w:keepNext/>
              <w:keepLines/>
              <w:jc w:val="both"/>
              <w:rPr>
                <w:rFonts w:ascii="Arial Narrow" w:hAnsi="Arial Narrow"/>
                <w:sz w:val="20"/>
                <w:szCs w:val="20"/>
                <w:lang w:val="en-AU"/>
              </w:rPr>
            </w:pPr>
            <w:r w:rsidRPr="00FA2AB8">
              <w:rPr>
                <w:rFonts w:ascii="Arial Narrow" w:hAnsi="Arial Narrow"/>
                <w:sz w:val="20"/>
                <w:szCs w:val="20"/>
                <w:lang w:val="en-AU"/>
              </w:rPr>
              <w:t>NEMO 30 mg Q4W (pooled) vs DUPI 300 mg Q2W (pooled)</w:t>
            </w:r>
          </w:p>
        </w:tc>
        <w:tc>
          <w:tcPr>
            <w:tcW w:w="1031" w:type="pct"/>
            <w:shd w:val="clear" w:color="auto" w:fill="B8CCE4"/>
          </w:tcPr>
          <w:p w14:paraId="75FBE785"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2.36 (0.77, 7.21)</w:t>
            </w:r>
          </w:p>
        </w:tc>
        <w:tc>
          <w:tcPr>
            <w:tcW w:w="1019" w:type="pct"/>
            <w:shd w:val="clear" w:color="auto" w:fill="B8CCE4"/>
          </w:tcPr>
          <w:p w14:paraId="5BEDC390"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0.02 (-0.01, 0.05)</w:t>
            </w:r>
          </w:p>
        </w:tc>
      </w:tr>
      <w:tr w:rsidR="00546DBD" w:rsidRPr="00FA2AB8" w14:paraId="0E966B92" w14:textId="77777777" w:rsidTr="00AF29CF">
        <w:tc>
          <w:tcPr>
            <w:tcW w:w="5000" w:type="pct"/>
            <w:gridSpan w:val="5"/>
            <w:shd w:val="clear" w:color="auto" w:fill="B8CCE4"/>
          </w:tcPr>
          <w:p w14:paraId="49D51514" w14:textId="77777777" w:rsidR="00546DBD" w:rsidRPr="00FA2AB8" w:rsidRDefault="00546DBD">
            <w:pPr>
              <w:pStyle w:val="TableCentre"/>
              <w:keepNext/>
              <w:keepLines/>
              <w:jc w:val="left"/>
              <w:rPr>
                <w:rFonts w:ascii="Arial Narrow" w:hAnsi="Arial Narrow"/>
                <w:b/>
                <w:bCs/>
                <w:sz w:val="20"/>
                <w:szCs w:val="20"/>
                <w:lang w:val="en-AU"/>
              </w:rPr>
            </w:pPr>
            <w:r w:rsidRPr="00FA2AB8">
              <w:rPr>
                <w:rFonts w:ascii="Arial Narrow" w:hAnsi="Arial Narrow"/>
                <w:b/>
                <w:bCs/>
                <w:sz w:val="20"/>
                <w:szCs w:val="20"/>
                <w:lang w:val="en-AU"/>
              </w:rPr>
              <w:t>TEAEs leading to discontinuation</w:t>
            </w:r>
          </w:p>
        </w:tc>
      </w:tr>
      <w:tr w:rsidR="00546DBD" w:rsidRPr="00CF73CE" w14:paraId="71E91C48" w14:textId="77777777" w:rsidTr="00AF29CF">
        <w:tc>
          <w:tcPr>
            <w:tcW w:w="5000" w:type="pct"/>
            <w:gridSpan w:val="5"/>
            <w:shd w:val="clear" w:color="auto" w:fill="B8CCE4"/>
          </w:tcPr>
          <w:p w14:paraId="3BA98892" w14:textId="77777777" w:rsidR="00546DBD" w:rsidRPr="00381C24" w:rsidRDefault="00546DBD">
            <w:pPr>
              <w:pStyle w:val="TableCentre"/>
              <w:keepNext/>
              <w:keepLines/>
              <w:jc w:val="left"/>
              <w:rPr>
                <w:rFonts w:ascii="Arial Narrow" w:hAnsi="Arial Narrow"/>
                <w:b/>
                <w:bCs/>
                <w:sz w:val="20"/>
                <w:szCs w:val="20"/>
                <w:lang w:val="pt-BR"/>
              </w:rPr>
            </w:pPr>
            <w:r w:rsidRPr="00381C24">
              <w:rPr>
                <w:rFonts w:ascii="Arial Narrow" w:hAnsi="Arial Narrow"/>
                <w:b/>
                <w:bCs/>
                <w:sz w:val="20"/>
                <w:szCs w:val="20"/>
                <w:lang w:val="pt-BR"/>
              </w:rPr>
              <w:t>NEMO 30 mg Q4W vs placebo</w:t>
            </w:r>
          </w:p>
        </w:tc>
      </w:tr>
      <w:tr w:rsidR="00546DBD" w:rsidRPr="00FA2AB8" w14:paraId="60F2E15D" w14:textId="77777777" w:rsidTr="00AF29CF">
        <w:tc>
          <w:tcPr>
            <w:tcW w:w="1114" w:type="pct"/>
            <w:shd w:val="clear" w:color="auto" w:fill="B8CCE4"/>
          </w:tcPr>
          <w:p w14:paraId="16EEEECB"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ARCADIA 1</w:t>
            </w:r>
          </w:p>
        </w:tc>
        <w:tc>
          <w:tcPr>
            <w:tcW w:w="918" w:type="pct"/>
            <w:shd w:val="clear" w:color="auto" w:fill="B8CCE4"/>
          </w:tcPr>
          <w:p w14:paraId="674BA64E"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 xml:space="preserve">9/616 (1.5) </w:t>
            </w:r>
          </w:p>
        </w:tc>
        <w:tc>
          <w:tcPr>
            <w:tcW w:w="918" w:type="pct"/>
            <w:shd w:val="clear" w:color="auto" w:fill="B8CCE4"/>
          </w:tcPr>
          <w:p w14:paraId="5C37DFE4"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3/321 (0.9)</w:t>
            </w:r>
          </w:p>
        </w:tc>
        <w:tc>
          <w:tcPr>
            <w:tcW w:w="1031" w:type="pct"/>
            <w:shd w:val="clear" w:color="auto" w:fill="B8CCE4"/>
          </w:tcPr>
          <w:p w14:paraId="66951AB2"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1.56 (0.43, 5.73)</w:t>
            </w:r>
          </w:p>
        </w:tc>
        <w:tc>
          <w:tcPr>
            <w:tcW w:w="1019" w:type="pct"/>
            <w:shd w:val="clear" w:color="auto" w:fill="B8CCE4"/>
          </w:tcPr>
          <w:p w14:paraId="012E1BF3"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0.01 (-0.01, 0.02)</w:t>
            </w:r>
          </w:p>
        </w:tc>
      </w:tr>
      <w:tr w:rsidR="00546DBD" w:rsidRPr="00FA2AB8" w14:paraId="31FC9713" w14:textId="77777777" w:rsidTr="00AF29CF">
        <w:tc>
          <w:tcPr>
            <w:tcW w:w="1114" w:type="pct"/>
            <w:shd w:val="clear" w:color="auto" w:fill="B8CCE4"/>
          </w:tcPr>
          <w:p w14:paraId="60BC8D71"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ARCADIA 2</w:t>
            </w:r>
          </w:p>
        </w:tc>
        <w:tc>
          <w:tcPr>
            <w:tcW w:w="918" w:type="pct"/>
            <w:shd w:val="clear" w:color="auto" w:fill="B8CCE4"/>
          </w:tcPr>
          <w:p w14:paraId="3C8B197E"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15/519 (2.9)</w:t>
            </w:r>
          </w:p>
        </w:tc>
        <w:tc>
          <w:tcPr>
            <w:tcW w:w="918" w:type="pct"/>
            <w:shd w:val="clear" w:color="auto" w:fill="B8CCE4"/>
          </w:tcPr>
          <w:p w14:paraId="3F5DD0C3"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3/263 (1.1)</w:t>
            </w:r>
          </w:p>
        </w:tc>
        <w:tc>
          <w:tcPr>
            <w:tcW w:w="1031" w:type="pct"/>
            <w:shd w:val="clear" w:color="auto" w:fill="B8CCE4"/>
          </w:tcPr>
          <w:p w14:paraId="0D1EA874"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2.53 (0.74, 8.68)</w:t>
            </w:r>
          </w:p>
        </w:tc>
        <w:tc>
          <w:tcPr>
            <w:tcW w:w="1019" w:type="pct"/>
            <w:shd w:val="clear" w:color="auto" w:fill="B8CCE4"/>
          </w:tcPr>
          <w:p w14:paraId="6C3114EC"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0.02 (-0.00, 0.04)</w:t>
            </w:r>
          </w:p>
        </w:tc>
      </w:tr>
      <w:tr w:rsidR="00546DBD" w:rsidRPr="00FA2AB8" w14:paraId="0CCD881A" w14:textId="77777777" w:rsidTr="00AF29CF">
        <w:tc>
          <w:tcPr>
            <w:tcW w:w="1114" w:type="pct"/>
            <w:shd w:val="clear" w:color="auto" w:fill="B8CCE4"/>
          </w:tcPr>
          <w:p w14:paraId="423C78C3"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Study 114322</w:t>
            </w:r>
          </w:p>
        </w:tc>
        <w:tc>
          <w:tcPr>
            <w:tcW w:w="918" w:type="pct"/>
            <w:shd w:val="clear" w:color="auto" w:fill="B8CCE4"/>
          </w:tcPr>
          <w:p w14:paraId="24F1A7E9"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2/57 (3.5)</w:t>
            </w:r>
          </w:p>
        </w:tc>
        <w:tc>
          <w:tcPr>
            <w:tcW w:w="918" w:type="pct"/>
            <w:shd w:val="clear" w:color="auto" w:fill="B8CCE4"/>
          </w:tcPr>
          <w:p w14:paraId="65C34BAA"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4/57 (7.0)</w:t>
            </w:r>
          </w:p>
        </w:tc>
        <w:tc>
          <w:tcPr>
            <w:tcW w:w="1031" w:type="pct"/>
            <w:shd w:val="clear" w:color="auto" w:fill="B8CCE4"/>
          </w:tcPr>
          <w:p w14:paraId="103AB78A"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0.50 (0.10, 2.62)</w:t>
            </w:r>
          </w:p>
        </w:tc>
        <w:tc>
          <w:tcPr>
            <w:tcW w:w="1019" w:type="pct"/>
            <w:shd w:val="clear" w:color="auto" w:fill="B8CCE4"/>
          </w:tcPr>
          <w:p w14:paraId="379FE97F"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-0.04 (-0.12, 0.05)</w:t>
            </w:r>
          </w:p>
        </w:tc>
      </w:tr>
      <w:tr w:rsidR="00546DBD" w:rsidRPr="00FA2AB8" w14:paraId="77A9990C" w14:textId="77777777" w:rsidTr="00AF29CF">
        <w:tc>
          <w:tcPr>
            <w:tcW w:w="1114" w:type="pct"/>
            <w:shd w:val="clear" w:color="auto" w:fill="B8CCE4"/>
          </w:tcPr>
          <w:p w14:paraId="43EB148D"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ARCADIA CYCLO</w:t>
            </w:r>
          </w:p>
        </w:tc>
        <w:tc>
          <w:tcPr>
            <w:tcW w:w="918" w:type="pct"/>
            <w:shd w:val="clear" w:color="auto" w:fill="B8CCE4"/>
          </w:tcPr>
          <w:p w14:paraId="2C804D86"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2/137 (1.5)</w:t>
            </w:r>
          </w:p>
        </w:tc>
        <w:tc>
          <w:tcPr>
            <w:tcW w:w="918" w:type="pct"/>
            <w:shd w:val="clear" w:color="auto" w:fill="B8CCE4"/>
          </w:tcPr>
          <w:p w14:paraId="512AE186"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3/137 (2.2)</w:t>
            </w:r>
          </w:p>
        </w:tc>
        <w:tc>
          <w:tcPr>
            <w:tcW w:w="1031" w:type="pct"/>
            <w:shd w:val="clear" w:color="auto" w:fill="B8CCE4"/>
          </w:tcPr>
          <w:p w14:paraId="751AB555"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0.67 (0.11, 3.93)</w:t>
            </w:r>
          </w:p>
        </w:tc>
        <w:tc>
          <w:tcPr>
            <w:tcW w:w="1019" w:type="pct"/>
            <w:shd w:val="clear" w:color="auto" w:fill="B8CCE4"/>
          </w:tcPr>
          <w:p w14:paraId="1CAB6E0D"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-0.01 (-0.04 0.02)</w:t>
            </w:r>
          </w:p>
        </w:tc>
      </w:tr>
      <w:tr w:rsidR="00546DBD" w:rsidRPr="00FA2AB8" w14:paraId="1FF10686" w14:textId="77777777" w:rsidTr="00AF29CF">
        <w:tc>
          <w:tcPr>
            <w:tcW w:w="1114" w:type="pct"/>
            <w:shd w:val="clear" w:color="auto" w:fill="B8CCE4"/>
          </w:tcPr>
          <w:p w14:paraId="406167A2"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Pooled (REM)</w:t>
            </w:r>
          </w:p>
        </w:tc>
        <w:tc>
          <w:tcPr>
            <w:tcW w:w="918" w:type="pct"/>
            <w:shd w:val="clear" w:color="auto" w:fill="B8CCE4"/>
          </w:tcPr>
          <w:p w14:paraId="73D17882" w14:textId="77777777" w:rsidR="00546DBD" w:rsidRPr="00FA2AB8" w:rsidRDefault="00546DBD">
            <w:pPr>
              <w:pStyle w:val="TableCentre"/>
              <w:keepNext/>
              <w:keepLines/>
              <w:rPr>
                <w:rFonts w:ascii="Arial Narrow" w:hAnsi="Arial Narrow"/>
                <w:sz w:val="20"/>
                <w:szCs w:val="20"/>
                <w:lang w:val="en-AU"/>
              </w:rPr>
            </w:pPr>
          </w:p>
        </w:tc>
        <w:tc>
          <w:tcPr>
            <w:tcW w:w="918" w:type="pct"/>
            <w:shd w:val="clear" w:color="auto" w:fill="B8CCE4"/>
          </w:tcPr>
          <w:p w14:paraId="4608F814" w14:textId="77777777" w:rsidR="00546DBD" w:rsidRPr="00FA2AB8" w:rsidRDefault="00546DBD">
            <w:pPr>
              <w:pStyle w:val="TableCentre"/>
              <w:keepNext/>
              <w:keepLines/>
              <w:rPr>
                <w:rFonts w:ascii="Arial Narrow" w:hAnsi="Arial Narrow"/>
                <w:sz w:val="20"/>
                <w:szCs w:val="20"/>
                <w:lang w:val="en-AU"/>
              </w:rPr>
            </w:pPr>
          </w:p>
        </w:tc>
        <w:tc>
          <w:tcPr>
            <w:tcW w:w="1031" w:type="pct"/>
            <w:shd w:val="clear" w:color="auto" w:fill="B8CCE4"/>
          </w:tcPr>
          <w:p w14:paraId="612203FC"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1.30 (0.62, 2.66)</w:t>
            </w:r>
          </w:p>
        </w:tc>
        <w:tc>
          <w:tcPr>
            <w:tcW w:w="1019" w:type="pct"/>
            <w:shd w:val="clear" w:color="auto" w:fill="B8CCE4"/>
          </w:tcPr>
          <w:p w14:paraId="70FFC9E3"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0.01 (0.00, 0.02)</w:t>
            </w:r>
          </w:p>
        </w:tc>
      </w:tr>
      <w:tr w:rsidR="00546DBD" w:rsidRPr="00FA2AB8" w14:paraId="5442E399" w14:textId="77777777" w:rsidTr="00AF29CF">
        <w:tc>
          <w:tcPr>
            <w:tcW w:w="5000" w:type="pct"/>
            <w:gridSpan w:val="5"/>
            <w:shd w:val="clear" w:color="auto" w:fill="B8CCE4"/>
          </w:tcPr>
          <w:p w14:paraId="7C93FC4C" w14:textId="77777777" w:rsidR="00546DBD" w:rsidRPr="00FA2AB8" w:rsidRDefault="00546DBD">
            <w:pPr>
              <w:pStyle w:val="TableCentre"/>
              <w:keepNext/>
              <w:keepLines/>
              <w:jc w:val="left"/>
              <w:rPr>
                <w:rFonts w:ascii="Arial Narrow" w:hAnsi="Arial Narrow"/>
                <w:b/>
                <w:bCs/>
                <w:sz w:val="20"/>
                <w:szCs w:val="20"/>
                <w:lang w:val="en-AU"/>
              </w:rPr>
            </w:pPr>
            <w:r w:rsidRPr="00FA2AB8">
              <w:rPr>
                <w:rFonts w:ascii="Arial Narrow" w:hAnsi="Arial Narrow"/>
                <w:b/>
                <w:bCs/>
                <w:sz w:val="20"/>
                <w:szCs w:val="20"/>
                <w:lang w:val="en-AU"/>
              </w:rPr>
              <w:t>DUPI 300 mg Q2W vs placebo</w:t>
            </w:r>
          </w:p>
        </w:tc>
      </w:tr>
      <w:tr w:rsidR="00546DBD" w:rsidRPr="00FA2AB8" w14:paraId="420F1A62" w14:textId="77777777" w:rsidTr="00AF29CF">
        <w:tc>
          <w:tcPr>
            <w:tcW w:w="1114" w:type="pct"/>
            <w:shd w:val="clear" w:color="auto" w:fill="B8CCE4"/>
          </w:tcPr>
          <w:p w14:paraId="25224551"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CAFÉ</w:t>
            </w:r>
          </w:p>
        </w:tc>
        <w:tc>
          <w:tcPr>
            <w:tcW w:w="918" w:type="pct"/>
            <w:shd w:val="clear" w:color="auto" w:fill="B8CCE4"/>
          </w:tcPr>
          <w:p w14:paraId="2EC9FB02"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0/107</w:t>
            </w:r>
          </w:p>
        </w:tc>
        <w:tc>
          <w:tcPr>
            <w:tcW w:w="918" w:type="pct"/>
            <w:shd w:val="clear" w:color="auto" w:fill="B8CCE4"/>
          </w:tcPr>
          <w:p w14:paraId="15AF599D"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1/108 (0.9)</w:t>
            </w:r>
          </w:p>
        </w:tc>
        <w:tc>
          <w:tcPr>
            <w:tcW w:w="1031" w:type="pct"/>
            <w:shd w:val="clear" w:color="auto" w:fill="B8CCE4"/>
          </w:tcPr>
          <w:p w14:paraId="030DA65E" w14:textId="77777777" w:rsidR="00546DBD" w:rsidRPr="00FA2AB8" w:rsidRDefault="00546DBD">
            <w:pPr>
              <w:pStyle w:val="TableCentre"/>
              <w:keepNext/>
              <w:keepLines/>
              <w:rPr>
                <w:rFonts w:ascii="Arial Narrow" w:hAnsi="Arial Narrow"/>
                <w:sz w:val="20"/>
                <w:szCs w:val="20"/>
                <w:lang w:val="en-AU"/>
              </w:rPr>
            </w:pPr>
          </w:p>
        </w:tc>
        <w:tc>
          <w:tcPr>
            <w:tcW w:w="1019" w:type="pct"/>
            <w:shd w:val="clear" w:color="auto" w:fill="B8CCE4"/>
          </w:tcPr>
          <w:p w14:paraId="3DB41ED1"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-0.01 (-0.03, 0.01)</w:t>
            </w:r>
          </w:p>
        </w:tc>
      </w:tr>
      <w:tr w:rsidR="00546DBD" w:rsidRPr="00FA2AB8" w14:paraId="42134614" w14:textId="77777777" w:rsidTr="00AF29CF">
        <w:tc>
          <w:tcPr>
            <w:tcW w:w="1114" w:type="pct"/>
            <w:shd w:val="clear" w:color="auto" w:fill="B8CCE4"/>
          </w:tcPr>
          <w:p w14:paraId="58740601"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CHRONOS</w:t>
            </w:r>
          </w:p>
        </w:tc>
        <w:tc>
          <w:tcPr>
            <w:tcW w:w="918" w:type="pct"/>
            <w:shd w:val="clear" w:color="auto" w:fill="B8CCE4"/>
          </w:tcPr>
          <w:p w14:paraId="76173D7C"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2/110 (1.8)</w:t>
            </w:r>
          </w:p>
        </w:tc>
        <w:tc>
          <w:tcPr>
            <w:tcW w:w="918" w:type="pct"/>
            <w:shd w:val="clear" w:color="auto" w:fill="B8CCE4"/>
          </w:tcPr>
          <w:p w14:paraId="749EB82D"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24/315 (7.6)</w:t>
            </w:r>
          </w:p>
        </w:tc>
        <w:tc>
          <w:tcPr>
            <w:tcW w:w="1031" w:type="pct"/>
            <w:shd w:val="clear" w:color="auto" w:fill="B8CCE4"/>
          </w:tcPr>
          <w:p w14:paraId="080C998D"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0.24 (0.06, 0.99)</w:t>
            </w:r>
          </w:p>
        </w:tc>
        <w:tc>
          <w:tcPr>
            <w:tcW w:w="1019" w:type="pct"/>
            <w:shd w:val="clear" w:color="auto" w:fill="B8CCE4"/>
          </w:tcPr>
          <w:p w14:paraId="666B6BCB" w14:textId="77777777" w:rsidR="00546DBD" w:rsidRPr="00FA2AB8" w:rsidRDefault="00546DBD">
            <w:pPr>
              <w:keepNext/>
              <w:keepLines/>
              <w:jc w:val="center"/>
              <w:rPr>
                <w:rFonts w:ascii="Arial Narrow" w:hAnsi="Arial Narrow"/>
                <w:b/>
                <w:bCs/>
                <w:sz w:val="20"/>
                <w:szCs w:val="20"/>
                <w:lang w:val="en-AU"/>
              </w:rPr>
            </w:pPr>
            <w:r w:rsidRPr="00FA2AB8">
              <w:rPr>
                <w:rFonts w:ascii="Arial Narrow" w:hAnsi="Arial Narrow"/>
                <w:b/>
                <w:bCs/>
                <w:sz w:val="20"/>
                <w:szCs w:val="20"/>
              </w:rPr>
              <w:t>-0.06 (-0.10, -0.02)</w:t>
            </w:r>
          </w:p>
        </w:tc>
      </w:tr>
      <w:tr w:rsidR="00546DBD" w:rsidRPr="00FA2AB8" w14:paraId="2094FFF0" w14:textId="77777777" w:rsidTr="00AF29CF">
        <w:tc>
          <w:tcPr>
            <w:tcW w:w="1114" w:type="pct"/>
            <w:shd w:val="clear" w:color="auto" w:fill="B8CCE4"/>
          </w:tcPr>
          <w:p w14:paraId="7874465A"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JADE COMPARE</w:t>
            </w:r>
          </w:p>
        </w:tc>
        <w:tc>
          <w:tcPr>
            <w:tcW w:w="918" w:type="pct"/>
            <w:shd w:val="clear" w:color="auto" w:fill="B8CCE4"/>
          </w:tcPr>
          <w:p w14:paraId="1FBBE9C7"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 xml:space="preserve">8/242 (3.3) </w:t>
            </w:r>
          </w:p>
        </w:tc>
        <w:tc>
          <w:tcPr>
            <w:tcW w:w="918" w:type="pct"/>
            <w:shd w:val="clear" w:color="auto" w:fill="B8CCE4"/>
          </w:tcPr>
          <w:p w14:paraId="07042D2C" w14:textId="77777777" w:rsidR="00546DBD" w:rsidRPr="00FA2AB8" w:rsidRDefault="00546DBD">
            <w:pPr>
              <w:pStyle w:val="TableCentre"/>
              <w:keepNext/>
              <w:keepLines/>
              <w:rPr>
                <w:rFonts w:ascii="Arial Narrow" w:hAnsi="Arial Narrow"/>
                <w:sz w:val="20"/>
                <w:szCs w:val="20"/>
                <w:lang w:val="en-AU"/>
              </w:rPr>
            </w:pPr>
            <w:r w:rsidRPr="00FA2AB8">
              <w:rPr>
                <w:rFonts w:ascii="Arial Narrow" w:hAnsi="Arial Narrow"/>
                <w:sz w:val="20"/>
                <w:szCs w:val="20"/>
                <w:lang w:val="en-AU"/>
              </w:rPr>
              <w:t>5 /131(3.8)</w:t>
            </w:r>
          </w:p>
        </w:tc>
        <w:tc>
          <w:tcPr>
            <w:tcW w:w="1031" w:type="pct"/>
            <w:shd w:val="clear" w:color="auto" w:fill="B8CCE4"/>
          </w:tcPr>
          <w:p w14:paraId="4645951A"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0.87 (0.29, 2.59)</w:t>
            </w:r>
          </w:p>
        </w:tc>
        <w:tc>
          <w:tcPr>
            <w:tcW w:w="1019" w:type="pct"/>
            <w:shd w:val="clear" w:color="auto" w:fill="B8CCE4"/>
          </w:tcPr>
          <w:p w14:paraId="7675CF0C"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-0.01 (-0.05, 0.04)</w:t>
            </w:r>
          </w:p>
        </w:tc>
      </w:tr>
      <w:tr w:rsidR="00546DBD" w:rsidRPr="00FA2AB8" w14:paraId="573CBE14" w14:textId="77777777" w:rsidTr="00AF29CF">
        <w:tc>
          <w:tcPr>
            <w:tcW w:w="1114" w:type="pct"/>
            <w:shd w:val="clear" w:color="auto" w:fill="B8CCE4"/>
          </w:tcPr>
          <w:p w14:paraId="0F2B6857" w14:textId="77777777" w:rsidR="00546DBD" w:rsidRPr="00FA2AB8" w:rsidRDefault="00546DBD">
            <w:pPr>
              <w:pStyle w:val="TableLeft"/>
              <w:keepNext/>
              <w:keepLines/>
              <w:rPr>
                <w:rFonts w:ascii="Arial Narrow" w:hAnsi="Arial Narrow"/>
                <w:sz w:val="20"/>
                <w:szCs w:val="20"/>
                <w:lang w:val="en-AU"/>
              </w:rPr>
            </w:pPr>
            <w:r w:rsidRPr="00FA2AB8">
              <w:rPr>
                <w:rFonts w:ascii="Arial Narrow" w:hAnsi="Arial Narrow"/>
                <w:sz w:val="20"/>
                <w:szCs w:val="20"/>
                <w:lang w:val="en-AU"/>
              </w:rPr>
              <w:t>Pooled (REM)</w:t>
            </w:r>
          </w:p>
        </w:tc>
        <w:tc>
          <w:tcPr>
            <w:tcW w:w="918" w:type="pct"/>
            <w:shd w:val="clear" w:color="auto" w:fill="B8CCE4"/>
          </w:tcPr>
          <w:p w14:paraId="0F4E9665" w14:textId="77777777" w:rsidR="00546DBD" w:rsidRPr="00FA2AB8" w:rsidRDefault="00546DBD">
            <w:pPr>
              <w:pStyle w:val="TableCentre"/>
              <w:keepNext/>
              <w:keepLines/>
              <w:rPr>
                <w:rFonts w:ascii="Arial Narrow" w:hAnsi="Arial Narrow"/>
                <w:sz w:val="20"/>
                <w:szCs w:val="20"/>
                <w:lang w:val="en-AU"/>
              </w:rPr>
            </w:pPr>
          </w:p>
        </w:tc>
        <w:tc>
          <w:tcPr>
            <w:tcW w:w="918" w:type="pct"/>
            <w:shd w:val="clear" w:color="auto" w:fill="B8CCE4"/>
          </w:tcPr>
          <w:p w14:paraId="54EC4A6D" w14:textId="77777777" w:rsidR="00546DBD" w:rsidRPr="00FA2AB8" w:rsidRDefault="00546DBD">
            <w:pPr>
              <w:pStyle w:val="TableCentre"/>
              <w:keepNext/>
              <w:keepLines/>
              <w:rPr>
                <w:rFonts w:ascii="Arial Narrow" w:hAnsi="Arial Narrow"/>
                <w:sz w:val="20"/>
                <w:szCs w:val="20"/>
                <w:lang w:val="en-AU"/>
              </w:rPr>
            </w:pPr>
          </w:p>
        </w:tc>
        <w:tc>
          <w:tcPr>
            <w:tcW w:w="1031" w:type="pct"/>
            <w:shd w:val="clear" w:color="auto" w:fill="B8CCE4"/>
          </w:tcPr>
          <w:p w14:paraId="07F0181C"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0.51 (0.21, 1.25)</w:t>
            </w:r>
          </w:p>
        </w:tc>
        <w:tc>
          <w:tcPr>
            <w:tcW w:w="1019" w:type="pct"/>
            <w:shd w:val="clear" w:color="auto" w:fill="B8CCE4"/>
          </w:tcPr>
          <w:p w14:paraId="20D99BDA"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-0.02 (-0.06, 0.01)</w:t>
            </w:r>
          </w:p>
        </w:tc>
      </w:tr>
      <w:tr w:rsidR="00546DBD" w:rsidRPr="00FA2AB8" w14:paraId="66417AF9" w14:textId="77777777" w:rsidTr="00AF29CF">
        <w:tc>
          <w:tcPr>
            <w:tcW w:w="5000" w:type="pct"/>
            <w:gridSpan w:val="5"/>
            <w:shd w:val="clear" w:color="auto" w:fill="B8CCE4"/>
          </w:tcPr>
          <w:p w14:paraId="5054F4D5" w14:textId="77777777" w:rsidR="00546DBD" w:rsidRPr="00FA2AB8" w:rsidRDefault="00546DBD">
            <w:pPr>
              <w:keepNext/>
              <w:keepLines/>
              <w:rPr>
                <w:rFonts w:ascii="Arial Narrow" w:hAnsi="Arial Narrow"/>
                <w:b/>
                <w:bCs/>
                <w:sz w:val="20"/>
                <w:szCs w:val="20"/>
                <w:lang w:val="en-AU"/>
              </w:rPr>
            </w:pPr>
            <w:r w:rsidRPr="00FA2AB8">
              <w:rPr>
                <w:rFonts w:ascii="Arial Narrow" w:hAnsi="Arial Narrow"/>
                <w:b/>
                <w:bCs/>
                <w:sz w:val="20"/>
                <w:szCs w:val="20"/>
              </w:rPr>
              <w:t>Indirect comparison</w:t>
            </w:r>
          </w:p>
        </w:tc>
      </w:tr>
      <w:tr w:rsidR="00546DBD" w:rsidRPr="00FA2AB8" w14:paraId="12FDDF9D" w14:textId="77777777" w:rsidTr="00AF29CF">
        <w:tc>
          <w:tcPr>
            <w:tcW w:w="2949" w:type="pct"/>
            <w:gridSpan w:val="3"/>
            <w:shd w:val="clear" w:color="auto" w:fill="B8CCE4"/>
          </w:tcPr>
          <w:p w14:paraId="79179C5D" w14:textId="77777777" w:rsidR="00546DBD" w:rsidRPr="00FA2AB8" w:rsidRDefault="00546DBD">
            <w:pPr>
              <w:pStyle w:val="TableCentre"/>
              <w:keepNext/>
              <w:keepLines/>
              <w:jc w:val="both"/>
              <w:rPr>
                <w:rFonts w:ascii="Arial Narrow" w:hAnsi="Arial Narrow"/>
                <w:sz w:val="20"/>
                <w:szCs w:val="20"/>
                <w:lang w:val="en-AU"/>
              </w:rPr>
            </w:pPr>
            <w:r w:rsidRPr="00FA2AB8">
              <w:rPr>
                <w:rFonts w:ascii="Arial Narrow" w:hAnsi="Arial Narrow"/>
                <w:sz w:val="20"/>
                <w:szCs w:val="20"/>
                <w:lang w:val="en-AU"/>
              </w:rPr>
              <w:t>NEMO 30 mg Q4W (pooled) vs DUPI 300 mg Q2W (pooled)</w:t>
            </w:r>
          </w:p>
        </w:tc>
        <w:tc>
          <w:tcPr>
            <w:tcW w:w="1031" w:type="pct"/>
            <w:shd w:val="clear" w:color="auto" w:fill="B8CCE4"/>
          </w:tcPr>
          <w:p w14:paraId="19D689EF"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2.53 (0.80, 8.00)</w:t>
            </w:r>
          </w:p>
        </w:tc>
        <w:tc>
          <w:tcPr>
            <w:tcW w:w="1019" w:type="pct"/>
            <w:shd w:val="clear" w:color="auto" w:fill="B8CCE4"/>
          </w:tcPr>
          <w:p w14:paraId="567649E6" w14:textId="77777777" w:rsidR="00546DBD" w:rsidRPr="00FA2AB8" w:rsidRDefault="00546DBD">
            <w:pPr>
              <w:keepNext/>
              <w:keepLines/>
              <w:jc w:val="center"/>
              <w:rPr>
                <w:rFonts w:ascii="Arial Narrow" w:hAnsi="Arial Narrow"/>
                <w:sz w:val="20"/>
                <w:szCs w:val="20"/>
                <w:lang w:val="en-AU"/>
              </w:rPr>
            </w:pPr>
            <w:r w:rsidRPr="00FA2AB8">
              <w:rPr>
                <w:rFonts w:ascii="Arial Narrow" w:hAnsi="Arial Narrow"/>
                <w:sz w:val="20"/>
                <w:szCs w:val="20"/>
                <w:lang w:val="en-AU"/>
              </w:rPr>
              <w:t>0.03 (-0.00, 0.06)</w:t>
            </w:r>
          </w:p>
        </w:tc>
      </w:tr>
    </w:tbl>
    <w:p w14:paraId="30784275" w14:textId="77777777" w:rsidR="00546DBD" w:rsidRPr="00CF7CEA" w:rsidRDefault="00546DBD" w:rsidP="00945471">
      <w:pPr>
        <w:pStyle w:val="TableFigureFooter"/>
        <w:rPr>
          <w:i/>
          <w:iCs/>
          <w:sz w:val="20"/>
        </w:rPr>
      </w:pPr>
      <w:r w:rsidRPr="00CF7CEA">
        <w:t>Source: Table 2-88, p 215 of the previous submission.</w:t>
      </w:r>
    </w:p>
    <w:p w14:paraId="109A53BB" w14:textId="77777777" w:rsidR="00546DBD" w:rsidRPr="00CF7CEA" w:rsidRDefault="00546DBD" w:rsidP="00945471">
      <w:pPr>
        <w:pStyle w:val="TableFigureFooter"/>
        <w:rPr>
          <w:i/>
          <w:iCs/>
        </w:rPr>
      </w:pPr>
      <w:r w:rsidRPr="00CF7CEA">
        <w:t>CI = confidence interval; DUPI = dupilumab; ITC = indirect treatment comparison; Q2W = every 2 weeks; Q4W = every 4 weeks; RD = risk difference; REM = random effects model; RR = relative risk; TEAEs = treatment emergent adverse events</w:t>
      </w:r>
    </w:p>
    <w:p w14:paraId="0B8ADC84" w14:textId="77777777" w:rsidR="00546DBD" w:rsidRPr="00CF7CEA" w:rsidRDefault="00546DBD" w:rsidP="00945471">
      <w:pPr>
        <w:pStyle w:val="TableFigureFooter"/>
        <w:rPr>
          <w:i/>
          <w:iCs/>
        </w:rPr>
      </w:pPr>
      <w:r w:rsidRPr="00CF7CEA">
        <w:rPr>
          <w:vertAlign w:val="superscript"/>
        </w:rPr>
        <w:t xml:space="preserve">a </w:t>
      </w:r>
      <w:r w:rsidRPr="00CF7CEA">
        <w:t xml:space="preserve">Treatment exposure was 16 weeks for ARCADIA 1, ARCADIA 2, ARCADIA CYCLO, CAFÉ and COMPARE, 24 weeks for Study 114322, and 52 weeks for CHRONOS </w:t>
      </w:r>
    </w:p>
    <w:p w14:paraId="693A748A" w14:textId="77777777" w:rsidR="00546DBD" w:rsidRPr="00FA2AB8" w:rsidRDefault="00546DBD" w:rsidP="00945471">
      <w:pPr>
        <w:pStyle w:val="TableFigureFooter"/>
      </w:pPr>
      <w:r w:rsidRPr="00FA2AB8">
        <w:rPr>
          <w:rStyle w:val="CommentReference"/>
          <w:b w:val="0"/>
          <w:bCs/>
          <w:sz w:val="18"/>
          <w:szCs w:val="18"/>
          <w:shd w:val="clear" w:color="auto" w:fill="B8CCE4" w:themeFill="accent1" w:themeFillTint="66"/>
        </w:rPr>
        <w:t>Blue shading</w:t>
      </w:r>
      <w:r w:rsidRPr="00FA2AB8">
        <w:rPr>
          <w:rStyle w:val="CommentReference"/>
          <w:b w:val="0"/>
          <w:bCs/>
          <w:sz w:val="18"/>
          <w:szCs w:val="18"/>
        </w:rPr>
        <w:t xml:space="preserve"> indicates data previously seen by the PBAC</w:t>
      </w:r>
    </w:p>
    <w:p w14:paraId="0295C201" w14:textId="77777777" w:rsidR="00546DBD" w:rsidRPr="00FA2AB8" w:rsidRDefault="00546DBD" w:rsidP="00546DBD">
      <w:pPr>
        <w:pStyle w:val="FooterTableFigure"/>
        <w:rPr>
          <w:rFonts w:eastAsia="Calibri"/>
        </w:rPr>
      </w:pPr>
    </w:p>
    <w:p w14:paraId="46405B1B" w14:textId="77777777" w:rsidR="00546DBD" w:rsidRPr="00FA2AB8" w:rsidRDefault="00546DBD" w:rsidP="00546DBD">
      <w:pPr>
        <w:pStyle w:val="FooterTableFigure"/>
      </w:pPr>
    </w:p>
    <w:p w14:paraId="2DF4043D" w14:textId="77777777" w:rsidR="00546DBD" w:rsidRPr="00FA2AB8" w:rsidRDefault="00546DBD" w:rsidP="004D74DA">
      <w:pPr>
        <w:pStyle w:val="4-SubsectionHeading"/>
      </w:pPr>
      <w:bookmarkStart w:id="51" w:name="_Toc22897643"/>
      <w:bookmarkStart w:id="52" w:name="_Toc202884177"/>
      <w:bookmarkStart w:id="53" w:name="_Toc216710462"/>
      <w:r w:rsidRPr="00FA2AB8">
        <w:t>Benefits/harms</w:t>
      </w:r>
      <w:bookmarkEnd w:id="51"/>
      <w:bookmarkEnd w:id="52"/>
      <w:bookmarkEnd w:id="53"/>
    </w:p>
    <w:p w14:paraId="05535215" w14:textId="0BCE7121" w:rsidR="00546DBD" w:rsidRPr="00FA2AB8" w:rsidRDefault="00546DBD" w:rsidP="00F24DC5">
      <w:pPr>
        <w:pStyle w:val="3-BodyText"/>
        <w:spacing w:before="160" w:after="160"/>
      </w:pPr>
      <w:r w:rsidRPr="00FA2AB8">
        <w:t xml:space="preserve">A benefits and harms table is not presented as the </w:t>
      </w:r>
      <w:r w:rsidR="008C3F5C">
        <w:t>re</w:t>
      </w:r>
      <w:r w:rsidRPr="00FA2AB8">
        <w:t xml:space="preserve">submission made a claim of non-inferiority. </w:t>
      </w:r>
    </w:p>
    <w:p w14:paraId="6880B2C3" w14:textId="77777777" w:rsidR="00546DBD" w:rsidRPr="00FA2AB8" w:rsidRDefault="00546DBD" w:rsidP="004D74DA">
      <w:pPr>
        <w:pStyle w:val="4-SubsectionHeading"/>
      </w:pPr>
      <w:bookmarkStart w:id="54" w:name="_Toc22897644"/>
      <w:bookmarkStart w:id="55" w:name="_Toc202884178"/>
      <w:bookmarkStart w:id="56" w:name="_Toc216710463"/>
      <w:r w:rsidRPr="00FA2AB8">
        <w:t>Clinical claim</w:t>
      </w:r>
      <w:bookmarkEnd w:id="54"/>
      <w:bookmarkEnd w:id="55"/>
      <w:bookmarkEnd w:id="56"/>
    </w:p>
    <w:p w14:paraId="2C56D974" w14:textId="0BA435B0" w:rsidR="00546DBD" w:rsidRPr="00730FFE" w:rsidRDefault="00546DBD" w:rsidP="00F24DC5">
      <w:pPr>
        <w:pStyle w:val="3-BodyText"/>
        <w:spacing w:before="160" w:after="160"/>
        <w:rPr>
          <w:rFonts w:eastAsia="Calibri"/>
        </w:rPr>
      </w:pPr>
      <w:r w:rsidRPr="00730FFE">
        <w:rPr>
          <w:rFonts w:eastAsia="Calibri"/>
        </w:rPr>
        <w:t xml:space="preserve">The resubmission described NEMO as non-inferior in terms of effectiveness compared to DUPI. In the previous submission, the ITCs used to support the claim of non-inferior efficacy had several transitivity issues </w:t>
      </w:r>
      <w:r w:rsidR="00430578" w:rsidRPr="00730FFE">
        <w:rPr>
          <w:rFonts w:eastAsia="Calibri"/>
        </w:rPr>
        <w:t>and</w:t>
      </w:r>
      <w:r w:rsidRPr="00730FFE">
        <w:rPr>
          <w:rFonts w:eastAsia="Calibri"/>
        </w:rPr>
        <w:t xml:space="preserve"> indicated that NEMO may have inferior efficacy when compared to DUPI. The resubmission presented data that included patients who underwent an extended induction period with NEMO </w:t>
      </w:r>
      <w:r w:rsidR="0018468F">
        <w:rPr>
          <w:rFonts w:eastAsia="Calibri"/>
        </w:rPr>
        <w:t>if they had</w:t>
      </w:r>
      <w:r w:rsidR="0018468F" w:rsidRPr="00730FFE">
        <w:rPr>
          <w:rFonts w:eastAsia="Calibri"/>
        </w:rPr>
        <w:t xml:space="preserve"> </w:t>
      </w:r>
      <w:r w:rsidRPr="00730FFE">
        <w:rPr>
          <w:rFonts w:eastAsia="Calibri"/>
        </w:rPr>
        <w:t xml:space="preserve">an </w:t>
      </w:r>
      <w:r w:rsidR="00C30E6E" w:rsidRPr="00730FFE">
        <w:rPr>
          <w:rFonts w:eastAsia="Calibri"/>
        </w:rPr>
        <w:t>in</w:t>
      </w:r>
      <w:r w:rsidRPr="00730FFE">
        <w:rPr>
          <w:rFonts w:eastAsia="Calibri"/>
        </w:rPr>
        <w:t xml:space="preserve">adequate </w:t>
      </w:r>
      <w:r w:rsidR="00C30E6E" w:rsidRPr="00730FFE">
        <w:rPr>
          <w:rFonts w:eastAsia="Calibri"/>
        </w:rPr>
        <w:t xml:space="preserve">treatment </w:t>
      </w:r>
      <w:r w:rsidRPr="00730FFE">
        <w:rPr>
          <w:rFonts w:eastAsia="Calibri"/>
        </w:rPr>
        <w:t xml:space="preserve">response at </w:t>
      </w:r>
      <w:r w:rsidR="00456A2E" w:rsidRPr="00730FFE">
        <w:rPr>
          <w:rFonts w:eastAsia="Calibri"/>
        </w:rPr>
        <w:t xml:space="preserve">Week </w:t>
      </w:r>
      <w:r w:rsidRPr="00730FFE">
        <w:rPr>
          <w:rFonts w:eastAsia="Calibri"/>
        </w:rPr>
        <w:t>16</w:t>
      </w:r>
      <w:r w:rsidR="00CD65F9" w:rsidRPr="00730FFE">
        <w:rPr>
          <w:rFonts w:eastAsia="Calibri"/>
        </w:rPr>
        <w:t xml:space="preserve"> and included this in updated ITCs</w:t>
      </w:r>
      <w:r w:rsidRPr="00730FFE">
        <w:rPr>
          <w:rFonts w:eastAsia="Calibri"/>
        </w:rPr>
        <w:t xml:space="preserve">. This evidence </w:t>
      </w:r>
      <w:r w:rsidR="00136F23" w:rsidRPr="00730FFE">
        <w:rPr>
          <w:rFonts w:eastAsia="Calibri"/>
        </w:rPr>
        <w:t>demonstrated</w:t>
      </w:r>
      <w:r w:rsidRPr="00730FFE">
        <w:rPr>
          <w:rFonts w:eastAsia="Calibri"/>
        </w:rPr>
        <w:t xml:space="preserve"> that an extended induction period resulted in more patients achieving an adequate response and that the total number of responders was </w:t>
      </w:r>
      <w:proofErr w:type="gramStart"/>
      <w:r w:rsidRPr="00730FFE">
        <w:rPr>
          <w:rFonts w:eastAsia="Calibri"/>
        </w:rPr>
        <w:t>similar to</w:t>
      </w:r>
      <w:proofErr w:type="gramEnd"/>
      <w:r w:rsidRPr="00730FFE">
        <w:rPr>
          <w:rFonts w:eastAsia="Calibri"/>
        </w:rPr>
        <w:t xml:space="preserve"> what is seen with DUPI at 16 weeks. </w:t>
      </w:r>
      <w:r w:rsidR="00456A2E" w:rsidRPr="00730FFE">
        <w:rPr>
          <w:rFonts w:eastAsia="Calibri"/>
        </w:rPr>
        <w:t>However</w:t>
      </w:r>
      <w:r w:rsidR="00CD65F9" w:rsidRPr="00730FFE">
        <w:rPr>
          <w:rFonts w:eastAsia="Calibri"/>
        </w:rPr>
        <w:t xml:space="preserve">, </w:t>
      </w:r>
      <w:r w:rsidR="00136F23" w:rsidRPr="00730FFE">
        <w:rPr>
          <w:rFonts w:eastAsia="Calibri"/>
        </w:rPr>
        <w:t xml:space="preserve">the ESC noted that </w:t>
      </w:r>
      <w:r w:rsidR="00CD65F9" w:rsidRPr="00730FFE">
        <w:rPr>
          <w:rFonts w:eastAsia="Calibri"/>
        </w:rPr>
        <w:t xml:space="preserve">there </w:t>
      </w:r>
      <w:r w:rsidR="00136F23" w:rsidRPr="00730FFE">
        <w:rPr>
          <w:rFonts w:eastAsia="Calibri"/>
        </w:rPr>
        <w:t xml:space="preserve">were </w:t>
      </w:r>
      <w:r w:rsidR="00CD65F9" w:rsidRPr="00730FFE">
        <w:rPr>
          <w:rFonts w:eastAsia="Calibri"/>
        </w:rPr>
        <w:t xml:space="preserve">several </w:t>
      </w:r>
      <w:r w:rsidR="00E76E14" w:rsidRPr="00730FFE">
        <w:rPr>
          <w:rFonts w:eastAsia="Calibri"/>
        </w:rPr>
        <w:t xml:space="preserve">issues </w:t>
      </w:r>
      <w:r w:rsidR="00CD65F9" w:rsidRPr="00730FFE">
        <w:rPr>
          <w:rFonts w:eastAsia="Calibri"/>
        </w:rPr>
        <w:t xml:space="preserve">with the </w:t>
      </w:r>
      <w:r w:rsidR="00B4510A" w:rsidRPr="00730FFE">
        <w:rPr>
          <w:rFonts w:eastAsia="Calibri"/>
        </w:rPr>
        <w:t xml:space="preserve">analyses </w:t>
      </w:r>
      <w:r w:rsidR="00CD65F9" w:rsidRPr="00730FFE">
        <w:rPr>
          <w:rFonts w:eastAsia="Calibri"/>
        </w:rPr>
        <w:t>that impact</w:t>
      </w:r>
      <w:r w:rsidR="00136F23" w:rsidRPr="00730FFE">
        <w:rPr>
          <w:rFonts w:eastAsia="Calibri"/>
        </w:rPr>
        <w:t>ed</w:t>
      </w:r>
      <w:r w:rsidR="00CD65F9" w:rsidRPr="00730FFE">
        <w:rPr>
          <w:rFonts w:eastAsia="Calibri"/>
        </w:rPr>
        <w:t xml:space="preserve"> the </w:t>
      </w:r>
      <w:r w:rsidR="00456A2E" w:rsidRPr="00730FFE">
        <w:rPr>
          <w:rFonts w:eastAsia="Calibri"/>
        </w:rPr>
        <w:t>rel</w:t>
      </w:r>
      <w:r w:rsidR="00143993" w:rsidRPr="00730FFE">
        <w:rPr>
          <w:rFonts w:eastAsia="Calibri"/>
        </w:rPr>
        <w:t>iability</w:t>
      </w:r>
      <w:r w:rsidR="00456A2E" w:rsidRPr="00730FFE">
        <w:rPr>
          <w:rFonts w:eastAsia="Calibri"/>
        </w:rPr>
        <w:t xml:space="preserve"> </w:t>
      </w:r>
      <w:r w:rsidR="00CD65F9" w:rsidRPr="00730FFE">
        <w:rPr>
          <w:rFonts w:eastAsia="Calibri"/>
        </w:rPr>
        <w:t>of the ITC results</w:t>
      </w:r>
      <w:r w:rsidR="00136F23" w:rsidRPr="00730FFE">
        <w:rPr>
          <w:rFonts w:eastAsia="Calibri"/>
        </w:rPr>
        <w:t xml:space="preserve"> and considered that the claim of non-inferior effectiveness was not </w:t>
      </w:r>
      <w:r w:rsidR="00FA6B3E" w:rsidRPr="00730FFE">
        <w:rPr>
          <w:rFonts w:eastAsia="Calibri"/>
        </w:rPr>
        <w:t xml:space="preserve">adequately </w:t>
      </w:r>
      <w:r w:rsidR="00136F23" w:rsidRPr="00730FFE">
        <w:rPr>
          <w:rFonts w:eastAsia="Calibri"/>
        </w:rPr>
        <w:t>supported</w:t>
      </w:r>
      <w:r w:rsidR="00CD65F9" w:rsidRPr="00730FFE">
        <w:rPr>
          <w:rFonts w:eastAsia="Calibri"/>
        </w:rPr>
        <w:t xml:space="preserve">. </w:t>
      </w:r>
      <w:r w:rsidR="00CD65F9" w:rsidRPr="00730FFE">
        <w:t xml:space="preserve">The data included from the ARCADIA LTE was single arm, open-label, and based on a subgroup determined </w:t>
      </w:r>
      <w:r w:rsidR="00CD65F9" w:rsidRPr="002E18ED">
        <w:rPr>
          <w:i/>
          <w:iCs/>
        </w:rPr>
        <w:t>post-hoc</w:t>
      </w:r>
      <w:r w:rsidR="00CD65F9" w:rsidRPr="00730FFE">
        <w:t xml:space="preserve"> to consist of patients who did not respond at </w:t>
      </w:r>
      <w:r w:rsidR="00B07114" w:rsidRPr="00730FFE">
        <w:t xml:space="preserve">Week </w:t>
      </w:r>
      <w:r w:rsidR="00CD65F9" w:rsidRPr="00730FFE">
        <w:t>16</w:t>
      </w:r>
      <w:r w:rsidRPr="00730FFE">
        <w:t xml:space="preserve">. </w:t>
      </w:r>
      <w:r w:rsidR="00FA6B3E" w:rsidRPr="00730FFE">
        <w:t>T</w:t>
      </w:r>
      <w:r w:rsidR="00CD65F9" w:rsidRPr="00730FFE">
        <w:t xml:space="preserve">he </w:t>
      </w:r>
      <w:r w:rsidR="00EF43E2" w:rsidRPr="00730FFE">
        <w:t xml:space="preserve">ESC noted that the </w:t>
      </w:r>
      <w:r w:rsidR="00CD65F9" w:rsidRPr="00730FFE">
        <w:t>ARCADIA LTE results did show a sustained response with NEMO out to 104 weeks</w:t>
      </w:r>
      <w:r w:rsidR="00EF43E2" w:rsidRPr="00730FFE">
        <w:t>; however</w:t>
      </w:r>
      <w:r w:rsidR="00EE2907" w:rsidRPr="00730FFE">
        <w:t>,</w:t>
      </w:r>
      <w:r w:rsidR="00EF43E2" w:rsidRPr="00730FFE">
        <w:t xml:space="preserve"> the dose regimen did not align with that in the TGA PI (see paragraph </w:t>
      </w:r>
      <w:r w:rsidR="00EE2907" w:rsidRPr="00730FFE">
        <w:fldChar w:fldCharType="begin"/>
      </w:r>
      <w:r w:rsidR="00EE2907" w:rsidRPr="00730FFE">
        <w:instrText xml:space="preserve"> REF _Ref221102137 \r \h </w:instrText>
      </w:r>
      <w:r w:rsidR="00730FFE" w:rsidRPr="00730FFE">
        <w:instrText xml:space="preserve"> \* MERGEFORMAT </w:instrText>
      </w:r>
      <w:r w:rsidR="00EE2907" w:rsidRPr="00730FFE">
        <w:fldChar w:fldCharType="separate"/>
      </w:r>
      <w:r w:rsidR="00F67882">
        <w:t>6.13</w:t>
      </w:r>
      <w:r w:rsidR="00EE2907" w:rsidRPr="00730FFE">
        <w:fldChar w:fldCharType="end"/>
      </w:r>
      <w:r w:rsidR="00EE2907" w:rsidRPr="00730FFE">
        <w:t>)</w:t>
      </w:r>
      <w:r w:rsidR="00CD65F9" w:rsidRPr="00730FFE">
        <w:t>.</w:t>
      </w:r>
    </w:p>
    <w:p w14:paraId="7F613CD1" w14:textId="76057C69" w:rsidR="005F7588" w:rsidRPr="00526E4B" w:rsidRDefault="00546DBD" w:rsidP="00F24DC5">
      <w:pPr>
        <w:pStyle w:val="3-BodyText"/>
        <w:spacing w:before="160" w:after="160"/>
        <w:rPr>
          <w:rFonts w:eastAsia="Calibri"/>
        </w:rPr>
      </w:pPr>
      <w:r w:rsidRPr="00730FFE">
        <w:rPr>
          <w:rFonts w:eastAsia="Calibri"/>
        </w:rPr>
        <w:t xml:space="preserve">The </w:t>
      </w:r>
      <w:r w:rsidR="008C3F5C" w:rsidRPr="00730FFE">
        <w:rPr>
          <w:rFonts w:eastAsia="Calibri"/>
        </w:rPr>
        <w:t>re</w:t>
      </w:r>
      <w:r w:rsidRPr="00730FFE">
        <w:rPr>
          <w:rFonts w:eastAsia="Calibri"/>
        </w:rPr>
        <w:t>submission described NEMO as non-inferior in terms of safety compared to DUPI. Th</w:t>
      </w:r>
      <w:r w:rsidR="00FA6B3E" w:rsidRPr="00730FFE">
        <w:rPr>
          <w:rFonts w:eastAsia="Calibri"/>
        </w:rPr>
        <w:t>e</w:t>
      </w:r>
      <w:r w:rsidRPr="00730FFE">
        <w:rPr>
          <w:rFonts w:eastAsia="Calibri"/>
        </w:rPr>
        <w:t xml:space="preserve"> </w:t>
      </w:r>
      <w:r w:rsidR="00136F23" w:rsidRPr="00730FFE">
        <w:rPr>
          <w:rFonts w:eastAsia="Calibri"/>
        </w:rPr>
        <w:t xml:space="preserve">ESC considered that this </w:t>
      </w:r>
      <w:r w:rsidRPr="00730FFE">
        <w:rPr>
          <w:rFonts w:eastAsia="Calibri"/>
        </w:rPr>
        <w:t>claim was not adequately supported</w:t>
      </w:r>
      <w:r w:rsidR="00136F23" w:rsidRPr="00730FFE">
        <w:rPr>
          <w:rFonts w:eastAsia="Calibri"/>
        </w:rPr>
        <w:t xml:space="preserve"> as n</w:t>
      </w:r>
      <w:r w:rsidRPr="00730FFE">
        <w:rPr>
          <w:rFonts w:eastAsia="Calibri"/>
        </w:rPr>
        <w:t>o additional comparative data w</w:t>
      </w:r>
      <w:r w:rsidR="00C30E6E" w:rsidRPr="00730FFE">
        <w:rPr>
          <w:rFonts w:eastAsia="Calibri"/>
        </w:rPr>
        <w:t>ere</w:t>
      </w:r>
      <w:r w:rsidRPr="00730FFE">
        <w:rPr>
          <w:rFonts w:eastAsia="Calibri"/>
        </w:rPr>
        <w:t xml:space="preserve"> provided in the resubmission. Based on the data provided in the previous submission the PBAC </w:t>
      </w:r>
      <w:r w:rsidRPr="00730FFE">
        <w:rPr>
          <w:snapToGrid w:val="0"/>
          <w:szCs w:val="20"/>
        </w:rPr>
        <w:t>considered the claim of non-inferior comparative safety to be uncertain</w:t>
      </w:r>
      <w:r w:rsidR="00C30E6E" w:rsidRPr="00730FFE">
        <w:rPr>
          <w:snapToGrid w:val="0"/>
          <w:szCs w:val="20"/>
        </w:rPr>
        <w:t>,</w:t>
      </w:r>
      <w:r w:rsidRPr="00730FFE">
        <w:rPr>
          <w:snapToGrid w:val="0"/>
          <w:szCs w:val="20"/>
        </w:rPr>
        <w:t xml:space="preserve"> noting it was based on </w:t>
      </w:r>
      <w:r w:rsidR="00C30E6E" w:rsidRPr="00730FFE">
        <w:rPr>
          <w:snapToGrid w:val="0"/>
          <w:szCs w:val="20"/>
        </w:rPr>
        <w:t xml:space="preserve">unanchored </w:t>
      </w:r>
      <w:r w:rsidRPr="00730FFE">
        <w:rPr>
          <w:snapToGrid w:val="0"/>
          <w:szCs w:val="20"/>
        </w:rPr>
        <w:t xml:space="preserve">ITCs </w:t>
      </w:r>
      <w:r w:rsidRPr="00730FFE">
        <w:rPr>
          <w:snapToGrid w:val="0"/>
        </w:rPr>
        <w:t>which were statistically underpowered</w:t>
      </w:r>
      <w:r w:rsidRPr="00730FFE">
        <w:rPr>
          <w:snapToGrid w:val="0"/>
          <w:szCs w:val="20"/>
        </w:rPr>
        <w:t xml:space="preserve"> and </w:t>
      </w:r>
      <w:r w:rsidRPr="00730FFE">
        <w:rPr>
          <w:snapToGrid w:val="0"/>
        </w:rPr>
        <w:t>the selected safety outcomes in the ITCs</w:t>
      </w:r>
      <w:r w:rsidRPr="00730FFE">
        <w:rPr>
          <w:snapToGrid w:val="0"/>
          <w:szCs w:val="20"/>
        </w:rPr>
        <w:t xml:space="preserve"> did not capture individual AEs that may be important when comparing NEMO to DUPI (para</w:t>
      </w:r>
      <w:r w:rsidR="009A2969" w:rsidRPr="00730FFE">
        <w:rPr>
          <w:snapToGrid w:val="0"/>
          <w:szCs w:val="20"/>
        </w:rPr>
        <w:t>graph</w:t>
      </w:r>
      <w:r w:rsidRPr="00730FFE">
        <w:rPr>
          <w:snapToGrid w:val="0"/>
          <w:szCs w:val="20"/>
        </w:rPr>
        <w:t xml:space="preserve"> 6.48, nemolizumab PSD, July 2025</w:t>
      </w:r>
      <w:r w:rsidR="00763A53" w:rsidRPr="00730FFE">
        <w:rPr>
          <w:snapToGrid w:val="0"/>
          <w:szCs w:val="20"/>
        </w:rPr>
        <w:t xml:space="preserve"> PBAC meeting)</w:t>
      </w:r>
      <w:r w:rsidRPr="00730FFE">
        <w:rPr>
          <w:snapToGrid w:val="0"/>
          <w:szCs w:val="20"/>
        </w:rPr>
        <w:t xml:space="preserve">. The </w:t>
      </w:r>
      <w:r w:rsidR="008C3F5C" w:rsidRPr="00730FFE">
        <w:rPr>
          <w:snapToGrid w:val="0"/>
          <w:szCs w:val="20"/>
        </w:rPr>
        <w:t>re</w:t>
      </w:r>
      <w:r w:rsidRPr="00730FFE">
        <w:rPr>
          <w:snapToGrid w:val="0"/>
          <w:szCs w:val="20"/>
        </w:rPr>
        <w:t>submission present</w:t>
      </w:r>
      <w:r w:rsidR="00FF5B15">
        <w:rPr>
          <w:snapToGrid w:val="0"/>
          <w:szCs w:val="20"/>
        </w:rPr>
        <w:t>ed</w:t>
      </w:r>
      <w:r w:rsidRPr="00730FFE">
        <w:rPr>
          <w:snapToGrid w:val="0"/>
          <w:szCs w:val="20"/>
        </w:rPr>
        <w:t xml:space="preserve"> extended safety data for </w:t>
      </w:r>
      <w:r w:rsidR="00C30E6E" w:rsidRPr="00730FFE">
        <w:rPr>
          <w:snapToGrid w:val="0"/>
          <w:szCs w:val="20"/>
        </w:rPr>
        <w:t xml:space="preserve">patients receiving </w:t>
      </w:r>
      <w:r w:rsidRPr="00730FFE">
        <w:rPr>
          <w:snapToGrid w:val="0"/>
          <w:szCs w:val="20"/>
        </w:rPr>
        <w:t xml:space="preserve">NEMO </w:t>
      </w:r>
      <w:r w:rsidR="00C30E6E" w:rsidRPr="00730FFE">
        <w:rPr>
          <w:snapToGrid w:val="0"/>
          <w:szCs w:val="20"/>
        </w:rPr>
        <w:t>for up</w:t>
      </w:r>
      <w:r w:rsidRPr="00730FFE">
        <w:rPr>
          <w:snapToGrid w:val="0"/>
          <w:szCs w:val="20"/>
        </w:rPr>
        <w:t xml:space="preserve"> to 104 weeks. Th</w:t>
      </w:r>
      <w:r w:rsidR="00C30E6E" w:rsidRPr="00730FFE">
        <w:rPr>
          <w:snapToGrid w:val="0"/>
          <w:szCs w:val="20"/>
        </w:rPr>
        <w:t>ese</w:t>
      </w:r>
      <w:r w:rsidRPr="00730FFE">
        <w:rPr>
          <w:snapToGrid w:val="0"/>
          <w:szCs w:val="20"/>
        </w:rPr>
        <w:t xml:space="preserve"> </w:t>
      </w:r>
      <w:r w:rsidRPr="00526E4B">
        <w:rPr>
          <w:snapToGrid w:val="0"/>
          <w:szCs w:val="20"/>
        </w:rPr>
        <w:t>data showed a low level of TEAEs leading to discontinuation, indicating that longer term use of NEMO is well tolerated</w:t>
      </w:r>
      <w:r w:rsidR="007C70FF" w:rsidRPr="00526E4B">
        <w:rPr>
          <w:rFonts w:eastAsia="Calibri"/>
        </w:rPr>
        <w:t>.</w:t>
      </w:r>
    </w:p>
    <w:p w14:paraId="0599BEDD" w14:textId="4F47327A" w:rsidR="00400DB5" w:rsidRPr="00526E4B" w:rsidRDefault="00400DB5" w:rsidP="005C4F91">
      <w:pPr>
        <w:pStyle w:val="ListParagraph"/>
        <w:numPr>
          <w:ilvl w:val="1"/>
          <w:numId w:val="5"/>
        </w:numPr>
        <w:ind w:left="810" w:hanging="810"/>
        <w:jc w:val="both"/>
        <w:rPr>
          <w:szCs w:val="20"/>
          <w:lang w:eastAsia="en-US"/>
        </w:rPr>
      </w:pPr>
      <w:r w:rsidRPr="00526E4B">
        <w:rPr>
          <w:szCs w:val="20"/>
          <w:lang w:eastAsia="en-US"/>
        </w:rPr>
        <w:t>The PBAC considered that the claim of non-inferior comparative effectiveness was reasonable.</w:t>
      </w:r>
    </w:p>
    <w:p w14:paraId="76604CA3" w14:textId="3714E3EF" w:rsidR="00DB7A3E" w:rsidRPr="00526E4B" w:rsidRDefault="00A11796" w:rsidP="005C4F91">
      <w:pPr>
        <w:pStyle w:val="ListParagraph"/>
        <w:numPr>
          <w:ilvl w:val="1"/>
          <w:numId w:val="5"/>
        </w:numPr>
        <w:ind w:left="810" w:hanging="810"/>
        <w:jc w:val="both"/>
        <w:rPr>
          <w:szCs w:val="20"/>
          <w:lang w:eastAsia="en-US"/>
        </w:rPr>
      </w:pPr>
      <w:r w:rsidRPr="00526E4B">
        <w:rPr>
          <w:szCs w:val="20"/>
          <w:lang w:eastAsia="en-US"/>
        </w:rPr>
        <w:t>The PBAC considered that the claim of non-inferior comparative safety was reasonable.</w:t>
      </w:r>
    </w:p>
    <w:p w14:paraId="74A1172E" w14:textId="128C170E" w:rsidR="00B60939" w:rsidRPr="00FA2AB8" w:rsidRDefault="00B60939" w:rsidP="004D74DA">
      <w:pPr>
        <w:pStyle w:val="4-SubsectionHeading"/>
      </w:pPr>
      <w:bookmarkStart w:id="57" w:name="_Toc22897645"/>
      <w:bookmarkStart w:id="58" w:name="_Toc216710464"/>
      <w:r w:rsidRPr="00FA2AB8">
        <w:lastRenderedPageBreak/>
        <w:t>Economic analysis</w:t>
      </w:r>
      <w:bookmarkEnd w:id="57"/>
      <w:bookmarkEnd w:id="58"/>
      <w:r w:rsidR="00491B3A" w:rsidRPr="00FA2AB8">
        <w:t xml:space="preserve"> </w:t>
      </w:r>
    </w:p>
    <w:p w14:paraId="4EB5EBE7" w14:textId="3223C89E" w:rsidR="009E0D11" w:rsidRPr="00730FFE" w:rsidRDefault="009E0D11" w:rsidP="00F24DC5">
      <w:pPr>
        <w:pStyle w:val="3-BodyText"/>
        <w:spacing w:before="160" w:after="160"/>
      </w:pPr>
      <w:r w:rsidRPr="00730FFE">
        <w:rPr>
          <w:color w:val="000000" w:themeColor="text1"/>
        </w:rPr>
        <w:t xml:space="preserve">The resubmission presented a CMA </w:t>
      </w:r>
      <w:r w:rsidR="00911668" w:rsidRPr="00730FFE">
        <w:rPr>
          <w:color w:val="000000" w:themeColor="text1"/>
        </w:rPr>
        <w:t xml:space="preserve">comparing </w:t>
      </w:r>
      <w:r w:rsidRPr="00730FFE">
        <w:rPr>
          <w:color w:val="000000" w:themeColor="text1"/>
        </w:rPr>
        <w:t xml:space="preserve">NEMO with DUPI for the treatment of patients aged 12 years or older with chronic severe AD. </w:t>
      </w:r>
    </w:p>
    <w:p w14:paraId="643DE8A0" w14:textId="610DB5D9" w:rsidR="009E0D11" w:rsidRPr="00FA2AB8" w:rsidRDefault="009E0D11" w:rsidP="00F24DC5">
      <w:pPr>
        <w:pStyle w:val="3-BodyText"/>
        <w:spacing w:before="160" w:after="160"/>
      </w:pPr>
      <w:r w:rsidRPr="00FA2AB8">
        <w:t xml:space="preserve">The key components of the CMA are summarised in </w:t>
      </w:r>
      <w:r w:rsidRPr="00FA2AB8">
        <w:fldChar w:fldCharType="begin"/>
      </w:r>
      <w:r w:rsidRPr="00FA2AB8">
        <w:instrText xml:space="preserve"> REF _Ref213944070 \h </w:instrText>
      </w:r>
      <w:r w:rsidR="00FA2AB8" w:rsidRPr="00FA2AB8">
        <w:instrText xml:space="preserve"> \* MERGEFORMAT </w:instrText>
      </w:r>
      <w:r w:rsidRPr="00FA2AB8">
        <w:fldChar w:fldCharType="separate"/>
      </w:r>
      <w:r w:rsidR="00F51AFF" w:rsidRPr="00FA2AB8">
        <w:t xml:space="preserve">Table </w:t>
      </w:r>
      <w:r w:rsidR="00F51AFF" w:rsidRPr="00FA2AB8">
        <w:rPr>
          <w:noProof/>
        </w:rPr>
        <w:t>12</w:t>
      </w:r>
      <w:r w:rsidRPr="00FA2AB8">
        <w:fldChar w:fldCharType="end"/>
      </w:r>
      <w:r w:rsidRPr="00FA2AB8">
        <w:t xml:space="preserve">. </w:t>
      </w:r>
    </w:p>
    <w:p w14:paraId="36121EAA" w14:textId="2F1B3C6B" w:rsidR="009E0D11" w:rsidRPr="00FA2AB8" w:rsidRDefault="009E0D11" w:rsidP="00F24DC5">
      <w:pPr>
        <w:pStyle w:val="Caption"/>
        <w:rPr>
          <w:rStyle w:val="CommentReference"/>
          <w:b/>
          <w:szCs w:val="24"/>
        </w:rPr>
      </w:pPr>
      <w:bookmarkStart w:id="59" w:name="_Ref213944070"/>
      <w:r w:rsidRPr="00FA2AB8">
        <w:t xml:space="preserve">Table </w:t>
      </w:r>
      <w:fldSimple w:instr=" SEQ Table \* ARABIC ">
        <w:r w:rsidR="00CB23C7">
          <w:rPr>
            <w:noProof/>
          </w:rPr>
          <w:t>12</w:t>
        </w:r>
      </w:fldSimple>
      <w:bookmarkEnd w:id="59"/>
      <w:r w:rsidRPr="00FA2AB8">
        <w:t>: 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Key components and assumptions of the cost-minimisation approach"/>
      </w:tblPr>
      <w:tblGrid>
        <w:gridCol w:w="1944"/>
        <w:gridCol w:w="7073"/>
      </w:tblGrid>
      <w:tr w:rsidR="001C7DC5" w:rsidRPr="00730FFE" w14:paraId="5ED069F6" w14:textId="77777777" w:rsidTr="00AF29CF">
        <w:tc>
          <w:tcPr>
            <w:tcW w:w="1078" w:type="pct"/>
            <w:vAlign w:val="center"/>
          </w:tcPr>
          <w:p w14:paraId="3B7ACBFF" w14:textId="77777777" w:rsidR="001C7DC5" w:rsidRPr="00730FFE" w:rsidRDefault="001C7DC5" w:rsidP="008F0977">
            <w:pPr>
              <w:pStyle w:val="In-tableHeading"/>
              <w:rPr>
                <w:i w:val="0"/>
                <w:iCs w:val="0"/>
              </w:rPr>
            </w:pPr>
            <w:r w:rsidRPr="00730FFE">
              <w:rPr>
                <w:i w:val="0"/>
                <w:iCs w:val="0"/>
              </w:rPr>
              <w:t>Component</w:t>
            </w:r>
          </w:p>
        </w:tc>
        <w:tc>
          <w:tcPr>
            <w:tcW w:w="3922" w:type="pct"/>
            <w:tcBorders>
              <w:bottom w:val="single" w:sz="4" w:space="0" w:color="auto"/>
            </w:tcBorders>
            <w:vAlign w:val="center"/>
          </w:tcPr>
          <w:p w14:paraId="70F0BEB0" w14:textId="77777777" w:rsidR="001C7DC5" w:rsidRPr="00730FFE" w:rsidRDefault="001C7DC5" w:rsidP="008F0977">
            <w:pPr>
              <w:pStyle w:val="In-tableHeading"/>
              <w:rPr>
                <w:i w:val="0"/>
                <w:iCs w:val="0"/>
              </w:rPr>
            </w:pPr>
            <w:r w:rsidRPr="00730FFE">
              <w:rPr>
                <w:i w:val="0"/>
                <w:iCs w:val="0"/>
              </w:rPr>
              <w:t>Claim or assumption</w:t>
            </w:r>
          </w:p>
        </w:tc>
      </w:tr>
      <w:tr w:rsidR="001C7DC5" w:rsidRPr="00730FFE" w14:paraId="64782893" w14:textId="77777777" w:rsidTr="00AF29CF">
        <w:tc>
          <w:tcPr>
            <w:tcW w:w="1078" w:type="pct"/>
            <w:vAlign w:val="center"/>
          </w:tcPr>
          <w:p w14:paraId="7C7DDE4D" w14:textId="77777777" w:rsidR="001C7DC5" w:rsidRPr="00730FFE" w:rsidRDefault="001C7DC5">
            <w:pPr>
              <w:pStyle w:val="TableText0"/>
            </w:pPr>
            <w:r w:rsidRPr="00730FFE">
              <w:t>Therapeutic claim: effectiveness</w:t>
            </w:r>
          </w:p>
        </w:tc>
        <w:tc>
          <w:tcPr>
            <w:tcW w:w="3922" w:type="pct"/>
            <w:shd w:val="clear" w:color="auto" w:fill="C6D9F1" w:themeFill="text2" w:themeFillTint="33"/>
          </w:tcPr>
          <w:p w14:paraId="03C62B4F" w14:textId="786CE052" w:rsidR="001C7DC5" w:rsidRPr="00730FFE" w:rsidRDefault="001C7DC5">
            <w:pPr>
              <w:pStyle w:val="TableText0"/>
            </w:pPr>
            <w:r w:rsidRPr="00730FFE">
              <w:t xml:space="preserve">Based on evidence presented in </w:t>
            </w:r>
            <w:r w:rsidR="0099392D" w:rsidRPr="00730FFE">
              <w:t>the resubmission</w:t>
            </w:r>
            <w:r w:rsidRPr="00730FFE">
              <w:t xml:space="preserve">, effectiveness </w:t>
            </w:r>
            <w:r w:rsidR="001F63EE" w:rsidRPr="00730FFE">
              <w:t>wa</w:t>
            </w:r>
            <w:r w:rsidRPr="00730FFE">
              <w:t>s assumed to be non</w:t>
            </w:r>
            <w:r w:rsidR="0099392D" w:rsidRPr="00730FFE">
              <w:t>-</w:t>
            </w:r>
            <w:r w:rsidRPr="00730FFE">
              <w:t>inferior</w:t>
            </w:r>
            <w:r w:rsidR="001F63EE" w:rsidRPr="00730FFE">
              <w:t>.</w:t>
            </w:r>
          </w:p>
        </w:tc>
      </w:tr>
      <w:tr w:rsidR="001C7DC5" w:rsidRPr="00730FFE" w14:paraId="1E65AFEF" w14:textId="77777777" w:rsidTr="00AF29CF">
        <w:tc>
          <w:tcPr>
            <w:tcW w:w="1078" w:type="pct"/>
            <w:vAlign w:val="center"/>
          </w:tcPr>
          <w:p w14:paraId="70B9760D" w14:textId="77777777" w:rsidR="001C7DC5" w:rsidRPr="00730FFE" w:rsidRDefault="001C7DC5">
            <w:pPr>
              <w:pStyle w:val="TableText0"/>
            </w:pPr>
            <w:r w:rsidRPr="00730FFE">
              <w:t>Therapeutic claim: safety</w:t>
            </w:r>
          </w:p>
        </w:tc>
        <w:tc>
          <w:tcPr>
            <w:tcW w:w="3922" w:type="pct"/>
            <w:shd w:val="clear" w:color="auto" w:fill="C6D9F1" w:themeFill="text2" w:themeFillTint="33"/>
          </w:tcPr>
          <w:p w14:paraId="15F2CB15" w14:textId="03E69A69" w:rsidR="001C7DC5" w:rsidRPr="00730FFE" w:rsidRDefault="001C7DC5">
            <w:pPr>
              <w:pStyle w:val="TableText0"/>
            </w:pPr>
            <w:r w:rsidRPr="00730FFE">
              <w:t xml:space="preserve">Based on evidence presented in </w:t>
            </w:r>
            <w:r w:rsidR="0099392D" w:rsidRPr="00730FFE">
              <w:t>the resubmission</w:t>
            </w:r>
            <w:r w:rsidRPr="00730FFE">
              <w:t xml:space="preserve">, safety </w:t>
            </w:r>
            <w:r w:rsidR="001F63EE" w:rsidRPr="00730FFE">
              <w:t>wa</w:t>
            </w:r>
            <w:r w:rsidRPr="00730FFE">
              <w:t>s assumed to be non-inferior, but with fewer injection site reactions and patients with conjunctivitis</w:t>
            </w:r>
            <w:r w:rsidR="001F63EE" w:rsidRPr="00730FFE">
              <w:t>.</w:t>
            </w:r>
          </w:p>
        </w:tc>
      </w:tr>
      <w:tr w:rsidR="001C7DC5" w:rsidRPr="00730FFE" w14:paraId="080AEC9C" w14:textId="77777777" w:rsidTr="00AF29CF">
        <w:trPr>
          <w:trHeight w:val="185"/>
        </w:trPr>
        <w:tc>
          <w:tcPr>
            <w:tcW w:w="1078" w:type="pct"/>
            <w:vAlign w:val="center"/>
          </w:tcPr>
          <w:p w14:paraId="3E1B2C5B" w14:textId="77777777" w:rsidR="001C7DC5" w:rsidRPr="00730FFE" w:rsidRDefault="001C7DC5">
            <w:pPr>
              <w:pStyle w:val="TableText0"/>
            </w:pPr>
            <w:r w:rsidRPr="00730FFE">
              <w:t>Evidence base</w:t>
            </w:r>
          </w:p>
        </w:tc>
        <w:tc>
          <w:tcPr>
            <w:tcW w:w="3922" w:type="pct"/>
            <w:shd w:val="clear" w:color="auto" w:fill="C6D9F1" w:themeFill="text2" w:themeFillTint="33"/>
          </w:tcPr>
          <w:p w14:paraId="3381724E" w14:textId="5DF82A7C" w:rsidR="001C7DC5" w:rsidRPr="00730FFE" w:rsidRDefault="001C7DC5">
            <w:pPr>
              <w:pStyle w:val="TableText0"/>
            </w:pPr>
            <w:r w:rsidRPr="00730FFE">
              <w:t>Indirect comparison of nemolizumab with dupilumab</w:t>
            </w:r>
            <w:r w:rsidR="00D1264F" w:rsidRPr="00730FFE">
              <w:t>.</w:t>
            </w:r>
            <w:r w:rsidR="00183320" w:rsidRPr="00730FFE">
              <w:t xml:space="preserve"> </w:t>
            </w:r>
            <w:r w:rsidR="00183320" w:rsidRPr="00730FFE">
              <w:rPr>
                <w:rStyle w:val="CommentReference"/>
                <w:b w:val="0"/>
                <w:szCs w:val="24"/>
              </w:rPr>
              <w:t>Based on data from the ARCADIA and ARCADIA LTE trials for the subgroup of patients who had severe AD</w:t>
            </w:r>
            <w:r w:rsidR="00E61ECE" w:rsidRPr="00730FFE">
              <w:rPr>
                <w:rStyle w:val="CommentReference"/>
                <w:b w:val="0"/>
                <w:szCs w:val="24"/>
              </w:rPr>
              <w:t>,</w:t>
            </w:r>
            <w:r w:rsidR="00183320" w:rsidRPr="00730FFE">
              <w:rPr>
                <w:rStyle w:val="CommentReference"/>
                <w:b w:val="0"/>
                <w:szCs w:val="24"/>
              </w:rPr>
              <w:t xml:space="preserve"> </w:t>
            </w:r>
            <w:r w:rsidR="005B6411" w:rsidRPr="00730FFE">
              <w:t xml:space="preserve">74.1% of </w:t>
            </w:r>
            <w:r w:rsidR="007A653B" w:rsidRPr="00730FFE">
              <w:t xml:space="preserve">all </w:t>
            </w:r>
            <w:r w:rsidR="00E51E5A" w:rsidRPr="00730FFE">
              <w:t xml:space="preserve">responding </w:t>
            </w:r>
            <w:r w:rsidR="005B6411" w:rsidRPr="00730FFE">
              <w:t xml:space="preserve">NEMO patients </w:t>
            </w:r>
            <w:r w:rsidR="00180625" w:rsidRPr="00730FFE">
              <w:t>had an EAS</w:t>
            </w:r>
            <w:r w:rsidR="007A653B" w:rsidRPr="00730FFE">
              <w:t>I-</w:t>
            </w:r>
            <w:r w:rsidR="008A6F6E" w:rsidRPr="00730FFE">
              <w:t xml:space="preserve">50 </w:t>
            </w:r>
            <w:r w:rsidR="005B6411" w:rsidRPr="00730FFE">
              <w:t>respon</w:t>
            </w:r>
            <w:r w:rsidR="008A6F6E" w:rsidRPr="00730FFE">
              <w:t>se</w:t>
            </w:r>
            <w:r w:rsidR="005B6411" w:rsidRPr="00730FFE">
              <w:t xml:space="preserve"> at </w:t>
            </w:r>
            <w:r w:rsidR="005C1837" w:rsidRPr="00730FFE">
              <w:t xml:space="preserve">Week 16 and </w:t>
            </w:r>
            <w:r w:rsidR="00297A87" w:rsidRPr="00730FFE">
              <w:t xml:space="preserve">25.9% </w:t>
            </w:r>
            <w:r w:rsidR="007A653B" w:rsidRPr="00730FFE">
              <w:t xml:space="preserve">had an EASI-50 response </w:t>
            </w:r>
            <w:r w:rsidR="009477C0" w:rsidRPr="00730FFE">
              <w:t>at Week 24</w:t>
            </w:r>
            <w:r w:rsidR="008D7DB9" w:rsidRPr="00730FFE">
              <w:t>.</w:t>
            </w:r>
            <w:r w:rsidRPr="00730FFE">
              <w:t xml:space="preserve"> </w:t>
            </w:r>
          </w:p>
        </w:tc>
      </w:tr>
      <w:tr w:rsidR="001C7DC5" w:rsidRPr="00730FFE" w14:paraId="2E0EA91E" w14:textId="77777777" w:rsidTr="00AF29CF">
        <w:tc>
          <w:tcPr>
            <w:tcW w:w="1078" w:type="pct"/>
            <w:vAlign w:val="center"/>
          </w:tcPr>
          <w:p w14:paraId="2623E115" w14:textId="77777777" w:rsidR="001C7DC5" w:rsidRPr="00730FFE" w:rsidRDefault="001C7DC5">
            <w:pPr>
              <w:pStyle w:val="TableText0"/>
            </w:pPr>
            <w:r w:rsidRPr="00730FFE">
              <w:t>Equi-effective doses</w:t>
            </w:r>
          </w:p>
        </w:tc>
        <w:tc>
          <w:tcPr>
            <w:tcW w:w="3922" w:type="pct"/>
            <w:shd w:val="clear" w:color="auto" w:fill="C6D9F1" w:themeFill="text2" w:themeFillTint="33"/>
          </w:tcPr>
          <w:p w14:paraId="497EB640" w14:textId="77777777" w:rsidR="001C7DC5" w:rsidRPr="00730FFE" w:rsidRDefault="001C7DC5">
            <w:pPr>
              <w:pStyle w:val="TableText0"/>
            </w:pPr>
            <w:r w:rsidRPr="00730FFE">
              <w:t xml:space="preserve">Nemolizumab: an initial dose of 60 mg, followed by 30 mg Q4W for 16 weeks </w:t>
            </w:r>
            <w:r w:rsidRPr="00730FFE">
              <w:rPr>
                <w:shd w:val="clear" w:color="auto" w:fill="FFFFFF" w:themeFill="background1"/>
              </w:rPr>
              <w:t>or 24 weeks</w:t>
            </w:r>
            <w:r w:rsidRPr="00730FFE">
              <w:t>, and 30 mg Q8W thereafter.</w:t>
            </w:r>
          </w:p>
          <w:p w14:paraId="1D228401" w14:textId="77777777" w:rsidR="001C7DC5" w:rsidRPr="00730FFE" w:rsidRDefault="001C7DC5">
            <w:pPr>
              <w:pStyle w:val="TableText0"/>
            </w:pPr>
          </w:p>
          <w:p w14:paraId="502ECA2B" w14:textId="77777777" w:rsidR="001C7DC5" w:rsidRPr="00730FFE" w:rsidRDefault="001C7DC5">
            <w:pPr>
              <w:pStyle w:val="TableText0"/>
            </w:pPr>
            <w:r w:rsidRPr="00730FFE">
              <w:t xml:space="preserve">Dupilumab: 600 mg SC injection as a loading dose, followed by 300 mg SC injection Q2W in adult patients and in adolescents ≥ 60 kg; 400 mg SC injection as a loading dose, followed by 200 mg SC injection Q2W in adolescents &lt; 60 kg. </w:t>
            </w:r>
          </w:p>
        </w:tc>
      </w:tr>
      <w:tr w:rsidR="001C7DC5" w:rsidRPr="00730FFE" w14:paraId="74F2A324" w14:textId="77777777" w:rsidTr="00AF29CF">
        <w:tc>
          <w:tcPr>
            <w:tcW w:w="1078" w:type="pct"/>
            <w:vAlign w:val="center"/>
          </w:tcPr>
          <w:p w14:paraId="037AA10B" w14:textId="77777777" w:rsidR="001C7DC5" w:rsidRPr="00730FFE" w:rsidRDefault="001C7DC5">
            <w:pPr>
              <w:pStyle w:val="TableText0"/>
            </w:pPr>
            <w:r w:rsidRPr="00730FFE">
              <w:t>Direct medicine costs</w:t>
            </w:r>
          </w:p>
        </w:tc>
        <w:tc>
          <w:tcPr>
            <w:tcW w:w="3922" w:type="pct"/>
            <w:shd w:val="clear" w:color="auto" w:fill="C6D9F1" w:themeFill="text2" w:themeFillTint="33"/>
            <w:vAlign w:val="center"/>
          </w:tcPr>
          <w:p w14:paraId="1280DEDE" w14:textId="72936BDA" w:rsidR="001C7DC5" w:rsidRPr="00730FFE" w:rsidRDefault="001C7DC5">
            <w:pPr>
              <w:pStyle w:val="TableText0"/>
            </w:pPr>
            <w:r w:rsidRPr="00730FFE">
              <w:t xml:space="preserve">The cost of nemolizumab per patient for </w:t>
            </w:r>
            <w:r w:rsidR="001F63EE" w:rsidRPr="00730FFE">
              <w:t>2</w:t>
            </w:r>
            <w:r w:rsidRPr="00730FFE">
              <w:t xml:space="preserve"> years of treatment </w:t>
            </w:r>
            <w:r w:rsidR="001F63EE" w:rsidRPr="00730FFE">
              <w:t>wa</w:t>
            </w:r>
            <w:r w:rsidRPr="00730FFE">
              <w:t xml:space="preserve">s higher to account for a reduction in conjunctivitis in patients treated with nemolizumab compared to those treated with dupilumab. </w:t>
            </w:r>
          </w:p>
        </w:tc>
      </w:tr>
      <w:tr w:rsidR="001C7DC5" w:rsidRPr="00730FFE" w14:paraId="36650E70" w14:textId="77777777" w:rsidTr="00AF29CF">
        <w:tc>
          <w:tcPr>
            <w:tcW w:w="1078" w:type="pct"/>
            <w:vAlign w:val="center"/>
          </w:tcPr>
          <w:p w14:paraId="1B699AA2" w14:textId="77777777" w:rsidR="001C7DC5" w:rsidRPr="00730FFE" w:rsidRDefault="001C7DC5">
            <w:pPr>
              <w:pStyle w:val="TableText0"/>
            </w:pPr>
            <w:r w:rsidRPr="00730FFE">
              <w:t>Other costs or cost offsets</w:t>
            </w:r>
          </w:p>
        </w:tc>
        <w:tc>
          <w:tcPr>
            <w:tcW w:w="3922" w:type="pct"/>
            <w:shd w:val="clear" w:color="auto" w:fill="C6D9F1" w:themeFill="text2" w:themeFillTint="33"/>
            <w:vAlign w:val="center"/>
          </w:tcPr>
          <w:p w14:paraId="3D5E0AC0" w14:textId="0D497B26" w:rsidR="001C7DC5" w:rsidRPr="00730FFE" w:rsidRDefault="001C7DC5">
            <w:pPr>
              <w:pStyle w:val="TableText0"/>
              <w:rPr>
                <w:shd w:val="clear" w:color="auto" w:fill="FFFFFF" w:themeFill="background1"/>
              </w:rPr>
            </w:pPr>
            <w:r w:rsidRPr="00730FFE">
              <w:rPr>
                <w:shd w:val="clear" w:color="auto" w:fill="FFFFFF" w:themeFill="background1"/>
              </w:rPr>
              <w:t>An additional specialist visit was included for slow responders</w:t>
            </w:r>
            <w:r w:rsidR="001F63EE" w:rsidRPr="00730FFE">
              <w:rPr>
                <w:shd w:val="clear" w:color="auto" w:fill="FFFFFF" w:themeFill="background1"/>
              </w:rPr>
              <w:t xml:space="preserve"> to nemolizumab treatment</w:t>
            </w:r>
            <w:r w:rsidRPr="00730FFE">
              <w:rPr>
                <w:shd w:val="clear" w:color="auto" w:fill="FFFFFF" w:themeFill="background1"/>
              </w:rPr>
              <w:t>.</w:t>
            </w:r>
          </w:p>
          <w:p w14:paraId="5BCF2FAE" w14:textId="77777777" w:rsidR="001C7DC5" w:rsidRPr="00730FFE" w:rsidRDefault="001C7DC5">
            <w:pPr>
              <w:pStyle w:val="TableText0"/>
            </w:pPr>
            <w:r w:rsidRPr="00730FFE">
              <w:t>Offsets for a reduction in the adverse event of conjunctivitis was included.</w:t>
            </w:r>
          </w:p>
        </w:tc>
      </w:tr>
    </w:tbl>
    <w:p w14:paraId="078A6B59" w14:textId="28C3CE03" w:rsidR="009E0D11" w:rsidRPr="00197BFE" w:rsidRDefault="009E0D11" w:rsidP="00945471">
      <w:pPr>
        <w:pStyle w:val="TableFigureFooter"/>
        <w:rPr>
          <w:i/>
          <w:iCs/>
        </w:rPr>
      </w:pPr>
      <w:r w:rsidRPr="00197BFE">
        <w:t xml:space="preserve">Source: Table 3-1, pp72 of the </w:t>
      </w:r>
      <w:r w:rsidR="00B13B2F" w:rsidRPr="00197BFE">
        <w:t>re</w:t>
      </w:r>
      <w:r w:rsidRPr="00197BFE">
        <w:t xml:space="preserve">submission. </w:t>
      </w:r>
    </w:p>
    <w:p w14:paraId="6444DC71" w14:textId="03FF4C7E" w:rsidR="009E0D11" w:rsidRPr="00197BFE" w:rsidRDefault="00E67E09" w:rsidP="00945471">
      <w:pPr>
        <w:pStyle w:val="TableFigureFooter"/>
        <w:rPr>
          <w:i/>
          <w:iCs/>
        </w:rPr>
      </w:pPr>
      <w:r>
        <w:t xml:space="preserve">AD = atopic dermatitis; </w:t>
      </w:r>
      <w:r w:rsidR="008D7DB9" w:rsidRPr="008D7DB9">
        <w:t>EASI-50 =</w:t>
      </w:r>
      <w:r w:rsidR="00807021">
        <w:t xml:space="preserve"> </w:t>
      </w:r>
      <w:r w:rsidR="008D7DB9" w:rsidRPr="008D7DB9">
        <w:t xml:space="preserve">improvement of at least 50% from baseline in Eczema Area and Severity Index; </w:t>
      </w:r>
      <w:r w:rsidR="008A6F6E" w:rsidRPr="008D7DB9">
        <w:t>NEMO</w:t>
      </w:r>
      <w:r w:rsidR="008A6F6E">
        <w:t xml:space="preserve"> = nemolizumab; </w:t>
      </w:r>
      <w:r w:rsidR="009E0D11" w:rsidRPr="00197BFE">
        <w:t>Q2W = every 2 weeks; Q4W = every 4 weeks; Q8W = every 8 weeks; SC = subcutaneous</w:t>
      </w:r>
    </w:p>
    <w:p w14:paraId="40C9D436" w14:textId="77777777" w:rsidR="009E0D11" w:rsidRPr="00197BFE" w:rsidRDefault="009E0D11" w:rsidP="00945471">
      <w:pPr>
        <w:pStyle w:val="TableFigureFooter"/>
        <w:rPr>
          <w:i/>
          <w:iCs/>
        </w:rPr>
      </w:pPr>
      <w:r w:rsidRPr="00197BFE">
        <w:rPr>
          <w:shd w:val="clear" w:color="auto" w:fill="B8CCE4" w:themeFill="accent1" w:themeFillTint="66"/>
        </w:rPr>
        <w:t>Blue</w:t>
      </w:r>
      <w:r w:rsidRPr="00197BFE">
        <w:rPr>
          <w:shd w:val="clear" w:color="auto" w:fill="C6D9F1" w:themeFill="text2" w:themeFillTint="33"/>
        </w:rPr>
        <w:t xml:space="preserve"> </w:t>
      </w:r>
      <w:r w:rsidRPr="00197BFE">
        <w:t>shading represents data previously considered by the PBAC.</w:t>
      </w:r>
    </w:p>
    <w:p w14:paraId="4C81F7A7" w14:textId="30243BEF" w:rsidR="009E0D11" w:rsidRPr="00FA2AB8" w:rsidRDefault="00A86E8B" w:rsidP="00F24DC5">
      <w:pPr>
        <w:pStyle w:val="3-BodyText"/>
        <w:spacing w:before="160" w:after="160"/>
      </w:pPr>
      <w:r w:rsidRPr="00FA2AB8">
        <w:t xml:space="preserve">The equi-effective doses </w:t>
      </w:r>
      <w:r w:rsidR="00F61C18" w:rsidRPr="00FA2AB8">
        <w:t>we</w:t>
      </w:r>
      <w:r w:rsidRPr="00FA2AB8">
        <w:t xml:space="preserve">re estimated </w:t>
      </w:r>
      <w:r w:rsidR="00225E37">
        <w:t xml:space="preserve">in the submission </w:t>
      </w:r>
      <w:r w:rsidRPr="00FA2AB8">
        <w:t>as</w:t>
      </w:r>
      <w:r w:rsidR="009E0D11" w:rsidRPr="00FA2AB8">
        <w:t>:</w:t>
      </w:r>
    </w:p>
    <w:p w14:paraId="6E238AC8" w14:textId="00EF073A" w:rsidR="001C7DC5" w:rsidRPr="00FA2AB8" w:rsidRDefault="001C7DC5" w:rsidP="005C4F91">
      <w:pPr>
        <w:pStyle w:val="ListParagraph"/>
        <w:numPr>
          <w:ilvl w:val="0"/>
          <w:numId w:val="6"/>
        </w:numPr>
        <w:spacing w:before="160" w:after="160"/>
        <w:ind w:left="1134"/>
        <w:jc w:val="both"/>
      </w:pPr>
      <w:r w:rsidRPr="00FA2AB8">
        <w:t xml:space="preserve">For adults and adolescents ≥ 60kg: NEMO at an initial dose of 60 mg (given as 2 x 30 mg </w:t>
      </w:r>
      <w:r w:rsidR="00AC69B3" w:rsidRPr="00FA2AB8">
        <w:t>subcutaneous [</w:t>
      </w:r>
      <w:r w:rsidRPr="00FA2AB8">
        <w:t>SC</w:t>
      </w:r>
      <w:r w:rsidR="00AC69B3" w:rsidRPr="00FA2AB8">
        <w:t>]</w:t>
      </w:r>
      <w:r w:rsidRPr="00FA2AB8">
        <w:t xml:space="preserve"> injections at Week 0), followed by 30 mg SC injection Q4W until Week 16 </w:t>
      </w:r>
      <w:r w:rsidR="00F64BA5">
        <w:t xml:space="preserve">for 74.1% of patients </w:t>
      </w:r>
      <w:r w:rsidRPr="00FA2AB8">
        <w:t>or Week 24</w:t>
      </w:r>
      <w:r w:rsidR="001F63EE" w:rsidRPr="00FA2AB8">
        <w:t xml:space="preserve"> </w:t>
      </w:r>
      <w:r w:rsidR="00F64BA5">
        <w:t xml:space="preserve">for </w:t>
      </w:r>
      <w:r w:rsidR="00885C9D">
        <w:t xml:space="preserve">25.9% of patients </w:t>
      </w:r>
      <w:r w:rsidR="001F63EE" w:rsidRPr="00FA2AB8">
        <w:t>(for slow responders)</w:t>
      </w:r>
      <w:r w:rsidRPr="00FA2AB8">
        <w:t>, and 30 mg Q8W thereafter is equi</w:t>
      </w:r>
      <w:r w:rsidR="00AC69B3" w:rsidRPr="00FA2AB8">
        <w:t>-</w:t>
      </w:r>
      <w:r w:rsidRPr="00FA2AB8">
        <w:t xml:space="preserve">effective to dupilumab 600 mg SC injection as a loading dose followed by 300 mg SC injection </w:t>
      </w:r>
      <w:r w:rsidR="00AC69B3" w:rsidRPr="00FA2AB8">
        <w:t>every 2 weeks (</w:t>
      </w:r>
      <w:r w:rsidRPr="00FA2AB8">
        <w:t>Q2W</w:t>
      </w:r>
      <w:r w:rsidR="00AC69B3" w:rsidRPr="00FA2AB8">
        <w:t>)</w:t>
      </w:r>
      <w:r w:rsidRPr="00FA2AB8">
        <w:t>.</w:t>
      </w:r>
    </w:p>
    <w:p w14:paraId="5BF94295" w14:textId="470DDEF0" w:rsidR="009037CC" w:rsidRDefault="001C7DC5" w:rsidP="005C4F91">
      <w:pPr>
        <w:pStyle w:val="ListParagraph"/>
        <w:numPr>
          <w:ilvl w:val="0"/>
          <w:numId w:val="6"/>
        </w:numPr>
        <w:spacing w:before="160" w:after="160"/>
        <w:ind w:left="1134"/>
        <w:jc w:val="both"/>
      </w:pPr>
      <w:r w:rsidRPr="00FA2AB8">
        <w:t>For adolescents &lt; 60kg</w:t>
      </w:r>
      <w:r w:rsidR="00967329" w:rsidRPr="00FA2AB8">
        <w:t>:</w:t>
      </w:r>
      <w:r w:rsidRPr="00FA2AB8">
        <w:t xml:space="preserve"> NEMO at an initial dose of 60 mg (given as 2 x 30 mg SC injections at Week 0), followed by 30 mg SC injection Q4W until Week 16</w:t>
      </w:r>
      <w:r w:rsidR="009037CC">
        <w:t xml:space="preserve"> for 74.1% of patients</w:t>
      </w:r>
      <w:r w:rsidRPr="00FA2AB8">
        <w:t xml:space="preserve"> or Week 24</w:t>
      </w:r>
      <w:r w:rsidR="001F63EE" w:rsidRPr="00FA2AB8">
        <w:t xml:space="preserve"> </w:t>
      </w:r>
      <w:r w:rsidR="009037CC">
        <w:t xml:space="preserve">for 25.9% of patients </w:t>
      </w:r>
      <w:r w:rsidR="001F63EE" w:rsidRPr="00FA2AB8">
        <w:t>(for slow responders)</w:t>
      </w:r>
      <w:r w:rsidRPr="00FA2AB8">
        <w:t>, and 30 mg Q8W thereafter is equi-effective to DUPI 400</w:t>
      </w:r>
      <w:r w:rsidR="001F63EE" w:rsidRPr="00FA2AB8">
        <w:t> </w:t>
      </w:r>
      <w:r w:rsidRPr="00FA2AB8">
        <w:t>mg SC injection as a loading dose followed by 200 mg SC injection Q2W.</w:t>
      </w:r>
      <w:r w:rsidR="002A4AF9">
        <w:t xml:space="preserve"> </w:t>
      </w:r>
    </w:p>
    <w:p w14:paraId="64901B28" w14:textId="42DA46C9" w:rsidR="001C7DC5" w:rsidRPr="00730FFE" w:rsidRDefault="002A4AF9" w:rsidP="009037CC">
      <w:pPr>
        <w:spacing w:before="160" w:after="160"/>
        <w:ind w:left="720"/>
      </w:pPr>
      <w:r w:rsidRPr="00730FFE">
        <w:t>As the published AEMPs for the 200 mg and 300 mg strengths of DUPI are the same, the resubmission did not provide a</w:t>
      </w:r>
      <w:r w:rsidR="009652AE" w:rsidRPr="00730FFE">
        <w:t xml:space="preserve"> split for</w:t>
      </w:r>
      <w:r w:rsidR="00A4428C" w:rsidRPr="00730FFE">
        <w:t xml:space="preserve"> a</w:t>
      </w:r>
      <w:r w:rsidR="009256EA" w:rsidRPr="00730FFE">
        <w:t>dol</w:t>
      </w:r>
      <w:r w:rsidR="009037CC" w:rsidRPr="00730FFE">
        <w:t xml:space="preserve">escent/adults receiving </w:t>
      </w:r>
      <w:r w:rsidR="00E61ECE" w:rsidRPr="00730FFE">
        <w:t>treatment</w:t>
      </w:r>
      <w:r w:rsidR="009037CC" w:rsidRPr="00730FFE">
        <w:t>.</w:t>
      </w:r>
    </w:p>
    <w:p w14:paraId="4257851F" w14:textId="36607DBD" w:rsidR="00EC0A37" w:rsidRPr="00730FFE" w:rsidRDefault="001C7DC5" w:rsidP="00F24DC5">
      <w:pPr>
        <w:pStyle w:val="3-BodyText"/>
        <w:spacing w:before="160" w:after="160"/>
        <w:rPr>
          <w:b/>
          <w:bCs/>
        </w:rPr>
      </w:pPr>
      <w:r w:rsidRPr="00730FFE">
        <w:lastRenderedPageBreak/>
        <w:t xml:space="preserve">The equi-effective doses proposed in the resubmission were consistent with those requested in the original submission except for the inclusion of an extended induction period (additional 8 weeks) for NEMO in patients who do not respond adequately by Week 16. This aligned with the proposed changes to the TGA label for NEMO. </w:t>
      </w:r>
    </w:p>
    <w:p w14:paraId="5840C5B3" w14:textId="048B5CBC" w:rsidR="00587482" w:rsidRPr="00730FFE" w:rsidRDefault="00587482" w:rsidP="00587482">
      <w:pPr>
        <w:pStyle w:val="3-BodyText"/>
      </w:pPr>
      <w:r w:rsidRPr="00730FFE">
        <w:t xml:space="preserve">The ESC noted that the previously determined equi-effective doses for DUPI and UPA could be used to inform equi-effective doses for NEMO and </w:t>
      </w:r>
      <w:r w:rsidR="00B70A31">
        <w:t>UPA</w:t>
      </w:r>
      <w:r w:rsidR="00B70A31" w:rsidRPr="00730FFE">
        <w:t xml:space="preserve"> </w:t>
      </w:r>
      <w:r w:rsidRPr="00730FFE">
        <w:t xml:space="preserve">for the purpose of determining the lowest cost alternative therapy (paragraph </w:t>
      </w:r>
      <w:r w:rsidR="009959A3">
        <w:t>7.12</w:t>
      </w:r>
      <w:r w:rsidRPr="00730FFE">
        <w:t xml:space="preserve">, </w:t>
      </w:r>
      <w:r w:rsidR="009959A3">
        <w:t>upadacitinib PSD</w:t>
      </w:r>
      <w:r w:rsidRPr="00730FFE">
        <w:t xml:space="preserve">, </w:t>
      </w:r>
      <w:r w:rsidR="003F7BC6">
        <w:t>July 2021 PBAC meeting</w:t>
      </w:r>
      <w:r w:rsidRPr="00730FFE">
        <w:t>).</w:t>
      </w:r>
    </w:p>
    <w:p w14:paraId="6107A2AA" w14:textId="6D3C4692" w:rsidR="00402812" w:rsidRPr="00730FFE" w:rsidRDefault="00020D40" w:rsidP="000E4C06">
      <w:pPr>
        <w:pStyle w:val="3-BodyText"/>
        <w:spacing w:before="160" w:after="160"/>
        <w:rPr>
          <w:b/>
          <w:bCs/>
        </w:rPr>
      </w:pPr>
      <w:bookmarkStart w:id="60" w:name="_Ref224890163"/>
      <w:r w:rsidRPr="00730FFE">
        <w:t xml:space="preserve">In the base case, the proportions of NEMO patients considered to respond at </w:t>
      </w:r>
      <w:r w:rsidR="00502F61" w:rsidRPr="00730FFE">
        <w:t xml:space="preserve">Week </w:t>
      </w:r>
      <w:r w:rsidRPr="00730FFE">
        <w:t>16 (74.1%, 164 out of 221) and the slow responders (</w:t>
      </w:r>
      <w:r w:rsidR="00571992" w:rsidRPr="00730FFE">
        <w:t>2</w:t>
      </w:r>
      <w:r w:rsidRPr="00730FFE">
        <w:t xml:space="preserve">5.9%, 57 out of 221) were from the </w:t>
      </w:r>
      <w:r w:rsidR="00967329" w:rsidRPr="00730FFE">
        <w:t xml:space="preserve">NEMO trials and the </w:t>
      </w:r>
      <w:r w:rsidRPr="00730FFE">
        <w:t xml:space="preserve">LTE study based on EASI-50 </w:t>
      </w:r>
      <w:r w:rsidR="007F0FF4">
        <w:t xml:space="preserve">outcome </w:t>
      </w:r>
      <w:r w:rsidRPr="00730FFE">
        <w:t xml:space="preserve">in the subgroup of patients with severe AD. </w:t>
      </w:r>
      <w:r w:rsidR="005D301D" w:rsidRPr="00730FFE">
        <w:t>As discussed in the “Comparative effectiveness” section, the proportion of slow responders was an area of uncertain</w:t>
      </w:r>
      <w:r w:rsidR="00CF4A6D" w:rsidRPr="00730FFE">
        <w:t>ty</w:t>
      </w:r>
      <w:r w:rsidRPr="00730FFE">
        <w:t xml:space="preserve">. </w:t>
      </w:r>
      <w:r w:rsidR="000F4F17" w:rsidRPr="00730FFE">
        <w:t>Based on the results of the EASI-50</w:t>
      </w:r>
      <w:r w:rsidR="00065EDF" w:rsidRPr="00730FFE">
        <w:t>,</w:t>
      </w:r>
      <w:r w:rsidR="008F7613" w:rsidRPr="00730FFE">
        <w:t xml:space="preserve"> </w:t>
      </w:r>
      <w:bookmarkStart w:id="61" w:name="_Hlk218676880"/>
      <w:r w:rsidR="000F4F17" w:rsidRPr="00730FFE">
        <w:t xml:space="preserve">NEMO </w:t>
      </w:r>
      <w:r w:rsidR="00CC754E" w:rsidRPr="00730FFE">
        <w:t>best</w:t>
      </w:r>
      <w:r w:rsidR="000F4F17" w:rsidRPr="00730FFE">
        <w:t xml:space="preserve"> cas</w:t>
      </w:r>
      <w:r w:rsidR="00065EDF" w:rsidRPr="00730FFE">
        <w:t>e</w:t>
      </w:r>
      <w:r w:rsidR="000F4F17" w:rsidRPr="00730FFE">
        <w:t xml:space="preserve"> scenario </w:t>
      </w:r>
      <w:bookmarkEnd w:id="61"/>
      <w:r w:rsidR="000F4F17" w:rsidRPr="00730FFE">
        <w:t>(</w:t>
      </w:r>
      <w:r w:rsidR="00CC754E" w:rsidRPr="00730FFE">
        <w:t xml:space="preserve">i.e. when </w:t>
      </w:r>
      <w:r w:rsidR="00EC3A7F">
        <w:t>a higher proportion of</w:t>
      </w:r>
      <w:r w:rsidR="00EC3A7F" w:rsidRPr="00730FFE">
        <w:t xml:space="preserve"> </w:t>
      </w:r>
      <w:r w:rsidR="00C72B9B" w:rsidRPr="00730FFE">
        <w:t>patients respond at 24 weeks</w:t>
      </w:r>
      <w:r w:rsidR="0020014D" w:rsidRPr="00730FFE">
        <w:t xml:space="preserve">; </w:t>
      </w:r>
      <w:r w:rsidR="000F4F17" w:rsidRPr="00730FFE">
        <w:fldChar w:fldCharType="begin"/>
      </w:r>
      <w:r w:rsidR="000F4F17" w:rsidRPr="00730FFE">
        <w:instrText xml:space="preserve"> REF _Ref216350850 \h  \* MERGEFORMAT </w:instrText>
      </w:r>
      <w:r w:rsidR="000F4F17" w:rsidRPr="00730FFE">
        <w:fldChar w:fldCharType="separate"/>
      </w:r>
      <w:r w:rsidR="00F51AFF" w:rsidRPr="00730FFE">
        <w:t>Table 9</w:t>
      </w:r>
      <w:r w:rsidR="000F4F17" w:rsidRPr="00730FFE">
        <w:fldChar w:fldCharType="end"/>
      </w:r>
      <w:r w:rsidR="000F4F17" w:rsidRPr="00730FFE">
        <w:t xml:space="preserve">), </w:t>
      </w:r>
      <w:r w:rsidR="00C21462" w:rsidRPr="00730FFE">
        <w:t>s</w:t>
      </w:r>
      <w:r w:rsidR="00645BBF" w:rsidRPr="00730FFE">
        <w:t>low responders account</w:t>
      </w:r>
      <w:r w:rsidR="00C21462" w:rsidRPr="00730FFE">
        <w:t xml:space="preserve">ed for </w:t>
      </w:r>
      <w:r w:rsidR="0064429C" w:rsidRPr="00730FFE">
        <w:t>92</w:t>
      </w:r>
      <w:r w:rsidR="00C21462" w:rsidRPr="00730FFE">
        <w:rPr>
          <w:rStyle w:val="FootnoteReference"/>
        </w:rPr>
        <w:footnoteReference w:id="15"/>
      </w:r>
      <w:r w:rsidR="00C21462" w:rsidRPr="00730FFE">
        <w:t xml:space="preserve"> out of </w:t>
      </w:r>
      <w:r w:rsidR="00F70667" w:rsidRPr="00730FFE">
        <w:t>256</w:t>
      </w:r>
      <w:r w:rsidR="00C21462" w:rsidRPr="00730FFE">
        <w:rPr>
          <w:rStyle w:val="FootnoteReference"/>
        </w:rPr>
        <w:footnoteReference w:id="16"/>
      </w:r>
      <w:r w:rsidR="00C21462" w:rsidRPr="00730FFE">
        <w:t xml:space="preserve"> all responders, equal to </w:t>
      </w:r>
      <w:r w:rsidR="00005973" w:rsidRPr="00730FFE">
        <w:t>35.9</w:t>
      </w:r>
      <w:r w:rsidR="00C21462" w:rsidRPr="00730FFE">
        <w:t>% (vs. 25.9% [57/221] in the average case scenario)</w:t>
      </w:r>
      <w:r w:rsidR="00F83DD0" w:rsidRPr="00730FFE">
        <w:t xml:space="preserve"> – see </w:t>
      </w:r>
      <w:r w:rsidR="00E13EFE" w:rsidRPr="00730FFE">
        <w:t xml:space="preserve">Sensitivity Analyses, </w:t>
      </w:r>
      <w:r w:rsidR="00F83DD0" w:rsidRPr="00730FFE">
        <w:fldChar w:fldCharType="begin"/>
      </w:r>
      <w:r w:rsidR="00F83DD0" w:rsidRPr="00730FFE">
        <w:instrText xml:space="preserve"> REF _Ref215486304 \h </w:instrText>
      </w:r>
      <w:r w:rsidR="00730FFE" w:rsidRPr="00730FFE">
        <w:instrText xml:space="preserve"> \* MERGEFORMAT </w:instrText>
      </w:r>
      <w:r w:rsidR="00F83DD0" w:rsidRPr="00730FFE">
        <w:fldChar w:fldCharType="separate"/>
      </w:r>
      <w:r w:rsidR="00F83DD0" w:rsidRPr="00730FFE">
        <w:t xml:space="preserve">Table </w:t>
      </w:r>
      <w:r w:rsidR="00F83DD0" w:rsidRPr="00730FFE">
        <w:rPr>
          <w:noProof/>
        </w:rPr>
        <w:t>14</w:t>
      </w:r>
      <w:r w:rsidR="00F83DD0" w:rsidRPr="00730FFE">
        <w:fldChar w:fldCharType="end"/>
      </w:r>
      <w:r w:rsidR="00C21462" w:rsidRPr="00730FFE">
        <w:t>.</w:t>
      </w:r>
      <w:bookmarkEnd w:id="60"/>
      <w:r w:rsidR="00F83DD0" w:rsidRPr="00730FFE" w:rsidDel="00F83DD0">
        <w:t xml:space="preserve"> </w:t>
      </w:r>
    </w:p>
    <w:p w14:paraId="2D9603C8" w14:textId="6B55D4BF" w:rsidR="00571992" w:rsidRPr="00730FFE" w:rsidRDefault="00571992" w:rsidP="000E4C06">
      <w:pPr>
        <w:pStyle w:val="3-BodyText"/>
        <w:spacing w:before="160" w:after="160"/>
      </w:pPr>
      <w:r w:rsidRPr="00730FFE">
        <w:t xml:space="preserve">The resubmission included one additional specialist visit (MBS item 105, $50.95) for those patients considered to be slow responders at Week 24 to determine eligibility for continuing treatment. </w:t>
      </w:r>
    </w:p>
    <w:p w14:paraId="3819A948" w14:textId="4D050AAB" w:rsidR="00020D40" w:rsidRPr="005A4AA8" w:rsidRDefault="00020D40" w:rsidP="000E4C06">
      <w:pPr>
        <w:pStyle w:val="3-BodyText"/>
        <w:spacing w:before="160" w:after="160"/>
        <w:rPr>
          <w:b/>
          <w:bCs/>
        </w:rPr>
      </w:pPr>
      <w:bookmarkStart w:id="62" w:name="_Ref224890115"/>
      <w:r w:rsidRPr="00730FFE">
        <w:t xml:space="preserve">Consistent with the original submission, the CMA in the resubmission </w:t>
      </w:r>
      <w:r w:rsidR="001337AC" w:rsidRPr="00730FFE">
        <w:t>included</w:t>
      </w:r>
      <w:r w:rsidRPr="00730FFE">
        <w:t xml:space="preserve"> cost offsets associated with management of conjunctivitis in patients treated with DUPI. The derivation of cost</w:t>
      </w:r>
      <w:r w:rsidR="001337AC" w:rsidRPr="00730FFE">
        <w:t>s</w:t>
      </w:r>
      <w:r w:rsidRPr="00730FFE">
        <w:t xml:space="preserve"> for treatment of conjunctivitis remained unchanged from previous submission, with relevant PBS and MBS costs updated to reflect current costs. Both submissions assumed that the incidence of eye complications during the first 16 weeks of treatment </w:t>
      </w:r>
      <w:r w:rsidR="001337AC" w:rsidRPr="00730FFE">
        <w:t xml:space="preserve">as reported </w:t>
      </w:r>
      <w:r w:rsidRPr="00730FFE">
        <w:t>in the clinical trials would be constant during the maintenance treatment period.</w:t>
      </w:r>
      <w:r w:rsidR="001C7DC5" w:rsidRPr="00730FFE">
        <w:t xml:space="preserve"> </w:t>
      </w:r>
      <w:r w:rsidR="001C6837" w:rsidRPr="00730FFE">
        <w:t xml:space="preserve">Cost offsets associated with management of eye complications were uncertain. </w:t>
      </w:r>
      <w:r w:rsidR="001C7DC5" w:rsidRPr="00730FFE">
        <w:t>The ESC previously considered that cost offsets for conjunctivitis should not be included in the CMA (</w:t>
      </w:r>
      <w:r w:rsidR="00763A53" w:rsidRPr="00730FFE">
        <w:t>para</w:t>
      </w:r>
      <w:r w:rsidR="008332B4" w:rsidRPr="00730FFE">
        <w:t>graph</w:t>
      </w:r>
      <w:r w:rsidR="001C7DC5" w:rsidRPr="00730FFE">
        <w:t xml:space="preserve"> 6.51, nemolizumab PSD, July 2025 PBAC </w:t>
      </w:r>
      <w:r w:rsidR="00763A53" w:rsidRPr="00730FFE">
        <w:t>m</w:t>
      </w:r>
      <w:r w:rsidR="001C7DC5" w:rsidRPr="00730FFE">
        <w:t xml:space="preserve">eeting). </w:t>
      </w:r>
      <w:r w:rsidR="001C6837" w:rsidRPr="00730FFE">
        <w:t>The inclusion of cost</w:t>
      </w:r>
      <w:r w:rsidR="00065EDF" w:rsidRPr="00730FFE">
        <w:t>s</w:t>
      </w:r>
      <w:r w:rsidR="001C6837" w:rsidRPr="00730FFE">
        <w:t xml:space="preserve"> for treatment of conjunctivitis in patients receiving DUPI, however, had a minimal impact on the CMA result, g</w:t>
      </w:r>
      <w:r w:rsidRPr="00730FFE">
        <w:t xml:space="preserve">iven its relatively </w:t>
      </w:r>
      <w:r w:rsidRPr="005A4AA8">
        <w:t>low cost ($0.73 per week) compared with the drug costs for DUPI (ex-manufacturer price of $402.47 per week)</w:t>
      </w:r>
      <w:r w:rsidR="00571992" w:rsidRPr="005A4AA8">
        <w:t>.</w:t>
      </w:r>
      <w:bookmarkEnd w:id="62"/>
    </w:p>
    <w:p w14:paraId="695A7331" w14:textId="551CE59A" w:rsidR="00020D40" w:rsidRPr="005A4AA8" w:rsidRDefault="00020D40" w:rsidP="000E4C06">
      <w:pPr>
        <w:pStyle w:val="3-BodyText"/>
        <w:spacing w:before="160"/>
      </w:pPr>
      <w:r w:rsidRPr="005A4AA8">
        <w:t xml:space="preserve">The results of the CMA are presented in </w:t>
      </w:r>
      <w:r w:rsidRPr="005A4AA8">
        <w:fldChar w:fldCharType="begin"/>
      </w:r>
      <w:r w:rsidRPr="005A4AA8">
        <w:instrText xml:space="preserve"> REF _Ref213944963 \h </w:instrText>
      </w:r>
      <w:r w:rsidR="00FA2AB8" w:rsidRPr="005A4AA8">
        <w:instrText xml:space="preserve"> \* MERGEFORMAT </w:instrText>
      </w:r>
      <w:r w:rsidRPr="005A4AA8">
        <w:fldChar w:fldCharType="separate"/>
      </w:r>
      <w:r w:rsidR="00F51AFF" w:rsidRPr="005A4AA8">
        <w:t xml:space="preserve">Table </w:t>
      </w:r>
      <w:r w:rsidR="00F51AFF" w:rsidRPr="005A4AA8">
        <w:rPr>
          <w:noProof/>
        </w:rPr>
        <w:t>13</w:t>
      </w:r>
      <w:r w:rsidRPr="005A4AA8">
        <w:fldChar w:fldCharType="end"/>
      </w:r>
      <w:r w:rsidRPr="005A4AA8">
        <w:t xml:space="preserve">. The analysis was based on the published </w:t>
      </w:r>
      <w:r w:rsidR="00212FCB" w:rsidRPr="005A4AA8">
        <w:t>AEMP</w:t>
      </w:r>
      <w:r w:rsidRPr="005A4AA8">
        <w:t xml:space="preserve"> for DUPI. </w:t>
      </w:r>
    </w:p>
    <w:p w14:paraId="4294793A" w14:textId="3E347E64" w:rsidR="00020D40" w:rsidRPr="00FA2AB8" w:rsidRDefault="00020D40" w:rsidP="000E4C06">
      <w:pPr>
        <w:pStyle w:val="Caption"/>
        <w:spacing w:before="160"/>
      </w:pPr>
      <w:bookmarkStart w:id="63" w:name="_Ref213944963"/>
      <w:r w:rsidRPr="005A4AA8">
        <w:lastRenderedPageBreak/>
        <w:t xml:space="preserve">Table </w:t>
      </w:r>
      <w:fldSimple w:instr=" SEQ Table \* ARABIC ">
        <w:r w:rsidR="00CB23C7">
          <w:rPr>
            <w:noProof/>
          </w:rPr>
          <w:t>13</w:t>
        </w:r>
      </w:fldSimple>
      <w:bookmarkEnd w:id="63"/>
      <w:r w:rsidRPr="005A4AA8">
        <w:t>: Results of the cost-mini</w:t>
      </w:r>
      <w:r w:rsidRPr="00FA2AB8">
        <w:t>misation approach using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the cost-minimisation approach using published prices"/>
      </w:tblPr>
      <w:tblGrid>
        <w:gridCol w:w="3114"/>
        <w:gridCol w:w="2835"/>
        <w:gridCol w:w="3068"/>
      </w:tblGrid>
      <w:tr w:rsidR="006E58BD" w:rsidRPr="00730FFE" w14:paraId="3F71DD77" w14:textId="77777777" w:rsidTr="00AF29CF">
        <w:tc>
          <w:tcPr>
            <w:tcW w:w="1727" w:type="pct"/>
            <w:tcMar>
              <w:left w:w="28" w:type="dxa"/>
              <w:right w:w="28" w:type="dxa"/>
            </w:tcMar>
          </w:tcPr>
          <w:p w14:paraId="5F2B5931" w14:textId="77777777" w:rsidR="006E58BD" w:rsidRPr="00730FFE" w:rsidRDefault="006E58BD">
            <w:pPr>
              <w:keepNext/>
              <w:widowControl w:val="0"/>
              <w:jc w:val="left"/>
              <w:rPr>
                <w:rFonts w:ascii="Arial Narrow" w:eastAsiaTheme="majorEastAsia" w:hAnsi="Arial Narrow" w:cs="Times New Roman"/>
                <w:b/>
                <w:sz w:val="20"/>
              </w:rPr>
            </w:pPr>
            <w:r w:rsidRPr="00730FFE">
              <w:rPr>
                <w:rFonts w:ascii="Arial Narrow" w:eastAsiaTheme="majorEastAsia" w:hAnsi="Arial Narrow" w:cs="Times New Roman"/>
                <w:b/>
                <w:sz w:val="20"/>
              </w:rPr>
              <w:t>Component</w:t>
            </w:r>
          </w:p>
        </w:tc>
        <w:tc>
          <w:tcPr>
            <w:tcW w:w="1572" w:type="pct"/>
            <w:tcMar>
              <w:left w:w="28" w:type="dxa"/>
              <w:right w:w="28" w:type="dxa"/>
            </w:tcMar>
          </w:tcPr>
          <w:p w14:paraId="1D098405" w14:textId="77777777" w:rsidR="006E58BD" w:rsidRPr="00730FFE" w:rsidRDefault="006E58BD">
            <w:pPr>
              <w:keepNext/>
              <w:widowControl w:val="0"/>
              <w:jc w:val="center"/>
              <w:rPr>
                <w:rFonts w:ascii="Arial Narrow" w:eastAsiaTheme="majorEastAsia" w:hAnsi="Arial Narrow" w:cs="Times New Roman"/>
                <w:b/>
                <w:sz w:val="20"/>
              </w:rPr>
            </w:pPr>
            <w:r w:rsidRPr="00730FFE">
              <w:rPr>
                <w:rFonts w:ascii="Arial Narrow" w:eastAsiaTheme="majorEastAsia" w:hAnsi="Arial Narrow" w:cs="Times New Roman"/>
                <w:b/>
                <w:sz w:val="20"/>
              </w:rPr>
              <w:t>Nemolizumab</w:t>
            </w:r>
          </w:p>
        </w:tc>
        <w:tc>
          <w:tcPr>
            <w:tcW w:w="1701" w:type="pct"/>
            <w:tcMar>
              <w:left w:w="28" w:type="dxa"/>
              <w:right w:w="28" w:type="dxa"/>
            </w:tcMar>
          </w:tcPr>
          <w:p w14:paraId="111A77C8" w14:textId="77777777" w:rsidR="006E58BD" w:rsidRPr="00730FFE" w:rsidRDefault="006E58BD">
            <w:pPr>
              <w:keepNext/>
              <w:widowControl w:val="0"/>
              <w:jc w:val="center"/>
              <w:rPr>
                <w:rFonts w:ascii="Arial Narrow" w:eastAsiaTheme="majorEastAsia" w:hAnsi="Arial Narrow" w:cs="Times New Roman"/>
                <w:b/>
                <w:sz w:val="20"/>
              </w:rPr>
            </w:pPr>
            <w:r w:rsidRPr="00730FFE">
              <w:rPr>
                <w:rFonts w:ascii="Arial Narrow" w:eastAsiaTheme="majorEastAsia" w:hAnsi="Arial Narrow" w:cs="Times New Roman"/>
                <w:b/>
                <w:sz w:val="20"/>
              </w:rPr>
              <w:t>Dupilumab</w:t>
            </w:r>
          </w:p>
        </w:tc>
      </w:tr>
      <w:tr w:rsidR="006E58BD" w:rsidRPr="00730FFE" w14:paraId="0E8428DC" w14:textId="77777777" w:rsidTr="00AF29CF">
        <w:tc>
          <w:tcPr>
            <w:tcW w:w="1727" w:type="pct"/>
            <w:tcMar>
              <w:left w:w="28" w:type="dxa"/>
              <w:right w:w="28" w:type="dxa"/>
            </w:tcMar>
          </w:tcPr>
          <w:p w14:paraId="0E4A05B6" w14:textId="77777777" w:rsidR="006E58BD" w:rsidRPr="00730FFE" w:rsidRDefault="006E58BD">
            <w:pPr>
              <w:keepNext/>
              <w:widowControl w:val="0"/>
              <w:jc w:val="left"/>
              <w:rPr>
                <w:rFonts w:ascii="Arial Narrow" w:eastAsiaTheme="majorEastAsia" w:hAnsi="Arial Narrow" w:cstheme="majorBidi"/>
                <w:bCs/>
                <w:sz w:val="20"/>
              </w:rPr>
            </w:pPr>
            <w:r w:rsidRPr="00730FFE">
              <w:rPr>
                <w:rFonts w:ascii="Arial Narrow" w:eastAsiaTheme="majorEastAsia" w:hAnsi="Arial Narrow" w:cstheme="majorBidi"/>
                <w:bCs/>
                <w:sz w:val="20"/>
              </w:rPr>
              <w:t>Ex-manufacturer price per script</w:t>
            </w:r>
          </w:p>
        </w:tc>
        <w:tc>
          <w:tcPr>
            <w:tcW w:w="1572" w:type="pct"/>
            <w:tcMar>
              <w:left w:w="28" w:type="dxa"/>
              <w:right w:w="28" w:type="dxa"/>
            </w:tcMar>
          </w:tcPr>
          <w:p w14:paraId="48C9C4AC" w14:textId="77777777" w:rsidR="006E58BD" w:rsidRPr="00730FFE" w:rsidRDefault="006E58BD">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$2,627.71 per 30 mg pen</w:t>
            </w:r>
          </w:p>
        </w:tc>
        <w:tc>
          <w:tcPr>
            <w:tcW w:w="1701" w:type="pct"/>
            <w:tcMar>
              <w:left w:w="28" w:type="dxa"/>
              <w:right w:w="28" w:type="dxa"/>
            </w:tcMar>
          </w:tcPr>
          <w:p w14:paraId="7F8AE51B" w14:textId="1E03F92F" w:rsidR="006E58BD" w:rsidRPr="00730FFE" w:rsidRDefault="006E58BD">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 xml:space="preserve">$1,609.86 per 2 x 300/200 mg </w:t>
            </w:r>
            <w:proofErr w:type="spellStart"/>
            <w:r w:rsidRPr="00730FFE">
              <w:rPr>
                <w:rFonts w:ascii="Arial Narrow" w:eastAsiaTheme="majorEastAsia" w:hAnsi="Arial Narrow" w:cstheme="majorBidi"/>
                <w:bCs/>
                <w:sz w:val="20"/>
              </w:rPr>
              <w:t>syringes</w:t>
            </w:r>
            <w:r w:rsidR="001B57DF" w:rsidRPr="00730FFE">
              <w:rPr>
                <w:rFonts w:ascii="Arial Narrow" w:eastAsiaTheme="majorEastAsia" w:hAnsi="Arial Narrow" w:cstheme="majorBidi"/>
                <w:bCs/>
                <w:sz w:val="20"/>
                <w:vertAlign w:val="superscript"/>
              </w:rPr>
              <w:t>a</w:t>
            </w:r>
            <w:proofErr w:type="spellEnd"/>
          </w:p>
        </w:tc>
      </w:tr>
      <w:tr w:rsidR="006E58BD" w:rsidRPr="00730FFE" w14:paraId="28526509" w14:textId="77777777" w:rsidTr="00AF29CF">
        <w:tc>
          <w:tcPr>
            <w:tcW w:w="1727" w:type="pct"/>
            <w:tcMar>
              <w:left w:w="28" w:type="dxa"/>
              <w:right w:w="28" w:type="dxa"/>
            </w:tcMar>
          </w:tcPr>
          <w:p w14:paraId="7F2030B2" w14:textId="77777777" w:rsidR="006E58BD" w:rsidRPr="00730FFE" w:rsidRDefault="006E58BD">
            <w:pPr>
              <w:keepNext/>
              <w:widowControl w:val="0"/>
              <w:jc w:val="left"/>
              <w:rPr>
                <w:rFonts w:ascii="Arial Narrow" w:eastAsiaTheme="majorEastAsia" w:hAnsi="Arial Narrow" w:cstheme="majorBidi"/>
                <w:bCs/>
                <w:sz w:val="20"/>
              </w:rPr>
            </w:pPr>
            <w:r w:rsidRPr="00730FFE">
              <w:rPr>
                <w:rFonts w:ascii="Arial Narrow" w:eastAsiaTheme="majorEastAsia" w:hAnsi="Arial Narrow" w:cstheme="majorBidi"/>
                <w:bCs/>
                <w:sz w:val="20"/>
              </w:rPr>
              <w:t xml:space="preserve">No. of doses over 2 years </w:t>
            </w:r>
          </w:p>
        </w:tc>
        <w:tc>
          <w:tcPr>
            <w:tcW w:w="1572" w:type="pct"/>
            <w:tcMar>
              <w:left w:w="28" w:type="dxa"/>
              <w:right w:w="28" w:type="dxa"/>
            </w:tcMar>
          </w:tcPr>
          <w:p w14:paraId="66531C10" w14:textId="58A93AD7" w:rsidR="006E58BD" w:rsidRPr="00730FFE" w:rsidRDefault="006E58BD">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16.26</w:t>
            </w:r>
            <w:r w:rsidR="00C338B7" w:rsidRPr="00730FFE">
              <w:rPr>
                <w:rFonts w:ascii="Arial Narrow" w:eastAsiaTheme="majorEastAsia" w:hAnsi="Arial Narrow" w:cstheme="majorBidi"/>
                <w:bCs/>
                <w:sz w:val="20"/>
              </w:rPr>
              <w:t xml:space="preserve"> doses over 104 weeks</w:t>
            </w:r>
          </w:p>
          <w:p w14:paraId="70F0C7C5" w14:textId="5560B19A" w:rsidR="009B79B5" w:rsidRPr="00730FFE" w:rsidRDefault="004C573A">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(74.1%</w:t>
            </w:r>
            <w:r w:rsidR="009B79B5" w:rsidRPr="00730FFE">
              <w:rPr>
                <w:rFonts w:ascii="Arial Narrow" w:eastAsiaTheme="majorEastAsia" w:hAnsi="Arial Narrow" w:cstheme="majorBidi"/>
                <w:bCs/>
                <w:sz w:val="20"/>
              </w:rPr>
              <w:t xml:space="preserve"> =</w:t>
            </w:r>
            <w:r w:rsidRPr="00730FFE">
              <w:rPr>
                <w:rFonts w:ascii="Arial Narrow" w:eastAsiaTheme="majorEastAsia" w:hAnsi="Arial Narrow" w:cstheme="majorBidi"/>
                <w:bCs/>
                <w:sz w:val="20"/>
              </w:rPr>
              <w:t xml:space="preserve"> 16 doses </w:t>
            </w:r>
          </w:p>
          <w:p w14:paraId="10F92663" w14:textId="5F5FDBA2" w:rsidR="006E58BD" w:rsidRPr="00730FFE" w:rsidRDefault="004C573A" w:rsidP="00C338B7">
            <w:pPr>
              <w:keepNext/>
              <w:widowControl w:val="0"/>
              <w:jc w:val="center"/>
              <w:rPr>
                <w:rFonts w:ascii="Arial Narrow" w:eastAsiaTheme="majorEastAsia" w:hAnsi="Arial Narrow" w:cstheme="majorBidi"/>
                <w:sz w:val="20"/>
              </w:rPr>
            </w:pPr>
            <w:r w:rsidRPr="00730FFE">
              <w:rPr>
                <w:rFonts w:ascii="Arial Narrow" w:eastAsiaTheme="majorEastAsia" w:hAnsi="Arial Narrow" w:cstheme="majorBidi"/>
                <w:bCs/>
                <w:sz w:val="20"/>
              </w:rPr>
              <w:t xml:space="preserve">25.9% </w:t>
            </w:r>
            <w:r w:rsidR="009B79B5" w:rsidRPr="00730FFE">
              <w:rPr>
                <w:rFonts w:ascii="Arial Narrow" w:eastAsiaTheme="majorEastAsia" w:hAnsi="Arial Narrow" w:cstheme="majorBidi"/>
                <w:bCs/>
                <w:sz w:val="20"/>
              </w:rPr>
              <w:t>=</w:t>
            </w:r>
            <w:r w:rsidRPr="00730FFE">
              <w:rPr>
                <w:rFonts w:ascii="Arial Narrow" w:eastAsiaTheme="majorEastAsia" w:hAnsi="Arial Narrow" w:cstheme="majorBidi"/>
                <w:bCs/>
                <w:sz w:val="20"/>
              </w:rPr>
              <w:t xml:space="preserve"> </w:t>
            </w:r>
            <w:r w:rsidR="009B79B5" w:rsidRPr="00730FFE">
              <w:rPr>
                <w:rFonts w:ascii="Arial Narrow" w:eastAsiaTheme="majorEastAsia" w:hAnsi="Arial Narrow" w:cstheme="majorBidi"/>
                <w:bCs/>
                <w:sz w:val="20"/>
              </w:rPr>
              <w:t>17 doses)</w:t>
            </w:r>
          </w:p>
        </w:tc>
        <w:tc>
          <w:tcPr>
            <w:tcW w:w="1701" w:type="pct"/>
            <w:tcMar>
              <w:left w:w="28" w:type="dxa"/>
              <w:right w:w="28" w:type="dxa"/>
            </w:tcMar>
          </w:tcPr>
          <w:p w14:paraId="4142520C" w14:textId="3ED7FDE5" w:rsidR="006E58BD" w:rsidRPr="00730FFE" w:rsidRDefault="006E58BD">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53</w:t>
            </w:r>
            <w:r w:rsidR="00AE283B" w:rsidRPr="00730FFE">
              <w:rPr>
                <w:rFonts w:ascii="Arial Narrow" w:eastAsiaTheme="majorEastAsia" w:hAnsi="Arial Narrow" w:cstheme="majorBidi"/>
                <w:bCs/>
                <w:sz w:val="20"/>
              </w:rPr>
              <w:t xml:space="preserve"> doses over 104 weeks</w:t>
            </w:r>
          </w:p>
        </w:tc>
      </w:tr>
      <w:tr w:rsidR="006E58BD" w:rsidRPr="00730FFE" w14:paraId="4309135B" w14:textId="77777777" w:rsidTr="00AF29CF">
        <w:tc>
          <w:tcPr>
            <w:tcW w:w="1727" w:type="pct"/>
            <w:tcMar>
              <w:left w:w="28" w:type="dxa"/>
              <w:right w:w="28" w:type="dxa"/>
            </w:tcMar>
          </w:tcPr>
          <w:p w14:paraId="7BFAD977" w14:textId="77777777" w:rsidR="006E58BD" w:rsidRPr="00730FFE" w:rsidRDefault="006E58BD">
            <w:pPr>
              <w:keepNext/>
              <w:widowControl w:val="0"/>
              <w:jc w:val="left"/>
              <w:rPr>
                <w:rFonts w:ascii="Arial Narrow" w:eastAsiaTheme="majorEastAsia" w:hAnsi="Arial Narrow" w:cstheme="majorBidi"/>
                <w:bCs/>
                <w:sz w:val="20"/>
              </w:rPr>
            </w:pPr>
            <w:r w:rsidRPr="00730FFE">
              <w:rPr>
                <w:rFonts w:ascii="Arial Narrow" w:eastAsiaTheme="majorEastAsia" w:hAnsi="Arial Narrow" w:cstheme="majorBidi"/>
                <w:bCs/>
                <w:sz w:val="20"/>
              </w:rPr>
              <w:t>No. of scripts over 2 years</w:t>
            </w:r>
          </w:p>
        </w:tc>
        <w:tc>
          <w:tcPr>
            <w:tcW w:w="1572" w:type="pct"/>
            <w:tcMar>
              <w:left w:w="28" w:type="dxa"/>
              <w:right w:w="28" w:type="dxa"/>
            </w:tcMar>
          </w:tcPr>
          <w:p w14:paraId="6175AA35" w14:textId="77777777" w:rsidR="006E58BD" w:rsidRPr="00730FFE" w:rsidRDefault="006E58BD">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16.26</w:t>
            </w:r>
          </w:p>
        </w:tc>
        <w:tc>
          <w:tcPr>
            <w:tcW w:w="1701" w:type="pct"/>
            <w:tcMar>
              <w:left w:w="28" w:type="dxa"/>
              <w:right w:w="28" w:type="dxa"/>
            </w:tcMar>
          </w:tcPr>
          <w:p w14:paraId="7A0F9661" w14:textId="77777777" w:rsidR="006E58BD" w:rsidRPr="00730FFE" w:rsidRDefault="006E58BD">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26.5</w:t>
            </w:r>
          </w:p>
        </w:tc>
      </w:tr>
      <w:tr w:rsidR="006E58BD" w:rsidRPr="00730FFE" w14:paraId="5FD03D07" w14:textId="77777777" w:rsidTr="00AF29CF">
        <w:tc>
          <w:tcPr>
            <w:tcW w:w="1727" w:type="pct"/>
            <w:tcMar>
              <w:left w:w="28" w:type="dxa"/>
              <w:right w:w="28" w:type="dxa"/>
            </w:tcMar>
          </w:tcPr>
          <w:p w14:paraId="4E38574F" w14:textId="77777777" w:rsidR="006E58BD" w:rsidRPr="00730FFE" w:rsidRDefault="006E58BD">
            <w:pPr>
              <w:keepNext/>
              <w:widowControl w:val="0"/>
              <w:jc w:val="left"/>
              <w:rPr>
                <w:rFonts w:ascii="Arial Narrow" w:eastAsiaTheme="majorEastAsia" w:hAnsi="Arial Narrow" w:cstheme="majorBidi"/>
                <w:bCs/>
                <w:sz w:val="20"/>
              </w:rPr>
            </w:pPr>
            <w:r w:rsidRPr="00730FFE">
              <w:rPr>
                <w:rFonts w:ascii="Arial Narrow" w:eastAsiaTheme="majorEastAsia" w:hAnsi="Arial Narrow" w:cstheme="majorBidi"/>
                <w:bCs/>
                <w:sz w:val="20"/>
              </w:rPr>
              <w:t>Total medicines cost over 2 years</w:t>
            </w:r>
          </w:p>
        </w:tc>
        <w:tc>
          <w:tcPr>
            <w:tcW w:w="1572" w:type="pct"/>
            <w:tcMar>
              <w:left w:w="28" w:type="dxa"/>
              <w:right w:w="28" w:type="dxa"/>
            </w:tcMar>
          </w:tcPr>
          <w:p w14:paraId="627A55F4" w14:textId="77777777" w:rsidR="006E58BD" w:rsidRPr="00730FFE" w:rsidRDefault="006E58BD" w:rsidP="008D603E">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$42,723.70</w:t>
            </w:r>
          </w:p>
        </w:tc>
        <w:tc>
          <w:tcPr>
            <w:tcW w:w="1701" w:type="pct"/>
            <w:tcMar>
              <w:left w:w="28" w:type="dxa"/>
              <w:right w:w="28" w:type="dxa"/>
            </w:tcMar>
          </w:tcPr>
          <w:p w14:paraId="0A404CD5" w14:textId="77777777" w:rsidR="006E58BD" w:rsidRPr="00730FFE" w:rsidRDefault="006E58BD" w:rsidP="008D603E">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$42,661.29</w:t>
            </w:r>
          </w:p>
        </w:tc>
      </w:tr>
      <w:tr w:rsidR="006E58BD" w:rsidRPr="00730FFE" w14:paraId="321ADE45" w14:textId="77777777" w:rsidTr="00AF29CF">
        <w:tc>
          <w:tcPr>
            <w:tcW w:w="1727" w:type="pct"/>
            <w:tcMar>
              <w:left w:w="28" w:type="dxa"/>
              <w:right w:w="28" w:type="dxa"/>
            </w:tcMar>
          </w:tcPr>
          <w:p w14:paraId="52C2117B" w14:textId="77777777" w:rsidR="006E58BD" w:rsidRPr="00730FFE" w:rsidRDefault="006E58BD">
            <w:pPr>
              <w:keepNext/>
              <w:widowControl w:val="0"/>
              <w:jc w:val="left"/>
              <w:rPr>
                <w:rFonts w:ascii="Arial Narrow" w:eastAsiaTheme="majorEastAsia" w:hAnsi="Arial Narrow" w:cstheme="majorBidi"/>
                <w:bCs/>
                <w:sz w:val="20"/>
              </w:rPr>
            </w:pPr>
            <w:r w:rsidRPr="00730FFE">
              <w:rPr>
                <w:rFonts w:ascii="Arial Narrow" w:eastAsiaTheme="majorEastAsia" w:hAnsi="Arial Narrow" w:cstheme="majorBidi"/>
                <w:bCs/>
                <w:sz w:val="20"/>
              </w:rPr>
              <w:t>Cost of specialist visit for slow responders</w:t>
            </w:r>
          </w:p>
        </w:tc>
        <w:tc>
          <w:tcPr>
            <w:tcW w:w="1572" w:type="pct"/>
            <w:tcMar>
              <w:left w:w="28" w:type="dxa"/>
              <w:right w:w="28" w:type="dxa"/>
            </w:tcMar>
          </w:tcPr>
          <w:p w14:paraId="7A2570A6" w14:textId="77777777" w:rsidR="006E58BD" w:rsidRPr="00730FFE" w:rsidRDefault="006E58BD" w:rsidP="008D603E">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$13.19</w:t>
            </w:r>
          </w:p>
        </w:tc>
        <w:tc>
          <w:tcPr>
            <w:tcW w:w="1701" w:type="pct"/>
            <w:tcMar>
              <w:left w:w="28" w:type="dxa"/>
              <w:right w:w="28" w:type="dxa"/>
            </w:tcMar>
          </w:tcPr>
          <w:p w14:paraId="095F8FC3" w14:textId="77777777" w:rsidR="006E58BD" w:rsidRPr="00730FFE" w:rsidRDefault="006E58BD" w:rsidP="008D603E">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$0.00</w:t>
            </w:r>
          </w:p>
        </w:tc>
      </w:tr>
      <w:tr w:rsidR="006E58BD" w:rsidRPr="00730FFE" w14:paraId="25F26FAA" w14:textId="77777777" w:rsidTr="00AF29CF">
        <w:tc>
          <w:tcPr>
            <w:tcW w:w="1727" w:type="pct"/>
            <w:tcMar>
              <w:left w:w="28" w:type="dxa"/>
              <w:right w:w="28" w:type="dxa"/>
            </w:tcMar>
          </w:tcPr>
          <w:p w14:paraId="4BCDB9E8" w14:textId="7892720A" w:rsidR="006E58BD" w:rsidRPr="00730FFE" w:rsidRDefault="006E58BD">
            <w:pPr>
              <w:keepNext/>
              <w:widowControl w:val="0"/>
              <w:jc w:val="left"/>
              <w:rPr>
                <w:rFonts w:ascii="Arial Narrow" w:eastAsiaTheme="majorEastAsia" w:hAnsi="Arial Narrow" w:cstheme="majorBidi"/>
                <w:bCs/>
                <w:sz w:val="20"/>
              </w:rPr>
            </w:pPr>
            <w:r w:rsidRPr="00730FFE">
              <w:rPr>
                <w:rFonts w:ascii="Arial Narrow" w:eastAsiaTheme="majorEastAsia" w:hAnsi="Arial Narrow" w:cstheme="majorBidi"/>
                <w:bCs/>
                <w:sz w:val="20"/>
              </w:rPr>
              <w:t>Cost of managing eye complications</w:t>
            </w:r>
          </w:p>
        </w:tc>
        <w:tc>
          <w:tcPr>
            <w:tcW w:w="1572" w:type="pct"/>
            <w:tcMar>
              <w:left w:w="28" w:type="dxa"/>
              <w:right w:w="28" w:type="dxa"/>
            </w:tcMar>
          </w:tcPr>
          <w:p w14:paraId="2E61E601" w14:textId="77777777" w:rsidR="006E58BD" w:rsidRPr="00730FFE" w:rsidRDefault="006E58BD" w:rsidP="008D603E">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$0.00</w:t>
            </w:r>
          </w:p>
        </w:tc>
        <w:tc>
          <w:tcPr>
            <w:tcW w:w="1701" w:type="pct"/>
            <w:tcMar>
              <w:left w:w="28" w:type="dxa"/>
              <w:right w:w="28" w:type="dxa"/>
            </w:tcMar>
          </w:tcPr>
          <w:p w14:paraId="7CC17D57" w14:textId="77777777" w:rsidR="006E58BD" w:rsidRPr="00730FFE" w:rsidRDefault="006E58BD" w:rsidP="008D603E">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$75.60</w:t>
            </w:r>
          </w:p>
        </w:tc>
      </w:tr>
      <w:tr w:rsidR="006E58BD" w:rsidRPr="00730FFE" w14:paraId="3DBE4D66" w14:textId="77777777" w:rsidTr="00AF29CF">
        <w:trPr>
          <w:trHeight w:val="70"/>
        </w:trPr>
        <w:tc>
          <w:tcPr>
            <w:tcW w:w="1727" w:type="pct"/>
            <w:tcMar>
              <w:left w:w="28" w:type="dxa"/>
              <w:right w:w="28" w:type="dxa"/>
            </w:tcMar>
          </w:tcPr>
          <w:p w14:paraId="60B28660" w14:textId="77777777" w:rsidR="006E58BD" w:rsidRPr="00730FFE" w:rsidRDefault="006E58BD">
            <w:pPr>
              <w:keepNext/>
              <w:widowControl w:val="0"/>
              <w:jc w:val="left"/>
              <w:rPr>
                <w:rFonts w:ascii="Arial Narrow" w:eastAsiaTheme="majorEastAsia" w:hAnsi="Arial Narrow" w:cstheme="majorBidi"/>
                <w:bCs/>
                <w:sz w:val="20"/>
              </w:rPr>
            </w:pPr>
            <w:r w:rsidRPr="00730FFE">
              <w:rPr>
                <w:rFonts w:ascii="Arial Narrow" w:eastAsiaTheme="majorEastAsia" w:hAnsi="Arial Narrow" w:cstheme="majorBidi"/>
                <w:bCs/>
                <w:sz w:val="20"/>
              </w:rPr>
              <w:t xml:space="preserve">Total 2-year treatment cost </w:t>
            </w:r>
          </w:p>
        </w:tc>
        <w:tc>
          <w:tcPr>
            <w:tcW w:w="1572" w:type="pct"/>
            <w:tcMar>
              <w:left w:w="28" w:type="dxa"/>
              <w:right w:w="28" w:type="dxa"/>
            </w:tcMar>
          </w:tcPr>
          <w:p w14:paraId="3BDA04DD" w14:textId="77777777" w:rsidR="006E58BD" w:rsidRPr="00730FFE" w:rsidRDefault="006E58BD" w:rsidP="008D603E">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$42,736.89</w:t>
            </w:r>
          </w:p>
        </w:tc>
        <w:tc>
          <w:tcPr>
            <w:tcW w:w="1701" w:type="pct"/>
            <w:tcMar>
              <w:left w:w="28" w:type="dxa"/>
              <w:right w:w="28" w:type="dxa"/>
            </w:tcMar>
          </w:tcPr>
          <w:p w14:paraId="35F97305" w14:textId="77777777" w:rsidR="006E58BD" w:rsidRPr="00730FFE" w:rsidRDefault="006E58BD" w:rsidP="008D603E">
            <w:pPr>
              <w:keepNext/>
              <w:widowControl w:val="0"/>
              <w:jc w:val="center"/>
              <w:rPr>
                <w:rFonts w:ascii="Arial Narrow" w:eastAsiaTheme="majorEastAsia" w:hAnsi="Arial Narrow" w:cstheme="majorBidi"/>
                <w:bCs/>
                <w:sz w:val="20"/>
              </w:rPr>
            </w:pPr>
            <w:r w:rsidRPr="00730FFE">
              <w:rPr>
                <w:rFonts w:ascii="Arial Narrow" w:eastAsiaTheme="majorEastAsia" w:hAnsi="Arial Narrow" w:cstheme="majorBidi"/>
                <w:bCs/>
                <w:sz w:val="20"/>
              </w:rPr>
              <w:t>$42,736.89</w:t>
            </w:r>
          </w:p>
        </w:tc>
      </w:tr>
    </w:tbl>
    <w:p w14:paraId="48AC1FF1" w14:textId="42AF1D61" w:rsidR="006E58BD" w:rsidRDefault="006E58BD" w:rsidP="000E4C06">
      <w:pPr>
        <w:keepLines/>
        <w:spacing w:before="160" w:after="160"/>
        <w:contextualSpacing/>
        <w:rPr>
          <w:rFonts w:ascii="Arial Narrow" w:hAnsi="Arial Narrow"/>
          <w:snapToGrid w:val="0"/>
          <w:sz w:val="18"/>
          <w:szCs w:val="22"/>
        </w:rPr>
      </w:pPr>
      <w:r w:rsidRPr="00FA2AB8">
        <w:rPr>
          <w:rFonts w:ascii="Arial Narrow" w:hAnsi="Arial Narrow"/>
          <w:snapToGrid w:val="0"/>
          <w:sz w:val="18"/>
          <w:szCs w:val="22"/>
        </w:rPr>
        <w:t xml:space="preserve">Source: Adapted from Table 3-4, p77 of the </w:t>
      </w:r>
      <w:r w:rsidR="00B13B2F">
        <w:rPr>
          <w:rFonts w:ascii="Arial Narrow" w:hAnsi="Arial Narrow"/>
          <w:snapToGrid w:val="0"/>
          <w:sz w:val="18"/>
          <w:szCs w:val="22"/>
        </w:rPr>
        <w:t>re</w:t>
      </w:r>
      <w:r w:rsidRPr="00FA2AB8">
        <w:rPr>
          <w:rFonts w:ascii="Arial Narrow" w:hAnsi="Arial Narrow"/>
          <w:snapToGrid w:val="0"/>
          <w:sz w:val="18"/>
          <w:szCs w:val="22"/>
        </w:rPr>
        <w:t xml:space="preserve">submission. </w:t>
      </w:r>
    </w:p>
    <w:p w14:paraId="21747A84" w14:textId="36EFAE82" w:rsidR="001B57DF" w:rsidRPr="00FA2AB8" w:rsidRDefault="001B57DF" w:rsidP="000E4C06">
      <w:pPr>
        <w:keepLines/>
        <w:spacing w:before="160" w:after="160"/>
        <w:contextualSpacing/>
        <w:rPr>
          <w:rFonts w:ascii="Arial Narrow" w:hAnsi="Arial Narrow"/>
          <w:snapToGrid w:val="0"/>
          <w:sz w:val="18"/>
          <w:szCs w:val="22"/>
        </w:rPr>
      </w:pPr>
      <w:r>
        <w:rPr>
          <w:rFonts w:ascii="Arial Narrow" w:hAnsi="Arial Narrow"/>
          <w:snapToGrid w:val="0"/>
          <w:sz w:val="18"/>
          <w:szCs w:val="22"/>
        </w:rPr>
        <w:t xml:space="preserve">a. The published AEMPs for the </w:t>
      </w:r>
      <w:r w:rsidR="00E7409D">
        <w:rPr>
          <w:rFonts w:ascii="Arial Narrow" w:hAnsi="Arial Narrow"/>
          <w:snapToGrid w:val="0"/>
          <w:sz w:val="18"/>
          <w:szCs w:val="22"/>
        </w:rPr>
        <w:t xml:space="preserve">200 mg and 300 mg </w:t>
      </w:r>
      <w:r w:rsidR="006900C9">
        <w:rPr>
          <w:rFonts w:ascii="Arial Narrow" w:hAnsi="Arial Narrow"/>
          <w:snapToGrid w:val="0"/>
          <w:sz w:val="18"/>
          <w:szCs w:val="22"/>
        </w:rPr>
        <w:t>strengths of dupilumab are the same</w:t>
      </w:r>
    </w:p>
    <w:p w14:paraId="6E0EDC2E" w14:textId="05798028" w:rsidR="000C379B" w:rsidRDefault="000C379B" w:rsidP="000E4C06">
      <w:pPr>
        <w:pStyle w:val="3-BodyText"/>
        <w:spacing w:before="160" w:after="160"/>
      </w:pPr>
      <w:r>
        <w:t xml:space="preserve">The </w:t>
      </w:r>
      <w:r w:rsidR="00577CCA">
        <w:t xml:space="preserve">March 2026 </w:t>
      </w:r>
      <w:r>
        <w:t xml:space="preserve">pre-PBAC response stated that </w:t>
      </w:r>
      <w:r w:rsidR="00577CCA">
        <w:t xml:space="preserve">it would be willing to honour the price offer made in the July 2025 pre-PBAC response, which was a </w:t>
      </w:r>
      <w:r w:rsidR="00807021" w:rsidRPr="00807021">
        <w:rPr>
          <w:sz w:val="2"/>
          <w:highlight w:val="black"/>
        </w:rPr>
        <w:t>redacted content</w:t>
      </w:r>
      <w:r w:rsidR="00577CCA">
        <w:t>% reduction</w:t>
      </w:r>
      <w:r w:rsidR="006B1D56">
        <w:t xml:space="preserve"> to the proposed EMP. This would result in an EMP </w:t>
      </w:r>
      <w:r w:rsidR="006C48FB">
        <w:t xml:space="preserve">for NEMO </w:t>
      </w:r>
      <w:r w:rsidR="006B1D56">
        <w:t xml:space="preserve">of </w:t>
      </w:r>
      <w:r w:rsidR="00AA4E29">
        <w:t>$</w:t>
      </w:r>
      <w:r w:rsidR="00807021" w:rsidRPr="00807021">
        <w:rPr>
          <w:sz w:val="2"/>
          <w:highlight w:val="black"/>
        </w:rPr>
        <w:t>redacted content</w:t>
      </w:r>
      <w:r w:rsidR="00AA4E29">
        <w:t xml:space="preserve"> per 30 g pen.</w:t>
      </w:r>
    </w:p>
    <w:p w14:paraId="330E68F8" w14:textId="56A4098A" w:rsidR="00B7626C" w:rsidRPr="00730FFE" w:rsidRDefault="00B7626C" w:rsidP="000E4C06">
      <w:pPr>
        <w:pStyle w:val="3-BodyText"/>
        <w:spacing w:before="160" w:after="160"/>
      </w:pPr>
      <w:r w:rsidRPr="00730FFE">
        <w:t>Results of sensitivity analyses</w:t>
      </w:r>
      <w:r w:rsidR="00D7171D" w:rsidRPr="00730FFE">
        <w:t xml:space="preserve"> assuming a </w:t>
      </w:r>
      <w:r w:rsidR="00CE169D" w:rsidRPr="00730FFE">
        <w:t xml:space="preserve">higher </w:t>
      </w:r>
      <w:r w:rsidR="00D7171D" w:rsidRPr="00730FFE">
        <w:t>proportion of slow responders, changing</w:t>
      </w:r>
      <w:r w:rsidRPr="00730FFE">
        <w:t xml:space="preserve"> cost offsets associated with management of conjunctivitis </w:t>
      </w:r>
      <w:r w:rsidR="00F26BF8" w:rsidRPr="00730FFE">
        <w:t xml:space="preserve">and excluding the additional specialist visit for NEMO non-responders </w:t>
      </w:r>
      <w:r w:rsidRPr="00730FFE">
        <w:t xml:space="preserve">are presented in </w:t>
      </w:r>
      <w:r w:rsidRPr="00730FFE">
        <w:fldChar w:fldCharType="begin"/>
      </w:r>
      <w:r w:rsidRPr="00730FFE">
        <w:instrText xml:space="preserve"> REF _Ref215486304 \h </w:instrText>
      </w:r>
      <w:r w:rsidR="00FA2AB8" w:rsidRPr="00730FFE">
        <w:instrText xml:space="preserve"> \* MERGEFORMAT </w:instrText>
      </w:r>
      <w:r w:rsidRPr="00730FFE">
        <w:fldChar w:fldCharType="separate"/>
      </w:r>
      <w:r w:rsidR="00F51AFF" w:rsidRPr="00730FFE">
        <w:t xml:space="preserve">Table </w:t>
      </w:r>
      <w:r w:rsidR="00F51AFF" w:rsidRPr="00730FFE">
        <w:rPr>
          <w:noProof/>
        </w:rPr>
        <w:t>14</w:t>
      </w:r>
      <w:r w:rsidRPr="00730FFE">
        <w:fldChar w:fldCharType="end"/>
      </w:r>
      <w:r w:rsidRPr="00730FFE">
        <w:t xml:space="preserve">. Overall, the impact of these changes was not substantial. </w:t>
      </w:r>
    </w:p>
    <w:p w14:paraId="4ADDCBA2" w14:textId="23F8FE1E" w:rsidR="00B7626C" w:rsidRPr="00FA2AB8" w:rsidRDefault="00B7626C" w:rsidP="000E4C06">
      <w:pPr>
        <w:pStyle w:val="Caption"/>
        <w:spacing w:before="160"/>
      </w:pPr>
      <w:bookmarkStart w:id="64" w:name="_Ref215486304"/>
      <w:r w:rsidRPr="00FA2AB8">
        <w:t xml:space="preserve">Table </w:t>
      </w:r>
      <w:fldSimple w:instr=" SEQ Table \* ARABIC ">
        <w:r w:rsidR="00CB23C7">
          <w:rPr>
            <w:noProof/>
          </w:rPr>
          <w:t>14</w:t>
        </w:r>
      </w:fldSimple>
      <w:bookmarkEnd w:id="64"/>
      <w:r w:rsidRPr="00FA2AB8">
        <w:t xml:space="preserve">: Results of sensitivity analyses </w:t>
      </w:r>
    </w:p>
    <w:tbl>
      <w:tblPr>
        <w:tblStyle w:val="TableGrid"/>
        <w:tblW w:w="5000" w:type="pct"/>
        <w:tblLook w:val="04A0" w:firstRow="1" w:lastRow="0" w:firstColumn="1" w:lastColumn="0" w:noHBand="0" w:noVBand="1"/>
        <w:tblCaption w:val="Table 14: Results of sensitivity analyses "/>
      </w:tblPr>
      <w:tblGrid>
        <w:gridCol w:w="5348"/>
        <w:gridCol w:w="1885"/>
        <w:gridCol w:w="1784"/>
      </w:tblGrid>
      <w:tr w:rsidR="00B7626C" w:rsidRPr="00FA2AB8" w14:paraId="3F519858" w14:textId="77777777" w:rsidTr="00AF29CF">
        <w:tc>
          <w:tcPr>
            <w:tcW w:w="2966" w:type="pct"/>
          </w:tcPr>
          <w:p w14:paraId="39D9E204" w14:textId="77777777" w:rsidR="00B7626C" w:rsidRPr="00730FFE" w:rsidRDefault="00B7626C">
            <w:pPr>
              <w:keepNext/>
              <w:keepLines/>
              <w:widowControl w:val="0"/>
              <w:jc w:val="left"/>
              <w:rPr>
                <w:rFonts w:ascii="Arial Narrow" w:eastAsiaTheme="majorEastAsia" w:hAnsi="Arial Narrow" w:cs="Times New Roman"/>
                <w:b/>
                <w:sz w:val="20"/>
              </w:rPr>
            </w:pPr>
            <w:r w:rsidRPr="00730FFE">
              <w:rPr>
                <w:rFonts w:ascii="Arial Narrow" w:eastAsiaTheme="majorEastAsia" w:hAnsi="Arial Narrow" w:cs="Times New Roman"/>
                <w:b/>
                <w:sz w:val="20"/>
              </w:rPr>
              <w:t>Component</w:t>
            </w:r>
          </w:p>
        </w:tc>
        <w:tc>
          <w:tcPr>
            <w:tcW w:w="1045" w:type="pct"/>
          </w:tcPr>
          <w:p w14:paraId="76C076F6" w14:textId="5243D9AB" w:rsidR="00B7626C" w:rsidRPr="00730FFE" w:rsidRDefault="005A4AA8">
            <w:pPr>
              <w:keepNext/>
              <w:keepLines/>
              <w:widowControl w:val="0"/>
              <w:jc w:val="center"/>
              <w:rPr>
                <w:rFonts w:ascii="Arial Narrow" w:eastAsiaTheme="majorEastAsia" w:hAnsi="Arial Narrow" w:cs="Times New Roman"/>
                <w:b/>
                <w:sz w:val="20"/>
              </w:rPr>
            </w:pPr>
            <w:r>
              <w:rPr>
                <w:rFonts w:ascii="Arial Narrow" w:eastAsiaTheme="majorEastAsia" w:hAnsi="Arial Narrow" w:cs="Times New Roman"/>
                <w:b/>
                <w:sz w:val="20"/>
              </w:rPr>
              <w:t xml:space="preserve">NEMO </w:t>
            </w:r>
            <w:r w:rsidR="00B7626C" w:rsidRPr="00730FFE">
              <w:rPr>
                <w:rFonts w:ascii="Arial Narrow" w:eastAsiaTheme="majorEastAsia" w:hAnsi="Arial Narrow" w:cs="Times New Roman"/>
                <w:b/>
                <w:sz w:val="20"/>
              </w:rPr>
              <w:t>cost-minimised price</w:t>
            </w:r>
          </w:p>
        </w:tc>
        <w:tc>
          <w:tcPr>
            <w:tcW w:w="989" w:type="pct"/>
          </w:tcPr>
          <w:p w14:paraId="50A0AE75" w14:textId="77777777" w:rsidR="00B7626C" w:rsidRPr="00730FFE" w:rsidRDefault="00B7626C">
            <w:pPr>
              <w:keepNext/>
              <w:keepLines/>
              <w:widowControl w:val="0"/>
              <w:jc w:val="center"/>
              <w:rPr>
                <w:rFonts w:ascii="Arial Narrow" w:eastAsiaTheme="majorEastAsia" w:hAnsi="Arial Narrow" w:cs="Times New Roman"/>
                <w:b/>
                <w:sz w:val="20"/>
              </w:rPr>
            </w:pPr>
            <w:r w:rsidRPr="00730FFE">
              <w:rPr>
                <w:rFonts w:ascii="Arial Narrow" w:eastAsiaTheme="majorEastAsia" w:hAnsi="Arial Narrow" w:cs="Times New Roman"/>
                <w:b/>
                <w:sz w:val="20"/>
              </w:rPr>
              <w:t>% change from base case</w:t>
            </w:r>
          </w:p>
        </w:tc>
      </w:tr>
      <w:tr w:rsidR="00B7626C" w:rsidRPr="00FA2AB8" w14:paraId="1D3D168B" w14:textId="77777777" w:rsidTr="00AF29CF">
        <w:tc>
          <w:tcPr>
            <w:tcW w:w="2966" w:type="pct"/>
          </w:tcPr>
          <w:p w14:paraId="384E39A4" w14:textId="77777777" w:rsidR="00B7626C" w:rsidRPr="00730FFE" w:rsidRDefault="00B7626C">
            <w:pPr>
              <w:keepNext/>
              <w:widowControl w:val="0"/>
              <w:jc w:val="left"/>
              <w:rPr>
                <w:rFonts w:ascii="Arial Narrow" w:hAnsi="Arial Narrow" w:cs="Times New Roman"/>
                <w:b/>
                <w:bCs/>
                <w:snapToGrid w:val="0"/>
                <w:sz w:val="20"/>
              </w:rPr>
            </w:pPr>
            <w:r w:rsidRPr="00730FFE">
              <w:rPr>
                <w:rFonts w:ascii="Arial Narrow" w:hAnsi="Arial Narrow" w:cs="Times New Roman"/>
                <w:b/>
                <w:bCs/>
                <w:snapToGrid w:val="0"/>
                <w:sz w:val="20"/>
              </w:rPr>
              <w:t>Base case ex-manufacturer price per 30 mg pen</w:t>
            </w:r>
          </w:p>
        </w:tc>
        <w:tc>
          <w:tcPr>
            <w:tcW w:w="1045" w:type="pct"/>
          </w:tcPr>
          <w:p w14:paraId="2C0621F8" w14:textId="77777777" w:rsidR="00B7626C" w:rsidRPr="00730FFE" w:rsidRDefault="00B7626C" w:rsidP="008D603E">
            <w:pPr>
              <w:keepNext/>
              <w:widowControl w:val="0"/>
              <w:jc w:val="center"/>
              <w:rPr>
                <w:rFonts w:ascii="Arial Narrow" w:hAnsi="Arial Narrow" w:cs="Times New Roman"/>
                <w:b/>
                <w:bCs/>
                <w:snapToGrid w:val="0"/>
                <w:sz w:val="20"/>
              </w:rPr>
            </w:pPr>
            <w:r w:rsidRPr="00730FFE">
              <w:rPr>
                <w:rFonts w:ascii="Arial Narrow" w:hAnsi="Arial Narrow" w:cs="Times New Roman"/>
                <w:b/>
                <w:bCs/>
                <w:snapToGrid w:val="0"/>
                <w:sz w:val="20"/>
              </w:rPr>
              <w:t>$2,627.71</w:t>
            </w:r>
          </w:p>
        </w:tc>
        <w:tc>
          <w:tcPr>
            <w:tcW w:w="989" w:type="pct"/>
          </w:tcPr>
          <w:p w14:paraId="0251F553" w14:textId="77777777" w:rsidR="00B7626C" w:rsidRPr="00730FFE" w:rsidRDefault="00B7626C">
            <w:pPr>
              <w:keepNext/>
              <w:widowControl w:val="0"/>
              <w:jc w:val="center"/>
              <w:rPr>
                <w:rFonts w:ascii="Arial Narrow" w:hAnsi="Arial Narrow" w:cs="Times New Roman"/>
                <w:b/>
                <w:bCs/>
                <w:snapToGrid w:val="0"/>
                <w:sz w:val="20"/>
              </w:rPr>
            </w:pPr>
            <w:r w:rsidRPr="00730FFE">
              <w:rPr>
                <w:rFonts w:ascii="Arial Narrow" w:hAnsi="Arial Narrow" w:cs="Times New Roman"/>
                <w:b/>
                <w:bCs/>
                <w:snapToGrid w:val="0"/>
                <w:sz w:val="20"/>
              </w:rPr>
              <w:t>–</w:t>
            </w:r>
          </w:p>
        </w:tc>
      </w:tr>
      <w:tr w:rsidR="008F7613" w:rsidRPr="004977C0" w14:paraId="508B0F94" w14:textId="77777777" w:rsidTr="00AF29CF">
        <w:tc>
          <w:tcPr>
            <w:tcW w:w="2966" w:type="pct"/>
          </w:tcPr>
          <w:p w14:paraId="7710578A" w14:textId="012406BB" w:rsidR="008F7613" w:rsidRPr="00730FFE" w:rsidRDefault="00B06D68">
            <w:pPr>
              <w:keepNext/>
              <w:widowControl w:val="0"/>
              <w:jc w:val="left"/>
              <w:rPr>
                <w:rFonts w:ascii="Arial Narrow" w:hAnsi="Arial Narrow" w:cs="Times New Roman"/>
                <w:snapToGrid w:val="0"/>
                <w:sz w:val="20"/>
              </w:rPr>
            </w:pPr>
            <w:r w:rsidRPr="00730FFE">
              <w:rPr>
                <w:rFonts w:ascii="Arial Narrow" w:hAnsi="Arial Narrow" w:cs="Times New Roman"/>
                <w:snapToGrid w:val="0"/>
                <w:sz w:val="20"/>
              </w:rPr>
              <w:t>35.9</w:t>
            </w:r>
            <w:r w:rsidR="008F7613" w:rsidRPr="00730FFE">
              <w:rPr>
                <w:rFonts w:ascii="Arial Narrow" w:hAnsi="Arial Narrow" w:cs="Times New Roman"/>
                <w:snapToGrid w:val="0"/>
                <w:sz w:val="20"/>
              </w:rPr>
              <w:t xml:space="preserve">% </w:t>
            </w:r>
            <w:r w:rsidR="006159A9" w:rsidRPr="00730FFE">
              <w:rPr>
                <w:rFonts w:ascii="Arial Narrow" w:hAnsi="Arial Narrow" w:cs="Times New Roman"/>
                <w:snapToGrid w:val="0"/>
                <w:sz w:val="20"/>
                <w:szCs w:val="20"/>
              </w:rPr>
              <w:t>are</w:t>
            </w:r>
            <w:r w:rsidR="006159A9" w:rsidRPr="00730FFE">
              <w:rPr>
                <w:rFonts w:cs="Times New Roman"/>
                <w:snapToGrid w:val="0"/>
              </w:rPr>
              <w:t xml:space="preserve"> </w:t>
            </w:r>
            <w:r w:rsidR="008F7613" w:rsidRPr="00730FFE">
              <w:rPr>
                <w:rFonts w:ascii="Arial Narrow" w:hAnsi="Arial Narrow" w:cs="Times New Roman"/>
                <w:snapToGrid w:val="0"/>
                <w:sz w:val="20"/>
              </w:rPr>
              <w:t>slow responders</w:t>
            </w:r>
            <w:r w:rsidR="00D7171D" w:rsidRPr="00730FFE">
              <w:rPr>
                <w:rFonts w:ascii="Arial Narrow" w:hAnsi="Arial Narrow" w:cs="Times New Roman"/>
                <w:snapToGrid w:val="0"/>
                <w:sz w:val="20"/>
              </w:rPr>
              <w:t xml:space="preserve"> (base case: 25.9%)</w:t>
            </w:r>
            <w:r w:rsidR="008F7613" w:rsidRPr="00730FFE">
              <w:rPr>
                <w:rFonts w:ascii="Arial Narrow" w:hAnsi="Arial Narrow" w:cs="Times New Roman"/>
                <w:snapToGrid w:val="0"/>
                <w:sz w:val="20"/>
              </w:rPr>
              <w:t xml:space="preserve"> </w:t>
            </w:r>
          </w:p>
        </w:tc>
        <w:tc>
          <w:tcPr>
            <w:tcW w:w="1045" w:type="pct"/>
          </w:tcPr>
          <w:p w14:paraId="48FB43A4" w14:textId="7C313785" w:rsidR="008F7613" w:rsidRPr="00730FFE" w:rsidRDefault="00D7171D" w:rsidP="008D603E">
            <w:pPr>
              <w:keepNext/>
              <w:widowControl w:val="0"/>
              <w:jc w:val="center"/>
              <w:rPr>
                <w:rFonts w:ascii="Arial Narrow" w:hAnsi="Arial Narrow" w:cs="Times New Roman"/>
                <w:snapToGrid w:val="0"/>
                <w:sz w:val="20"/>
              </w:rPr>
            </w:pPr>
            <w:r w:rsidRPr="00730FFE">
              <w:rPr>
                <w:rFonts w:ascii="Arial Narrow" w:hAnsi="Arial Narrow" w:cs="Times New Roman"/>
                <w:snapToGrid w:val="0"/>
                <w:sz w:val="20"/>
              </w:rPr>
              <w:t>$2,6</w:t>
            </w:r>
            <w:r w:rsidR="004D0494" w:rsidRPr="00730FFE">
              <w:rPr>
                <w:rFonts w:ascii="Arial Narrow" w:hAnsi="Arial Narrow" w:cs="Times New Roman"/>
                <w:snapToGrid w:val="0"/>
                <w:sz w:val="20"/>
              </w:rPr>
              <w:t>11.32</w:t>
            </w:r>
          </w:p>
        </w:tc>
        <w:tc>
          <w:tcPr>
            <w:tcW w:w="989" w:type="pct"/>
          </w:tcPr>
          <w:p w14:paraId="6A5EC3D1" w14:textId="072BF1B1" w:rsidR="008F7613" w:rsidRPr="00730FFE" w:rsidRDefault="003C2F25">
            <w:pPr>
              <w:keepNext/>
              <w:widowControl w:val="0"/>
              <w:jc w:val="center"/>
              <w:rPr>
                <w:rFonts w:ascii="Arial Narrow" w:hAnsi="Arial Narrow" w:cs="Times New Roman"/>
                <w:snapToGrid w:val="0"/>
                <w:sz w:val="20"/>
              </w:rPr>
            </w:pPr>
            <w:r w:rsidRPr="00730FFE">
              <w:rPr>
                <w:rFonts w:ascii="Arial Narrow" w:hAnsi="Arial Narrow" w:cs="Times New Roman"/>
                <w:snapToGrid w:val="0"/>
                <w:sz w:val="20"/>
              </w:rPr>
              <w:t>-0.</w:t>
            </w:r>
            <w:r w:rsidR="004977C0" w:rsidRPr="00730FFE">
              <w:rPr>
                <w:rFonts w:ascii="Arial Narrow" w:hAnsi="Arial Narrow" w:cs="Times New Roman"/>
                <w:snapToGrid w:val="0"/>
                <w:sz w:val="20"/>
              </w:rPr>
              <w:t>6</w:t>
            </w:r>
            <w:r w:rsidR="00D7171D" w:rsidRPr="00730FFE">
              <w:rPr>
                <w:rFonts w:ascii="Arial Narrow" w:hAnsi="Arial Narrow" w:cs="Times New Roman"/>
                <w:snapToGrid w:val="0"/>
                <w:sz w:val="20"/>
              </w:rPr>
              <w:t>%</w:t>
            </w:r>
          </w:p>
        </w:tc>
      </w:tr>
      <w:tr w:rsidR="00B7626C" w:rsidRPr="00FA2AB8" w14:paraId="75EED046" w14:textId="77777777" w:rsidTr="00AF29CF">
        <w:tc>
          <w:tcPr>
            <w:tcW w:w="2966" w:type="pct"/>
          </w:tcPr>
          <w:p w14:paraId="4B969E7A" w14:textId="77777777" w:rsidR="00B7626C" w:rsidRPr="00730FFE" w:rsidRDefault="00B7626C">
            <w:pPr>
              <w:keepNext/>
              <w:widowControl w:val="0"/>
              <w:jc w:val="left"/>
              <w:rPr>
                <w:rFonts w:ascii="Arial Narrow" w:hAnsi="Arial Narrow" w:cs="Times New Roman"/>
                <w:snapToGrid w:val="0"/>
                <w:sz w:val="20"/>
              </w:rPr>
            </w:pPr>
            <w:r w:rsidRPr="00730FFE">
              <w:rPr>
                <w:rFonts w:ascii="Arial Narrow" w:hAnsi="Arial Narrow" w:cs="Times New Roman"/>
                <w:snapToGrid w:val="0"/>
                <w:sz w:val="20"/>
              </w:rPr>
              <w:t>Excluding conjunctivitis costs (base case: $75.60)</w:t>
            </w:r>
          </w:p>
        </w:tc>
        <w:tc>
          <w:tcPr>
            <w:tcW w:w="1045" w:type="pct"/>
          </w:tcPr>
          <w:p w14:paraId="6C4A7FD7" w14:textId="77777777" w:rsidR="00B7626C" w:rsidRPr="00730FFE" w:rsidRDefault="00B7626C" w:rsidP="008D603E">
            <w:pPr>
              <w:keepNext/>
              <w:widowControl w:val="0"/>
              <w:jc w:val="center"/>
              <w:rPr>
                <w:rFonts w:ascii="Arial Narrow" w:hAnsi="Arial Narrow" w:cs="Times New Roman"/>
                <w:snapToGrid w:val="0"/>
                <w:sz w:val="20"/>
              </w:rPr>
            </w:pPr>
            <w:r w:rsidRPr="00730FFE">
              <w:rPr>
                <w:rFonts w:ascii="Arial Narrow" w:hAnsi="Arial Narrow" w:cs="Times New Roman"/>
                <w:snapToGrid w:val="0"/>
                <w:sz w:val="20"/>
              </w:rPr>
              <w:t>$2,623.06</w:t>
            </w:r>
          </w:p>
        </w:tc>
        <w:tc>
          <w:tcPr>
            <w:tcW w:w="989" w:type="pct"/>
          </w:tcPr>
          <w:p w14:paraId="01174CED" w14:textId="77777777" w:rsidR="00B7626C" w:rsidRPr="00730FFE" w:rsidRDefault="00B7626C">
            <w:pPr>
              <w:keepNext/>
              <w:widowControl w:val="0"/>
              <w:jc w:val="center"/>
              <w:rPr>
                <w:rFonts w:ascii="Arial Narrow" w:hAnsi="Arial Narrow" w:cs="Times New Roman"/>
                <w:snapToGrid w:val="0"/>
                <w:sz w:val="20"/>
              </w:rPr>
            </w:pPr>
            <w:r w:rsidRPr="00730FFE">
              <w:rPr>
                <w:rFonts w:ascii="Arial Narrow" w:hAnsi="Arial Narrow" w:cs="Times New Roman"/>
                <w:snapToGrid w:val="0"/>
                <w:sz w:val="20"/>
              </w:rPr>
              <w:t>-0.2%</w:t>
            </w:r>
          </w:p>
        </w:tc>
      </w:tr>
      <w:tr w:rsidR="00B7626C" w:rsidRPr="00FA2AB8" w14:paraId="3605DDA3" w14:textId="77777777" w:rsidTr="00AF29CF">
        <w:tc>
          <w:tcPr>
            <w:tcW w:w="2966" w:type="pct"/>
          </w:tcPr>
          <w:p w14:paraId="65B905C4" w14:textId="283A98BC" w:rsidR="00B7626C" w:rsidRPr="00730FFE" w:rsidRDefault="00B7626C">
            <w:pPr>
              <w:keepNext/>
              <w:widowControl w:val="0"/>
              <w:jc w:val="left"/>
              <w:rPr>
                <w:rFonts w:ascii="Arial Narrow" w:hAnsi="Arial Narrow" w:cs="Times New Roman"/>
                <w:snapToGrid w:val="0"/>
                <w:sz w:val="20"/>
              </w:rPr>
            </w:pPr>
            <w:r w:rsidRPr="00730FFE">
              <w:rPr>
                <w:rFonts w:ascii="Arial Narrow" w:hAnsi="Arial Narrow" w:cs="Times New Roman"/>
                <w:snapToGrid w:val="0"/>
                <w:sz w:val="20"/>
              </w:rPr>
              <w:t>Including conjunctivitis costs based on incidence over 16 weeks without extrapolation of incidence, i.e., $11.63 (base case: $75.60)</w:t>
            </w:r>
          </w:p>
        </w:tc>
        <w:tc>
          <w:tcPr>
            <w:tcW w:w="1045" w:type="pct"/>
          </w:tcPr>
          <w:p w14:paraId="061F0AA5" w14:textId="77777777" w:rsidR="00B7626C" w:rsidRPr="00730FFE" w:rsidRDefault="00B7626C" w:rsidP="008D603E">
            <w:pPr>
              <w:keepNext/>
              <w:widowControl w:val="0"/>
              <w:jc w:val="center"/>
              <w:rPr>
                <w:rFonts w:ascii="Arial Narrow" w:hAnsi="Arial Narrow" w:cs="Times New Roman"/>
                <w:snapToGrid w:val="0"/>
                <w:sz w:val="20"/>
              </w:rPr>
            </w:pPr>
            <w:r w:rsidRPr="00730FFE">
              <w:rPr>
                <w:rFonts w:ascii="Arial Narrow" w:hAnsi="Arial Narrow" w:cs="Times New Roman"/>
                <w:snapToGrid w:val="0"/>
                <w:sz w:val="20"/>
              </w:rPr>
              <w:t>$2,623.78</w:t>
            </w:r>
          </w:p>
        </w:tc>
        <w:tc>
          <w:tcPr>
            <w:tcW w:w="989" w:type="pct"/>
          </w:tcPr>
          <w:p w14:paraId="6FE818A1" w14:textId="77777777" w:rsidR="00B7626C" w:rsidRPr="00730FFE" w:rsidRDefault="00B7626C">
            <w:pPr>
              <w:keepNext/>
              <w:widowControl w:val="0"/>
              <w:jc w:val="center"/>
              <w:rPr>
                <w:rFonts w:ascii="Arial Narrow" w:hAnsi="Arial Narrow" w:cs="Times New Roman"/>
                <w:snapToGrid w:val="0"/>
                <w:sz w:val="20"/>
              </w:rPr>
            </w:pPr>
            <w:r w:rsidRPr="00730FFE">
              <w:rPr>
                <w:rFonts w:ascii="Arial Narrow" w:hAnsi="Arial Narrow" w:cs="Times New Roman"/>
                <w:snapToGrid w:val="0"/>
                <w:sz w:val="20"/>
              </w:rPr>
              <w:t>-0.1%</w:t>
            </w:r>
          </w:p>
        </w:tc>
      </w:tr>
      <w:tr w:rsidR="0079255D" w:rsidRPr="00F26BF8" w14:paraId="420F5690" w14:textId="77777777" w:rsidTr="00AF29CF">
        <w:tc>
          <w:tcPr>
            <w:tcW w:w="2966" w:type="pct"/>
          </w:tcPr>
          <w:p w14:paraId="0834FFB6" w14:textId="7269FED1" w:rsidR="0079255D" w:rsidRPr="00730FFE" w:rsidDel="00156846" w:rsidRDefault="00495A41">
            <w:pPr>
              <w:keepNext/>
              <w:widowControl w:val="0"/>
              <w:jc w:val="left"/>
              <w:rPr>
                <w:rFonts w:ascii="Arial Narrow" w:hAnsi="Arial Narrow" w:cs="Times New Roman"/>
                <w:snapToGrid w:val="0"/>
                <w:sz w:val="20"/>
              </w:rPr>
            </w:pPr>
            <w:r w:rsidRPr="00730FFE">
              <w:rPr>
                <w:rFonts w:ascii="Arial Narrow" w:hAnsi="Arial Narrow" w:cs="Times New Roman"/>
                <w:snapToGrid w:val="0"/>
                <w:sz w:val="20"/>
              </w:rPr>
              <w:t xml:space="preserve">Excluding additional specialist visit for </w:t>
            </w:r>
            <w:r w:rsidR="001D65DC" w:rsidRPr="00730FFE">
              <w:rPr>
                <w:rFonts w:ascii="Arial Narrow" w:hAnsi="Arial Narrow" w:cs="Times New Roman"/>
                <w:snapToGrid w:val="0"/>
                <w:sz w:val="20"/>
              </w:rPr>
              <w:t xml:space="preserve">NEMO </w:t>
            </w:r>
            <w:r w:rsidR="0090540F" w:rsidRPr="00730FFE">
              <w:rPr>
                <w:rFonts w:ascii="Arial Narrow" w:hAnsi="Arial Narrow" w:cs="Times New Roman"/>
                <w:snapToGrid w:val="0"/>
                <w:sz w:val="20"/>
              </w:rPr>
              <w:t>slow</w:t>
            </w:r>
            <w:r w:rsidR="00CC21A3" w:rsidRPr="00730FFE">
              <w:rPr>
                <w:rFonts w:ascii="Arial Narrow" w:hAnsi="Arial Narrow" w:cs="Times New Roman"/>
                <w:snapToGrid w:val="0"/>
                <w:sz w:val="20"/>
              </w:rPr>
              <w:t xml:space="preserve"> </w:t>
            </w:r>
            <w:r w:rsidRPr="00730FFE">
              <w:rPr>
                <w:rFonts w:ascii="Arial Narrow" w:hAnsi="Arial Narrow" w:cs="Times New Roman"/>
                <w:snapToGrid w:val="0"/>
                <w:sz w:val="20"/>
              </w:rPr>
              <w:t>responders</w:t>
            </w:r>
          </w:p>
        </w:tc>
        <w:tc>
          <w:tcPr>
            <w:tcW w:w="1045" w:type="pct"/>
          </w:tcPr>
          <w:p w14:paraId="7442AE46" w14:textId="2E6FDE6A" w:rsidR="0079255D" w:rsidRPr="00730FFE" w:rsidDel="00156846" w:rsidRDefault="0029058C" w:rsidP="008D603E">
            <w:pPr>
              <w:keepNext/>
              <w:widowControl w:val="0"/>
              <w:jc w:val="center"/>
              <w:rPr>
                <w:rFonts w:ascii="Arial Narrow" w:hAnsi="Arial Narrow" w:cs="Times New Roman"/>
                <w:snapToGrid w:val="0"/>
                <w:sz w:val="20"/>
              </w:rPr>
            </w:pPr>
            <w:r w:rsidRPr="00730FFE">
              <w:rPr>
                <w:rFonts w:ascii="Arial Narrow" w:hAnsi="Arial Narrow" w:cs="Times New Roman"/>
                <w:snapToGrid w:val="0"/>
                <w:sz w:val="20"/>
              </w:rPr>
              <w:t>$2,628.52</w:t>
            </w:r>
          </w:p>
        </w:tc>
        <w:tc>
          <w:tcPr>
            <w:tcW w:w="989" w:type="pct"/>
          </w:tcPr>
          <w:p w14:paraId="3D24A65F" w14:textId="286EDEFF" w:rsidR="0079255D" w:rsidRPr="00730FFE" w:rsidDel="00156846" w:rsidRDefault="00F26BF8">
            <w:pPr>
              <w:keepNext/>
              <w:widowControl w:val="0"/>
              <w:jc w:val="center"/>
              <w:rPr>
                <w:rFonts w:ascii="Arial Narrow" w:hAnsi="Arial Narrow" w:cs="Times New Roman"/>
                <w:snapToGrid w:val="0"/>
                <w:sz w:val="20"/>
              </w:rPr>
            </w:pPr>
            <w:r w:rsidRPr="00730FFE">
              <w:rPr>
                <w:rFonts w:ascii="Arial Narrow" w:hAnsi="Arial Narrow" w:cs="Times New Roman"/>
                <w:snapToGrid w:val="0"/>
                <w:sz w:val="20"/>
              </w:rPr>
              <w:t>+0.0%</w:t>
            </w:r>
          </w:p>
        </w:tc>
      </w:tr>
      <w:tr w:rsidR="005A4AA8" w:rsidRPr="00F26BF8" w:rsidDel="006956CC" w14:paraId="13BE202D" w14:textId="77777777" w:rsidTr="00AF29CF">
        <w:tc>
          <w:tcPr>
            <w:tcW w:w="5000" w:type="pct"/>
            <w:gridSpan w:val="3"/>
          </w:tcPr>
          <w:p w14:paraId="32AC36C6" w14:textId="578AB5EA" w:rsidR="005A4AA8" w:rsidRPr="005A4AA8" w:rsidDel="006956CC" w:rsidRDefault="005A4AA8" w:rsidP="005A4AA8">
            <w:pPr>
              <w:keepNext/>
              <w:widowControl w:val="0"/>
              <w:jc w:val="left"/>
              <w:rPr>
                <w:rFonts w:ascii="Arial Narrow" w:hAnsi="Arial Narrow" w:cs="Times New Roman"/>
                <w:b/>
                <w:bCs/>
                <w:snapToGrid w:val="0"/>
                <w:sz w:val="20"/>
              </w:rPr>
            </w:pPr>
            <w:r w:rsidRPr="005A4AA8">
              <w:rPr>
                <w:rFonts w:ascii="Arial Narrow" w:hAnsi="Arial Narrow" w:cs="Times New Roman"/>
                <w:b/>
                <w:bCs/>
                <w:snapToGrid w:val="0"/>
                <w:sz w:val="20"/>
              </w:rPr>
              <w:t>Multivariate sensitivity analysis</w:t>
            </w:r>
          </w:p>
        </w:tc>
      </w:tr>
      <w:tr w:rsidR="001F6ADA" w:rsidRPr="00F26BF8" w:rsidDel="006956CC" w14:paraId="7DE8EABC" w14:textId="77777777" w:rsidTr="00AF29CF">
        <w:tc>
          <w:tcPr>
            <w:tcW w:w="2966" w:type="pct"/>
          </w:tcPr>
          <w:p w14:paraId="4EC6FD46" w14:textId="49E514C9" w:rsidR="001F6ADA" w:rsidRDefault="001F6ADA">
            <w:pPr>
              <w:keepNext/>
              <w:widowControl w:val="0"/>
              <w:jc w:val="left"/>
              <w:rPr>
                <w:rFonts w:ascii="Arial Narrow" w:hAnsi="Arial Narrow" w:cs="Times New Roman"/>
                <w:snapToGrid w:val="0"/>
                <w:sz w:val="20"/>
              </w:rPr>
            </w:pPr>
            <w:r>
              <w:rPr>
                <w:rFonts w:ascii="Arial Narrow" w:hAnsi="Arial Narrow" w:cs="Times New Roman"/>
                <w:snapToGrid w:val="0"/>
                <w:sz w:val="20"/>
              </w:rPr>
              <w:t>35.9% are slow responders + excluding conjunctivitis costs</w:t>
            </w:r>
          </w:p>
        </w:tc>
        <w:tc>
          <w:tcPr>
            <w:tcW w:w="1045" w:type="pct"/>
          </w:tcPr>
          <w:p w14:paraId="42EF412B" w14:textId="3E3750F3" w:rsidR="001F6ADA" w:rsidRPr="00730FFE" w:rsidDel="006956CC" w:rsidRDefault="001E4F88" w:rsidP="008D603E">
            <w:pPr>
              <w:keepNext/>
              <w:widowControl w:val="0"/>
              <w:jc w:val="center"/>
              <w:rPr>
                <w:rFonts w:ascii="Arial Narrow" w:hAnsi="Arial Narrow" w:cs="Times New Roman"/>
                <w:snapToGrid w:val="0"/>
                <w:sz w:val="20"/>
              </w:rPr>
            </w:pPr>
            <w:r>
              <w:rPr>
                <w:rFonts w:ascii="Arial Narrow" w:hAnsi="Arial Narrow" w:cs="Times New Roman"/>
                <w:snapToGrid w:val="0"/>
                <w:sz w:val="20"/>
              </w:rPr>
              <w:t>$2,606.70</w:t>
            </w:r>
          </w:p>
        </w:tc>
        <w:tc>
          <w:tcPr>
            <w:tcW w:w="989" w:type="pct"/>
          </w:tcPr>
          <w:p w14:paraId="6FA3E72F" w14:textId="6787C08C" w:rsidR="001F6ADA" w:rsidRPr="00730FFE" w:rsidDel="006956CC" w:rsidRDefault="0043627B">
            <w:pPr>
              <w:keepNext/>
              <w:widowControl w:val="0"/>
              <w:jc w:val="center"/>
              <w:rPr>
                <w:rFonts w:ascii="Arial Narrow" w:hAnsi="Arial Narrow" w:cs="Times New Roman"/>
                <w:snapToGrid w:val="0"/>
                <w:sz w:val="20"/>
              </w:rPr>
            </w:pPr>
            <w:r>
              <w:rPr>
                <w:rFonts w:ascii="Arial Narrow" w:hAnsi="Arial Narrow" w:cs="Times New Roman"/>
                <w:snapToGrid w:val="0"/>
                <w:sz w:val="20"/>
              </w:rPr>
              <w:t>-0.8%</w:t>
            </w:r>
          </w:p>
        </w:tc>
      </w:tr>
    </w:tbl>
    <w:p w14:paraId="1633A411" w14:textId="77777777" w:rsidR="00B7626C" w:rsidRPr="00FA2AB8" w:rsidRDefault="00B7626C" w:rsidP="00B7626C">
      <w:pPr>
        <w:keepLines/>
        <w:spacing w:after="300"/>
        <w:contextualSpacing/>
        <w:rPr>
          <w:rFonts w:ascii="Arial Narrow" w:hAnsi="Arial Narrow"/>
          <w:snapToGrid w:val="0"/>
          <w:sz w:val="18"/>
          <w:szCs w:val="22"/>
        </w:rPr>
      </w:pPr>
      <w:r w:rsidRPr="00FA2AB8">
        <w:rPr>
          <w:rFonts w:ascii="Arial Narrow" w:hAnsi="Arial Narrow"/>
          <w:snapToGrid w:val="0"/>
          <w:sz w:val="18"/>
          <w:szCs w:val="22"/>
        </w:rPr>
        <w:t xml:space="preserve">Source: Sensitivity analyses performed during the evaluation. </w:t>
      </w:r>
    </w:p>
    <w:p w14:paraId="18E633CC" w14:textId="54F12110" w:rsidR="00575A5A" w:rsidRPr="00381C24" w:rsidRDefault="00B74728" w:rsidP="00CA1FC9">
      <w:pPr>
        <w:keepLines/>
        <w:spacing w:before="160" w:after="160"/>
        <w:contextualSpacing/>
        <w:rPr>
          <w:rFonts w:ascii="Arial Narrow" w:hAnsi="Arial Narrow"/>
          <w:snapToGrid w:val="0"/>
          <w:sz w:val="18"/>
          <w:szCs w:val="22"/>
          <w:lang w:val="it-IT"/>
        </w:rPr>
      </w:pPr>
      <w:r w:rsidRPr="00381C24">
        <w:rPr>
          <w:rFonts w:ascii="Arial Narrow" w:hAnsi="Arial Narrow"/>
          <w:snapToGrid w:val="0"/>
          <w:sz w:val="18"/>
          <w:szCs w:val="22"/>
          <w:lang w:val="it-IT"/>
        </w:rPr>
        <w:t xml:space="preserve">DUPI = dupilumab; NEMO = nemolizumab; </w:t>
      </w:r>
      <w:r w:rsidR="00B7626C" w:rsidRPr="00381C24">
        <w:rPr>
          <w:rFonts w:ascii="Arial Narrow" w:hAnsi="Arial Narrow"/>
          <w:snapToGrid w:val="0"/>
          <w:sz w:val="18"/>
          <w:szCs w:val="22"/>
          <w:lang w:val="it-IT"/>
        </w:rPr>
        <w:t xml:space="preserve">RDI = relative dose intensity </w:t>
      </w:r>
    </w:p>
    <w:p w14:paraId="472842D7" w14:textId="4F7B5DB4" w:rsidR="00C25D9C" w:rsidRPr="00FA2AB8" w:rsidRDefault="00C25D9C" w:rsidP="004D74DA">
      <w:pPr>
        <w:pStyle w:val="4-SubsectionHeading"/>
      </w:pPr>
      <w:bookmarkStart w:id="65" w:name="_Toc216710465"/>
      <w:r w:rsidRPr="00FA2AB8">
        <w:t>Dru</w:t>
      </w:r>
      <w:r w:rsidR="00375DF3" w:rsidRPr="00FA2AB8">
        <w:t>g</w:t>
      </w:r>
      <w:r w:rsidRPr="00FA2AB8">
        <w:t xml:space="preserve"> cost/patient/year</w:t>
      </w:r>
      <w:bookmarkEnd w:id="65"/>
    </w:p>
    <w:p w14:paraId="21FA6D36" w14:textId="11714DF0" w:rsidR="00212FCB" w:rsidRPr="00730FFE" w:rsidRDefault="006927CC" w:rsidP="000E4C06">
      <w:pPr>
        <w:pStyle w:val="3-BodyText"/>
        <w:spacing w:before="160" w:after="160"/>
        <w:rPr>
          <w:iCs/>
        </w:rPr>
      </w:pPr>
      <w:bookmarkStart w:id="66" w:name="_Ref104805102"/>
      <w:r w:rsidRPr="00730FFE">
        <w:rPr>
          <w:iCs/>
        </w:rPr>
        <w:t>Using DPMQs</w:t>
      </w:r>
      <w:r w:rsidR="00582833" w:rsidRPr="00730FFE">
        <w:rPr>
          <w:iCs/>
        </w:rPr>
        <w:t xml:space="preserve">, </w:t>
      </w:r>
      <w:r w:rsidR="00C61CFB" w:rsidRPr="00730FFE">
        <w:rPr>
          <w:iCs/>
        </w:rPr>
        <w:t>the drug cost/patient/dose for NEMO was $5,</w:t>
      </w:r>
      <w:r w:rsidR="00375DF3" w:rsidRPr="00730FFE">
        <w:rPr>
          <w:iCs/>
        </w:rPr>
        <w:t>418.35</w:t>
      </w:r>
      <w:r w:rsidR="00C61CFB" w:rsidRPr="00730FFE">
        <w:rPr>
          <w:iCs/>
        </w:rPr>
        <w:t xml:space="preserve"> for the loading dose (60 mg) and $2,</w:t>
      </w:r>
      <w:r w:rsidR="00375DF3" w:rsidRPr="00730FFE">
        <w:rPr>
          <w:iCs/>
        </w:rPr>
        <w:t>790.64</w:t>
      </w:r>
      <w:r w:rsidR="00C61CFB" w:rsidRPr="00730FFE">
        <w:rPr>
          <w:iCs/>
        </w:rPr>
        <w:t xml:space="preserve"> for the subsequent doses (30 mg Q4W, 30</w:t>
      </w:r>
      <w:r w:rsidR="00375DF3" w:rsidRPr="00730FFE">
        <w:rPr>
          <w:iCs/>
        </w:rPr>
        <w:t> </w:t>
      </w:r>
      <w:r w:rsidR="00C61CFB" w:rsidRPr="00730FFE">
        <w:rPr>
          <w:iCs/>
        </w:rPr>
        <w:t>mg Q8W). This results in a drug cost/patient/year for NEMO of $</w:t>
      </w:r>
      <w:r w:rsidR="006E7230" w:rsidRPr="00730FFE">
        <w:rPr>
          <w:iCs/>
        </w:rPr>
        <w:t>26,348</w:t>
      </w:r>
      <w:r w:rsidR="00C61CFB" w:rsidRPr="00730FFE">
        <w:rPr>
          <w:iCs/>
        </w:rPr>
        <w:t xml:space="preserve"> </w:t>
      </w:r>
      <w:r w:rsidR="006E7230" w:rsidRPr="00730FFE">
        <w:rPr>
          <w:iCs/>
        </w:rPr>
        <w:t xml:space="preserve">(16-week induction period) or $29,139 (24-week induction period) </w:t>
      </w:r>
      <w:r w:rsidR="00C61CFB" w:rsidRPr="00730FFE">
        <w:rPr>
          <w:iCs/>
        </w:rPr>
        <w:t>in Year 1 and $1</w:t>
      </w:r>
      <w:r w:rsidR="006E7230" w:rsidRPr="00730FFE">
        <w:rPr>
          <w:iCs/>
        </w:rPr>
        <w:t>8,139</w:t>
      </w:r>
      <w:r w:rsidR="00C61CFB" w:rsidRPr="00730FFE">
        <w:rPr>
          <w:iCs/>
        </w:rPr>
        <w:t xml:space="preserve"> for each subsequent year. </w:t>
      </w:r>
    </w:p>
    <w:p w14:paraId="74E8EF71" w14:textId="7AEAEFB2" w:rsidR="00C61CFB" w:rsidRPr="00730FFE" w:rsidRDefault="00C61CFB" w:rsidP="000E4C06">
      <w:pPr>
        <w:pStyle w:val="3-BodyText"/>
        <w:spacing w:before="160" w:after="160"/>
        <w:rPr>
          <w:iCs/>
        </w:rPr>
      </w:pPr>
      <w:r w:rsidRPr="00730FFE">
        <w:rPr>
          <w:iCs/>
        </w:rPr>
        <w:t>The drug cost/patient/year for DUPI is $23,70</w:t>
      </w:r>
      <w:r w:rsidR="006E7230" w:rsidRPr="00730FFE">
        <w:rPr>
          <w:iCs/>
        </w:rPr>
        <w:t>6</w:t>
      </w:r>
      <w:r w:rsidRPr="00730FFE">
        <w:rPr>
          <w:iCs/>
        </w:rPr>
        <w:t xml:space="preserve"> in Year 1 and $22,82</w:t>
      </w:r>
      <w:r w:rsidR="006E7230" w:rsidRPr="00730FFE">
        <w:rPr>
          <w:iCs/>
        </w:rPr>
        <w:t>8</w:t>
      </w:r>
      <w:r w:rsidRPr="00730FFE">
        <w:rPr>
          <w:iCs/>
        </w:rPr>
        <w:t xml:space="preserve"> for each subsequent year</w:t>
      </w:r>
      <w:r w:rsidR="00CF5A5A" w:rsidRPr="00730FFE">
        <w:rPr>
          <w:iCs/>
        </w:rPr>
        <w:t xml:space="preserve">. </w:t>
      </w:r>
    </w:p>
    <w:p w14:paraId="192561C9" w14:textId="1EC977AA" w:rsidR="00117345" w:rsidRPr="00730FFE" w:rsidRDefault="00BD7F93" w:rsidP="000E4C06">
      <w:pPr>
        <w:pStyle w:val="3-BodyText"/>
        <w:spacing w:before="160" w:after="160"/>
        <w:rPr>
          <w:iCs/>
        </w:rPr>
      </w:pPr>
      <w:r w:rsidRPr="00730FFE">
        <w:rPr>
          <w:iCs/>
        </w:rPr>
        <w:lastRenderedPageBreak/>
        <w:t>Based on the CMA, o</w:t>
      </w:r>
      <w:r w:rsidR="00413BCB" w:rsidRPr="00730FFE">
        <w:rPr>
          <w:iCs/>
        </w:rPr>
        <w:t>ver a two</w:t>
      </w:r>
      <w:r w:rsidR="00851471" w:rsidRPr="00730FFE">
        <w:rPr>
          <w:iCs/>
        </w:rPr>
        <w:t>-</w:t>
      </w:r>
      <w:r w:rsidR="00413BCB" w:rsidRPr="00730FFE">
        <w:rPr>
          <w:iCs/>
        </w:rPr>
        <w:t>year period</w:t>
      </w:r>
      <w:r w:rsidR="00C67DF6" w:rsidRPr="00730FFE">
        <w:rPr>
          <w:iCs/>
        </w:rPr>
        <w:t xml:space="preserve"> and assuming </w:t>
      </w:r>
      <w:r w:rsidR="001C0DC4" w:rsidRPr="00730FFE">
        <w:rPr>
          <w:iCs/>
        </w:rPr>
        <w:t xml:space="preserve">74.1% of NEMO patients respond at 16 weeks and </w:t>
      </w:r>
      <w:r w:rsidR="00C45F1E" w:rsidRPr="00730FFE">
        <w:rPr>
          <w:iCs/>
        </w:rPr>
        <w:t xml:space="preserve">25.9% respond at </w:t>
      </w:r>
      <w:r w:rsidR="0085746B" w:rsidRPr="00730FFE">
        <w:rPr>
          <w:iCs/>
        </w:rPr>
        <w:t>24 weeks</w:t>
      </w:r>
      <w:r w:rsidR="00851471" w:rsidRPr="00730FFE">
        <w:rPr>
          <w:iCs/>
        </w:rPr>
        <w:t>,</w:t>
      </w:r>
      <w:r w:rsidRPr="00730FFE">
        <w:rPr>
          <w:iCs/>
        </w:rPr>
        <w:t xml:space="preserve"> the </w:t>
      </w:r>
      <w:r w:rsidR="00C26081" w:rsidRPr="00730FFE">
        <w:rPr>
          <w:iCs/>
        </w:rPr>
        <w:t xml:space="preserve">total cost of NEMO </w:t>
      </w:r>
      <w:r w:rsidR="009F518A" w:rsidRPr="00730FFE">
        <w:rPr>
          <w:iCs/>
        </w:rPr>
        <w:t>using DPMQ</w:t>
      </w:r>
      <w:r w:rsidR="001E2C6B" w:rsidRPr="00730FFE">
        <w:rPr>
          <w:iCs/>
        </w:rPr>
        <w:t>s</w:t>
      </w:r>
      <w:r w:rsidR="00C26081" w:rsidRPr="00730FFE">
        <w:rPr>
          <w:iCs/>
        </w:rPr>
        <w:t xml:space="preserve"> is $45,210</w:t>
      </w:r>
      <w:r w:rsidR="00851471" w:rsidRPr="00730FFE">
        <w:rPr>
          <w:iCs/>
        </w:rPr>
        <w:t xml:space="preserve"> compared to </w:t>
      </w:r>
      <w:r w:rsidR="00C26081" w:rsidRPr="00730FFE">
        <w:rPr>
          <w:iCs/>
        </w:rPr>
        <w:t>$46,534</w:t>
      </w:r>
      <w:r w:rsidR="00851471" w:rsidRPr="00730FFE">
        <w:rPr>
          <w:iCs/>
        </w:rPr>
        <w:t xml:space="preserve"> for DUPI</w:t>
      </w:r>
      <w:r w:rsidR="00C26081" w:rsidRPr="00730FFE">
        <w:rPr>
          <w:iCs/>
        </w:rPr>
        <w:t>.</w:t>
      </w:r>
    </w:p>
    <w:p w14:paraId="4BB97141" w14:textId="7424AF40" w:rsidR="00FC54BD" w:rsidRPr="00730FFE" w:rsidRDefault="00FC54BD" w:rsidP="000E4C06">
      <w:pPr>
        <w:pStyle w:val="3-BodyText"/>
        <w:spacing w:before="160" w:after="160"/>
        <w:rPr>
          <w:iCs/>
        </w:rPr>
      </w:pPr>
      <w:bookmarkStart w:id="67" w:name="_Ref224891071"/>
      <w:r w:rsidRPr="00730FFE">
        <w:rPr>
          <w:iCs/>
        </w:rPr>
        <w:t xml:space="preserve">For patients </w:t>
      </w:r>
      <w:r w:rsidR="005C6CEF" w:rsidRPr="00730FFE">
        <w:rPr>
          <w:iCs/>
        </w:rPr>
        <w:t>who don’t respond</w:t>
      </w:r>
      <w:r w:rsidR="009A2484" w:rsidRPr="00730FFE">
        <w:rPr>
          <w:iCs/>
        </w:rPr>
        <w:t xml:space="preserve"> </w:t>
      </w:r>
      <w:r w:rsidR="001551E9" w:rsidRPr="00730FFE">
        <w:rPr>
          <w:iCs/>
        </w:rPr>
        <w:t xml:space="preserve">to treatment </w:t>
      </w:r>
      <w:r w:rsidR="009A2484" w:rsidRPr="00730FFE">
        <w:rPr>
          <w:iCs/>
        </w:rPr>
        <w:t xml:space="preserve">(i.e. receive induction treatment only) </w:t>
      </w:r>
      <w:r w:rsidR="00B83D0F" w:rsidRPr="00730FFE">
        <w:rPr>
          <w:iCs/>
        </w:rPr>
        <w:t xml:space="preserve">the cost </w:t>
      </w:r>
      <w:r w:rsidR="00264249" w:rsidRPr="00730FFE">
        <w:rPr>
          <w:iCs/>
        </w:rPr>
        <w:t>using DPMQs</w:t>
      </w:r>
      <w:r w:rsidR="00B83D0F" w:rsidRPr="00730FFE">
        <w:rPr>
          <w:iCs/>
        </w:rPr>
        <w:t xml:space="preserve"> is </w:t>
      </w:r>
      <w:r w:rsidR="005E57C4" w:rsidRPr="00730FFE">
        <w:rPr>
          <w:iCs/>
        </w:rPr>
        <w:t>$</w:t>
      </w:r>
      <w:r w:rsidR="003B57DD" w:rsidRPr="00730FFE">
        <w:rPr>
          <w:iCs/>
        </w:rPr>
        <w:t>22,162</w:t>
      </w:r>
      <w:r w:rsidR="001975FF" w:rsidRPr="00730FFE">
        <w:rPr>
          <w:iCs/>
        </w:rPr>
        <w:t xml:space="preserve"> </w:t>
      </w:r>
      <w:r w:rsidR="00DE3AEC" w:rsidRPr="00730FFE">
        <w:rPr>
          <w:iCs/>
        </w:rPr>
        <w:t xml:space="preserve">for 24 weeks of NEMO treatment and </w:t>
      </w:r>
      <w:r w:rsidR="00751D05" w:rsidRPr="00730FFE">
        <w:rPr>
          <w:iCs/>
        </w:rPr>
        <w:t>$8,780 for 16 weeks of DUPI.</w:t>
      </w:r>
      <w:r w:rsidR="005C6CEF" w:rsidRPr="00730FFE">
        <w:rPr>
          <w:iCs/>
        </w:rPr>
        <w:t xml:space="preserve"> </w:t>
      </w:r>
      <w:r w:rsidR="00BF0368" w:rsidRPr="00730FFE">
        <w:rPr>
          <w:iCs/>
        </w:rPr>
        <w:t>The ESC noted that the cost for non-responders was substantially higher for NEMO patie</w:t>
      </w:r>
      <w:r w:rsidR="001F4925" w:rsidRPr="00730FFE">
        <w:rPr>
          <w:iCs/>
        </w:rPr>
        <w:t>nts.</w:t>
      </w:r>
      <w:bookmarkEnd w:id="67"/>
      <w:r w:rsidR="001F4925" w:rsidRPr="00730FFE">
        <w:rPr>
          <w:iCs/>
        </w:rPr>
        <w:t xml:space="preserve"> </w:t>
      </w:r>
    </w:p>
    <w:p w14:paraId="268768EF" w14:textId="3626F292" w:rsidR="00B60939" w:rsidRPr="00FA2AB8" w:rsidRDefault="00B60939" w:rsidP="004D74DA">
      <w:pPr>
        <w:pStyle w:val="4-SubsectionHeading"/>
      </w:pPr>
      <w:bookmarkStart w:id="68" w:name="_Toc22897647"/>
      <w:bookmarkStart w:id="69" w:name="_Toc216710466"/>
      <w:bookmarkEnd w:id="66"/>
      <w:r w:rsidRPr="00FA2AB8">
        <w:t>Estimated PBS usage &amp; financial implications</w:t>
      </w:r>
      <w:bookmarkEnd w:id="68"/>
      <w:bookmarkEnd w:id="69"/>
    </w:p>
    <w:p w14:paraId="32F98884" w14:textId="2C5FBB66" w:rsidR="00364D5B" w:rsidRPr="0076453B" w:rsidRDefault="00364D5B" w:rsidP="000E4C06">
      <w:pPr>
        <w:pStyle w:val="3-BodyText"/>
        <w:spacing w:before="160" w:after="160"/>
        <w:rPr>
          <w:iCs/>
        </w:rPr>
      </w:pPr>
      <w:r w:rsidRPr="0076453B">
        <w:rPr>
          <w:iCs/>
        </w:rPr>
        <w:t xml:space="preserve">This </w:t>
      </w:r>
      <w:r w:rsidR="00B13B2F">
        <w:rPr>
          <w:iCs/>
        </w:rPr>
        <w:t>re</w:t>
      </w:r>
      <w:r w:rsidRPr="0076453B">
        <w:rPr>
          <w:iCs/>
        </w:rPr>
        <w:t xml:space="preserve">submission </w:t>
      </w:r>
      <w:r w:rsidR="00EB5817" w:rsidRPr="0076453B">
        <w:rPr>
          <w:iCs/>
        </w:rPr>
        <w:t>was</w:t>
      </w:r>
      <w:r w:rsidRPr="0076453B">
        <w:rPr>
          <w:iCs/>
        </w:rPr>
        <w:t xml:space="preserve"> not considered by DUSC.</w:t>
      </w:r>
    </w:p>
    <w:p w14:paraId="29F6F065" w14:textId="5F79C19E" w:rsidR="00364D5B" w:rsidRPr="00FA2AB8" w:rsidRDefault="00364D5B" w:rsidP="000E4C06">
      <w:pPr>
        <w:pStyle w:val="3-BodyText"/>
        <w:spacing w:before="160" w:after="160"/>
      </w:pPr>
      <w:r w:rsidRPr="21FCA26E">
        <w:t xml:space="preserve">The resubmission utilised a market share approach to estimate the extent of use and financial impact of listing </w:t>
      </w:r>
      <w:r w:rsidR="006F50CA" w:rsidRPr="21FCA26E">
        <w:t>NEMO</w:t>
      </w:r>
      <w:r w:rsidRPr="21FCA26E">
        <w:t xml:space="preserve"> on the PBS for the treatment of severe AD. The existing market was defined as the existing PBS listed medicines for the treatment of</w:t>
      </w:r>
      <w:r w:rsidRPr="00B07B9F">
        <w:t xml:space="preserve"> </w:t>
      </w:r>
      <w:r w:rsidRPr="00FA2AB8">
        <w:t>severe AD (</w:t>
      </w:r>
      <w:r w:rsidR="006F50CA" w:rsidRPr="00FA2AB8">
        <w:t>DUPI</w:t>
      </w:r>
      <w:r w:rsidRPr="00FA2AB8">
        <w:t xml:space="preserve"> and </w:t>
      </w:r>
      <w:r w:rsidR="006F50CA" w:rsidRPr="00FA2AB8">
        <w:t>UPA</w:t>
      </w:r>
      <w:r w:rsidRPr="00FA2AB8">
        <w:t>)</w:t>
      </w:r>
      <w:r w:rsidRPr="00FA2AB8">
        <w:rPr>
          <w:rStyle w:val="FootnoteReference"/>
        </w:rPr>
        <w:footnoteReference w:id="17"/>
      </w:r>
      <w:r w:rsidRPr="00FA2AB8">
        <w:t xml:space="preserve">. The resubmission noted that the listing of </w:t>
      </w:r>
      <w:r w:rsidR="006F50CA" w:rsidRPr="00FA2AB8">
        <w:t>NEMO</w:t>
      </w:r>
      <w:r w:rsidRPr="00FA2AB8">
        <w:t xml:space="preserve"> </w:t>
      </w:r>
      <w:r w:rsidR="00905E9D" w:rsidRPr="00FA2AB8">
        <w:t xml:space="preserve">(every </w:t>
      </w:r>
      <w:r w:rsidR="00BC66FA">
        <w:t xml:space="preserve">8 </w:t>
      </w:r>
      <w:r w:rsidR="00905E9D" w:rsidRPr="00FA2AB8">
        <w:t xml:space="preserve">weeks) </w:t>
      </w:r>
      <w:r w:rsidRPr="00FA2AB8">
        <w:t xml:space="preserve">is expected to </w:t>
      </w:r>
      <w:r w:rsidR="00FD4E89">
        <w:t>be cost saving due to less frequent dosing</w:t>
      </w:r>
      <w:r w:rsidR="00336443">
        <w:t xml:space="preserve"> (continuing treatment phase is every 8 weeks) relative to the comparators (DUPI is every 3 weeks and UPA is daily) and the </w:t>
      </w:r>
      <w:r w:rsidR="003A012B">
        <w:t xml:space="preserve">difference in the maximum quantity per dispensing. </w:t>
      </w:r>
    </w:p>
    <w:p w14:paraId="01710E43" w14:textId="09A2EFFD" w:rsidR="00364D5B" w:rsidRPr="00FA2AB8" w:rsidRDefault="00364D5B" w:rsidP="000E4C06">
      <w:pPr>
        <w:pStyle w:val="3-BodyText"/>
        <w:spacing w:before="160" w:after="160"/>
      </w:pPr>
      <w:r w:rsidRPr="00FA2AB8">
        <w:t xml:space="preserve">Further, while the restriction does not prevent sequential use of treatments listed for severe AD, the resubmission reiterated that the PBAC has previously considered that the impact of allowing sequential treatment and switching </w:t>
      </w:r>
      <w:r w:rsidR="00EA1E08" w:rsidRPr="00FA2AB8">
        <w:t xml:space="preserve">between treatments </w:t>
      </w:r>
      <w:r w:rsidRPr="00FA2AB8">
        <w:t>was unlikely to have a significant financial impact (para</w:t>
      </w:r>
      <w:r w:rsidR="00844829" w:rsidRPr="00FA2AB8">
        <w:t>graph</w:t>
      </w:r>
      <w:r w:rsidRPr="00FA2AB8">
        <w:t xml:space="preserve"> 3.5, lebrikizumab PSD, March 2024 PBAC </w:t>
      </w:r>
      <w:r w:rsidR="00763A53" w:rsidRPr="00FA2AB8">
        <w:t>m</w:t>
      </w:r>
      <w:r w:rsidRPr="00FA2AB8">
        <w:t xml:space="preserve">eeting). </w:t>
      </w:r>
    </w:p>
    <w:p w14:paraId="5FE9CFD4" w14:textId="5BDD1291" w:rsidR="00364D5B" w:rsidRPr="00FA2AB8" w:rsidRDefault="00364D5B" w:rsidP="000E4C06">
      <w:pPr>
        <w:pStyle w:val="3-BodyText"/>
        <w:spacing w:before="160" w:after="160"/>
      </w:pPr>
      <w:r w:rsidRPr="00FA2AB8">
        <w:t xml:space="preserve">A summary of the data sources and parameter values used to estimate the utilisation and financial impacts associated with the proposed listing of </w:t>
      </w:r>
      <w:r w:rsidR="006F50CA" w:rsidRPr="00FA2AB8">
        <w:t>NEMO</w:t>
      </w:r>
      <w:r w:rsidRPr="00FA2AB8">
        <w:t xml:space="preserve"> for AD </w:t>
      </w:r>
      <w:r w:rsidR="00057FED">
        <w:t>are</w:t>
      </w:r>
      <w:r w:rsidRPr="00FA2AB8">
        <w:t xml:space="preserve"> shown in </w:t>
      </w:r>
      <w:r w:rsidRPr="00FA2AB8">
        <w:fldChar w:fldCharType="begin"/>
      </w:r>
      <w:r w:rsidRPr="00FA2AB8">
        <w:instrText xml:space="preserve"> REF _Ref104805262 \h </w:instrText>
      </w:r>
      <w:r w:rsidR="00FA2AB8" w:rsidRPr="00FA2AB8">
        <w:instrText xml:space="preserve"> \* MERGEFORMAT </w:instrText>
      </w:r>
      <w:r w:rsidRPr="00FA2AB8">
        <w:fldChar w:fldCharType="separate"/>
      </w:r>
      <w:r w:rsidR="00F51AFF" w:rsidRPr="00FA2AB8">
        <w:t xml:space="preserve">Table </w:t>
      </w:r>
      <w:r w:rsidR="00F51AFF" w:rsidRPr="00FA2AB8">
        <w:rPr>
          <w:noProof/>
        </w:rPr>
        <w:t>15</w:t>
      </w:r>
      <w:r w:rsidRPr="00FA2AB8">
        <w:fldChar w:fldCharType="end"/>
      </w:r>
      <w:r w:rsidRPr="00FA2AB8">
        <w:t>.</w:t>
      </w:r>
    </w:p>
    <w:p w14:paraId="27D6D3CE" w14:textId="67174919" w:rsidR="00364D5B" w:rsidRPr="00B07B9F" w:rsidRDefault="00364D5B" w:rsidP="002B18D9">
      <w:pPr>
        <w:pStyle w:val="Caption"/>
        <w:rPr>
          <w:rStyle w:val="CommentReference"/>
          <w:b/>
          <w:szCs w:val="24"/>
        </w:rPr>
      </w:pPr>
      <w:bookmarkStart w:id="70" w:name="_Ref104805262"/>
      <w:r w:rsidRPr="00B07B9F">
        <w:lastRenderedPageBreak/>
        <w:t xml:space="preserve">Table </w:t>
      </w:r>
      <w:fldSimple w:instr=" SEQ Table \* ARABIC ">
        <w:r w:rsidR="00CB23C7">
          <w:rPr>
            <w:noProof/>
          </w:rPr>
          <w:t>15</w:t>
        </w:r>
      </w:fldSimple>
      <w:bookmarkEnd w:id="70"/>
      <w:r w:rsidRPr="00B07B9F">
        <w:t>:</w:t>
      </w:r>
      <w:r w:rsidRPr="00B07B9F">
        <w:rPr>
          <w:rStyle w:val="CommentReference"/>
          <w:b/>
          <w:szCs w:val="24"/>
        </w:rPr>
        <w:t xml:space="preserve"> Key inputs for financial estimates</w:t>
      </w:r>
    </w:p>
    <w:tbl>
      <w:tblPr>
        <w:tblW w:w="5000" w:type="pct"/>
        <w:tblCellMar>
          <w:left w:w="57" w:type="dxa"/>
          <w:right w:w="57" w:type="dxa"/>
        </w:tblCellMar>
        <w:tblLook w:val="04A0" w:firstRow="1" w:lastRow="0" w:firstColumn="1" w:lastColumn="0" w:noHBand="0" w:noVBand="1"/>
        <w:tblCaption w:val="Table 15: Key inputs for financial estimates"/>
      </w:tblPr>
      <w:tblGrid>
        <w:gridCol w:w="1980"/>
        <w:gridCol w:w="1277"/>
        <w:gridCol w:w="2842"/>
        <w:gridCol w:w="2918"/>
      </w:tblGrid>
      <w:tr w:rsidR="00364D5B" w:rsidRPr="00B07B9F" w14:paraId="07DC4637" w14:textId="77777777" w:rsidTr="00AF29CF">
        <w:trPr>
          <w:cantSplit/>
          <w:tblHeader/>
        </w:trPr>
        <w:tc>
          <w:tcPr>
            <w:tcW w:w="109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7884CDD" w14:textId="77777777" w:rsidR="00364D5B" w:rsidRPr="00B07B9F" w:rsidRDefault="00364D5B" w:rsidP="002B18D9">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Data</w:t>
            </w:r>
          </w:p>
        </w:tc>
        <w:tc>
          <w:tcPr>
            <w:tcW w:w="708" w:type="pct"/>
            <w:tcBorders>
              <w:top w:val="single" w:sz="4" w:space="0" w:color="auto"/>
              <w:left w:val="nil"/>
              <w:bottom w:val="single" w:sz="4" w:space="0" w:color="auto"/>
              <w:right w:val="single" w:sz="4" w:space="0" w:color="auto"/>
            </w:tcBorders>
            <w:tcMar>
              <w:left w:w="28" w:type="dxa"/>
              <w:right w:w="28" w:type="dxa"/>
            </w:tcMar>
            <w:hideMark/>
          </w:tcPr>
          <w:p w14:paraId="42F9C1FB" w14:textId="77777777" w:rsidR="00364D5B" w:rsidRPr="00B07B9F" w:rsidRDefault="00364D5B" w:rsidP="002B18D9">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Value</w:t>
            </w:r>
          </w:p>
        </w:tc>
        <w:tc>
          <w:tcPr>
            <w:tcW w:w="1576" w:type="pct"/>
            <w:tcBorders>
              <w:top w:val="single" w:sz="4" w:space="0" w:color="auto"/>
              <w:left w:val="nil"/>
              <w:bottom w:val="single" w:sz="4" w:space="0" w:color="auto"/>
              <w:right w:val="single" w:sz="4" w:space="0" w:color="auto"/>
            </w:tcBorders>
            <w:tcMar>
              <w:left w:w="28" w:type="dxa"/>
              <w:right w:w="28" w:type="dxa"/>
            </w:tcMar>
            <w:hideMark/>
          </w:tcPr>
          <w:p w14:paraId="0293923A" w14:textId="77777777" w:rsidR="00364D5B" w:rsidRPr="00B07B9F" w:rsidRDefault="00364D5B" w:rsidP="002B18D9">
            <w:pPr>
              <w:keepNext/>
              <w:jc w:val="left"/>
              <w:rPr>
                <w:rFonts w:ascii="Arial Narrow" w:hAnsi="Arial Narrow" w:cs="Calibri"/>
                <w:b/>
                <w:bCs/>
                <w:color w:val="000000"/>
                <w:sz w:val="20"/>
                <w:szCs w:val="20"/>
              </w:rPr>
            </w:pPr>
            <w:r w:rsidRPr="00B07B9F">
              <w:rPr>
                <w:rFonts w:ascii="Arial Narrow" w:hAnsi="Arial Narrow" w:cs="Calibri"/>
                <w:b/>
                <w:bCs/>
                <w:color w:val="000000"/>
                <w:sz w:val="20"/>
                <w:szCs w:val="20"/>
              </w:rPr>
              <w:t>Source</w:t>
            </w:r>
          </w:p>
        </w:tc>
        <w:tc>
          <w:tcPr>
            <w:tcW w:w="1619" w:type="pct"/>
            <w:tcBorders>
              <w:top w:val="single" w:sz="4" w:space="0" w:color="auto"/>
              <w:left w:val="nil"/>
              <w:bottom w:val="single" w:sz="4" w:space="0" w:color="auto"/>
              <w:right w:val="single" w:sz="4" w:space="0" w:color="auto"/>
            </w:tcBorders>
            <w:tcMar>
              <w:left w:w="28" w:type="dxa"/>
              <w:right w:w="28" w:type="dxa"/>
            </w:tcMar>
            <w:hideMark/>
          </w:tcPr>
          <w:p w14:paraId="725D7EF4" w14:textId="77777777" w:rsidR="00364D5B" w:rsidRPr="00B07B9F" w:rsidRDefault="00364D5B" w:rsidP="002B18D9">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Comment</w:t>
            </w:r>
          </w:p>
        </w:tc>
      </w:tr>
      <w:tr w:rsidR="00364D5B" w:rsidRPr="00B07B9F" w14:paraId="137CD90A" w14:textId="77777777" w:rsidTr="00AF29CF">
        <w:trPr>
          <w:cantSplit/>
        </w:trPr>
        <w:tc>
          <w:tcPr>
            <w:tcW w:w="5000" w:type="pct"/>
            <w:gridSpan w:val="4"/>
            <w:tcBorders>
              <w:top w:val="single" w:sz="4" w:space="0" w:color="auto"/>
              <w:left w:val="single" w:sz="4" w:space="0" w:color="auto"/>
              <w:bottom w:val="single" w:sz="4" w:space="0" w:color="auto"/>
              <w:right w:val="single" w:sz="4" w:space="0" w:color="auto"/>
            </w:tcBorders>
            <w:tcMar>
              <w:left w:w="28" w:type="dxa"/>
              <w:right w:w="28" w:type="dxa"/>
            </w:tcMar>
            <w:hideMark/>
          </w:tcPr>
          <w:p w14:paraId="287E61DB" w14:textId="77777777" w:rsidR="00364D5B" w:rsidRPr="00B07B9F" w:rsidRDefault="00364D5B" w:rsidP="002B18D9">
            <w:pPr>
              <w:keepNext/>
              <w:jc w:val="left"/>
              <w:rPr>
                <w:rFonts w:ascii="Arial Narrow" w:hAnsi="Arial Narrow" w:cs="Calibri"/>
                <w:b/>
                <w:bCs/>
                <w:color w:val="000000"/>
                <w:sz w:val="20"/>
                <w:szCs w:val="20"/>
              </w:rPr>
            </w:pPr>
            <w:r w:rsidRPr="00B07B9F">
              <w:rPr>
                <w:rFonts w:ascii="Arial Narrow" w:hAnsi="Arial Narrow" w:cs="Calibri"/>
                <w:b/>
                <w:bCs/>
                <w:color w:val="000000"/>
                <w:sz w:val="20"/>
                <w:szCs w:val="20"/>
              </w:rPr>
              <w:t>Existing market</w:t>
            </w:r>
          </w:p>
        </w:tc>
      </w:tr>
      <w:tr w:rsidR="00364D5B" w:rsidRPr="00B07B9F" w14:paraId="041D4F90" w14:textId="77777777" w:rsidTr="00AF29CF">
        <w:trPr>
          <w:cantSplit/>
        </w:trPr>
        <w:tc>
          <w:tcPr>
            <w:tcW w:w="1098" w:type="pct"/>
            <w:tcBorders>
              <w:top w:val="nil"/>
              <w:left w:val="single" w:sz="4" w:space="0" w:color="auto"/>
              <w:bottom w:val="single" w:sz="4" w:space="0" w:color="auto"/>
              <w:right w:val="single" w:sz="4" w:space="0" w:color="auto"/>
            </w:tcBorders>
            <w:tcMar>
              <w:left w:w="28" w:type="dxa"/>
              <w:right w:w="28" w:type="dxa"/>
            </w:tcMar>
            <w:hideMark/>
          </w:tcPr>
          <w:p w14:paraId="379F1D3D" w14:textId="77777777" w:rsidR="00364D5B" w:rsidRPr="00B07B9F" w:rsidRDefault="00364D5B" w:rsidP="002B18D9">
            <w:pPr>
              <w:keepNext/>
              <w:jc w:val="left"/>
              <w:rPr>
                <w:rFonts w:ascii="Arial Narrow" w:hAnsi="Arial Narrow" w:cs="Calibri"/>
                <w:color w:val="000000"/>
                <w:sz w:val="20"/>
                <w:szCs w:val="20"/>
              </w:rPr>
            </w:pPr>
            <w:r w:rsidRPr="00B07B9F">
              <w:rPr>
                <w:rFonts w:ascii="Arial Narrow" w:hAnsi="Arial Narrow" w:cs="Calibri"/>
                <w:color w:val="000000"/>
                <w:sz w:val="20"/>
                <w:szCs w:val="20"/>
              </w:rPr>
              <w:t>Medicines</w:t>
            </w:r>
          </w:p>
        </w:tc>
        <w:tc>
          <w:tcPr>
            <w:tcW w:w="708" w:type="pct"/>
            <w:tcBorders>
              <w:top w:val="nil"/>
              <w:left w:val="nil"/>
              <w:bottom w:val="single" w:sz="4" w:space="0" w:color="auto"/>
              <w:right w:val="single" w:sz="4" w:space="0" w:color="auto"/>
            </w:tcBorders>
            <w:tcMar>
              <w:left w:w="28" w:type="dxa"/>
              <w:right w:w="28" w:type="dxa"/>
            </w:tcMar>
            <w:hideMark/>
          </w:tcPr>
          <w:p w14:paraId="6E31875F" w14:textId="3C627C02" w:rsidR="00364D5B" w:rsidRPr="00B07B9F" w:rsidRDefault="006F50CA" w:rsidP="002B18D9">
            <w:pPr>
              <w:keepNext/>
              <w:jc w:val="left"/>
              <w:rPr>
                <w:rFonts w:ascii="Arial Narrow" w:hAnsi="Arial Narrow" w:cs="Calibri"/>
                <w:color w:val="000000"/>
                <w:sz w:val="20"/>
                <w:szCs w:val="20"/>
              </w:rPr>
            </w:pPr>
            <w:r w:rsidRPr="00B07B9F">
              <w:rPr>
                <w:rFonts w:ascii="Arial Narrow" w:hAnsi="Arial Narrow" w:cs="Calibri"/>
                <w:color w:val="000000"/>
                <w:sz w:val="20"/>
                <w:szCs w:val="20"/>
              </w:rPr>
              <w:t>DUPI</w:t>
            </w:r>
            <w:r w:rsidR="00364D5B" w:rsidRPr="00B07B9F">
              <w:rPr>
                <w:rFonts w:ascii="Arial Narrow" w:hAnsi="Arial Narrow" w:cs="Calibri"/>
                <w:color w:val="000000"/>
                <w:sz w:val="20"/>
                <w:szCs w:val="20"/>
              </w:rPr>
              <w:t xml:space="preserve"> 200mg</w:t>
            </w:r>
            <w:r w:rsidR="00364D5B" w:rsidRPr="00B07B9F">
              <w:rPr>
                <w:rFonts w:ascii="Arial Narrow" w:hAnsi="Arial Narrow" w:cs="Calibri"/>
                <w:color w:val="000000"/>
                <w:sz w:val="20"/>
                <w:szCs w:val="20"/>
              </w:rPr>
              <w:br/>
            </w:r>
            <w:r w:rsidRPr="00B07B9F">
              <w:rPr>
                <w:rFonts w:ascii="Arial Narrow" w:hAnsi="Arial Narrow" w:cs="Calibri"/>
                <w:color w:val="000000"/>
                <w:sz w:val="20"/>
                <w:szCs w:val="20"/>
              </w:rPr>
              <w:t>DUPI</w:t>
            </w:r>
            <w:r w:rsidR="00364D5B" w:rsidRPr="00B07B9F">
              <w:rPr>
                <w:rFonts w:ascii="Arial Narrow" w:hAnsi="Arial Narrow" w:cs="Calibri"/>
                <w:color w:val="000000"/>
                <w:sz w:val="20"/>
                <w:szCs w:val="20"/>
              </w:rPr>
              <w:t xml:space="preserve"> 300mg</w:t>
            </w:r>
            <w:r w:rsidR="00364D5B" w:rsidRPr="00B07B9F">
              <w:rPr>
                <w:rFonts w:ascii="Arial Narrow" w:hAnsi="Arial Narrow" w:cs="Calibri"/>
                <w:color w:val="000000"/>
                <w:sz w:val="20"/>
                <w:szCs w:val="20"/>
              </w:rPr>
              <w:br/>
            </w:r>
            <w:r w:rsidRPr="00B07B9F">
              <w:rPr>
                <w:rFonts w:ascii="Arial Narrow" w:hAnsi="Arial Narrow" w:cs="Calibri"/>
                <w:color w:val="000000"/>
                <w:sz w:val="20"/>
                <w:szCs w:val="20"/>
              </w:rPr>
              <w:t>UPA</w:t>
            </w:r>
            <w:r w:rsidR="00364D5B" w:rsidRPr="00B07B9F">
              <w:rPr>
                <w:rFonts w:ascii="Arial Narrow" w:hAnsi="Arial Narrow" w:cs="Calibri"/>
                <w:color w:val="000000"/>
                <w:sz w:val="20"/>
                <w:szCs w:val="20"/>
              </w:rPr>
              <w:t xml:space="preserve"> 15mg</w:t>
            </w:r>
            <w:r w:rsidR="00364D5B" w:rsidRPr="00B07B9F">
              <w:rPr>
                <w:rFonts w:ascii="Arial Narrow" w:hAnsi="Arial Narrow" w:cs="Calibri"/>
                <w:color w:val="000000"/>
                <w:sz w:val="20"/>
                <w:szCs w:val="20"/>
              </w:rPr>
              <w:br/>
            </w:r>
            <w:r w:rsidRPr="00B07B9F">
              <w:rPr>
                <w:rFonts w:ascii="Arial Narrow" w:hAnsi="Arial Narrow" w:cs="Calibri"/>
                <w:color w:val="000000"/>
                <w:sz w:val="20"/>
                <w:szCs w:val="20"/>
              </w:rPr>
              <w:t>UPA</w:t>
            </w:r>
            <w:r w:rsidR="00364D5B" w:rsidRPr="00B07B9F">
              <w:rPr>
                <w:rFonts w:ascii="Arial Narrow" w:hAnsi="Arial Narrow" w:cs="Calibri"/>
                <w:color w:val="000000"/>
                <w:sz w:val="20"/>
                <w:szCs w:val="20"/>
              </w:rPr>
              <w:t xml:space="preserve"> 30mg</w:t>
            </w:r>
          </w:p>
        </w:tc>
        <w:tc>
          <w:tcPr>
            <w:tcW w:w="1576" w:type="pct"/>
            <w:tcBorders>
              <w:top w:val="nil"/>
              <w:left w:val="nil"/>
              <w:bottom w:val="single" w:sz="4" w:space="0" w:color="auto"/>
              <w:right w:val="single" w:sz="4" w:space="0" w:color="auto"/>
            </w:tcBorders>
            <w:tcMar>
              <w:left w:w="28" w:type="dxa"/>
              <w:right w:w="28" w:type="dxa"/>
            </w:tcMar>
            <w:hideMark/>
          </w:tcPr>
          <w:p w14:paraId="7D233C06" w14:textId="77777777" w:rsidR="00364D5B" w:rsidRPr="00B07B9F" w:rsidRDefault="00364D5B" w:rsidP="002B18D9">
            <w:pPr>
              <w:keepNext/>
              <w:jc w:val="left"/>
              <w:rPr>
                <w:rFonts w:ascii="Arial Narrow" w:hAnsi="Arial Narrow" w:cs="Calibri"/>
                <w:color w:val="000000"/>
                <w:sz w:val="20"/>
                <w:szCs w:val="20"/>
              </w:rPr>
            </w:pPr>
            <w:r w:rsidRPr="00B07B9F">
              <w:rPr>
                <w:rFonts w:ascii="Arial Narrow" w:hAnsi="Arial Narrow" w:cs="Calibri"/>
                <w:color w:val="000000"/>
                <w:sz w:val="20"/>
                <w:szCs w:val="20"/>
              </w:rPr>
              <w:t>All PBS listed medicines for severe AD</w:t>
            </w:r>
          </w:p>
        </w:tc>
        <w:tc>
          <w:tcPr>
            <w:tcW w:w="1619" w:type="pct"/>
            <w:tcBorders>
              <w:top w:val="nil"/>
              <w:left w:val="nil"/>
              <w:bottom w:val="single" w:sz="4" w:space="0" w:color="auto"/>
              <w:right w:val="single" w:sz="4" w:space="0" w:color="auto"/>
            </w:tcBorders>
            <w:tcMar>
              <w:left w:w="28" w:type="dxa"/>
              <w:right w:w="28" w:type="dxa"/>
            </w:tcMar>
            <w:vAlign w:val="center"/>
            <w:hideMark/>
          </w:tcPr>
          <w:p w14:paraId="4BC29D67" w14:textId="0E9A89DF" w:rsidR="00364D5B" w:rsidRPr="00DC31EA" w:rsidRDefault="00DD7459" w:rsidP="002B18D9">
            <w:pPr>
              <w:keepNext/>
              <w:jc w:val="left"/>
              <w:rPr>
                <w:rFonts w:ascii="Arial Narrow" w:hAnsi="Arial Narrow" w:cs="Calibri"/>
                <w:color w:val="000000"/>
                <w:sz w:val="20"/>
                <w:szCs w:val="20"/>
              </w:rPr>
            </w:pPr>
            <w:r>
              <w:rPr>
                <w:rFonts w:ascii="Arial Narrow" w:hAnsi="Arial Narrow" w:cs="Calibri"/>
                <w:color w:val="000000"/>
                <w:sz w:val="20"/>
                <w:szCs w:val="20"/>
              </w:rPr>
              <w:t>Unchanged.</w:t>
            </w:r>
            <w:r w:rsidR="00364D5B" w:rsidRPr="00DC31EA">
              <w:rPr>
                <w:rFonts w:ascii="Arial Narrow" w:hAnsi="Arial Narrow" w:cs="Calibri"/>
                <w:color w:val="000000"/>
                <w:sz w:val="20"/>
                <w:szCs w:val="20"/>
              </w:rPr>
              <w:t xml:space="preserve"> </w:t>
            </w:r>
          </w:p>
        </w:tc>
      </w:tr>
      <w:tr w:rsidR="00364D5B" w:rsidRPr="00B07B9F" w14:paraId="1FAA955E" w14:textId="77777777" w:rsidTr="00AF29CF">
        <w:trPr>
          <w:cantSplit/>
        </w:trPr>
        <w:tc>
          <w:tcPr>
            <w:tcW w:w="1098" w:type="pct"/>
            <w:tcBorders>
              <w:top w:val="nil"/>
              <w:left w:val="single" w:sz="4" w:space="0" w:color="auto"/>
              <w:bottom w:val="single" w:sz="4" w:space="0" w:color="auto"/>
              <w:right w:val="single" w:sz="4" w:space="0" w:color="auto"/>
            </w:tcBorders>
            <w:tcMar>
              <w:left w:w="28" w:type="dxa"/>
              <w:right w:w="28" w:type="dxa"/>
            </w:tcMar>
            <w:hideMark/>
          </w:tcPr>
          <w:p w14:paraId="7382044D" w14:textId="77777777" w:rsidR="00364D5B" w:rsidRPr="00B07B9F" w:rsidRDefault="00364D5B" w:rsidP="002B18D9">
            <w:pPr>
              <w:keepNext/>
              <w:jc w:val="left"/>
              <w:rPr>
                <w:rFonts w:ascii="Arial Narrow" w:hAnsi="Arial Narrow" w:cs="Calibri"/>
                <w:color w:val="000000"/>
                <w:sz w:val="20"/>
                <w:szCs w:val="20"/>
              </w:rPr>
            </w:pPr>
            <w:r w:rsidRPr="00B07B9F">
              <w:rPr>
                <w:rFonts w:ascii="Arial Narrow" w:hAnsi="Arial Narrow" w:cs="Calibri"/>
                <w:color w:val="000000"/>
                <w:sz w:val="20"/>
                <w:szCs w:val="20"/>
              </w:rPr>
              <w:t>Total scripts</w:t>
            </w:r>
          </w:p>
        </w:tc>
        <w:tc>
          <w:tcPr>
            <w:tcW w:w="708" w:type="pct"/>
            <w:tcBorders>
              <w:top w:val="nil"/>
              <w:left w:val="nil"/>
              <w:bottom w:val="single" w:sz="4" w:space="0" w:color="auto"/>
              <w:right w:val="single" w:sz="4" w:space="0" w:color="auto"/>
            </w:tcBorders>
            <w:tcMar>
              <w:left w:w="28" w:type="dxa"/>
              <w:right w:w="28" w:type="dxa"/>
            </w:tcMar>
            <w:hideMark/>
          </w:tcPr>
          <w:p w14:paraId="5DEBF8A1" w14:textId="77777777" w:rsidR="00364D5B" w:rsidRPr="00B07B9F" w:rsidRDefault="00364D5B" w:rsidP="002B18D9">
            <w:pPr>
              <w:keepNext/>
              <w:jc w:val="left"/>
              <w:rPr>
                <w:rFonts w:ascii="Arial Narrow" w:hAnsi="Arial Narrow" w:cs="Calibri"/>
                <w:color w:val="000000"/>
                <w:sz w:val="20"/>
                <w:szCs w:val="20"/>
              </w:rPr>
            </w:pPr>
            <w:r w:rsidRPr="00B07B9F">
              <w:rPr>
                <w:rFonts w:ascii="Arial Narrow" w:hAnsi="Arial Narrow" w:cs="Calibri"/>
                <w:color w:val="000000"/>
                <w:sz w:val="20"/>
                <w:szCs w:val="20"/>
              </w:rPr>
              <w:t>PBS: 350,132</w:t>
            </w:r>
            <w:r w:rsidRPr="00B07B9F">
              <w:rPr>
                <w:rFonts w:ascii="Arial Narrow" w:hAnsi="Arial Narrow" w:cs="Calibri"/>
                <w:color w:val="000000"/>
                <w:sz w:val="20"/>
                <w:szCs w:val="20"/>
              </w:rPr>
              <w:br/>
              <w:t>RPBS: 2,311</w:t>
            </w:r>
          </w:p>
        </w:tc>
        <w:tc>
          <w:tcPr>
            <w:tcW w:w="1576" w:type="pct"/>
            <w:tcBorders>
              <w:top w:val="nil"/>
              <w:left w:val="nil"/>
              <w:bottom w:val="single" w:sz="4" w:space="0" w:color="auto"/>
              <w:right w:val="single" w:sz="4" w:space="0" w:color="auto"/>
            </w:tcBorders>
            <w:tcMar>
              <w:left w:w="28" w:type="dxa"/>
              <w:right w:w="28" w:type="dxa"/>
            </w:tcMar>
            <w:hideMark/>
          </w:tcPr>
          <w:p w14:paraId="40AE1FAA" w14:textId="77777777" w:rsidR="00364D5B" w:rsidRPr="00B07B9F" w:rsidRDefault="00364D5B" w:rsidP="002B18D9">
            <w:pPr>
              <w:keepNext/>
              <w:jc w:val="left"/>
              <w:rPr>
                <w:rFonts w:ascii="Arial Narrow" w:hAnsi="Arial Narrow" w:cs="Calibri"/>
                <w:color w:val="000000"/>
                <w:sz w:val="20"/>
                <w:szCs w:val="20"/>
              </w:rPr>
            </w:pPr>
            <w:r w:rsidRPr="00B07B9F">
              <w:rPr>
                <w:rFonts w:ascii="Arial Narrow" w:eastAsiaTheme="majorEastAsia" w:hAnsi="Arial Narrow" w:cstheme="majorBidi"/>
                <w:bCs/>
                <w:sz w:val="20"/>
                <w:szCs w:val="20"/>
              </w:rPr>
              <w:t xml:space="preserve">Services Australia Utilisation statistics for PBS items: </w:t>
            </w:r>
            <w:r w:rsidRPr="00B07B9F">
              <w:rPr>
                <w:rFonts w:ascii="Arial Narrow" w:hAnsi="Arial Narrow" w:cs="Calibri"/>
                <w:color w:val="000000"/>
                <w:sz w:val="20"/>
                <w:szCs w:val="20"/>
              </w:rPr>
              <w:t>1 Jan – 31 Aug 2025</w:t>
            </w:r>
          </w:p>
        </w:tc>
        <w:tc>
          <w:tcPr>
            <w:tcW w:w="1619" w:type="pct"/>
            <w:tcBorders>
              <w:top w:val="nil"/>
              <w:left w:val="nil"/>
              <w:bottom w:val="single" w:sz="4" w:space="0" w:color="auto"/>
              <w:right w:val="single" w:sz="4" w:space="0" w:color="auto"/>
            </w:tcBorders>
            <w:tcMar>
              <w:left w:w="28" w:type="dxa"/>
              <w:right w:w="28" w:type="dxa"/>
            </w:tcMar>
            <w:vAlign w:val="center"/>
            <w:hideMark/>
          </w:tcPr>
          <w:p w14:paraId="73019B2A" w14:textId="6D4486CC" w:rsidR="00364D5B" w:rsidRPr="009F406B" w:rsidRDefault="00E31682" w:rsidP="002B18D9">
            <w:pPr>
              <w:keepNext/>
              <w:jc w:val="left"/>
              <w:rPr>
                <w:rFonts w:ascii="Arial Narrow" w:hAnsi="Arial Narrow" w:cs="Calibri"/>
                <w:color w:val="000000"/>
                <w:sz w:val="20"/>
                <w:szCs w:val="20"/>
              </w:rPr>
            </w:pPr>
            <w:r w:rsidRPr="009F406B">
              <w:rPr>
                <w:rFonts w:ascii="Arial Narrow" w:hAnsi="Arial Narrow" w:cs="Calibri"/>
                <w:color w:val="000000"/>
                <w:sz w:val="20"/>
                <w:szCs w:val="20"/>
              </w:rPr>
              <w:t>Based on updated figures</w:t>
            </w:r>
            <w:r w:rsidR="00AA5DCA" w:rsidRPr="009F406B">
              <w:rPr>
                <w:rFonts w:ascii="Arial Narrow" w:hAnsi="Arial Narrow" w:cs="Calibri"/>
                <w:color w:val="000000"/>
                <w:sz w:val="20"/>
                <w:szCs w:val="20"/>
              </w:rPr>
              <w:t>. T</w:t>
            </w:r>
            <w:r w:rsidR="00364D5B" w:rsidRPr="009F406B">
              <w:rPr>
                <w:rFonts w:ascii="Arial Narrow" w:hAnsi="Arial Narrow" w:cs="Calibri"/>
                <w:color w:val="000000"/>
                <w:sz w:val="20"/>
                <w:szCs w:val="20"/>
              </w:rPr>
              <w:t xml:space="preserve">he growth rate is uncertain, as noted </w:t>
            </w:r>
            <w:r w:rsidR="0016367A" w:rsidRPr="009C74FE">
              <w:rPr>
                <w:rFonts w:ascii="Arial Narrow" w:hAnsi="Arial Narrow" w:cs="Calibri"/>
                <w:color w:val="000000"/>
                <w:sz w:val="20"/>
                <w:szCs w:val="20"/>
              </w:rPr>
              <w:t xml:space="preserve">in para </w:t>
            </w:r>
            <w:r w:rsidR="0016367A" w:rsidRPr="009C74FE">
              <w:rPr>
                <w:rFonts w:ascii="Arial Narrow" w:hAnsi="Arial Narrow" w:cs="Calibri"/>
                <w:color w:val="000000"/>
                <w:sz w:val="20"/>
                <w:szCs w:val="20"/>
              </w:rPr>
              <w:fldChar w:fldCharType="begin"/>
            </w:r>
            <w:r w:rsidR="0016367A" w:rsidRPr="009C74FE">
              <w:rPr>
                <w:rFonts w:ascii="Arial Narrow" w:hAnsi="Arial Narrow" w:cs="Calibri"/>
                <w:color w:val="000000"/>
                <w:sz w:val="20"/>
                <w:szCs w:val="20"/>
              </w:rPr>
              <w:instrText xml:space="preserve"> REF _Ref221620276 \r \h </w:instrText>
            </w:r>
            <w:r w:rsidR="009F406B">
              <w:rPr>
                <w:rFonts w:ascii="Arial Narrow" w:hAnsi="Arial Narrow" w:cs="Calibri"/>
                <w:color w:val="000000"/>
                <w:sz w:val="20"/>
                <w:szCs w:val="20"/>
              </w:rPr>
              <w:instrText xml:space="preserve"> \* MERGEFORMAT </w:instrText>
            </w:r>
            <w:r w:rsidR="0016367A" w:rsidRPr="009C74FE">
              <w:rPr>
                <w:rFonts w:ascii="Arial Narrow" w:hAnsi="Arial Narrow" w:cs="Calibri"/>
                <w:color w:val="000000"/>
                <w:sz w:val="20"/>
                <w:szCs w:val="20"/>
              </w:rPr>
            </w:r>
            <w:r w:rsidR="0016367A" w:rsidRPr="009C74FE">
              <w:rPr>
                <w:rFonts w:ascii="Arial Narrow" w:hAnsi="Arial Narrow" w:cs="Calibri"/>
                <w:color w:val="000000"/>
                <w:sz w:val="20"/>
                <w:szCs w:val="20"/>
              </w:rPr>
              <w:fldChar w:fldCharType="separate"/>
            </w:r>
            <w:r w:rsidR="00C01FE5">
              <w:rPr>
                <w:rFonts w:ascii="Arial Narrow" w:hAnsi="Arial Narrow" w:cs="Calibri"/>
                <w:color w:val="000000"/>
                <w:sz w:val="20"/>
                <w:szCs w:val="20"/>
              </w:rPr>
              <w:t>6.51</w:t>
            </w:r>
            <w:r w:rsidR="0016367A" w:rsidRPr="009C74FE">
              <w:rPr>
                <w:rFonts w:ascii="Arial Narrow" w:hAnsi="Arial Narrow" w:cs="Calibri"/>
                <w:color w:val="000000"/>
                <w:sz w:val="20"/>
                <w:szCs w:val="20"/>
              </w:rPr>
              <w:fldChar w:fldCharType="end"/>
            </w:r>
            <w:r w:rsidR="00364D5B" w:rsidRPr="009F406B">
              <w:rPr>
                <w:rFonts w:ascii="Arial Narrow" w:hAnsi="Arial Narrow" w:cs="Calibri"/>
                <w:color w:val="000000"/>
                <w:sz w:val="20"/>
                <w:szCs w:val="20"/>
              </w:rPr>
              <w:t>.</w:t>
            </w:r>
          </w:p>
        </w:tc>
      </w:tr>
      <w:tr w:rsidR="00364D5B" w:rsidRPr="00B07B9F" w14:paraId="11F381C3" w14:textId="77777777" w:rsidTr="00AF29CF">
        <w:trPr>
          <w:cantSplit/>
        </w:trPr>
        <w:tc>
          <w:tcPr>
            <w:tcW w:w="1098" w:type="pct"/>
            <w:tcBorders>
              <w:top w:val="nil"/>
              <w:left w:val="single" w:sz="4" w:space="0" w:color="auto"/>
              <w:bottom w:val="single" w:sz="4" w:space="0" w:color="auto"/>
              <w:right w:val="single" w:sz="4" w:space="0" w:color="auto"/>
            </w:tcBorders>
            <w:tcMar>
              <w:left w:w="28" w:type="dxa"/>
              <w:right w:w="28" w:type="dxa"/>
            </w:tcMar>
            <w:hideMark/>
          </w:tcPr>
          <w:p w14:paraId="6E30FB68" w14:textId="77777777" w:rsidR="00364D5B" w:rsidRPr="00B07B9F" w:rsidRDefault="00364D5B" w:rsidP="002B18D9">
            <w:pPr>
              <w:keepNext/>
              <w:jc w:val="left"/>
              <w:rPr>
                <w:rFonts w:ascii="Arial Narrow" w:hAnsi="Arial Narrow" w:cs="Calibri"/>
                <w:color w:val="000000"/>
                <w:sz w:val="20"/>
                <w:szCs w:val="20"/>
              </w:rPr>
            </w:pPr>
            <w:r w:rsidRPr="00B07B9F">
              <w:rPr>
                <w:rFonts w:ascii="Arial Narrow" w:hAnsi="Arial Narrow" w:cs="Calibri"/>
                <w:color w:val="000000"/>
                <w:sz w:val="20"/>
                <w:szCs w:val="20"/>
              </w:rPr>
              <w:t>Growth rate</w:t>
            </w:r>
          </w:p>
        </w:tc>
        <w:tc>
          <w:tcPr>
            <w:tcW w:w="708" w:type="pct"/>
            <w:tcBorders>
              <w:top w:val="nil"/>
              <w:left w:val="nil"/>
              <w:bottom w:val="single" w:sz="4" w:space="0" w:color="auto"/>
              <w:right w:val="single" w:sz="4" w:space="0" w:color="auto"/>
            </w:tcBorders>
            <w:tcMar>
              <w:left w:w="28" w:type="dxa"/>
              <w:right w:w="28" w:type="dxa"/>
            </w:tcMar>
            <w:hideMark/>
          </w:tcPr>
          <w:p w14:paraId="6829B0D3" w14:textId="3DAB2B3F" w:rsidR="00364D5B" w:rsidRPr="00B07B9F" w:rsidRDefault="00364D5B" w:rsidP="002B18D9">
            <w:pPr>
              <w:keepNext/>
              <w:jc w:val="left"/>
              <w:rPr>
                <w:rFonts w:ascii="Arial Narrow" w:hAnsi="Arial Narrow" w:cs="Calibri"/>
                <w:color w:val="000000"/>
                <w:sz w:val="20"/>
                <w:szCs w:val="20"/>
              </w:rPr>
            </w:pPr>
            <w:r w:rsidRPr="00B07B9F">
              <w:rPr>
                <w:rFonts w:ascii="Arial Narrow" w:hAnsi="Arial Narrow" w:cs="Calibri"/>
                <w:color w:val="000000"/>
                <w:sz w:val="20"/>
                <w:szCs w:val="20"/>
              </w:rPr>
              <w:t>Decreasing from</w:t>
            </w:r>
            <w:r w:rsidRPr="00B07B9F">
              <w:rPr>
                <w:rFonts w:ascii="Arial Narrow" w:hAnsi="Arial Narrow" w:cs="Calibri"/>
                <w:color w:val="000000"/>
                <w:sz w:val="20"/>
                <w:szCs w:val="20"/>
              </w:rPr>
              <w:br/>
              <w:t>12.32% in Year 1 to</w:t>
            </w:r>
            <w:r w:rsidR="00FE33CF">
              <w:rPr>
                <w:rFonts w:ascii="Arial Narrow" w:hAnsi="Arial Narrow" w:cs="Calibri"/>
                <w:color w:val="000000"/>
                <w:sz w:val="20"/>
                <w:szCs w:val="20"/>
              </w:rPr>
              <w:t xml:space="preserve"> </w:t>
            </w:r>
            <w:r w:rsidRPr="00B07B9F">
              <w:rPr>
                <w:rFonts w:ascii="Arial Narrow" w:hAnsi="Arial Narrow" w:cs="Calibri"/>
                <w:color w:val="000000"/>
                <w:sz w:val="20"/>
                <w:szCs w:val="20"/>
              </w:rPr>
              <w:t>8.26% in Year 6</w:t>
            </w:r>
          </w:p>
        </w:tc>
        <w:tc>
          <w:tcPr>
            <w:tcW w:w="1576" w:type="pct"/>
            <w:tcBorders>
              <w:top w:val="nil"/>
              <w:left w:val="nil"/>
              <w:bottom w:val="single" w:sz="4" w:space="0" w:color="auto"/>
              <w:right w:val="single" w:sz="4" w:space="0" w:color="auto"/>
            </w:tcBorders>
            <w:tcMar>
              <w:left w:w="28" w:type="dxa"/>
              <w:right w:w="28" w:type="dxa"/>
            </w:tcMar>
            <w:hideMark/>
          </w:tcPr>
          <w:p w14:paraId="22718C29" w14:textId="0266092B" w:rsidR="00364D5B" w:rsidRPr="00B07B9F" w:rsidRDefault="006F50CA" w:rsidP="002B18D9">
            <w:pPr>
              <w:keepNext/>
              <w:jc w:val="left"/>
              <w:rPr>
                <w:rFonts w:ascii="Arial Narrow" w:hAnsi="Arial Narrow" w:cs="Calibri"/>
                <w:color w:val="000000"/>
                <w:sz w:val="20"/>
                <w:szCs w:val="20"/>
              </w:rPr>
            </w:pPr>
            <w:r w:rsidRPr="00B07B9F">
              <w:rPr>
                <w:rFonts w:ascii="Arial Narrow" w:hAnsi="Arial Narrow" w:cs="Calibri"/>
                <w:color w:val="000000"/>
                <w:sz w:val="20"/>
                <w:szCs w:val="20"/>
              </w:rPr>
              <w:t>DUPI</w:t>
            </w:r>
            <w:r w:rsidR="00364D5B" w:rsidRPr="00B07B9F">
              <w:rPr>
                <w:rFonts w:ascii="Arial Narrow" w:hAnsi="Arial Narrow" w:cs="Calibri"/>
                <w:color w:val="000000"/>
                <w:sz w:val="20"/>
                <w:szCs w:val="20"/>
              </w:rPr>
              <w:t xml:space="preserve"> July 2024 PSD, Table 6 extrapolated</w:t>
            </w:r>
          </w:p>
        </w:tc>
        <w:tc>
          <w:tcPr>
            <w:tcW w:w="1619" w:type="pct"/>
            <w:tcBorders>
              <w:top w:val="nil"/>
              <w:left w:val="nil"/>
              <w:bottom w:val="single" w:sz="4" w:space="0" w:color="auto"/>
              <w:right w:val="single" w:sz="4" w:space="0" w:color="auto"/>
            </w:tcBorders>
            <w:tcMar>
              <w:left w:w="28" w:type="dxa"/>
              <w:right w:w="28" w:type="dxa"/>
            </w:tcMar>
            <w:vAlign w:val="center"/>
            <w:hideMark/>
          </w:tcPr>
          <w:p w14:paraId="791ABDE2" w14:textId="16A1365A" w:rsidR="00364D5B" w:rsidRPr="00DC31EA" w:rsidRDefault="00AA5DCA" w:rsidP="002B18D9">
            <w:pPr>
              <w:keepNext/>
              <w:jc w:val="left"/>
              <w:rPr>
                <w:rFonts w:ascii="Arial Narrow" w:hAnsi="Arial Narrow" w:cs="Calibri"/>
                <w:color w:val="000000"/>
                <w:sz w:val="20"/>
                <w:szCs w:val="20"/>
              </w:rPr>
            </w:pPr>
            <w:r>
              <w:rPr>
                <w:rFonts w:ascii="Arial Narrow" w:hAnsi="Arial Narrow" w:cs="Calibri"/>
                <w:color w:val="000000"/>
                <w:sz w:val="20"/>
                <w:szCs w:val="20"/>
              </w:rPr>
              <w:t>Unchanged</w:t>
            </w:r>
            <w:r w:rsidR="0084137A">
              <w:rPr>
                <w:rFonts w:ascii="Arial Narrow" w:hAnsi="Arial Narrow" w:cs="Calibri"/>
                <w:color w:val="000000"/>
                <w:sz w:val="20"/>
                <w:szCs w:val="20"/>
              </w:rPr>
              <w:t>; however uncertain as the</w:t>
            </w:r>
            <w:r w:rsidR="007411F1" w:rsidRPr="00DC31EA">
              <w:rPr>
                <w:rFonts w:ascii="Arial Narrow" w:hAnsi="Arial Narrow" w:cs="Calibri"/>
                <w:color w:val="000000"/>
                <w:sz w:val="20"/>
                <w:szCs w:val="20"/>
              </w:rPr>
              <w:t xml:space="preserve"> figures now apply to later years in the extrapolation and applies across a nine-year period. </w:t>
            </w:r>
          </w:p>
        </w:tc>
      </w:tr>
      <w:tr w:rsidR="00364D5B" w:rsidRPr="00B07B9F" w14:paraId="388F4FE4" w14:textId="77777777" w:rsidTr="00AF29CF">
        <w:trPr>
          <w:cantSplit/>
        </w:trPr>
        <w:tc>
          <w:tcPr>
            <w:tcW w:w="1098" w:type="pct"/>
            <w:tcBorders>
              <w:top w:val="nil"/>
              <w:left w:val="single" w:sz="4" w:space="0" w:color="auto"/>
              <w:bottom w:val="single" w:sz="4" w:space="0" w:color="auto"/>
              <w:right w:val="single" w:sz="4" w:space="0" w:color="auto"/>
            </w:tcBorders>
            <w:tcMar>
              <w:left w:w="28" w:type="dxa"/>
              <w:right w:w="28" w:type="dxa"/>
            </w:tcMar>
            <w:hideMark/>
          </w:tcPr>
          <w:p w14:paraId="72775656" w14:textId="77777777" w:rsidR="00364D5B" w:rsidRPr="00B07B9F" w:rsidRDefault="00364D5B" w:rsidP="002B18D9">
            <w:pPr>
              <w:keepNext/>
              <w:jc w:val="left"/>
              <w:rPr>
                <w:rFonts w:ascii="Arial Narrow" w:hAnsi="Arial Narrow" w:cs="Calibri"/>
                <w:color w:val="000000"/>
                <w:sz w:val="20"/>
                <w:szCs w:val="20"/>
              </w:rPr>
            </w:pPr>
            <w:r w:rsidRPr="00B07B9F">
              <w:rPr>
                <w:rFonts w:ascii="Arial Narrow" w:hAnsi="Arial Narrow" w:cs="Calibri"/>
                <w:color w:val="000000"/>
                <w:sz w:val="20"/>
                <w:szCs w:val="20"/>
              </w:rPr>
              <w:t>Uptake rate</w:t>
            </w:r>
          </w:p>
        </w:tc>
        <w:tc>
          <w:tcPr>
            <w:tcW w:w="708" w:type="pct"/>
            <w:tcBorders>
              <w:top w:val="nil"/>
              <w:left w:val="nil"/>
              <w:bottom w:val="single" w:sz="4" w:space="0" w:color="auto"/>
              <w:right w:val="single" w:sz="4" w:space="0" w:color="auto"/>
            </w:tcBorders>
            <w:tcMar>
              <w:left w:w="28" w:type="dxa"/>
              <w:right w:w="28" w:type="dxa"/>
            </w:tcMar>
            <w:hideMark/>
          </w:tcPr>
          <w:p w14:paraId="67381CA6" w14:textId="77737B18" w:rsidR="00364D5B" w:rsidRPr="00B07B9F" w:rsidRDefault="00364D5B" w:rsidP="002B18D9">
            <w:pPr>
              <w:keepNext/>
              <w:jc w:val="left"/>
              <w:rPr>
                <w:rFonts w:ascii="Arial Narrow" w:hAnsi="Arial Narrow" w:cs="Calibri"/>
                <w:color w:val="000000"/>
                <w:sz w:val="20"/>
                <w:szCs w:val="20"/>
              </w:rPr>
            </w:pPr>
            <w:r w:rsidRPr="00B07B9F">
              <w:rPr>
                <w:rFonts w:ascii="Arial Narrow" w:hAnsi="Arial Narrow" w:cs="Calibri"/>
                <w:color w:val="000000"/>
                <w:sz w:val="20"/>
                <w:szCs w:val="20"/>
              </w:rPr>
              <w:t>Increasing from</w:t>
            </w:r>
            <w:r w:rsidRPr="00B07B9F">
              <w:rPr>
                <w:rFonts w:ascii="Arial Narrow" w:hAnsi="Arial Narrow" w:cs="Calibri"/>
                <w:color w:val="000000"/>
                <w:sz w:val="20"/>
                <w:szCs w:val="20"/>
              </w:rPr>
              <w:br/>
            </w:r>
            <w:r w:rsidR="00807021" w:rsidRPr="00807021">
              <w:rPr>
                <w:rFonts w:ascii="Arial Narrow" w:hAnsi="Arial Narrow" w:cs="Calibri"/>
                <w:color w:val="000000"/>
                <w:sz w:val="2"/>
                <w:szCs w:val="20"/>
                <w:highlight w:val="black"/>
              </w:rPr>
              <w:t>redacted content</w:t>
            </w:r>
            <w:r w:rsidRPr="00B07B9F">
              <w:rPr>
                <w:rFonts w:ascii="Arial Narrow" w:hAnsi="Arial Narrow" w:cs="Calibri"/>
                <w:color w:val="000000"/>
                <w:sz w:val="20"/>
                <w:szCs w:val="20"/>
              </w:rPr>
              <w:t>% in Year 1 to</w:t>
            </w:r>
            <w:r w:rsidR="00FE33CF">
              <w:rPr>
                <w:rFonts w:ascii="Arial Narrow" w:hAnsi="Arial Narrow" w:cs="Calibri"/>
                <w:color w:val="000000"/>
                <w:sz w:val="20"/>
                <w:szCs w:val="20"/>
              </w:rPr>
              <w:t xml:space="preserve"> </w:t>
            </w:r>
            <w:r w:rsidR="00807021" w:rsidRPr="00807021">
              <w:rPr>
                <w:rFonts w:ascii="Arial Narrow" w:hAnsi="Arial Narrow" w:cs="Calibri"/>
                <w:color w:val="000000"/>
                <w:sz w:val="2"/>
                <w:szCs w:val="20"/>
                <w:highlight w:val="black"/>
              </w:rPr>
              <w:t>redacted content</w:t>
            </w:r>
            <w:r w:rsidRPr="00B07B9F">
              <w:rPr>
                <w:rFonts w:ascii="Arial Narrow" w:hAnsi="Arial Narrow" w:cs="Calibri"/>
                <w:color w:val="000000"/>
                <w:sz w:val="20"/>
                <w:szCs w:val="20"/>
              </w:rPr>
              <w:t>% in Year 6</w:t>
            </w:r>
          </w:p>
        </w:tc>
        <w:tc>
          <w:tcPr>
            <w:tcW w:w="1576" w:type="pct"/>
            <w:tcBorders>
              <w:top w:val="nil"/>
              <w:left w:val="nil"/>
              <w:bottom w:val="single" w:sz="4" w:space="0" w:color="auto"/>
              <w:right w:val="single" w:sz="4" w:space="0" w:color="auto"/>
            </w:tcBorders>
            <w:tcMar>
              <w:left w:w="28" w:type="dxa"/>
              <w:right w:w="28" w:type="dxa"/>
            </w:tcMar>
            <w:hideMark/>
          </w:tcPr>
          <w:p w14:paraId="6EAFEC6F" w14:textId="77777777" w:rsidR="00364D5B" w:rsidRPr="00B07B9F" w:rsidRDefault="00364D5B" w:rsidP="002B18D9">
            <w:pPr>
              <w:keepNext/>
              <w:jc w:val="left"/>
              <w:rPr>
                <w:rFonts w:ascii="Arial Narrow" w:hAnsi="Arial Narrow" w:cs="Calibri"/>
                <w:color w:val="000000"/>
                <w:sz w:val="20"/>
                <w:szCs w:val="20"/>
              </w:rPr>
            </w:pPr>
            <w:r w:rsidRPr="00B07B9F">
              <w:rPr>
                <w:rFonts w:ascii="Arial Narrow" w:hAnsi="Arial Narrow" w:cs="Calibri"/>
                <w:color w:val="000000"/>
                <w:sz w:val="20"/>
                <w:szCs w:val="20"/>
              </w:rPr>
              <w:t>Sponsor assumption</w:t>
            </w:r>
          </w:p>
        </w:tc>
        <w:tc>
          <w:tcPr>
            <w:tcW w:w="1619" w:type="pct"/>
            <w:tcBorders>
              <w:top w:val="nil"/>
              <w:left w:val="nil"/>
              <w:bottom w:val="single" w:sz="4" w:space="0" w:color="auto"/>
              <w:right w:val="single" w:sz="4" w:space="0" w:color="auto"/>
            </w:tcBorders>
            <w:tcMar>
              <w:left w:w="28" w:type="dxa"/>
              <w:right w:w="28" w:type="dxa"/>
            </w:tcMar>
            <w:vAlign w:val="center"/>
            <w:hideMark/>
          </w:tcPr>
          <w:p w14:paraId="6E0E603F" w14:textId="33D821CC" w:rsidR="00364D5B" w:rsidRPr="00DC31EA" w:rsidRDefault="00364D5B" w:rsidP="002B18D9">
            <w:pPr>
              <w:keepNext/>
              <w:jc w:val="left"/>
              <w:rPr>
                <w:rFonts w:ascii="Arial Narrow" w:hAnsi="Arial Narrow" w:cs="Calibri"/>
                <w:color w:val="000000"/>
                <w:sz w:val="20"/>
                <w:szCs w:val="20"/>
              </w:rPr>
            </w:pPr>
            <w:r w:rsidRPr="00DC31EA">
              <w:rPr>
                <w:rFonts w:ascii="Arial Narrow" w:hAnsi="Arial Narrow" w:cs="Calibri"/>
                <w:color w:val="000000"/>
                <w:sz w:val="20"/>
                <w:szCs w:val="20"/>
              </w:rPr>
              <w:t xml:space="preserve">The uptake rate has been reduced by </w:t>
            </w:r>
            <w:r w:rsidR="00807021" w:rsidRPr="00807021">
              <w:rPr>
                <w:rFonts w:ascii="Arial Narrow" w:hAnsi="Arial Narrow" w:cs="Calibri"/>
                <w:color w:val="000000"/>
                <w:sz w:val="2"/>
                <w:szCs w:val="20"/>
                <w:highlight w:val="black"/>
              </w:rPr>
              <w:t>redacted content</w:t>
            </w:r>
            <w:r w:rsidRPr="00DC31EA">
              <w:rPr>
                <w:rFonts w:ascii="Arial Narrow" w:hAnsi="Arial Narrow" w:cs="Calibri"/>
                <w:color w:val="000000"/>
                <w:sz w:val="20"/>
                <w:szCs w:val="20"/>
              </w:rPr>
              <w:t xml:space="preserve">% from the previous submission. The uptake rate </w:t>
            </w:r>
            <w:r w:rsidR="00C309A1" w:rsidRPr="00DC31EA">
              <w:rPr>
                <w:rFonts w:ascii="Arial Narrow" w:hAnsi="Arial Narrow" w:cs="Calibri"/>
                <w:color w:val="000000"/>
                <w:sz w:val="20"/>
                <w:szCs w:val="20"/>
              </w:rPr>
              <w:t xml:space="preserve">remains </w:t>
            </w:r>
            <w:r w:rsidRPr="00DC31EA">
              <w:rPr>
                <w:rFonts w:ascii="Arial Narrow" w:hAnsi="Arial Narrow" w:cs="Calibri"/>
                <w:color w:val="000000"/>
                <w:sz w:val="20"/>
                <w:szCs w:val="20"/>
              </w:rPr>
              <w:t>uncertain.</w:t>
            </w:r>
          </w:p>
        </w:tc>
      </w:tr>
      <w:tr w:rsidR="00364D5B" w:rsidRPr="00FA2AB8" w14:paraId="49938D6A" w14:textId="77777777" w:rsidTr="00AF29CF">
        <w:trPr>
          <w:cantSplit/>
        </w:trPr>
        <w:tc>
          <w:tcPr>
            <w:tcW w:w="5000" w:type="pct"/>
            <w:gridSpan w:val="4"/>
            <w:tcBorders>
              <w:top w:val="single" w:sz="4" w:space="0" w:color="auto"/>
              <w:left w:val="single" w:sz="4" w:space="0" w:color="auto"/>
              <w:bottom w:val="single" w:sz="4" w:space="0" w:color="auto"/>
              <w:right w:val="single" w:sz="4" w:space="0" w:color="auto"/>
            </w:tcBorders>
            <w:tcMar>
              <w:left w:w="28" w:type="dxa"/>
              <w:right w:w="28" w:type="dxa"/>
            </w:tcMar>
            <w:hideMark/>
          </w:tcPr>
          <w:p w14:paraId="365A8455" w14:textId="77777777" w:rsidR="00364D5B" w:rsidRPr="00FA2AB8" w:rsidRDefault="00364D5B" w:rsidP="002B18D9">
            <w:pPr>
              <w:keepNext/>
              <w:jc w:val="left"/>
              <w:rPr>
                <w:rFonts w:ascii="Arial Narrow" w:hAnsi="Arial Narrow" w:cs="Calibri"/>
                <w:b/>
                <w:bCs/>
                <w:color w:val="000000"/>
                <w:sz w:val="20"/>
                <w:szCs w:val="20"/>
              </w:rPr>
            </w:pPr>
            <w:r w:rsidRPr="00FA2AB8">
              <w:rPr>
                <w:rFonts w:ascii="Arial Narrow" w:hAnsi="Arial Narrow" w:cs="Calibri"/>
                <w:b/>
                <w:bCs/>
                <w:color w:val="000000"/>
                <w:sz w:val="20"/>
                <w:szCs w:val="20"/>
              </w:rPr>
              <w:t>Script equivalence</w:t>
            </w:r>
          </w:p>
        </w:tc>
      </w:tr>
      <w:tr w:rsidR="00364D5B" w:rsidRPr="004D3AF3" w14:paraId="0443EA0F" w14:textId="77777777" w:rsidTr="00AF29CF">
        <w:trPr>
          <w:cantSplit/>
        </w:trPr>
        <w:tc>
          <w:tcPr>
            <w:tcW w:w="1098" w:type="pct"/>
            <w:tcBorders>
              <w:top w:val="nil"/>
              <w:left w:val="single" w:sz="4" w:space="0" w:color="auto"/>
              <w:bottom w:val="single" w:sz="4" w:space="0" w:color="auto"/>
              <w:right w:val="single" w:sz="4" w:space="0" w:color="auto"/>
            </w:tcBorders>
            <w:tcMar>
              <w:left w:w="28" w:type="dxa"/>
              <w:right w:w="28" w:type="dxa"/>
            </w:tcMar>
            <w:hideMark/>
          </w:tcPr>
          <w:p w14:paraId="3CA501DC" w14:textId="234157FF" w:rsidR="00364D5B" w:rsidRPr="004D3AF3" w:rsidRDefault="006F50CA"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DUPI</w:t>
            </w:r>
            <w:r w:rsidR="00EE1D7F" w:rsidRPr="004D3AF3">
              <w:rPr>
                <w:rFonts w:ascii="Arial Narrow" w:hAnsi="Arial Narrow" w:cs="Calibri"/>
                <w:color w:val="000000"/>
                <w:sz w:val="20"/>
                <w:szCs w:val="20"/>
              </w:rPr>
              <w:t xml:space="preserve"> </w:t>
            </w:r>
            <w:r w:rsidR="00364D5B" w:rsidRPr="004D3AF3">
              <w:rPr>
                <w:rFonts w:ascii="Arial Narrow" w:hAnsi="Arial Narrow" w:cs="Calibri"/>
                <w:color w:val="000000"/>
                <w:sz w:val="20"/>
                <w:szCs w:val="20"/>
              </w:rPr>
              <w:t>200mg / 300mg</w:t>
            </w:r>
            <w:r w:rsidR="00364D5B" w:rsidRPr="004D3AF3">
              <w:rPr>
                <w:rFonts w:ascii="Arial Narrow" w:hAnsi="Arial Narrow" w:cs="Calibri"/>
                <w:color w:val="000000"/>
                <w:sz w:val="20"/>
                <w:szCs w:val="20"/>
              </w:rPr>
              <w:br/>
            </w:r>
            <w:r w:rsidRPr="004D3AF3">
              <w:rPr>
                <w:rFonts w:ascii="Arial Narrow" w:hAnsi="Arial Narrow" w:cs="Calibri"/>
                <w:color w:val="000000"/>
                <w:sz w:val="20"/>
                <w:szCs w:val="20"/>
              </w:rPr>
              <w:t>NEMO</w:t>
            </w:r>
            <w:r w:rsidR="00FE33CF" w:rsidRPr="004D3AF3">
              <w:rPr>
                <w:rFonts w:ascii="Arial Narrow" w:hAnsi="Arial Narrow" w:cs="Calibri"/>
                <w:color w:val="000000"/>
                <w:sz w:val="20"/>
                <w:szCs w:val="20"/>
              </w:rPr>
              <w:t xml:space="preserve"> </w:t>
            </w:r>
            <w:r w:rsidR="00364D5B" w:rsidRPr="004D3AF3">
              <w:rPr>
                <w:rFonts w:ascii="Arial Narrow" w:hAnsi="Arial Narrow" w:cs="Calibri"/>
                <w:color w:val="000000"/>
                <w:sz w:val="20"/>
                <w:szCs w:val="20"/>
              </w:rPr>
              <w:t xml:space="preserve">30mg </w:t>
            </w:r>
            <w:r w:rsidR="00E12EFA" w:rsidRPr="004D3AF3">
              <w:rPr>
                <w:rFonts w:ascii="Arial Narrow" w:hAnsi="Arial Narrow" w:cs="Calibri"/>
                <w:color w:val="000000"/>
                <w:sz w:val="20"/>
                <w:szCs w:val="20"/>
              </w:rPr>
              <w:t xml:space="preserve">x 2 </w:t>
            </w:r>
            <w:r w:rsidR="00364D5B" w:rsidRPr="004D3AF3">
              <w:rPr>
                <w:rFonts w:ascii="Arial Narrow" w:hAnsi="Arial Narrow" w:cs="Calibri"/>
                <w:color w:val="000000"/>
                <w:sz w:val="20"/>
                <w:szCs w:val="20"/>
              </w:rPr>
              <w:t>- Initial</w:t>
            </w:r>
          </w:p>
        </w:tc>
        <w:tc>
          <w:tcPr>
            <w:tcW w:w="708" w:type="pct"/>
            <w:tcBorders>
              <w:top w:val="nil"/>
              <w:left w:val="nil"/>
              <w:bottom w:val="single" w:sz="4" w:space="0" w:color="auto"/>
              <w:right w:val="single" w:sz="4" w:space="0" w:color="auto"/>
            </w:tcBorders>
            <w:tcMar>
              <w:left w:w="28" w:type="dxa"/>
              <w:right w:w="28" w:type="dxa"/>
            </w:tcMar>
            <w:hideMark/>
          </w:tcPr>
          <w:p w14:paraId="21453369" w14:textId="77777777" w:rsidR="00364D5B" w:rsidRPr="004D3AF3" w:rsidRDefault="00364D5B"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Existing: 5</w:t>
            </w:r>
            <w:r w:rsidRPr="004D3AF3">
              <w:rPr>
                <w:rFonts w:ascii="Arial Narrow" w:hAnsi="Arial Narrow" w:cs="Calibri"/>
                <w:color w:val="000000"/>
                <w:sz w:val="20"/>
                <w:szCs w:val="20"/>
              </w:rPr>
              <w:br/>
              <w:t>Proposed: 3.26</w:t>
            </w:r>
          </w:p>
        </w:tc>
        <w:tc>
          <w:tcPr>
            <w:tcW w:w="1576" w:type="pct"/>
            <w:vMerge w:val="restart"/>
            <w:tcBorders>
              <w:top w:val="nil"/>
              <w:left w:val="nil"/>
              <w:right w:val="single" w:sz="4" w:space="0" w:color="auto"/>
            </w:tcBorders>
            <w:tcMar>
              <w:left w:w="28" w:type="dxa"/>
              <w:right w:w="28" w:type="dxa"/>
            </w:tcMar>
          </w:tcPr>
          <w:p w14:paraId="76D1F87E" w14:textId="77777777" w:rsidR="00364D5B" w:rsidRPr="004D3AF3" w:rsidRDefault="00364D5B"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Sponsor calculation</w:t>
            </w:r>
          </w:p>
        </w:tc>
        <w:tc>
          <w:tcPr>
            <w:tcW w:w="1619" w:type="pct"/>
            <w:vMerge w:val="restart"/>
            <w:tcBorders>
              <w:top w:val="nil"/>
              <w:left w:val="nil"/>
              <w:right w:val="single" w:sz="4" w:space="0" w:color="auto"/>
            </w:tcBorders>
            <w:tcMar>
              <w:left w:w="28" w:type="dxa"/>
              <w:right w:w="28" w:type="dxa"/>
            </w:tcMar>
            <w:vAlign w:val="center"/>
            <w:hideMark/>
          </w:tcPr>
          <w:p w14:paraId="7036E033" w14:textId="597CC92C" w:rsidR="00364D5B" w:rsidRPr="004D3AF3" w:rsidRDefault="007411F1"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The existing number of scripts required for initial treatment is taken from the DUPI PI. The number of scripts for NEMO is weighted between the two responder groups</w:t>
            </w:r>
            <w:r w:rsidR="0077790B" w:rsidRPr="004D3AF3">
              <w:rPr>
                <w:rFonts w:ascii="Arial Narrow" w:hAnsi="Arial Narrow" w:cs="Calibri"/>
                <w:color w:val="000000"/>
                <w:sz w:val="20"/>
                <w:szCs w:val="20"/>
              </w:rPr>
              <w:t xml:space="preserve"> (7</w:t>
            </w:r>
            <w:r w:rsidR="00967FF6" w:rsidRPr="004D3AF3">
              <w:rPr>
                <w:rFonts w:ascii="Arial Narrow" w:hAnsi="Arial Narrow" w:cs="Calibri"/>
                <w:color w:val="000000"/>
                <w:sz w:val="20"/>
                <w:szCs w:val="20"/>
              </w:rPr>
              <w:t xml:space="preserve">4.1% </w:t>
            </w:r>
            <w:r w:rsidR="00903F7E" w:rsidRPr="004D3AF3">
              <w:rPr>
                <w:rFonts w:ascii="Arial Narrow" w:hAnsi="Arial Narrow" w:cs="Calibri"/>
                <w:color w:val="000000"/>
                <w:sz w:val="20"/>
                <w:szCs w:val="20"/>
              </w:rPr>
              <w:t>respond at 16 weeks, 25.9% respond at 24 weeks)</w:t>
            </w:r>
            <w:r w:rsidRPr="004D3AF3">
              <w:rPr>
                <w:rFonts w:ascii="Arial Narrow" w:hAnsi="Arial Narrow" w:cs="Calibri"/>
                <w:color w:val="000000"/>
                <w:sz w:val="20"/>
                <w:szCs w:val="20"/>
              </w:rPr>
              <w:t xml:space="preserve"> which increases the number of </w:t>
            </w:r>
            <w:r w:rsidR="00FD7374" w:rsidRPr="004D3AF3">
              <w:rPr>
                <w:rFonts w:ascii="Arial Narrow" w:hAnsi="Arial Narrow" w:cs="Calibri"/>
                <w:color w:val="000000"/>
                <w:sz w:val="20"/>
                <w:szCs w:val="20"/>
              </w:rPr>
              <w:t xml:space="preserve">initial </w:t>
            </w:r>
            <w:r w:rsidRPr="004D3AF3">
              <w:rPr>
                <w:rFonts w:ascii="Arial Narrow" w:hAnsi="Arial Narrow" w:cs="Calibri"/>
                <w:color w:val="000000"/>
                <w:sz w:val="20"/>
                <w:szCs w:val="20"/>
              </w:rPr>
              <w:t>scripts</w:t>
            </w:r>
            <w:r w:rsidR="00FD7374" w:rsidRPr="004D3AF3">
              <w:rPr>
                <w:rFonts w:ascii="Arial Narrow" w:hAnsi="Arial Narrow" w:cs="Calibri"/>
                <w:color w:val="000000"/>
                <w:sz w:val="20"/>
                <w:szCs w:val="20"/>
              </w:rPr>
              <w:t xml:space="preserve"> and reduce</w:t>
            </w:r>
            <w:r w:rsidR="00D509EF">
              <w:rPr>
                <w:rFonts w:ascii="Arial Narrow" w:hAnsi="Arial Narrow" w:cs="Calibri"/>
                <w:color w:val="000000"/>
                <w:sz w:val="20"/>
                <w:szCs w:val="20"/>
              </w:rPr>
              <w:t>s</w:t>
            </w:r>
            <w:r w:rsidR="00FD7374" w:rsidRPr="004D3AF3">
              <w:rPr>
                <w:rFonts w:ascii="Arial Narrow" w:hAnsi="Arial Narrow" w:cs="Calibri"/>
                <w:color w:val="000000"/>
                <w:sz w:val="20"/>
                <w:szCs w:val="20"/>
              </w:rPr>
              <w:t xml:space="preserve"> the continuing scripts</w:t>
            </w:r>
            <w:r w:rsidRPr="004D3AF3">
              <w:rPr>
                <w:rFonts w:ascii="Arial Narrow" w:hAnsi="Arial Narrow" w:cs="Calibri"/>
                <w:color w:val="000000"/>
                <w:sz w:val="20"/>
                <w:szCs w:val="20"/>
              </w:rPr>
              <w:t xml:space="preserve">. </w:t>
            </w:r>
          </w:p>
        </w:tc>
      </w:tr>
      <w:tr w:rsidR="00364D5B" w:rsidRPr="004D3AF3" w14:paraId="4E5376CD" w14:textId="77777777" w:rsidTr="00AF29CF">
        <w:trPr>
          <w:cantSplit/>
        </w:trPr>
        <w:tc>
          <w:tcPr>
            <w:tcW w:w="1098" w:type="pct"/>
            <w:tcBorders>
              <w:top w:val="nil"/>
              <w:left w:val="single" w:sz="4" w:space="0" w:color="auto"/>
              <w:bottom w:val="single" w:sz="4" w:space="0" w:color="auto"/>
              <w:right w:val="single" w:sz="4" w:space="0" w:color="auto"/>
            </w:tcBorders>
            <w:tcMar>
              <w:left w:w="28" w:type="dxa"/>
              <w:right w:w="28" w:type="dxa"/>
            </w:tcMar>
            <w:hideMark/>
          </w:tcPr>
          <w:p w14:paraId="3C76F9B9" w14:textId="52FCF44B" w:rsidR="00364D5B" w:rsidRPr="004D3AF3" w:rsidRDefault="006F50CA"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DUPI</w:t>
            </w:r>
            <w:r w:rsidR="00FE33CF" w:rsidRPr="004D3AF3">
              <w:rPr>
                <w:rFonts w:ascii="Arial Narrow" w:hAnsi="Arial Narrow" w:cs="Calibri"/>
                <w:color w:val="000000"/>
                <w:sz w:val="20"/>
                <w:szCs w:val="20"/>
              </w:rPr>
              <w:t xml:space="preserve"> </w:t>
            </w:r>
            <w:r w:rsidR="00364D5B" w:rsidRPr="004D3AF3">
              <w:rPr>
                <w:rFonts w:ascii="Arial Narrow" w:hAnsi="Arial Narrow" w:cs="Calibri"/>
                <w:color w:val="000000"/>
                <w:sz w:val="20"/>
                <w:szCs w:val="20"/>
              </w:rPr>
              <w:t>200mg / 300mg</w:t>
            </w:r>
            <w:r w:rsidR="00364D5B" w:rsidRPr="004D3AF3">
              <w:rPr>
                <w:rFonts w:ascii="Arial Narrow" w:hAnsi="Arial Narrow" w:cs="Calibri"/>
                <w:color w:val="000000"/>
                <w:sz w:val="20"/>
                <w:szCs w:val="20"/>
              </w:rPr>
              <w:br/>
            </w:r>
            <w:r w:rsidRPr="004D3AF3">
              <w:rPr>
                <w:rFonts w:ascii="Arial Narrow" w:hAnsi="Arial Narrow" w:cs="Calibri"/>
                <w:color w:val="000000"/>
                <w:sz w:val="20"/>
                <w:szCs w:val="20"/>
              </w:rPr>
              <w:t>NEMO</w:t>
            </w:r>
            <w:r w:rsidR="00FE33CF" w:rsidRPr="004D3AF3">
              <w:rPr>
                <w:rFonts w:ascii="Arial Narrow" w:hAnsi="Arial Narrow" w:cs="Calibri"/>
                <w:color w:val="000000"/>
                <w:sz w:val="20"/>
                <w:szCs w:val="20"/>
              </w:rPr>
              <w:t xml:space="preserve"> </w:t>
            </w:r>
            <w:r w:rsidR="00364D5B" w:rsidRPr="004D3AF3">
              <w:rPr>
                <w:rFonts w:ascii="Arial Narrow" w:hAnsi="Arial Narrow" w:cs="Calibri"/>
                <w:color w:val="000000"/>
                <w:sz w:val="20"/>
                <w:szCs w:val="20"/>
              </w:rPr>
              <w:t>30mg - Continuing</w:t>
            </w:r>
          </w:p>
        </w:tc>
        <w:tc>
          <w:tcPr>
            <w:tcW w:w="708" w:type="pct"/>
            <w:tcBorders>
              <w:top w:val="nil"/>
              <w:left w:val="nil"/>
              <w:bottom w:val="single" w:sz="4" w:space="0" w:color="auto"/>
              <w:right w:val="single" w:sz="4" w:space="0" w:color="auto"/>
            </w:tcBorders>
            <w:tcMar>
              <w:left w:w="28" w:type="dxa"/>
              <w:right w:w="28" w:type="dxa"/>
            </w:tcMar>
            <w:hideMark/>
          </w:tcPr>
          <w:p w14:paraId="3B56F17E" w14:textId="77777777" w:rsidR="00364D5B" w:rsidRPr="004D3AF3" w:rsidRDefault="00364D5B"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Existing: 22</w:t>
            </w:r>
            <w:r w:rsidRPr="004D3AF3">
              <w:rPr>
                <w:rFonts w:ascii="Arial Narrow" w:hAnsi="Arial Narrow" w:cs="Calibri"/>
                <w:color w:val="000000"/>
                <w:sz w:val="20"/>
                <w:szCs w:val="20"/>
              </w:rPr>
              <w:br/>
              <w:t>Proposed: 9.74</w:t>
            </w:r>
          </w:p>
        </w:tc>
        <w:tc>
          <w:tcPr>
            <w:tcW w:w="1576" w:type="pct"/>
            <w:vMerge/>
            <w:tcBorders>
              <w:left w:val="nil"/>
              <w:right w:val="single" w:sz="4" w:space="0" w:color="auto"/>
            </w:tcBorders>
            <w:tcMar>
              <w:left w:w="28" w:type="dxa"/>
              <w:right w:w="28" w:type="dxa"/>
            </w:tcMar>
          </w:tcPr>
          <w:p w14:paraId="117B4CF6" w14:textId="77777777" w:rsidR="00364D5B" w:rsidRPr="004D3AF3" w:rsidRDefault="00364D5B" w:rsidP="002B18D9">
            <w:pPr>
              <w:keepNext/>
              <w:jc w:val="left"/>
              <w:rPr>
                <w:rFonts w:ascii="Arial Narrow" w:hAnsi="Arial Narrow" w:cs="Calibri"/>
                <w:color w:val="000000"/>
                <w:sz w:val="20"/>
                <w:szCs w:val="20"/>
              </w:rPr>
            </w:pPr>
          </w:p>
        </w:tc>
        <w:tc>
          <w:tcPr>
            <w:tcW w:w="1619" w:type="pct"/>
            <w:vMerge/>
            <w:tcBorders>
              <w:left w:val="nil"/>
              <w:right w:val="single" w:sz="4" w:space="0" w:color="auto"/>
            </w:tcBorders>
            <w:tcMar>
              <w:left w:w="28" w:type="dxa"/>
              <w:right w:w="28" w:type="dxa"/>
            </w:tcMar>
            <w:vAlign w:val="center"/>
          </w:tcPr>
          <w:p w14:paraId="42443935" w14:textId="77777777" w:rsidR="00364D5B" w:rsidRPr="004D3AF3" w:rsidRDefault="00364D5B" w:rsidP="002B18D9">
            <w:pPr>
              <w:keepNext/>
              <w:jc w:val="left"/>
              <w:rPr>
                <w:rFonts w:ascii="Arial Narrow" w:hAnsi="Arial Narrow" w:cs="Calibri"/>
                <w:color w:val="000000"/>
                <w:sz w:val="20"/>
                <w:szCs w:val="20"/>
              </w:rPr>
            </w:pPr>
          </w:p>
        </w:tc>
      </w:tr>
      <w:tr w:rsidR="00364D5B" w:rsidRPr="004D3AF3" w14:paraId="37C92CB7" w14:textId="77777777" w:rsidTr="00AF29CF">
        <w:trPr>
          <w:cantSplit/>
        </w:trPr>
        <w:tc>
          <w:tcPr>
            <w:tcW w:w="1098" w:type="pct"/>
            <w:tcBorders>
              <w:top w:val="nil"/>
              <w:left w:val="single" w:sz="4" w:space="0" w:color="auto"/>
              <w:bottom w:val="single" w:sz="4" w:space="0" w:color="auto"/>
              <w:right w:val="single" w:sz="4" w:space="0" w:color="auto"/>
            </w:tcBorders>
            <w:tcMar>
              <w:left w:w="28" w:type="dxa"/>
              <w:right w:w="28" w:type="dxa"/>
            </w:tcMar>
            <w:hideMark/>
          </w:tcPr>
          <w:p w14:paraId="73017A6D" w14:textId="6C179801" w:rsidR="00364D5B" w:rsidRPr="004D3AF3" w:rsidRDefault="006F50CA"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UPA</w:t>
            </w:r>
            <w:r w:rsidR="00FE33CF" w:rsidRPr="004D3AF3">
              <w:rPr>
                <w:rFonts w:ascii="Arial Narrow" w:hAnsi="Arial Narrow" w:cs="Calibri"/>
                <w:color w:val="000000"/>
                <w:sz w:val="20"/>
                <w:szCs w:val="20"/>
              </w:rPr>
              <w:t xml:space="preserve"> </w:t>
            </w:r>
            <w:r w:rsidR="00364D5B" w:rsidRPr="004D3AF3">
              <w:rPr>
                <w:rFonts w:ascii="Arial Narrow" w:hAnsi="Arial Narrow" w:cs="Calibri"/>
                <w:color w:val="000000"/>
                <w:sz w:val="20"/>
                <w:szCs w:val="20"/>
              </w:rPr>
              <w:t>15mg / 30mg</w:t>
            </w:r>
            <w:r w:rsidR="00364D5B" w:rsidRPr="004D3AF3">
              <w:rPr>
                <w:rFonts w:ascii="Arial Narrow" w:hAnsi="Arial Narrow" w:cs="Calibri"/>
                <w:color w:val="000000"/>
                <w:sz w:val="20"/>
                <w:szCs w:val="20"/>
              </w:rPr>
              <w:br/>
            </w:r>
            <w:r w:rsidRPr="004D3AF3">
              <w:rPr>
                <w:rFonts w:ascii="Arial Narrow" w:hAnsi="Arial Narrow" w:cs="Calibri"/>
                <w:color w:val="000000"/>
                <w:sz w:val="20"/>
                <w:szCs w:val="20"/>
              </w:rPr>
              <w:t>NEMO</w:t>
            </w:r>
            <w:r w:rsidR="00807021">
              <w:rPr>
                <w:rFonts w:ascii="Arial Narrow" w:hAnsi="Arial Narrow" w:cs="Calibri"/>
                <w:color w:val="000000"/>
                <w:sz w:val="20"/>
                <w:szCs w:val="20"/>
              </w:rPr>
              <w:t xml:space="preserve"> </w:t>
            </w:r>
            <w:r w:rsidR="00364D5B" w:rsidRPr="004D3AF3">
              <w:rPr>
                <w:rFonts w:ascii="Arial Narrow" w:hAnsi="Arial Narrow" w:cs="Calibri"/>
                <w:color w:val="000000"/>
                <w:sz w:val="20"/>
                <w:szCs w:val="20"/>
              </w:rPr>
              <w:t xml:space="preserve">30mg </w:t>
            </w:r>
            <w:r w:rsidR="00E12EFA" w:rsidRPr="004D3AF3">
              <w:rPr>
                <w:rFonts w:ascii="Arial Narrow" w:hAnsi="Arial Narrow" w:cs="Calibri"/>
                <w:color w:val="000000"/>
                <w:sz w:val="20"/>
                <w:szCs w:val="20"/>
              </w:rPr>
              <w:t xml:space="preserve">x 2 </w:t>
            </w:r>
            <w:r w:rsidR="00364D5B" w:rsidRPr="004D3AF3">
              <w:rPr>
                <w:rFonts w:ascii="Arial Narrow" w:hAnsi="Arial Narrow" w:cs="Calibri"/>
                <w:color w:val="000000"/>
                <w:sz w:val="20"/>
                <w:szCs w:val="20"/>
              </w:rPr>
              <w:t>- Initial</w:t>
            </w:r>
          </w:p>
        </w:tc>
        <w:tc>
          <w:tcPr>
            <w:tcW w:w="708" w:type="pct"/>
            <w:tcBorders>
              <w:top w:val="nil"/>
              <w:left w:val="nil"/>
              <w:bottom w:val="single" w:sz="4" w:space="0" w:color="auto"/>
              <w:right w:val="single" w:sz="4" w:space="0" w:color="auto"/>
            </w:tcBorders>
            <w:tcMar>
              <w:left w:w="28" w:type="dxa"/>
              <w:right w:w="28" w:type="dxa"/>
            </w:tcMar>
            <w:hideMark/>
          </w:tcPr>
          <w:p w14:paraId="1AC28D47" w14:textId="77777777" w:rsidR="00364D5B" w:rsidRPr="004D3AF3" w:rsidRDefault="00364D5B"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Existing: 4</w:t>
            </w:r>
            <w:r w:rsidRPr="004D3AF3">
              <w:rPr>
                <w:rFonts w:ascii="Arial Narrow" w:hAnsi="Arial Narrow" w:cs="Calibri"/>
                <w:color w:val="000000"/>
                <w:sz w:val="20"/>
                <w:szCs w:val="20"/>
              </w:rPr>
              <w:br/>
              <w:t>Proposed: 3.26</w:t>
            </w:r>
          </w:p>
        </w:tc>
        <w:tc>
          <w:tcPr>
            <w:tcW w:w="1576" w:type="pct"/>
            <w:vMerge/>
            <w:tcBorders>
              <w:left w:val="nil"/>
              <w:right w:val="single" w:sz="4" w:space="0" w:color="auto"/>
            </w:tcBorders>
            <w:tcMar>
              <w:left w:w="28" w:type="dxa"/>
              <w:right w:w="28" w:type="dxa"/>
            </w:tcMar>
          </w:tcPr>
          <w:p w14:paraId="34B2A300" w14:textId="77777777" w:rsidR="00364D5B" w:rsidRPr="004D3AF3" w:rsidRDefault="00364D5B" w:rsidP="002B18D9">
            <w:pPr>
              <w:keepNext/>
              <w:jc w:val="left"/>
              <w:rPr>
                <w:rFonts w:ascii="Arial Narrow" w:hAnsi="Arial Narrow" w:cs="Calibri"/>
                <w:color w:val="000000"/>
                <w:sz w:val="20"/>
                <w:szCs w:val="20"/>
              </w:rPr>
            </w:pPr>
          </w:p>
        </w:tc>
        <w:tc>
          <w:tcPr>
            <w:tcW w:w="1619" w:type="pct"/>
            <w:vMerge/>
            <w:tcBorders>
              <w:left w:val="nil"/>
              <w:right w:val="single" w:sz="4" w:space="0" w:color="auto"/>
            </w:tcBorders>
            <w:tcMar>
              <w:left w:w="28" w:type="dxa"/>
              <w:right w:w="28" w:type="dxa"/>
            </w:tcMar>
            <w:vAlign w:val="center"/>
          </w:tcPr>
          <w:p w14:paraId="44241868" w14:textId="77777777" w:rsidR="00364D5B" w:rsidRPr="004D3AF3" w:rsidRDefault="00364D5B" w:rsidP="002B18D9">
            <w:pPr>
              <w:keepNext/>
              <w:jc w:val="left"/>
              <w:rPr>
                <w:rFonts w:ascii="Arial Narrow" w:hAnsi="Arial Narrow" w:cs="Calibri"/>
                <w:color w:val="000000"/>
                <w:sz w:val="20"/>
                <w:szCs w:val="20"/>
              </w:rPr>
            </w:pPr>
          </w:p>
        </w:tc>
      </w:tr>
      <w:tr w:rsidR="00364D5B" w:rsidRPr="004D3AF3" w14:paraId="43EA2CD8" w14:textId="77777777" w:rsidTr="00AF29CF">
        <w:trPr>
          <w:cantSplit/>
        </w:trPr>
        <w:tc>
          <w:tcPr>
            <w:tcW w:w="1098" w:type="pct"/>
            <w:tcBorders>
              <w:top w:val="nil"/>
              <w:left w:val="single" w:sz="4" w:space="0" w:color="auto"/>
              <w:bottom w:val="single" w:sz="4" w:space="0" w:color="auto"/>
              <w:right w:val="single" w:sz="4" w:space="0" w:color="auto"/>
            </w:tcBorders>
            <w:tcMar>
              <w:left w:w="28" w:type="dxa"/>
              <w:right w:w="28" w:type="dxa"/>
            </w:tcMar>
            <w:hideMark/>
          </w:tcPr>
          <w:p w14:paraId="3BC547A4" w14:textId="7718C93D" w:rsidR="00364D5B" w:rsidRPr="004D3AF3" w:rsidRDefault="006F50CA"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UPA</w:t>
            </w:r>
            <w:r w:rsidR="00FE33CF" w:rsidRPr="004D3AF3">
              <w:rPr>
                <w:rFonts w:ascii="Arial Narrow" w:hAnsi="Arial Narrow" w:cs="Calibri"/>
                <w:color w:val="000000"/>
                <w:sz w:val="20"/>
                <w:szCs w:val="20"/>
              </w:rPr>
              <w:t xml:space="preserve"> </w:t>
            </w:r>
            <w:r w:rsidR="00364D5B" w:rsidRPr="004D3AF3">
              <w:rPr>
                <w:rFonts w:ascii="Arial Narrow" w:hAnsi="Arial Narrow" w:cs="Calibri"/>
                <w:color w:val="000000"/>
                <w:sz w:val="20"/>
                <w:szCs w:val="20"/>
              </w:rPr>
              <w:t>15mg / 30mg</w:t>
            </w:r>
            <w:r w:rsidR="00364D5B" w:rsidRPr="004D3AF3">
              <w:rPr>
                <w:rFonts w:ascii="Arial Narrow" w:hAnsi="Arial Narrow" w:cs="Calibri"/>
                <w:color w:val="000000"/>
                <w:sz w:val="20"/>
                <w:szCs w:val="20"/>
              </w:rPr>
              <w:br/>
            </w:r>
            <w:r w:rsidRPr="004D3AF3">
              <w:rPr>
                <w:rFonts w:ascii="Arial Narrow" w:hAnsi="Arial Narrow" w:cs="Calibri"/>
                <w:color w:val="000000"/>
                <w:sz w:val="20"/>
                <w:szCs w:val="20"/>
              </w:rPr>
              <w:t>NEMO</w:t>
            </w:r>
            <w:r w:rsidR="00FE33CF" w:rsidRPr="004D3AF3">
              <w:rPr>
                <w:rFonts w:ascii="Arial Narrow" w:hAnsi="Arial Narrow" w:cs="Calibri"/>
                <w:color w:val="000000"/>
                <w:sz w:val="20"/>
                <w:szCs w:val="20"/>
              </w:rPr>
              <w:t xml:space="preserve"> </w:t>
            </w:r>
            <w:r w:rsidR="00364D5B" w:rsidRPr="004D3AF3">
              <w:rPr>
                <w:rFonts w:ascii="Arial Narrow" w:hAnsi="Arial Narrow" w:cs="Calibri"/>
                <w:color w:val="000000"/>
                <w:sz w:val="20"/>
                <w:szCs w:val="20"/>
              </w:rPr>
              <w:t>30mg - Continuing</w:t>
            </w:r>
          </w:p>
        </w:tc>
        <w:tc>
          <w:tcPr>
            <w:tcW w:w="708" w:type="pct"/>
            <w:tcBorders>
              <w:top w:val="nil"/>
              <w:left w:val="nil"/>
              <w:bottom w:val="single" w:sz="4" w:space="0" w:color="auto"/>
              <w:right w:val="single" w:sz="4" w:space="0" w:color="auto"/>
            </w:tcBorders>
            <w:tcMar>
              <w:left w:w="28" w:type="dxa"/>
              <w:right w:w="28" w:type="dxa"/>
            </w:tcMar>
            <w:hideMark/>
          </w:tcPr>
          <w:p w14:paraId="1A5A2C48" w14:textId="77777777" w:rsidR="00364D5B" w:rsidRPr="004D3AF3" w:rsidRDefault="00364D5B"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Existing: 22</w:t>
            </w:r>
            <w:r w:rsidRPr="004D3AF3">
              <w:rPr>
                <w:rFonts w:ascii="Arial Narrow" w:hAnsi="Arial Narrow" w:cs="Calibri"/>
                <w:color w:val="000000"/>
                <w:sz w:val="20"/>
                <w:szCs w:val="20"/>
              </w:rPr>
              <w:br/>
              <w:t>Proposed: 9.74</w:t>
            </w:r>
          </w:p>
        </w:tc>
        <w:tc>
          <w:tcPr>
            <w:tcW w:w="1576" w:type="pct"/>
            <w:vMerge/>
            <w:tcBorders>
              <w:left w:val="nil"/>
              <w:bottom w:val="single" w:sz="4" w:space="0" w:color="auto"/>
              <w:right w:val="single" w:sz="4" w:space="0" w:color="auto"/>
            </w:tcBorders>
            <w:tcMar>
              <w:left w:w="28" w:type="dxa"/>
              <w:right w:w="28" w:type="dxa"/>
            </w:tcMar>
          </w:tcPr>
          <w:p w14:paraId="1061877F" w14:textId="77777777" w:rsidR="00364D5B" w:rsidRPr="004D3AF3" w:rsidRDefault="00364D5B" w:rsidP="002B18D9">
            <w:pPr>
              <w:keepNext/>
              <w:jc w:val="left"/>
              <w:rPr>
                <w:rFonts w:ascii="Arial Narrow" w:hAnsi="Arial Narrow" w:cs="Calibri"/>
                <w:color w:val="000000"/>
                <w:sz w:val="20"/>
                <w:szCs w:val="20"/>
              </w:rPr>
            </w:pPr>
          </w:p>
        </w:tc>
        <w:tc>
          <w:tcPr>
            <w:tcW w:w="1619" w:type="pct"/>
            <w:vMerge/>
            <w:tcBorders>
              <w:left w:val="nil"/>
              <w:bottom w:val="single" w:sz="4" w:space="0" w:color="auto"/>
              <w:right w:val="single" w:sz="4" w:space="0" w:color="auto"/>
            </w:tcBorders>
            <w:tcMar>
              <w:left w:w="28" w:type="dxa"/>
              <w:right w:w="28" w:type="dxa"/>
            </w:tcMar>
            <w:vAlign w:val="center"/>
          </w:tcPr>
          <w:p w14:paraId="0897D59A" w14:textId="77777777" w:rsidR="00364D5B" w:rsidRPr="004D3AF3" w:rsidRDefault="00364D5B" w:rsidP="002B18D9">
            <w:pPr>
              <w:keepNext/>
              <w:jc w:val="left"/>
              <w:rPr>
                <w:rFonts w:ascii="Arial Narrow" w:hAnsi="Arial Narrow" w:cs="Calibri"/>
                <w:color w:val="000000"/>
                <w:sz w:val="20"/>
                <w:szCs w:val="20"/>
              </w:rPr>
            </w:pPr>
          </w:p>
        </w:tc>
      </w:tr>
      <w:tr w:rsidR="00364D5B" w:rsidRPr="004D3AF3" w14:paraId="37546D38" w14:textId="77777777" w:rsidTr="00AF29CF">
        <w:trPr>
          <w:cantSplit/>
        </w:trPr>
        <w:tc>
          <w:tcPr>
            <w:tcW w:w="5000" w:type="pct"/>
            <w:gridSpan w:val="4"/>
            <w:tcBorders>
              <w:top w:val="single" w:sz="4" w:space="0" w:color="auto"/>
              <w:left w:val="single" w:sz="4" w:space="0" w:color="auto"/>
              <w:bottom w:val="single" w:sz="4" w:space="0" w:color="auto"/>
              <w:right w:val="single" w:sz="4" w:space="0" w:color="auto"/>
            </w:tcBorders>
            <w:tcMar>
              <w:left w:w="28" w:type="dxa"/>
              <w:right w:w="28" w:type="dxa"/>
            </w:tcMar>
            <w:hideMark/>
          </w:tcPr>
          <w:p w14:paraId="09C72148" w14:textId="77777777" w:rsidR="00364D5B" w:rsidRPr="004D3AF3" w:rsidRDefault="00364D5B" w:rsidP="002B18D9">
            <w:pPr>
              <w:keepNext/>
              <w:jc w:val="left"/>
              <w:rPr>
                <w:rFonts w:ascii="Arial Narrow" w:hAnsi="Arial Narrow" w:cs="Calibri"/>
                <w:b/>
                <w:bCs/>
                <w:color w:val="000000"/>
                <w:sz w:val="20"/>
                <w:szCs w:val="20"/>
              </w:rPr>
            </w:pPr>
            <w:r w:rsidRPr="004D3AF3">
              <w:rPr>
                <w:rFonts w:ascii="Arial Narrow" w:hAnsi="Arial Narrow" w:cs="Calibri"/>
                <w:b/>
                <w:bCs/>
                <w:color w:val="000000"/>
                <w:sz w:val="20"/>
                <w:szCs w:val="20"/>
              </w:rPr>
              <w:t>Financial impact</w:t>
            </w:r>
          </w:p>
        </w:tc>
      </w:tr>
      <w:tr w:rsidR="00364D5B" w:rsidRPr="004D3AF3" w14:paraId="7D3BACBA" w14:textId="77777777" w:rsidTr="00AF29CF">
        <w:trPr>
          <w:cantSplit/>
        </w:trPr>
        <w:tc>
          <w:tcPr>
            <w:tcW w:w="1098" w:type="pct"/>
            <w:tcBorders>
              <w:top w:val="nil"/>
              <w:left w:val="single" w:sz="4" w:space="0" w:color="auto"/>
              <w:bottom w:val="single" w:sz="4" w:space="0" w:color="auto"/>
              <w:right w:val="single" w:sz="4" w:space="0" w:color="auto"/>
            </w:tcBorders>
            <w:tcMar>
              <w:left w:w="28" w:type="dxa"/>
              <w:right w:w="28" w:type="dxa"/>
            </w:tcMar>
            <w:vAlign w:val="center"/>
            <w:hideMark/>
          </w:tcPr>
          <w:p w14:paraId="3CEEE1AC" w14:textId="77777777" w:rsidR="00364D5B" w:rsidRPr="004D3AF3" w:rsidRDefault="00364D5B"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Published DPMQ</w:t>
            </w:r>
          </w:p>
        </w:tc>
        <w:tc>
          <w:tcPr>
            <w:tcW w:w="708" w:type="pct"/>
            <w:tcBorders>
              <w:top w:val="nil"/>
              <w:left w:val="nil"/>
              <w:bottom w:val="single" w:sz="4" w:space="0" w:color="auto"/>
              <w:right w:val="single" w:sz="4" w:space="0" w:color="auto"/>
            </w:tcBorders>
            <w:tcMar>
              <w:left w:w="28" w:type="dxa"/>
              <w:right w:w="28" w:type="dxa"/>
            </w:tcMar>
            <w:vAlign w:val="center"/>
            <w:hideMark/>
          </w:tcPr>
          <w:p w14:paraId="335465A4" w14:textId="77777777" w:rsidR="00364D5B" w:rsidRPr="004D3AF3" w:rsidRDefault="00364D5B"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$5,418.35</w:t>
            </w:r>
          </w:p>
        </w:tc>
        <w:tc>
          <w:tcPr>
            <w:tcW w:w="1576" w:type="pct"/>
            <w:tcBorders>
              <w:top w:val="nil"/>
              <w:left w:val="nil"/>
              <w:bottom w:val="single" w:sz="4" w:space="0" w:color="auto"/>
              <w:right w:val="single" w:sz="4" w:space="0" w:color="auto"/>
            </w:tcBorders>
            <w:tcMar>
              <w:left w:w="28" w:type="dxa"/>
              <w:right w:w="28" w:type="dxa"/>
            </w:tcMar>
            <w:hideMark/>
          </w:tcPr>
          <w:p w14:paraId="47CC1C78" w14:textId="79AAC3FD" w:rsidR="00364D5B" w:rsidRPr="004D3AF3" w:rsidRDefault="006F50CA"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NEMO</w:t>
            </w:r>
            <w:r w:rsidR="00364D5B" w:rsidRPr="004D3AF3">
              <w:rPr>
                <w:rFonts w:ascii="Arial Narrow" w:hAnsi="Arial Narrow" w:cs="Calibri"/>
                <w:color w:val="000000"/>
                <w:sz w:val="20"/>
                <w:szCs w:val="20"/>
              </w:rPr>
              <w:t xml:space="preserve"> 30 mg </w:t>
            </w:r>
            <w:r w:rsidR="00BE7650" w:rsidRPr="004D3AF3">
              <w:rPr>
                <w:rFonts w:ascii="Arial Narrow" w:hAnsi="Arial Narrow" w:cs="Calibri"/>
                <w:color w:val="000000"/>
                <w:sz w:val="20"/>
                <w:szCs w:val="20"/>
              </w:rPr>
              <w:t>x 2</w:t>
            </w:r>
            <w:r w:rsidR="00364D5B" w:rsidRPr="004D3AF3">
              <w:rPr>
                <w:rFonts w:ascii="Arial Narrow" w:hAnsi="Arial Narrow" w:cs="Calibri"/>
                <w:color w:val="000000"/>
                <w:sz w:val="20"/>
                <w:szCs w:val="20"/>
              </w:rPr>
              <w:t>- Initiating</w:t>
            </w:r>
          </w:p>
        </w:tc>
        <w:tc>
          <w:tcPr>
            <w:tcW w:w="1619" w:type="pct"/>
            <w:vMerge w:val="restart"/>
            <w:tcBorders>
              <w:top w:val="nil"/>
              <w:left w:val="nil"/>
              <w:right w:val="single" w:sz="4" w:space="0" w:color="auto"/>
            </w:tcBorders>
            <w:tcMar>
              <w:left w:w="28" w:type="dxa"/>
              <w:right w:w="28" w:type="dxa"/>
            </w:tcMar>
            <w:hideMark/>
          </w:tcPr>
          <w:p w14:paraId="7C6D03E7" w14:textId="2994F295" w:rsidR="00364D5B" w:rsidRPr="004D3AF3" w:rsidRDefault="009432A9"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w:t>
            </w:r>
          </w:p>
        </w:tc>
      </w:tr>
      <w:tr w:rsidR="00364D5B" w:rsidRPr="004D3AF3" w14:paraId="6C2DB2A4" w14:textId="77777777" w:rsidTr="00AF29CF">
        <w:trPr>
          <w:cantSplit/>
        </w:trPr>
        <w:tc>
          <w:tcPr>
            <w:tcW w:w="1098" w:type="pct"/>
            <w:tcBorders>
              <w:top w:val="nil"/>
              <w:left w:val="single" w:sz="4" w:space="0" w:color="auto"/>
              <w:bottom w:val="single" w:sz="4" w:space="0" w:color="auto"/>
              <w:right w:val="single" w:sz="4" w:space="0" w:color="auto"/>
            </w:tcBorders>
            <w:tcMar>
              <w:left w:w="28" w:type="dxa"/>
              <w:right w:w="28" w:type="dxa"/>
            </w:tcMar>
            <w:vAlign w:val="center"/>
            <w:hideMark/>
          </w:tcPr>
          <w:p w14:paraId="755E467D" w14:textId="77777777" w:rsidR="00364D5B" w:rsidRPr="004D3AF3" w:rsidRDefault="00364D5B"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Published DPMQ</w:t>
            </w:r>
          </w:p>
        </w:tc>
        <w:tc>
          <w:tcPr>
            <w:tcW w:w="708" w:type="pct"/>
            <w:tcBorders>
              <w:top w:val="nil"/>
              <w:left w:val="nil"/>
              <w:bottom w:val="single" w:sz="4" w:space="0" w:color="auto"/>
              <w:right w:val="single" w:sz="4" w:space="0" w:color="auto"/>
            </w:tcBorders>
            <w:tcMar>
              <w:left w:w="28" w:type="dxa"/>
              <w:right w:w="28" w:type="dxa"/>
            </w:tcMar>
            <w:vAlign w:val="center"/>
            <w:hideMark/>
          </w:tcPr>
          <w:p w14:paraId="3CC33168" w14:textId="77777777" w:rsidR="00364D5B" w:rsidRPr="004D3AF3" w:rsidRDefault="00364D5B"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$2,790.64</w:t>
            </w:r>
          </w:p>
        </w:tc>
        <w:tc>
          <w:tcPr>
            <w:tcW w:w="1576" w:type="pct"/>
            <w:tcBorders>
              <w:top w:val="nil"/>
              <w:left w:val="nil"/>
              <w:bottom w:val="single" w:sz="4" w:space="0" w:color="auto"/>
              <w:right w:val="single" w:sz="4" w:space="0" w:color="auto"/>
            </w:tcBorders>
            <w:tcMar>
              <w:left w:w="28" w:type="dxa"/>
              <w:right w:w="28" w:type="dxa"/>
            </w:tcMar>
            <w:hideMark/>
          </w:tcPr>
          <w:p w14:paraId="274B3055" w14:textId="0BD7565D" w:rsidR="00364D5B" w:rsidRPr="004D3AF3" w:rsidRDefault="006F50CA"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NEMO</w:t>
            </w:r>
            <w:r w:rsidR="00364D5B" w:rsidRPr="004D3AF3">
              <w:rPr>
                <w:rFonts w:ascii="Arial Narrow" w:hAnsi="Arial Narrow" w:cs="Calibri"/>
                <w:color w:val="000000"/>
                <w:sz w:val="20"/>
                <w:szCs w:val="20"/>
              </w:rPr>
              <w:t xml:space="preserve"> 30 mg - Continuing</w:t>
            </w:r>
          </w:p>
        </w:tc>
        <w:tc>
          <w:tcPr>
            <w:tcW w:w="1619" w:type="pct"/>
            <w:vMerge/>
            <w:tcBorders>
              <w:left w:val="nil"/>
              <w:bottom w:val="single" w:sz="4" w:space="0" w:color="auto"/>
              <w:right w:val="single" w:sz="4" w:space="0" w:color="auto"/>
            </w:tcBorders>
            <w:tcMar>
              <w:left w:w="28" w:type="dxa"/>
              <w:right w:w="28" w:type="dxa"/>
            </w:tcMar>
          </w:tcPr>
          <w:p w14:paraId="0A8A06A6" w14:textId="77777777" w:rsidR="00364D5B" w:rsidRPr="004D3AF3" w:rsidRDefault="00364D5B" w:rsidP="002B18D9">
            <w:pPr>
              <w:keepNext/>
              <w:jc w:val="left"/>
              <w:rPr>
                <w:rFonts w:ascii="Arial Narrow" w:hAnsi="Arial Narrow" w:cs="Calibri"/>
                <w:color w:val="000000"/>
                <w:sz w:val="20"/>
                <w:szCs w:val="20"/>
              </w:rPr>
            </w:pPr>
          </w:p>
        </w:tc>
      </w:tr>
      <w:tr w:rsidR="00364D5B" w:rsidRPr="004D3AF3" w14:paraId="7B46700E" w14:textId="77777777" w:rsidTr="00AF29CF">
        <w:trPr>
          <w:cantSplit/>
        </w:trPr>
        <w:tc>
          <w:tcPr>
            <w:tcW w:w="1098" w:type="pct"/>
            <w:tcBorders>
              <w:top w:val="nil"/>
              <w:left w:val="single" w:sz="4" w:space="0" w:color="auto"/>
              <w:bottom w:val="single" w:sz="4" w:space="0" w:color="auto"/>
              <w:right w:val="single" w:sz="4" w:space="0" w:color="auto"/>
            </w:tcBorders>
            <w:tcMar>
              <w:left w:w="28" w:type="dxa"/>
              <w:right w:w="28" w:type="dxa"/>
            </w:tcMar>
            <w:vAlign w:val="center"/>
            <w:hideMark/>
          </w:tcPr>
          <w:p w14:paraId="302B4174" w14:textId="77777777" w:rsidR="00364D5B" w:rsidRPr="004D3AF3" w:rsidRDefault="00364D5B"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Patient copayment</w:t>
            </w:r>
          </w:p>
        </w:tc>
        <w:tc>
          <w:tcPr>
            <w:tcW w:w="708" w:type="pct"/>
            <w:tcBorders>
              <w:top w:val="nil"/>
              <w:left w:val="nil"/>
              <w:bottom w:val="single" w:sz="4" w:space="0" w:color="auto"/>
              <w:right w:val="single" w:sz="4" w:space="0" w:color="auto"/>
            </w:tcBorders>
            <w:tcMar>
              <w:left w:w="28" w:type="dxa"/>
              <w:right w:w="28" w:type="dxa"/>
            </w:tcMar>
            <w:vAlign w:val="center"/>
            <w:hideMark/>
          </w:tcPr>
          <w:p w14:paraId="067ACCFF" w14:textId="77777777" w:rsidR="00364D5B" w:rsidRPr="004D3AF3" w:rsidRDefault="00364D5B"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$24.94 PBS</w:t>
            </w:r>
            <w:r w:rsidRPr="004D3AF3">
              <w:rPr>
                <w:rFonts w:ascii="Arial Narrow" w:hAnsi="Arial Narrow" w:cs="Calibri"/>
                <w:color w:val="000000"/>
                <w:sz w:val="20"/>
                <w:szCs w:val="20"/>
              </w:rPr>
              <w:br/>
              <w:t>$6.08 RPBS</w:t>
            </w:r>
          </w:p>
        </w:tc>
        <w:tc>
          <w:tcPr>
            <w:tcW w:w="1576" w:type="pct"/>
            <w:tcBorders>
              <w:top w:val="nil"/>
              <w:left w:val="nil"/>
              <w:bottom w:val="single" w:sz="4" w:space="0" w:color="auto"/>
              <w:right w:val="single" w:sz="4" w:space="0" w:color="auto"/>
            </w:tcBorders>
            <w:tcMar>
              <w:left w:w="28" w:type="dxa"/>
              <w:right w:w="28" w:type="dxa"/>
            </w:tcMar>
            <w:hideMark/>
          </w:tcPr>
          <w:p w14:paraId="3016FB8D" w14:textId="42F73591" w:rsidR="00364D5B" w:rsidRPr="00381C24" w:rsidRDefault="00364D5B" w:rsidP="002B18D9">
            <w:pPr>
              <w:keepNext/>
              <w:jc w:val="left"/>
              <w:rPr>
                <w:rFonts w:ascii="Arial Narrow" w:hAnsi="Arial Narrow" w:cs="Calibri"/>
                <w:color w:val="000000"/>
                <w:sz w:val="20"/>
                <w:szCs w:val="20"/>
                <w:lang w:val="pt-BR"/>
              </w:rPr>
            </w:pPr>
            <w:r w:rsidRPr="00381C24">
              <w:rPr>
                <w:rFonts w:ascii="Arial Narrow" w:hAnsi="Arial Narrow" w:cs="Calibri"/>
                <w:color w:val="000000"/>
                <w:sz w:val="20"/>
                <w:szCs w:val="20"/>
                <w:lang w:val="pt-BR"/>
              </w:rPr>
              <w:t xml:space="preserve">12291X, 12292Y - </w:t>
            </w:r>
            <w:r w:rsidR="006F50CA" w:rsidRPr="00381C24">
              <w:rPr>
                <w:rFonts w:ascii="Arial Narrow" w:hAnsi="Arial Narrow" w:cs="Calibri"/>
                <w:color w:val="000000"/>
                <w:sz w:val="20"/>
                <w:szCs w:val="20"/>
                <w:lang w:val="pt-BR"/>
              </w:rPr>
              <w:t>DUPI</w:t>
            </w:r>
            <w:r w:rsidRPr="00381C24">
              <w:rPr>
                <w:rFonts w:ascii="Arial Narrow" w:hAnsi="Arial Narrow" w:cs="Calibri"/>
                <w:color w:val="000000"/>
                <w:sz w:val="20"/>
                <w:szCs w:val="20"/>
                <w:lang w:val="pt-BR"/>
              </w:rPr>
              <w:br/>
              <w:t xml:space="preserve">12827D, 12828E, 12829F, 12831H, 12835M, 12836N - </w:t>
            </w:r>
            <w:r w:rsidR="006F50CA" w:rsidRPr="00381C24">
              <w:rPr>
                <w:rFonts w:ascii="Arial Narrow" w:hAnsi="Arial Narrow" w:cs="Calibri"/>
                <w:color w:val="000000"/>
                <w:sz w:val="20"/>
                <w:szCs w:val="20"/>
                <w:lang w:val="pt-BR"/>
              </w:rPr>
              <w:t>UPA</w:t>
            </w:r>
          </w:p>
        </w:tc>
        <w:tc>
          <w:tcPr>
            <w:tcW w:w="1619" w:type="pct"/>
            <w:tcBorders>
              <w:top w:val="nil"/>
              <w:left w:val="nil"/>
              <w:bottom w:val="single" w:sz="4" w:space="0" w:color="auto"/>
              <w:right w:val="single" w:sz="4" w:space="0" w:color="auto"/>
            </w:tcBorders>
            <w:tcMar>
              <w:left w:w="28" w:type="dxa"/>
              <w:right w:w="28" w:type="dxa"/>
            </w:tcMar>
            <w:hideMark/>
          </w:tcPr>
          <w:p w14:paraId="7CBD0A70" w14:textId="522AF92C" w:rsidR="00364D5B" w:rsidRPr="004D3AF3" w:rsidRDefault="009432A9" w:rsidP="002B18D9">
            <w:pPr>
              <w:keepNext/>
              <w:jc w:val="left"/>
              <w:rPr>
                <w:rFonts w:ascii="Arial Narrow" w:hAnsi="Arial Narrow" w:cs="Calibri"/>
                <w:color w:val="000000"/>
                <w:sz w:val="20"/>
                <w:szCs w:val="20"/>
              </w:rPr>
            </w:pPr>
            <w:r w:rsidRPr="004D3AF3">
              <w:rPr>
                <w:rFonts w:ascii="Arial Narrow" w:hAnsi="Arial Narrow" w:cs="Calibri"/>
                <w:color w:val="000000"/>
                <w:sz w:val="20"/>
                <w:szCs w:val="20"/>
              </w:rPr>
              <w:t>-</w:t>
            </w:r>
          </w:p>
        </w:tc>
      </w:tr>
    </w:tbl>
    <w:p w14:paraId="5845D593" w14:textId="2D7147C6" w:rsidR="00364D5B" w:rsidRPr="009C74FE" w:rsidRDefault="00364D5B" w:rsidP="002B18D9">
      <w:pPr>
        <w:pStyle w:val="TableFigureFooter"/>
        <w:keepNext/>
        <w:rPr>
          <w:i/>
          <w:iCs/>
        </w:rPr>
      </w:pPr>
      <w:r w:rsidRPr="009C74FE">
        <w:t xml:space="preserve">Source: The financial estimates from the </w:t>
      </w:r>
      <w:r w:rsidR="00126844" w:rsidRPr="009C74FE">
        <w:t>re</w:t>
      </w:r>
      <w:r w:rsidRPr="009C74FE">
        <w:t>submission: 2e. Scripts - market; 3a. Scripts - proposed; 3b. Impact - proposed (pub).</w:t>
      </w:r>
    </w:p>
    <w:p w14:paraId="0A1F586C" w14:textId="20B8CF24" w:rsidR="00364D5B" w:rsidRPr="009C74FE" w:rsidRDefault="007F2C11" w:rsidP="002B18D9">
      <w:pPr>
        <w:pStyle w:val="TableFigureFooter"/>
        <w:keepNext/>
        <w:rPr>
          <w:i/>
          <w:iCs/>
        </w:rPr>
      </w:pPr>
      <w:r w:rsidRPr="009C74FE">
        <w:t>AD = Atopic dermatitis; AEMP = Approved ex-manufacturer price; DPMQ = Dispensed price maximum quantity; DUPI = Dupilumab; NEMO = Nemolizumab; PBAC = Pharmaceutical Benefits Advisory Committee; PBS = Pharmaceutical Benefits Scheme; PI = Product Information; PSD = Public summary document; RPBS = Repatriation Pharmaceutical Benefits Schedule; UPA = Upadacitinib.</w:t>
      </w:r>
    </w:p>
    <w:p w14:paraId="6F8FEFEA" w14:textId="0883B4FB" w:rsidR="00364D5B" w:rsidRPr="00FA2AB8" w:rsidRDefault="00364D5B" w:rsidP="000E4C06">
      <w:pPr>
        <w:pStyle w:val="3-BodyText"/>
        <w:spacing w:before="160" w:after="160"/>
        <w:rPr>
          <w:color w:val="0066FF"/>
        </w:rPr>
      </w:pPr>
      <w:bookmarkStart w:id="71" w:name="_Ref221620276"/>
      <w:r w:rsidRPr="00FA2AB8">
        <w:t xml:space="preserve">The resubmission assumed a listing of </w:t>
      </w:r>
      <w:r w:rsidR="006F50CA" w:rsidRPr="00FA2AB8">
        <w:t>NEMO</w:t>
      </w:r>
      <w:r w:rsidRPr="00FA2AB8">
        <w:t xml:space="preserve"> in 2027 and therefore estimate</w:t>
      </w:r>
      <w:r w:rsidR="00612B72" w:rsidRPr="00FA2AB8">
        <w:t>d</w:t>
      </w:r>
      <w:r w:rsidRPr="00FA2AB8">
        <w:t xml:space="preserve"> the market for the period 2027-2032. The resubmission was based on the script volumes for </w:t>
      </w:r>
      <w:r w:rsidR="006F50CA" w:rsidRPr="00FA2AB8">
        <w:t>DUPI</w:t>
      </w:r>
      <w:r w:rsidRPr="00FA2AB8">
        <w:t xml:space="preserve"> and </w:t>
      </w:r>
      <w:r w:rsidR="006F50CA" w:rsidRPr="00FA2AB8">
        <w:t>UPA</w:t>
      </w:r>
      <w:r w:rsidRPr="00FA2AB8">
        <w:t xml:space="preserve"> for the first eight months of 2025, the most recent data available at the time of </w:t>
      </w:r>
      <w:r w:rsidR="00126844">
        <w:t>re</w:t>
      </w:r>
      <w:r w:rsidRPr="00FA2AB8">
        <w:t xml:space="preserve">submission. These script volumes were annualised by factoring the actual volumes to 12 months (divide the scripts by 8 and multiply by 12). This approach does not account for the seasonal increase that occurs in many PBS medicines in the final months of each year. </w:t>
      </w:r>
      <w:bookmarkEnd w:id="71"/>
    </w:p>
    <w:p w14:paraId="1434747D" w14:textId="2A9B15D6" w:rsidR="006F50CA" w:rsidRPr="00FA2AB8" w:rsidRDefault="00364D5B" w:rsidP="000E4C06">
      <w:pPr>
        <w:pStyle w:val="3-BodyText"/>
        <w:spacing w:before="160" w:after="160"/>
      </w:pPr>
      <w:r w:rsidRPr="00FA2AB8">
        <w:t xml:space="preserve">While </w:t>
      </w:r>
      <w:r w:rsidR="006F50CA" w:rsidRPr="00FA2AB8">
        <w:t>UPA</w:t>
      </w:r>
      <w:r w:rsidRPr="00FA2AB8">
        <w:t xml:space="preserve"> and </w:t>
      </w:r>
      <w:r w:rsidR="006F50CA" w:rsidRPr="00FA2AB8">
        <w:t>NEMO</w:t>
      </w:r>
      <w:r w:rsidRPr="00FA2AB8">
        <w:t xml:space="preserve"> have PBS treatment regimens that are divided into initial and continuing treatment phases, </w:t>
      </w:r>
      <w:r w:rsidR="00F63EF1">
        <w:t xml:space="preserve">the </w:t>
      </w:r>
      <w:r w:rsidR="006F50CA" w:rsidRPr="00FA2AB8">
        <w:t>DUPI</w:t>
      </w:r>
      <w:r w:rsidRPr="00FA2AB8">
        <w:t xml:space="preserve"> </w:t>
      </w:r>
      <w:r w:rsidR="00F63EF1">
        <w:t xml:space="preserve">listing </w:t>
      </w:r>
      <w:r w:rsidRPr="00FA2AB8">
        <w:t xml:space="preserve">does not </w:t>
      </w:r>
      <w:r w:rsidR="00F63EF1">
        <w:t>have</w:t>
      </w:r>
      <w:r w:rsidR="00F63EF1" w:rsidRPr="00FA2AB8">
        <w:t xml:space="preserve"> </w:t>
      </w:r>
      <w:r w:rsidRPr="00FA2AB8">
        <w:t xml:space="preserve">this distinction. This means that the PBS script volumes for </w:t>
      </w:r>
      <w:r w:rsidR="006F50CA" w:rsidRPr="00FA2AB8">
        <w:t>DUPI</w:t>
      </w:r>
      <w:r w:rsidRPr="00FA2AB8">
        <w:t xml:space="preserve"> are contained in a single PBS item code for each </w:t>
      </w:r>
      <w:r w:rsidRPr="006A1C57">
        <w:t>of the 200</w:t>
      </w:r>
      <w:r w:rsidR="008D1095" w:rsidRPr="006A1C57">
        <w:t xml:space="preserve"> </w:t>
      </w:r>
      <w:r w:rsidRPr="006A1C57">
        <w:t>mg and the 300</w:t>
      </w:r>
      <w:r w:rsidR="008D1095" w:rsidRPr="006A1C57">
        <w:t xml:space="preserve"> </w:t>
      </w:r>
      <w:r w:rsidRPr="006A1C57">
        <w:t xml:space="preserve">mg doses. To facilitate the script substitution to determine the cost of listing </w:t>
      </w:r>
      <w:r w:rsidR="006F50CA" w:rsidRPr="006A1C57">
        <w:t>NEMO</w:t>
      </w:r>
      <w:r w:rsidRPr="006A1C57">
        <w:t xml:space="preserve"> on the PBS, the resubmission split the overall </w:t>
      </w:r>
      <w:r w:rsidR="006F50CA" w:rsidRPr="006A1C57">
        <w:t>DUPI</w:t>
      </w:r>
      <w:r w:rsidRPr="006A1C57">
        <w:t xml:space="preserve"> script volumes into initial and continuing scripts. The split was based on the number </w:t>
      </w:r>
      <w:r w:rsidRPr="006A1C57">
        <w:lastRenderedPageBreak/>
        <w:t xml:space="preserve">of </w:t>
      </w:r>
      <w:r w:rsidR="006F50CA" w:rsidRPr="006A1C57">
        <w:t>DUPI</w:t>
      </w:r>
      <w:r w:rsidRPr="006A1C57">
        <w:t xml:space="preserve"> initial scripts required in a two-year period</w:t>
      </w:r>
      <w:r w:rsidRPr="006A1C57">
        <w:rPr>
          <w:rStyle w:val="FootnoteReference"/>
        </w:rPr>
        <w:footnoteReference w:id="18"/>
      </w:r>
      <w:r w:rsidRPr="006A1C57">
        <w:t xml:space="preserve"> (5/27 scripts or 18.52%). This </w:t>
      </w:r>
      <w:r w:rsidR="00173630" w:rsidRPr="006A1C57">
        <w:t xml:space="preserve">was </w:t>
      </w:r>
      <w:r w:rsidRPr="006A1C57">
        <w:t xml:space="preserve">unchanged from the previous submission. </w:t>
      </w:r>
      <w:r w:rsidR="00173630" w:rsidRPr="006A1C57">
        <w:t>In July 2025, t</w:t>
      </w:r>
      <w:r w:rsidRPr="006A1C57">
        <w:t xml:space="preserve">he ESC noted that this split did not account for patients who commence </w:t>
      </w:r>
      <w:r w:rsidR="006F50CA" w:rsidRPr="006A1C57">
        <w:t>DUPI</w:t>
      </w:r>
      <w:r w:rsidRPr="006A1C57">
        <w:t xml:space="preserve"> and do not continue treatment (para</w:t>
      </w:r>
      <w:r w:rsidR="008D1095" w:rsidRPr="006A1C57">
        <w:t>graph</w:t>
      </w:r>
      <w:r w:rsidRPr="006A1C57">
        <w:t xml:space="preserve"> 6.61, </w:t>
      </w:r>
      <w:r w:rsidR="00526E60" w:rsidRPr="006A1C57">
        <w:t xml:space="preserve">nemolizumab </w:t>
      </w:r>
      <w:r w:rsidRPr="006A1C57">
        <w:t>PSD, July 2025</w:t>
      </w:r>
      <w:r w:rsidR="00526E60" w:rsidRPr="006A1C57">
        <w:t xml:space="preserve"> PBAC meeting</w:t>
      </w:r>
      <w:r w:rsidRPr="006A1C57">
        <w:t xml:space="preserve">). </w:t>
      </w:r>
      <w:r w:rsidR="00E2430F" w:rsidRPr="006A1C57">
        <w:t xml:space="preserve">Due to the </w:t>
      </w:r>
      <w:r w:rsidR="006F5239" w:rsidRPr="006A1C57">
        <w:t xml:space="preserve">loading dose associated with </w:t>
      </w:r>
      <w:r w:rsidR="00860B19" w:rsidRPr="006A1C57">
        <w:t>DUPI, t</w:t>
      </w:r>
      <w:r w:rsidRPr="006A1C57">
        <w:t xml:space="preserve">he ESC also </w:t>
      </w:r>
      <w:r w:rsidR="00173630" w:rsidRPr="006A1C57">
        <w:t xml:space="preserve">previously </w:t>
      </w:r>
      <w:r w:rsidRPr="006A1C57">
        <w:t>noted that the financial estimates</w:t>
      </w:r>
      <w:r w:rsidRPr="00FA2AB8">
        <w:t xml:space="preserve"> were very sensitive to changes in the initial/continuing treatment split. The impact of applying the </w:t>
      </w:r>
      <w:r w:rsidR="006F50CA" w:rsidRPr="00FA2AB8">
        <w:t>UPA</w:t>
      </w:r>
      <w:r w:rsidRPr="00FA2AB8">
        <w:t xml:space="preserve"> initial/continuing treatment split to </w:t>
      </w:r>
      <w:r w:rsidR="006F50CA" w:rsidRPr="00FA2AB8">
        <w:t>DUPI</w:t>
      </w:r>
      <w:r w:rsidRPr="00FA2AB8">
        <w:t xml:space="preserve"> is presented in </w:t>
      </w:r>
      <w:r w:rsidR="006F50CA" w:rsidRPr="00FA2AB8">
        <w:fldChar w:fldCharType="begin"/>
      </w:r>
      <w:r w:rsidR="006F50CA" w:rsidRPr="00FA2AB8">
        <w:instrText xml:space="preserve"> REF _Ref216041348 \h  \* MERGEFORMAT </w:instrText>
      </w:r>
      <w:r w:rsidR="006F50CA" w:rsidRPr="00FA2AB8">
        <w:fldChar w:fldCharType="separate"/>
      </w:r>
      <w:r w:rsidR="00F51AFF" w:rsidRPr="00FA2AB8">
        <w:t>Table 16</w:t>
      </w:r>
      <w:r w:rsidR="006F50CA" w:rsidRPr="00FA2AB8">
        <w:fldChar w:fldCharType="end"/>
      </w:r>
      <w:r w:rsidRPr="00FA2AB8">
        <w:t>.</w:t>
      </w:r>
    </w:p>
    <w:p w14:paraId="742DDF6A" w14:textId="230391A3" w:rsidR="006F50CA" w:rsidRPr="00FA2AB8" w:rsidRDefault="006F50CA" w:rsidP="000E4C06">
      <w:pPr>
        <w:pStyle w:val="Caption"/>
      </w:pPr>
      <w:bookmarkStart w:id="72" w:name="_Ref216041348"/>
      <w:r w:rsidRPr="00FA2AB8">
        <w:t xml:space="preserve">Table </w:t>
      </w:r>
      <w:fldSimple w:instr=" SEQ Table \* ARABIC ">
        <w:r w:rsidR="00CB23C7">
          <w:rPr>
            <w:noProof/>
          </w:rPr>
          <w:t>16</w:t>
        </w:r>
      </w:fldSimple>
      <w:bookmarkEnd w:id="72"/>
      <w:r w:rsidRPr="00FA2AB8">
        <w:t xml:space="preserve"> Impact of initial / continuing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6 Impact of initial / continuing split"/>
      </w:tblPr>
      <w:tblGrid>
        <w:gridCol w:w="3069"/>
        <w:gridCol w:w="680"/>
        <w:gridCol w:w="680"/>
        <w:gridCol w:w="680"/>
        <w:gridCol w:w="680"/>
        <w:gridCol w:w="1495"/>
        <w:gridCol w:w="1733"/>
      </w:tblGrid>
      <w:tr w:rsidR="006F50CA" w:rsidRPr="00FA2AB8" w14:paraId="29B928B4" w14:textId="77777777" w:rsidTr="005E0A29">
        <w:trPr>
          <w:cantSplit/>
        </w:trPr>
        <w:tc>
          <w:tcPr>
            <w:tcW w:w="1702" w:type="pct"/>
            <w:noWrap/>
            <w:vAlign w:val="center"/>
            <w:hideMark/>
          </w:tcPr>
          <w:p w14:paraId="647C02B2" w14:textId="77777777" w:rsidR="006F50CA" w:rsidRPr="00FA2AB8" w:rsidRDefault="006F50CA" w:rsidP="000E4C06">
            <w:pPr>
              <w:keepNext/>
              <w:jc w:val="left"/>
              <w:rPr>
                <w:rFonts w:ascii="Arial Narrow" w:eastAsia="Times New Roman" w:hAnsi="Arial Narrow" w:cs="Calibri"/>
                <w:b/>
                <w:bCs/>
                <w:color w:val="000000"/>
                <w:sz w:val="20"/>
                <w:szCs w:val="20"/>
              </w:rPr>
            </w:pPr>
            <w:r w:rsidRPr="00FA2AB8">
              <w:rPr>
                <w:rFonts w:ascii="Arial Narrow" w:eastAsia="Times New Roman" w:hAnsi="Arial Narrow" w:cs="Calibri"/>
                <w:b/>
                <w:bCs/>
                <w:color w:val="000000"/>
                <w:sz w:val="20"/>
                <w:szCs w:val="20"/>
              </w:rPr>
              <w:t>Published PBS/RPBS cost</w:t>
            </w:r>
          </w:p>
        </w:tc>
        <w:tc>
          <w:tcPr>
            <w:tcW w:w="377" w:type="pct"/>
            <w:noWrap/>
            <w:vAlign w:val="center"/>
            <w:hideMark/>
          </w:tcPr>
          <w:p w14:paraId="0480424E" w14:textId="77777777" w:rsidR="006F50CA" w:rsidRPr="00FA2AB8" w:rsidRDefault="006F50CA" w:rsidP="000E4C06">
            <w:pPr>
              <w:keepNext/>
              <w:jc w:val="center"/>
              <w:rPr>
                <w:rFonts w:ascii="Arial Narrow" w:eastAsia="Times New Roman" w:hAnsi="Arial Narrow" w:cs="Calibri"/>
                <w:b/>
                <w:bCs/>
                <w:color w:val="000000"/>
                <w:sz w:val="20"/>
                <w:szCs w:val="20"/>
              </w:rPr>
            </w:pPr>
            <w:r w:rsidRPr="00FA2AB8">
              <w:rPr>
                <w:rFonts w:ascii="Arial Narrow" w:eastAsia="Times New Roman" w:hAnsi="Arial Narrow" w:cs="Calibri"/>
                <w:b/>
                <w:bCs/>
                <w:color w:val="000000"/>
                <w:sz w:val="20"/>
                <w:szCs w:val="20"/>
              </w:rPr>
              <w:t>2027</w:t>
            </w:r>
          </w:p>
        </w:tc>
        <w:tc>
          <w:tcPr>
            <w:tcW w:w="377" w:type="pct"/>
            <w:noWrap/>
            <w:vAlign w:val="center"/>
            <w:hideMark/>
          </w:tcPr>
          <w:p w14:paraId="477C636E" w14:textId="77777777" w:rsidR="006F50CA" w:rsidRPr="00FA2AB8" w:rsidRDefault="006F50CA" w:rsidP="000E4C06">
            <w:pPr>
              <w:keepNext/>
              <w:jc w:val="center"/>
              <w:rPr>
                <w:rFonts w:ascii="Arial Narrow" w:eastAsia="Times New Roman" w:hAnsi="Arial Narrow" w:cs="Calibri"/>
                <w:b/>
                <w:bCs/>
                <w:color w:val="000000"/>
                <w:sz w:val="20"/>
                <w:szCs w:val="20"/>
              </w:rPr>
            </w:pPr>
            <w:r w:rsidRPr="00FA2AB8">
              <w:rPr>
                <w:rFonts w:ascii="Arial Narrow" w:eastAsia="Times New Roman" w:hAnsi="Arial Narrow" w:cs="Calibri"/>
                <w:b/>
                <w:bCs/>
                <w:color w:val="000000"/>
                <w:sz w:val="20"/>
                <w:szCs w:val="20"/>
              </w:rPr>
              <w:t>2028</w:t>
            </w:r>
          </w:p>
        </w:tc>
        <w:tc>
          <w:tcPr>
            <w:tcW w:w="377" w:type="pct"/>
            <w:noWrap/>
            <w:vAlign w:val="center"/>
            <w:hideMark/>
          </w:tcPr>
          <w:p w14:paraId="09FF5C8A" w14:textId="77777777" w:rsidR="006F50CA" w:rsidRPr="00FA2AB8" w:rsidRDefault="006F50CA" w:rsidP="000E4C06">
            <w:pPr>
              <w:keepNext/>
              <w:jc w:val="center"/>
              <w:rPr>
                <w:rFonts w:ascii="Arial Narrow" w:eastAsia="Times New Roman" w:hAnsi="Arial Narrow" w:cs="Calibri"/>
                <w:b/>
                <w:bCs/>
                <w:color w:val="000000"/>
                <w:sz w:val="20"/>
                <w:szCs w:val="20"/>
              </w:rPr>
            </w:pPr>
            <w:r w:rsidRPr="00FA2AB8">
              <w:rPr>
                <w:rFonts w:ascii="Arial Narrow" w:eastAsia="Times New Roman" w:hAnsi="Arial Narrow" w:cs="Calibri"/>
                <w:b/>
                <w:bCs/>
                <w:color w:val="000000"/>
                <w:sz w:val="20"/>
                <w:szCs w:val="20"/>
              </w:rPr>
              <w:t>2029</w:t>
            </w:r>
          </w:p>
        </w:tc>
        <w:tc>
          <w:tcPr>
            <w:tcW w:w="377" w:type="pct"/>
            <w:noWrap/>
            <w:vAlign w:val="center"/>
            <w:hideMark/>
          </w:tcPr>
          <w:p w14:paraId="248DCAFD" w14:textId="77777777" w:rsidR="006F50CA" w:rsidRPr="00FA2AB8" w:rsidRDefault="006F50CA" w:rsidP="000E4C06">
            <w:pPr>
              <w:keepNext/>
              <w:jc w:val="center"/>
              <w:rPr>
                <w:rFonts w:ascii="Arial Narrow" w:eastAsia="Times New Roman" w:hAnsi="Arial Narrow" w:cs="Calibri"/>
                <w:b/>
                <w:bCs/>
                <w:color w:val="000000"/>
                <w:sz w:val="20"/>
                <w:szCs w:val="20"/>
              </w:rPr>
            </w:pPr>
            <w:r w:rsidRPr="00FA2AB8">
              <w:rPr>
                <w:rFonts w:ascii="Arial Narrow" w:eastAsia="Times New Roman" w:hAnsi="Arial Narrow" w:cs="Calibri"/>
                <w:b/>
                <w:bCs/>
                <w:color w:val="000000"/>
                <w:sz w:val="20"/>
                <w:szCs w:val="20"/>
              </w:rPr>
              <w:t>2030</w:t>
            </w:r>
          </w:p>
        </w:tc>
        <w:tc>
          <w:tcPr>
            <w:tcW w:w="829" w:type="pct"/>
            <w:noWrap/>
            <w:vAlign w:val="center"/>
            <w:hideMark/>
          </w:tcPr>
          <w:p w14:paraId="6EB10FDE" w14:textId="77777777" w:rsidR="006F50CA" w:rsidRPr="00FA2AB8" w:rsidRDefault="006F50CA" w:rsidP="000E4C06">
            <w:pPr>
              <w:keepNext/>
              <w:jc w:val="center"/>
              <w:rPr>
                <w:rFonts w:ascii="Arial Narrow" w:eastAsia="Times New Roman" w:hAnsi="Arial Narrow" w:cs="Calibri"/>
                <w:b/>
                <w:bCs/>
                <w:color w:val="000000"/>
                <w:sz w:val="20"/>
                <w:szCs w:val="20"/>
              </w:rPr>
            </w:pPr>
            <w:r w:rsidRPr="00FA2AB8">
              <w:rPr>
                <w:rFonts w:ascii="Arial Narrow" w:eastAsia="Times New Roman" w:hAnsi="Arial Narrow" w:cs="Calibri"/>
                <w:b/>
                <w:bCs/>
                <w:color w:val="000000"/>
                <w:sz w:val="20"/>
                <w:szCs w:val="20"/>
              </w:rPr>
              <w:t>2031</w:t>
            </w:r>
          </w:p>
        </w:tc>
        <w:tc>
          <w:tcPr>
            <w:tcW w:w="963" w:type="pct"/>
            <w:noWrap/>
            <w:vAlign w:val="center"/>
            <w:hideMark/>
          </w:tcPr>
          <w:p w14:paraId="19BAAE30" w14:textId="77777777" w:rsidR="006F50CA" w:rsidRPr="00FA2AB8" w:rsidRDefault="006F50CA" w:rsidP="000E4C06">
            <w:pPr>
              <w:keepNext/>
              <w:jc w:val="center"/>
              <w:rPr>
                <w:rFonts w:ascii="Arial Narrow" w:eastAsia="Times New Roman" w:hAnsi="Arial Narrow" w:cs="Calibri"/>
                <w:b/>
                <w:bCs/>
                <w:color w:val="000000"/>
                <w:sz w:val="20"/>
                <w:szCs w:val="20"/>
              </w:rPr>
            </w:pPr>
            <w:r w:rsidRPr="00FA2AB8">
              <w:rPr>
                <w:rFonts w:ascii="Arial Narrow" w:eastAsia="Times New Roman" w:hAnsi="Arial Narrow" w:cs="Calibri"/>
                <w:b/>
                <w:bCs/>
                <w:color w:val="000000"/>
                <w:sz w:val="20"/>
                <w:szCs w:val="20"/>
              </w:rPr>
              <w:t>2032</w:t>
            </w:r>
          </w:p>
        </w:tc>
      </w:tr>
      <w:tr w:rsidR="009476D3" w:rsidRPr="00FA2AB8" w14:paraId="0E494C64" w14:textId="77777777" w:rsidTr="005E0A29">
        <w:trPr>
          <w:cantSplit/>
        </w:trPr>
        <w:tc>
          <w:tcPr>
            <w:tcW w:w="1702" w:type="pct"/>
            <w:shd w:val="clear" w:color="000000" w:fill="FFFFFF"/>
            <w:noWrap/>
            <w:vAlign w:val="center"/>
            <w:hideMark/>
          </w:tcPr>
          <w:p w14:paraId="3F5B3CE2" w14:textId="77777777" w:rsidR="006F50CA" w:rsidRPr="00FA2AB8" w:rsidRDefault="006F50CA" w:rsidP="006F50CA">
            <w:pPr>
              <w:keepNext/>
              <w:jc w:val="left"/>
              <w:rPr>
                <w:rFonts w:ascii="Arial Narrow" w:eastAsia="Times New Roman" w:hAnsi="Arial Narrow" w:cs="Calibri"/>
                <w:color w:val="000000"/>
                <w:sz w:val="20"/>
                <w:szCs w:val="20"/>
              </w:rPr>
            </w:pPr>
            <w:r w:rsidRPr="00FA2AB8">
              <w:rPr>
                <w:rFonts w:ascii="Arial Narrow" w:eastAsia="Times New Roman" w:hAnsi="Arial Narrow" w:cs="Calibri"/>
                <w:color w:val="000000"/>
                <w:sz w:val="20"/>
                <w:szCs w:val="20"/>
              </w:rPr>
              <w:t>Original initial split (18.52%)</w:t>
            </w:r>
          </w:p>
        </w:tc>
        <w:tc>
          <w:tcPr>
            <w:tcW w:w="377" w:type="pct"/>
            <w:noWrap/>
            <w:vAlign w:val="center"/>
            <w:hideMark/>
          </w:tcPr>
          <w:p w14:paraId="2A3B8C7C" w14:textId="4EE82F75" w:rsidR="006F50CA" w:rsidRPr="00381C24" w:rsidRDefault="006F50CA" w:rsidP="00381C24">
            <w:pPr>
              <w:keepNext/>
              <w:jc w:val="center"/>
              <w:rPr>
                <w:rFonts w:ascii="Arial Narrow" w:eastAsia="Times New Roman" w:hAnsi="Arial Narrow" w:cs="Calibri"/>
                <w:color w:val="000000"/>
                <w:sz w:val="20"/>
                <w:szCs w:val="20"/>
                <w:vertAlign w:val="superscript"/>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r w:rsidR="004220FB">
              <w:rPr>
                <w:rFonts w:ascii="Arial Narrow" w:eastAsia="Times New Roman" w:hAnsi="Arial Narrow" w:cs="Calibri"/>
                <w:color w:val="000000"/>
                <w:sz w:val="20"/>
                <w:szCs w:val="20"/>
                <w:vertAlign w:val="superscript"/>
              </w:rPr>
              <w:t>1</w:t>
            </w:r>
          </w:p>
        </w:tc>
        <w:tc>
          <w:tcPr>
            <w:tcW w:w="377" w:type="pct"/>
            <w:noWrap/>
            <w:vAlign w:val="center"/>
            <w:hideMark/>
          </w:tcPr>
          <w:p w14:paraId="4989377B" w14:textId="6AD73E4C" w:rsidR="006F50CA" w:rsidRPr="00381C24" w:rsidRDefault="006F50CA" w:rsidP="00381C24">
            <w:pPr>
              <w:keepNext/>
              <w:jc w:val="center"/>
              <w:rPr>
                <w:rFonts w:ascii="Arial Narrow" w:eastAsia="Times New Roman" w:hAnsi="Arial Narrow" w:cs="Calibri"/>
                <w:color w:val="000000"/>
                <w:sz w:val="20"/>
                <w:szCs w:val="20"/>
                <w:vertAlign w:val="superscript"/>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r w:rsidR="00F07502">
              <w:rPr>
                <w:rFonts w:ascii="Arial Narrow" w:eastAsia="Times New Roman" w:hAnsi="Arial Narrow" w:cs="Calibri"/>
                <w:color w:val="000000"/>
                <w:sz w:val="20"/>
                <w:szCs w:val="20"/>
                <w:vertAlign w:val="superscript"/>
              </w:rPr>
              <w:t>2</w:t>
            </w:r>
          </w:p>
        </w:tc>
        <w:tc>
          <w:tcPr>
            <w:tcW w:w="377" w:type="pct"/>
            <w:noWrap/>
            <w:vAlign w:val="center"/>
            <w:hideMark/>
          </w:tcPr>
          <w:p w14:paraId="302239A2" w14:textId="1E5D4F73" w:rsidR="006F50CA" w:rsidRPr="00381C24" w:rsidRDefault="006F50CA" w:rsidP="00381C24">
            <w:pPr>
              <w:keepNext/>
              <w:jc w:val="center"/>
              <w:rPr>
                <w:rFonts w:ascii="Arial Narrow" w:eastAsia="Times New Roman" w:hAnsi="Arial Narrow" w:cs="Calibri"/>
                <w:color w:val="000000"/>
                <w:sz w:val="20"/>
                <w:szCs w:val="20"/>
                <w:vertAlign w:val="superscript"/>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r w:rsidR="00F07502">
              <w:rPr>
                <w:rFonts w:ascii="Arial Narrow" w:eastAsia="Times New Roman" w:hAnsi="Arial Narrow" w:cs="Calibri"/>
                <w:color w:val="000000"/>
                <w:sz w:val="20"/>
                <w:szCs w:val="20"/>
                <w:vertAlign w:val="superscript"/>
              </w:rPr>
              <w:t>2</w:t>
            </w:r>
          </w:p>
        </w:tc>
        <w:tc>
          <w:tcPr>
            <w:tcW w:w="377" w:type="pct"/>
            <w:noWrap/>
            <w:vAlign w:val="center"/>
            <w:hideMark/>
          </w:tcPr>
          <w:p w14:paraId="2C09CE6D" w14:textId="132E7BF8" w:rsidR="006F50CA" w:rsidRPr="00381C24" w:rsidRDefault="006F50CA" w:rsidP="00381C24">
            <w:pPr>
              <w:keepNext/>
              <w:jc w:val="center"/>
              <w:rPr>
                <w:rFonts w:ascii="Arial Narrow" w:eastAsia="Times New Roman" w:hAnsi="Arial Narrow" w:cs="Calibri"/>
                <w:color w:val="000000"/>
                <w:sz w:val="20"/>
                <w:szCs w:val="20"/>
                <w:vertAlign w:val="superscript"/>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r w:rsidR="00664AE1">
              <w:rPr>
                <w:rFonts w:ascii="Arial Narrow" w:eastAsia="Times New Roman" w:hAnsi="Arial Narrow" w:cs="Calibri"/>
                <w:color w:val="000000"/>
                <w:sz w:val="20"/>
                <w:szCs w:val="20"/>
                <w:vertAlign w:val="superscript"/>
              </w:rPr>
              <w:t>3</w:t>
            </w:r>
          </w:p>
        </w:tc>
        <w:tc>
          <w:tcPr>
            <w:tcW w:w="829" w:type="pct"/>
            <w:noWrap/>
            <w:vAlign w:val="center"/>
            <w:hideMark/>
          </w:tcPr>
          <w:p w14:paraId="0F40E585" w14:textId="07EE53A1" w:rsidR="006F50CA" w:rsidRPr="00381C24" w:rsidRDefault="006F50CA" w:rsidP="00381C24">
            <w:pPr>
              <w:keepNext/>
              <w:jc w:val="center"/>
              <w:rPr>
                <w:rFonts w:ascii="Arial Narrow" w:eastAsia="Times New Roman" w:hAnsi="Arial Narrow" w:cs="Calibri"/>
                <w:color w:val="000000"/>
                <w:sz w:val="20"/>
                <w:szCs w:val="20"/>
                <w:vertAlign w:val="superscript"/>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r w:rsidR="00664AE1">
              <w:rPr>
                <w:rFonts w:ascii="Arial Narrow" w:eastAsia="Times New Roman" w:hAnsi="Arial Narrow" w:cs="Calibri"/>
                <w:color w:val="000000"/>
                <w:sz w:val="20"/>
                <w:szCs w:val="20"/>
                <w:vertAlign w:val="superscript"/>
              </w:rPr>
              <w:t>3</w:t>
            </w:r>
          </w:p>
        </w:tc>
        <w:tc>
          <w:tcPr>
            <w:tcW w:w="963" w:type="pct"/>
            <w:noWrap/>
            <w:vAlign w:val="center"/>
            <w:hideMark/>
          </w:tcPr>
          <w:p w14:paraId="5AEC704C" w14:textId="77777777" w:rsidR="009476D3" w:rsidRDefault="009476D3" w:rsidP="009476D3">
            <w:pPr>
              <w:keepNext/>
              <w:jc w:val="center"/>
              <w:rPr>
                <w:rFonts w:ascii="Arial Narrow" w:eastAsia="Times New Roman" w:hAnsi="Arial Narrow" w:cs="Calibri"/>
                <w:color w:val="000000"/>
                <w:sz w:val="20"/>
                <w:szCs w:val="20"/>
              </w:rPr>
            </w:pPr>
          </w:p>
          <w:p w14:paraId="6CA451DB" w14:textId="09B222C0" w:rsidR="009476D3" w:rsidRDefault="006F50CA" w:rsidP="00381C24">
            <w:pPr>
              <w:keepNext/>
              <w:jc w:val="center"/>
              <w:rPr>
                <w:rFonts w:ascii="Arial Narrow" w:eastAsia="Times New Roman" w:hAnsi="Arial Narrow" w:cs="Calibri"/>
                <w:color w:val="000000"/>
                <w:sz w:val="20"/>
                <w:szCs w:val="20"/>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p>
          <w:p w14:paraId="47B1E274" w14:textId="11A3BB4C" w:rsidR="00ED2436" w:rsidRPr="00FA2AB8" w:rsidRDefault="009476D3" w:rsidP="00381C24">
            <w:pPr>
              <w:keepNext/>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vertAlign w:val="superscript"/>
              </w:rPr>
              <w:t>4</w:t>
            </w:r>
          </w:p>
        </w:tc>
      </w:tr>
      <w:tr w:rsidR="009476D3" w:rsidRPr="00FA2AB8" w14:paraId="65889907" w14:textId="77777777" w:rsidTr="005E0A29">
        <w:trPr>
          <w:cantSplit/>
        </w:trPr>
        <w:tc>
          <w:tcPr>
            <w:tcW w:w="1702" w:type="pct"/>
            <w:shd w:val="clear" w:color="000000" w:fill="FFFFFF"/>
            <w:noWrap/>
            <w:vAlign w:val="center"/>
            <w:hideMark/>
          </w:tcPr>
          <w:p w14:paraId="2D046069" w14:textId="6D80BBE7" w:rsidR="006F50CA" w:rsidRPr="00FA2AB8" w:rsidRDefault="0097034A" w:rsidP="006F50CA">
            <w:pPr>
              <w:keepNext/>
              <w:jc w:val="left"/>
              <w:rPr>
                <w:rFonts w:ascii="Arial Narrow" w:eastAsia="Times New Roman" w:hAnsi="Arial Narrow" w:cs="Calibri"/>
                <w:color w:val="000000"/>
                <w:sz w:val="20"/>
                <w:szCs w:val="20"/>
              </w:rPr>
            </w:pPr>
            <w:r w:rsidRPr="00FA2AB8">
              <w:rPr>
                <w:rFonts w:ascii="Arial Narrow" w:eastAsia="Times New Roman" w:hAnsi="Arial Narrow" w:cs="Calibri"/>
                <w:color w:val="000000"/>
                <w:sz w:val="20"/>
                <w:szCs w:val="20"/>
              </w:rPr>
              <w:t>UPA</w:t>
            </w:r>
            <w:r w:rsidR="006F50CA" w:rsidRPr="00FA2AB8">
              <w:rPr>
                <w:rFonts w:ascii="Arial Narrow" w:eastAsia="Times New Roman" w:hAnsi="Arial Narrow" w:cs="Calibri"/>
                <w:color w:val="000000"/>
                <w:sz w:val="20"/>
                <w:szCs w:val="20"/>
              </w:rPr>
              <w:t xml:space="preserve"> initial split (23.88%)</w:t>
            </w:r>
          </w:p>
        </w:tc>
        <w:tc>
          <w:tcPr>
            <w:tcW w:w="377" w:type="pct"/>
            <w:noWrap/>
            <w:vAlign w:val="center"/>
            <w:hideMark/>
          </w:tcPr>
          <w:p w14:paraId="1BF36BF2" w14:textId="1FC561BA" w:rsidR="006F50CA" w:rsidRPr="00381C24" w:rsidRDefault="006F50CA" w:rsidP="00381C24">
            <w:pPr>
              <w:keepNext/>
              <w:jc w:val="center"/>
              <w:rPr>
                <w:rFonts w:ascii="Arial Narrow" w:eastAsia="Times New Roman" w:hAnsi="Arial Narrow" w:cs="Calibri"/>
                <w:color w:val="000000"/>
                <w:sz w:val="20"/>
                <w:szCs w:val="20"/>
                <w:vertAlign w:val="superscript"/>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r w:rsidR="004220FB">
              <w:rPr>
                <w:rFonts w:ascii="Arial Narrow" w:eastAsia="Times New Roman" w:hAnsi="Arial Narrow" w:cs="Calibri"/>
                <w:color w:val="000000"/>
                <w:sz w:val="20"/>
                <w:szCs w:val="20"/>
                <w:vertAlign w:val="superscript"/>
              </w:rPr>
              <w:t>1</w:t>
            </w:r>
          </w:p>
        </w:tc>
        <w:tc>
          <w:tcPr>
            <w:tcW w:w="377" w:type="pct"/>
            <w:noWrap/>
            <w:vAlign w:val="center"/>
            <w:hideMark/>
          </w:tcPr>
          <w:p w14:paraId="6480E78C" w14:textId="0A17184F" w:rsidR="006F50CA" w:rsidRPr="00381C24" w:rsidRDefault="006F50CA" w:rsidP="00381C24">
            <w:pPr>
              <w:keepNext/>
              <w:jc w:val="center"/>
              <w:rPr>
                <w:rFonts w:ascii="Arial Narrow" w:eastAsia="Times New Roman" w:hAnsi="Arial Narrow" w:cs="Calibri"/>
                <w:color w:val="000000"/>
                <w:sz w:val="20"/>
                <w:szCs w:val="20"/>
                <w:vertAlign w:val="superscript"/>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r w:rsidR="00F07502">
              <w:rPr>
                <w:rFonts w:ascii="Arial Narrow" w:eastAsia="Times New Roman" w:hAnsi="Arial Narrow" w:cs="Calibri"/>
                <w:color w:val="000000"/>
                <w:sz w:val="20"/>
                <w:szCs w:val="20"/>
                <w:vertAlign w:val="superscript"/>
              </w:rPr>
              <w:t>2</w:t>
            </w:r>
          </w:p>
        </w:tc>
        <w:tc>
          <w:tcPr>
            <w:tcW w:w="377" w:type="pct"/>
            <w:noWrap/>
            <w:vAlign w:val="center"/>
            <w:hideMark/>
          </w:tcPr>
          <w:p w14:paraId="403FCE62" w14:textId="78030DA3" w:rsidR="006F50CA" w:rsidRPr="00381C24" w:rsidRDefault="006F50CA" w:rsidP="00381C24">
            <w:pPr>
              <w:keepNext/>
              <w:jc w:val="center"/>
              <w:rPr>
                <w:rFonts w:ascii="Arial Narrow" w:eastAsia="Times New Roman" w:hAnsi="Arial Narrow" w:cs="Calibri"/>
                <w:color w:val="000000"/>
                <w:sz w:val="20"/>
                <w:szCs w:val="20"/>
                <w:vertAlign w:val="superscript"/>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r w:rsidR="00F07502">
              <w:rPr>
                <w:rFonts w:ascii="Arial Narrow" w:eastAsia="Times New Roman" w:hAnsi="Arial Narrow" w:cs="Calibri"/>
                <w:color w:val="000000"/>
                <w:sz w:val="20"/>
                <w:szCs w:val="20"/>
                <w:vertAlign w:val="superscript"/>
              </w:rPr>
              <w:t>2</w:t>
            </w:r>
          </w:p>
        </w:tc>
        <w:tc>
          <w:tcPr>
            <w:tcW w:w="377" w:type="pct"/>
            <w:noWrap/>
            <w:vAlign w:val="center"/>
            <w:hideMark/>
          </w:tcPr>
          <w:p w14:paraId="6ADD6E59" w14:textId="33DBE8E1" w:rsidR="006F50CA" w:rsidRPr="00381C24" w:rsidRDefault="006F50CA" w:rsidP="00381C24">
            <w:pPr>
              <w:keepNext/>
              <w:jc w:val="center"/>
              <w:rPr>
                <w:rFonts w:ascii="Arial Narrow" w:eastAsia="Times New Roman" w:hAnsi="Arial Narrow" w:cs="Calibri"/>
                <w:color w:val="000000"/>
                <w:sz w:val="20"/>
                <w:szCs w:val="20"/>
                <w:vertAlign w:val="superscript"/>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r w:rsidR="00664AE1">
              <w:rPr>
                <w:rFonts w:ascii="Arial Narrow" w:eastAsia="Times New Roman" w:hAnsi="Arial Narrow" w:cs="Calibri"/>
                <w:color w:val="000000"/>
                <w:sz w:val="20"/>
                <w:szCs w:val="20"/>
                <w:vertAlign w:val="superscript"/>
              </w:rPr>
              <w:t>3</w:t>
            </w:r>
          </w:p>
        </w:tc>
        <w:tc>
          <w:tcPr>
            <w:tcW w:w="829" w:type="pct"/>
            <w:noWrap/>
            <w:vAlign w:val="center"/>
            <w:hideMark/>
          </w:tcPr>
          <w:p w14:paraId="4BDF49FD" w14:textId="0AFB5D2E" w:rsidR="006F50CA" w:rsidRPr="00381C24" w:rsidRDefault="006F50CA" w:rsidP="00381C24">
            <w:pPr>
              <w:keepNext/>
              <w:jc w:val="center"/>
              <w:rPr>
                <w:rFonts w:ascii="Arial Narrow" w:eastAsia="Times New Roman" w:hAnsi="Arial Narrow" w:cs="Calibri"/>
                <w:color w:val="000000"/>
                <w:sz w:val="20"/>
                <w:szCs w:val="20"/>
                <w:vertAlign w:val="superscript"/>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r w:rsidR="00664AE1">
              <w:rPr>
                <w:rFonts w:ascii="Arial Narrow" w:eastAsia="Times New Roman" w:hAnsi="Arial Narrow" w:cs="Calibri"/>
                <w:color w:val="000000"/>
                <w:sz w:val="20"/>
                <w:szCs w:val="20"/>
                <w:vertAlign w:val="superscript"/>
              </w:rPr>
              <w:t>3</w:t>
            </w:r>
          </w:p>
        </w:tc>
        <w:tc>
          <w:tcPr>
            <w:tcW w:w="963" w:type="pct"/>
            <w:noWrap/>
            <w:vAlign w:val="center"/>
            <w:hideMark/>
          </w:tcPr>
          <w:p w14:paraId="6ACC6220" w14:textId="6EC76B9E" w:rsidR="009476D3" w:rsidRDefault="006F50CA" w:rsidP="00381C24">
            <w:pPr>
              <w:keepNext/>
              <w:jc w:val="center"/>
              <w:rPr>
                <w:rFonts w:ascii="Arial Narrow" w:eastAsia="Times New Roman" w:hAnsi="Arial Narrow" w:cs="Calibri"/>
                <w:color w:val="000000"/>
                <w:sz w:val="20"/>
                <w:szCs w:val="20"/>
              </w:rPr>
            </w:pPr>
            <w:r w:rsidRPr="00FA2AB8">
              <w:rPr>
                <w:rFonts w:ascii="Arial Narrow" w:eastAsia="Times New Roman" w:hAnsi="Arial Narrow" w:cs="Calibri"/>
                <w:color w:val="000000"/>
                <w:sz w:val="20"/>
                <w:szCs w:val="20"/>
              </w:rPr>
              <w:t>$</w:t>
            </w:r>
            <w:r w:rsidR="00807021" w:rsidRPr="00807021">
              <w:rPr>
                <w:rFonts w:ascii="Arial Narrow" w:eastAsia="Times New Roman" w:hAnsi="Arial Narrow" w:cs="Calibri"/>
                <w:color w:val="000000"/>
                <w:sz w:val="2"/>
                <w:szCs w:val="20"/>
                <w:highlight w:val="black"/>
              </w:rPr>
              <w:t>redacted content</w:t>
            </w:r>
          </w:p>
          <w:p w14:paraId="502639EA" w14:textId="58986E4D" w:rsidR="006F50CA" w:rsidRPr="00381C24" w:rsidRDefault="009476D3" w:rsidP="00381C24">
            <w:pPr>
              <w:keepNext/>
              <w:jc w:val="center"/>
              <w:rPr>
                <w:rFonts w:ascii="Arial Narrow" w:eastAsia="Times New Roman" w:hAnsi="Arial Narrow" w:cs="Calibri"/>
                <w:color w:val="000000"/>
                <w:sz w:val="20"/>
                <w:szCs w:val="20"/>
                <w:vertAlign w:val="superscript"/>
              </w:rPr>
            </w:pPr>
            <w:r>
              <w:rPr>
                <w:rFonts w:ascii="Arial Narrow" w:eastAsia="Times New Roman" w:hAnsi="Arial Narrow" w:cs="Calibri"/>
                <w:color w:val="000000"/>
                <w:sz w:val="20"/>
                <w:szCs w:val="20"/>
                <w:vertAlign w:val="superscript"/>
              </w:rPr>
              <w:t>4</w:t>
            </w:r>
          </w:p>
        </w:tc>
      </w:tr>
    </w:tbl>
    <w:p w14:paraId="4919F07E" w14:textId="452DBC4F" w:rsidR="006F50CA" w:rsidRPr="00BF05D4" w:rsidRDefault="006F50CA" w:rsidP="00945471">
      <w:pPr>
        <w:pStyle w:val="TableFigureFooter"/>
        <w:rPr>
          <w:i/>
          <w:iCs/>
        </w:rPr>
      </w:pPr>
      <w:r w:rsidRPr="00BF05D4">
        <w:t>Source: Constructed during the evaluation from resubmission data</w:t>
      </w:r>
    </w:p>
    <w:p w14:paraId="39E6872A" w14:textId="77777777" w:rsidR="00AB06D6" w:rsidRDefault="007F2C11" w:rsidP="00AB06D6">
      <w:pPr>
        <w:pStyle w:val="TableFigureFooter"/>
        <w:rPr>
          <w:rFonts w:eastAsia="Times New Roman" w:cstheme="minorHAnsi"/>
          <w:bCs/>
          <w:i/>
          <w:iCs/>
          <w:szCs w:val="18"/>
        </w:rPr>
      </w:pPr>
      <w:r w:rsidRPr="00BF05D4">
        <w:t>PBS = Pharmaceutical Benefits Scheme; RPBS = Repatriation Pharmaceutical Benefits Schedule; UPA = Upadacitinib.</w:t>
      </w:r>
    </w:p>
    <w:p w14:paraId="11E00656" w14:textId="7070FEA9" w:rsidR="00AB06D6" w:rsidRPr="00AB06D6" w:rsidRDefault="00AB06D6" w:rsidP="00AB06D6">
      <w:pPr>
        <w:pStyle w:val="TableFigureFooter"/>
        <w:rPr>
          <w:bCs/>
          <w:i/>
          <w:iCs/>
        </w:rPr>
      </w:pPr>
      <w:r w:rsidRPr="00AB06D6">
        <w:rPr>
          <w:bCs/>
          <w:i/>
          <w:iCs/>
        </w:rPr>
        <w:t xml:space="preserve">The redacted values correspond to the following ranges: </w:t>
      </w:r>
    </w:p>
    <w:p w14:paraId="5A5FD966" w14:textId="0205A8BB" w:rsidR="00AB06D6" w:rsidRPr="00AB06D6" w:rsidRDefault="00AB06D6" w:rsidP="00AB06D6">
      <w:pPr>
        <w:pStyle w:val="TableFigureFooter"/>
        <w:rPr>
          <w:i/>
        </w:rPr>
      </w:pPr>
      <w:r w:rsidRPr="00AB06D6">
        <w:rPr>
          <w:i/>
          <w:vertAlign w:val="superscript"/>
        </w:rPr>
        <w:t>1</w:t>
      </w:r>
      <w:r w:rsidRPr="00AB06D6">
        <w:rPr>
          <w:i/>
        </w:rPr>
        <w:t xml:space="preserve"> </w:t>
      </w:r>
      <w:r w:rsidR="004220FB" w:rsidRPr="004220FB">
        <w:rPr>
          <w:i/>
        </w:rPr>
        <w:t>$60 million to &lt; $70 million</w:t>
      </w:r>
    </w:p>
    <w:p w14:paraId="2A23F4D3" w14:textId="1758259B" w:rsidR="00AB06D6" w:rsidRPr="00F07502" w:rsidRDefault="00AB06D6" w:rsidP="00AB06D6">
      <w:pPr>
        <w:pStyle w:val="TableFigureFooter"/>
        <w:rPr>
          <w:bCs/>
          <w:i/>
        </w:rPr>
      </w:pPr>
      <w:r w:rsidRPr="00AB06D6">
        <w:rPr>
          <w:i/>
          <w:vertAlign w:val="superscript"/>
        </w:rPr>
        <w:t>2</w:t>
      </w:r>
      <w:r w:rsidRPr="00AB06D6">
        <w:rPr>
          <w:i/>
        </w:rPr>
        <w:t xml:space="preserve"> </w:t>
      </w:r>
      <w:r w:rsidR="00F07502" w:rsidRPr="00F07502">
        <w:rPr>
          <w:bCs/>
          <w:i/>
        </w:rPr>
        <w:t>$100 million to &lt; $200 million</w:t>
      </w:r>
    </w:p>
    <w:p w14:paraId="4074032A" w14:textId="15EDCD53" w:rsidR="00AB06D6" w:rsidRPr="00ED2436" w:rsidRDefault="00AB06D6" w:rsidP="00AB06D6">
      <w:pPr>
        <w:pStyle w:val="TableFigureFooter"/>
        <w:rPr>
          <w:bCs/>
          <w:i/>
        </w:rPr>
      </w:pPr>
      <w:r w:rsidRPr="00AB06D6">
        <w:rPr>
          <w:i/>
          <w:vertAlign w:val="superscript"/>
        </w:rPr>
        <w:t>3</w:t>
      </w:r>
      <w:r w:rsidRPr="00AB06D6">
        <w:rPr>
          <w:i/>
        </w:rPr>
        <w:t xml:space="preserve"> </w:t>
      </w:r>
      <w:r w:rsidR="00ED2436" w:rsidRPr="00ED2436">
        <w:rPr>
          <w:bCs/>
          <w:i/>
        </w:rPr>
        <w:t>$200 million to &lt; $300 million</w:t>
      </w:r>
    </w:p>
    <w:p w14:paraId="1C0DF31A" w14:textId="479878B0" w:rsidR="007F2C11" w:rsidRPr="0054398F" w:rsidRDefault="00AB06D6" w:rsidP="00945471">
      <w:pPr>
        <w:pStyle w:val="TableFigureFooter"/>
        <w:rPr>
          <w:bCs/>
          <w:i/>
        </w:rPr>
      </w:pPr>
      <w:r w:rsidRPr="00AB06D6">
        <w:rPr>
          <w:i/>
          <w:vertAlign w:val="superscript"/>
        </w:rPr>
        <w:t>4</w:t>
      </w:r>
      <w:r w:rsidRPr="00AB06D6">
        <w:rPr>
          <w:i/>
        </w:rPr>
        <w:t xml:space="preserve"> </w:t>
      </w:r>
      <w:r w:rsidR="0054398F" w:rsidRPr="0054398F">
        <w:rPr>
          <w:bCs/>
          <w:i/>
        </w:rPr>
        <w:t>$300 million to &lt; $400 million</w:t>
      </w:r>
    </w:p>
    <w:p w14:paraId="2279C81D" w14:textId="7F448817" w:rsidR="00364D5B" w:rsidRPr="00FA2AB8" w:rsidRDefault="00364D5B" w:rsidP="000E4C06">
      <w:pPr>
        <w:pStyle w:val="3-BodyText"/>
        <w:spacing w:before="160" w:after="160"/>
      </w:pPr>
      <w:r w:rsidRPr="00FA2AB8">
        <w:t xml:space="preserve">As the resubmission included an extended induction for slower responders, the number of </w:t>
      </w:r>
      <w:r w:rsidR="006F50CA" w:rsidRPr="00FA2AB8">
        <w:t>NEMO</w:t>
      </w:r>
      <w:r w:rsidRPr="00FA2AB8">
        <w:t xml:space="preserve"> initial scripts was calculated from the weighted average number of scripts required by both responder groups. The continuing scripts were calculated by subtracting the initial scripts from the expected total number of scripts received in a 2-year period as shown in </w:t>
      </w:r>
      <w:r w:rsidRPr="00FA2AB8">
        <w:fldChar w:fldCharType="begin"/>
      </w:r>
      <w:r w:rsidRPr="00FA2AB8">
        <w:instrText xml:space="preserve"> REF _Ref215518196 \h </w:instrText>
      </w:r>
      <w:r w:rsidR="00FA2AB8" w:rsidRPr="00FA2AB8">
        <w:instrText xml:space="preserve"> \* MERGEFORMAT </w:instrText>
      </w:r>
      <w:r w:rsidRPr="00FA2AB8">
        <w:fldChar w:fldCharType="separate"/>
      </w:r>
      <w:r w:rsidR="00F51AFF" w:rsidRPr="00FA2AB8">
        <w:t xml:space="preserve">Table </w:t>
      </w:r>
      <w:r w:rsidR="00F51AFF" w:rsidRPr="00FA2AB8">
        <w:rPr>
          <w:noProof/>
        </w:rPr>
        <w:t>17</w:t>
      </w:r>
      <w:r w:rsidRPr="00FA2AB8">
        <w:fldChar w:fldCharType="end"/>
      </w:r>
      <w:r w:rsidRPr="00FA2AB8">
        <w:t xml:space="preserve">. </w:t>
      </w:r>
    </w:p>
    <w:p w14:paraId="2F968BDA" w14:textId="084C1B90" w:rsidR="00364D5B" w:rsidRPr="00B07B9F" w:rsidRDefault="00364D5B" w:rsidP="00364D5B">
      <w:pPr>
        <w:pStyle w:val="Caption"/>
      </w:pPr>
      <w:bookmarkStart w:id="73" w:name="_Ref215518196"/>
      <w:r w:rsidRPr="00B07B9F">
        <w:t xml:space="preserve">Table </w:t>
      </w:r>
      <w:fldSimple w:instr=" SEQ Table \* ARABIC ">
        <w:r w:rsidR="00CB23C7">
          <w:rPr>
            <w:noProof/>
          </w:rPr>
          <w:t>17</w:t>
        </w:r>
      </w:fldSimple>
      <w:bookmarkEnd w:id="73"/>
      <w:r w:rsidRPr="00B07B9F">
        <w:t>: Weighted average scripts</w:t>
      </w:r>
    </w:p>
    <w:tbl>
      <w:tblPr>
        <w:tblW w:w="5000" w:type="pct"/>
        <w:tblCellMar>
          <w:left w:w="57" w:type="dxa"/>
          <w:right w:w="57" w:type="dxa"/>
        </w:tblCellMar>
        <w:tblLook w:val="04A0" w:firstRow="1" w:lastRow="0" w:firstColumn="1" w:lastColumn="0" w:noHBand="0" w:noVBand="1"/>
      </w:tblPr>
      <w:tblGrid>
        <w:gridCol w:w="4472"/>
        <w:gridCol w:w="1137"/>
        <w:gridCol w:w="1136"/>
        <w:gridCol w:w="1136"/>
        <w:gridCol w:w="1136"/>
      </w:tblGrid>
      <w:tr w:rsidR="00364D5B" w:rsidRPr="00B07B9F" w14:paraId="3F45D937" w14:textId="77777777" w:rsidTr="00AF29CF">
        <w:trPr>
          <w:cantSplit/>
        </w:trPr>
        <w:tc>
          <w:tcPr>
            <w:tcW w:w="2478" w:type="pct"/>
            <w:tcBorders>
              <w:top w:val="single" w:sz="4" w:space="0" w:color="auto"/>
              <w:left w:val="single" w:sz="4" w:space="0" w:color="auto"/>
              <w:bottom w:val="single" w:sz="4" w:space="0" w:color="auto"/>
              <w:right w:val="single" w:sz="4" w:space="0" w:color="auto"/>
            </w:tcBorders>
            <w:hideMark/>
          </w:tcPr>
          <w:p w14:paraId="3D7FECBB" w14:textId="77777777" w:rsidR="00364D5B" w:rsidRPr="00B07B9F" w:rsidRDefault="00364D5B" w:rsidP="00B95A7E">
            <w:pPr>
              <w:keepNext/>
              <w:rPr>
                <w:rFonts w:ascii="Arial Narrow" w:hAnsi="Arial Narrow" w:cs="Calibri"/>
                <w:b/>
                <w:bCs/>
                <w:color w:val="000000"/>
                <w:sz w:val="20"/>
                <w:szCs w:val="20"/>
              </w:rPr>
            </w:pPr>
            <w:r w:rsidRPr="00B07B9F">
              <w:rPr>
                <w:rFonts w:ascii="Arial Narrow" w:hAnsi="Arial Narrow" w:cs="Calibri"/>
                <w:b/>
                <w:bCs/>
                <w:color w:val="000000"/>
                <w:sz w:val="20"/>
                <w:szCs w:val="20"/>
              </w:rPr>
              <w:t>Treatment option</w:t>
            </w:r>
          </w:p>
        </w:tc>
        <w:tc>
          <w:tcPr>
            <w:tcW w:w="630" w:type="pct"/>
            <w:tcBorders>
              <w:top w:val="single" w:sz="4" w:space="0" w:color="auto"/>
              <w:left w:val="nil"/>
              <w:bottom w:val="single" w:sz="4" w:space="0" w:color="auto"/>
              <w:right w:val="single" w:sz="4" w:space="0" w:color="auto"/>
            </w:tcBorders>
            <w:hideMark/>
          </w:tcPr>
          <w:p w14:paraId="6FA9A729" w14:textId="77777777" w:rsidR="00364D5B" w:rsidRPr="00B07B9F" w:rsidRDefault="00364D5B">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Proportion</w:t>
            </w:r>
          </w:p>
        </w:tc>
        <w:tc>
          <w:tcPr>
            <w:tcW w:w="630" w:type="pct"/>
            <w:tcBorders>
              <w:top w:val="single" w:sz="4" w:space="0" w:color="auto"/>
              <w:left w:val="nil"/>
              <w:bottom w:val="single" w:sz="4" w:space="0" w:color="auto"/>
              <w:right w:val="single" w:sz="4" w:space="0" w:color="auto"/>
            </w:tcBorders>
            <w:hideMark/>
          </w:tcPr>
          <w:p w14:paraId="5A7EB8F1" w14:textId="77777777" w:rsidR="00364D5B" w:rsidRPr="00B07B9F" w:rsidRDefault="00364D5B">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Initial</w:t>
            </w:r>
          </w:p>
        </w:tc>
        <w:tc>
          <w:tcPr>
            <w:tcW w:w="630" w:type="pct"/>
            <w:tcBorders>
              <w:top w:val="single" w:sz="4" w:space="0" w:color="auto"/>
              <w:left w:val="nil"/>
              <w:bottom w:val="single" w:sz="4" w:space="0" w:color="auto"/>
              <w:right w:val="single" w:sz="4" w:space="0" w:color="auto"/>
            </w:tcBorders>
            <w:hideMark/>
          </w:tcPr>
          <w:p w14:paraId="4A89E8DD" w14:textId="77777777" w:rsidR="00364D5B" w:rsidRPr="00B07B9F" w:rsidRDefault="00364D5B">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Continuing</w:t>
            </w:r>
          </w:p>
        </w:tc>
        <w:tc>
          <w:tcPr>
            <w:tcW w:w="630" w:type="pct"/>
            <w:tcBorders>
              <w:top w:val="single" w:sz="4" w:space="0" w:color="auto"/>
              <w:left w:val="nil"/>
              <w:bottom w:val="single" w:sz="4" w:space="0" w:color="auto"/>
              <w:right w:val="single" w:sz="4" w:space="0" w:color="auto"/>
            </w:tcBorders>
            <w:hideMark/>
          </w:tcPr>
          <w:p w14:paraId="27B75508" w14:textId="77777777" w:rsidR="00364D5B" w:rsidRPr="00B07B9F" w:rsidRDefault="00364D5B">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Total</w:t>
            </w:r>
          </w:p>
        </w:tc>
      </w:tr>
      <w:tr w:rsidR="00364D5B" w:rsidRPr="00B07B9F" w14:paraId="2A2415C8" w14:textId="77777777" w:rsidTr="00AF29CF">
        <w:trPr>
          <w:cantSplit/>
        </w:trPr>
        <w:tc>
          <w:tcPr>
            <w:tcW w:w="2478" w:type="pct"/>
            <w:tcBorders>
              <w:top w:val="nil"/>
              <w:left w:val="single" w:sz="4" w:space="0" w:color="auto"/>
              <w:bottom w:val="single" w:sz="4" w:space="0" w:color="auto"/>
              <w:right w:val="single" w:sz="4" w:space="0" w:color="auto"/>
            </w:tcBorders>
            <w:hideMark/>
          </w:tcPr>
          <w:p w14:paraId="75AAED7E" w14:textId="77777777" w:rsidR="00364D5B" w:rsidRPr="00B07B9F" w:rsidRDefault="00364D5B">
            <w:pPr>
              <w:keepNext/>
              <w:jc w:val="left"/>
              <w:rPr>
                <w:rFonts w:ascii="Arial Narrow" w:hAnsi="Arial Narrow" w:cs="Calibri"/>
                <w:color w:val="000000"/>
                <w:sz w:val="20"/>
                <w:szCs w:val="20"/>
              </w:rPr>
            </w:pPr>
            <w:r w:rsidRPr="00B07B9F">
              <w:rPr>
                <w:rFonts w:ascii="Arial Narrow" w:hAnsi="Arial Narrow" w:cs="Calibri"/>
                <w:color w:val="000000"/>
                <w:sz w:val="20"/>
                <w:szCs w:val="20"/>
              </w:rPr>
              <w:t>Standard 16-week induction</w:t>
            </w:r>
          </w:p>
        </w:tc>
        <w:tc>
          <w:tcPr>
            <w:tcW w:w="630" w:type="pct"/>
            <w:tcBorders>
              <w:top w:val="nil"/>
              <w:left w:val="nil"/>
              <w:bottom w:val="single" w:sz="4" w:space="0" w:color="auto"/>
              <w:right w:val="single" w:sz="4" w:space="0" w:color="auto"/>
            </w:tcBorders>
          </w:tcPr>
          <w:p w14:paraId="3965E4CC" w14:textId="77777777" w:rsidR="00364D5B" w:rsidRPr="00B07B9F" w:rsidRDefault="00364D5B" w:rsidP="00B95A7E">
            <w:pPr>
              <w:keepNext/>
              <w:jc w:val="center"/>
              <w:rPr>
                <w:rFonts w:ascii="Arial Narrow" w:hAnsi="Arial Narrow" w:cs="Calibri"/>
                <w:color w:val="000000"/>
                <w:sz w:val="20"/>
                <w:szCs w:val="20"/>
              </w:rPr>
            </w:pPr>
            <w:r w:rsidRPr="00B07B9F">
              <w:rPr>
                <w:rFonts w:ascii="Arial Narrow" w:hAnsi="Arial Narrow"/>
                <w:sz w:val="20"/>
                <w:szCs w:val="20"/>
              </w:rPr>
              <w:t>74.1%</w:t>
            </w:r>
          </w:p>
        </w:tc>
        <w:tc>
          <w:tcPr>
            <w:tcW w:w="630" w:type="pct"/>
            <w:tcBorders>
              <w:top w:val="nil"/>
              <w:left w:val="nil"/>
              <w:bottom w:val="single" w:sz="4" w:space="0" w:color="auto"/>
              <w:right w:val="single" w:sz="4" w:space="0" w:color="auto"/>
            </w:tcBorders>
            <w:noWrap/>
          </w:tcPr>
          <w:p w14:paraId="150740DA" w14:textId="77777777" w:rsidR="00364D5B" w:rsidRPr="00B07B9F" w:rsidRDefault="00364D5B" w:rsidP="00B95A7E">
            <w:pPr>
              <w:keepNext/>
              <w:jc w:val="center"/>
              <w:rPr>
                <w:rFonts w:ascii="Arial Narrow" w:hAnsi="Arial Narrow" w:cs="Calibri"/>
                <w:color w:val="000000"/>
                <w:sz w:val="20"/>
                <w:szCs w:val="20"/>
              </w:rPr>
            </w:pPr>
            <w:r w:rsidRPr="00B07B9F">
              <w:rPr>
                <w:rFonts w:ascii="Arial Narrow" w:hAnsi="Arial Narrow"/>
                <w:sz w:val="20"/>
                <w:szCs w:val="20"/>
              </w:rPr>
              <w:t>3</w:t>
            </w:r>
          </w:p>
        </w:tc>
        <w:tc>
          <w:tcPr>
            <w:tcW w:w="630" w:type="pct"/>
            <w:tcBorders>
              <w:top w:val="nil"/>
              <w:left w:val="nil"/>
              <w:bottom w:val="single" w:sz="4" w:space="0" w:color="auto"/>
              <w:right w:val="single" w:sz="4" w:space="0" w:color="auto"/>
            </w:tcBorders>
            <w:noWrap/>
          </w:tcPr>
          <w:p w14:paraId="524F9D65" w14:textId="77777777" w:rsidR="00364D5B" w:rsidRPr="00B07B9F" w:rsidRDefault="00364D5B" w:rsidP="00B95A7E">
            <w:pPr>
              <w:keepNext/>
              <w:jc w:val="center"/>
              <w:rPr>
                <w:rFonts w:ascii="Arial Narrow" w:hAnsi="Arial Narrow" w:cs="Calibri"/>
                <w:color w:val="000000"/>
                <w:sz w:val="20"/>
                <w:szCs w:val="20"/>
              </w:rPr>
            </w:pPr>
            <w:r w:rsidRPr="00B07B9F">
              <w:rPr>
                <w:rFonts w:ascii="Arial Narrow" w:hAnsi="Arial Narrow"/>
                <w:sz w:val="20"/>
                <w:szCs w:val="20"/>
              </w:rPr>
              <w:t>10</w:t>
            </w:r>
          </w:p>
        </w:tc>
        <w:tc>
          <w:tcPr>
            <w:tcW w:w="630" w:type="pct"/>
            <w:tcBorders>
              <w:top w:val="nil"/>
              <w:left w:val="nil"/>
              <w:bottom w:val="single" w:sz="4" w:space="0" w:color="auto"/>
              <w:right w:val="single" w:sz="4" w:space="0" w:color="auto"/>
            </w:tcBorders>
            <w:noWrap/>
          </w:tcPr>
          <w:p w14:paraId="5356205B" w14:textId="77777777" w:rsidR="00364D5B" w:rsidRPr="00B07B9F" w:rsidRDefault="00364D5B" w:rsidP="00B95A7E">
            <w:pPr>
              <w:keepNext/>
              <w:jc w:val="center"/>
              <w:rPr>
                <w:rFonts w:ascii="Arial Narrow" w:hAnsi="Arial Narrow" w:cs="Calibri"/>
                <w:color w:val="000000"/>
                <w:sz w:val="20"/>
                <w:szCs w:val="20"/>
              </w:rPr>
            </w:pPr>
            <w:r w:rsidRPr="00B07B9F">
              <w:rPr>
                <w:rFonts w:ascii="Arial Narrow" w:hAnsi="Arial Narrow"/>
                <w:sz w:val="20"/>
                <w:szCs w:val="20"/>
              </w:rPr>
              <w:t>13</w:t>
            </w:r>
          </w:p>
        </w:tc>
      </w:tr>
      <w:tr w:rsidR="00364D5B" w:rsidRPr="00B07B9F" w14:paraId="3F9F6C09" w14:textId="77777777" w:rsidTr="00AF29CF">
        <w:trPr>
          <w:cantSplit/>
        </w:trPr>
        <w:tc>
          <w:tcPr>
            <w:tcW w:w="2478" w:type="pct"/>
            <w:tcBorders>
              <w:top w:val="nil"/>
              <w:left w:val="single" w:sz="4" w:space="0" w:color="auto"/>
              <w:bottom w:val="single" w:sz="4" w:space="0" w:color="auto"/>
              <w:right w:val="single" w:sz="4" w:space="0" w:color="auto"/>
            </w:tcBorders>
            <w:hideMark/>
          </w:tcPr>
          <w:p w14:paraId="45646183" w14:textId="77777777" w:rsidR="00364D5B" w:rsidRPr="00B07B9F" w:rsidRDefault="00364D5B">
            <w:pPr>
              <w:keepNext/>
              <w:jc w:val="left"/>
              <w:rPr>
                <w:rFonts w:ascii="Arial Narrow" w:hAnsi="Arial Narrow" w:cs="Calibri"/>
                <w:color w:val="000000"/>
                <w:sz w:val="20"/>
                <w:szCs w:val="20"/>
              </w:rPr>
            </w:pPr>
            <w:r w:rsidRPr="00B07B9F">
              <w:rPr>
                <w:rFonts w:ascii="Arial Narrow" w:hAnsi="Arial Narrow" w:cs="Calibri"/>
                <w:color w:val="000000"/>
                <w:sz w:val="20"/>
                <w:szCs w:val="20"/>
              </w:rPr>
              <w:t>Extended 24-week induction</w:t>
            </w:r>
          </w:p>
        </w:tc>
        <w:tc>
          <w:tcPr>
            <w:tcW w:w="630" w:type="pct"/>
            <w:tcBorders>
              <w:top w:val="nil"/>
              <w:left w:val="nil"/>
              <w:bottom w:val="single" w:sz="4" w:space="0" w:color="auto"/>
              <w:right w:val="single" w:sz="4" w:space="0" w:color="auto"/>
            </w:tcBorders>
          </w:tcPr>
          <w:p w14:paraId="36FDBFD9" w14:textId="77777777" w:rsidR="00364D5B" w:rsidRPr="00B07B9F" w:rsidRDefault="00364D5B" w:rsidP="00B95A7E">
            <w:pPr>
              <w:keepNext/>
              <w:jc w:val="center"/>
              <w:rPr>
                <w:rFonts w:ascii="Arial Narrow" w:hAnsi="Arial Narrow" w:cs="Calibri"/>
                <w:color w:val="000000"/>
                <w:sz w:val="20"/>
                <w:szCs w:val="20"/>
              </w:rPr>
            </w:pPr>
            <w:r w:rsidRPr="00B07B9F">
              <w:rPr>
                <w:rFonts w:ascii="Arial Narrow" w:hAnsi="Arial Narrow"/>
                <w:sz w:val="20"/>
                <w:szCs w:val="20"/>
              </w:rPr>
              <w:t>25.9%</w:t>
            </w:r>
          </w:p>
        </w:tc>
        <w:tc>
          <w:tcPr>
            <w:tcW w:w="630" w:type="pct"/>
            <w:tcBorders>
              <w:top w:val="nil"/>
              <w:left w:val="nil"/>
              <w:bottom w:val="single" w:sz="4" w:space="0" w:color="auto"/>
              <w:right w:val="single" w:sz="4" w:space="0" w:color="auto"/>
            </w:tcBorders>
            <w:noWrap/>
          </w:tcPr>
          <w:p w14:paraId="3FB5B8D4" w14:textId="77777777" w:rsidR="00364D5B" w:rsidRPr="00B07B9F" w:rsidRDefault="00364D5B" w:rsidP="00B95A7E">
            <w:pPr>
              <w:keepNext/>
              <w:jc w:val="center"/>
              <w:rPr>
                <w:rFonts w:ascii="Arial Narrow" w:hAnsi="Arial Narrow" w:cs="Calibri"/>
                <w:color w:val="000000"/>
                <w:sz w:val="20"/>
                <w:szCs w:val="20"/>
              </w:rPr>
            </w:pPr>
            <w:r w:rsidRPr="00B07B9F">
              <w:rPr>
                <w:rFonts w:ascii="Arial Narrow" w:hAnsi="Arial Narrow"/>
                <w:sz w:val="20"/>
                <w:szCs w:val="20"/>
              </w:rPr>
              <w:t>4</w:t>
            </w:r>
          </w:p>
        </w:tc>
        <w:tc>
          <w:tcPr>
            <w:tcW w:w="630" w:type="pct"/>
            <w:tcBorders>
              <w:top w:val="nil"/>
              <w:left w:val="nil"/>
              <w:bottom w:val="single" w:sz="4" w:space="0" w:color="auto"/>
              <w:right w:val="single" w:sz="4" w:space="0" w:color="auto"/>
            </w:tcBorders>
            <w:noWrap/>
          </w:tcPr>
          <w:p w14:paraId="3980846B" w14:textId="77777777" w:rsidR="00364D5B" w:rsidRPr="00B07B9F" w:rsidRDefault="00364D5B" w:rsidP="00B95A7E">
            <w:pPr>
              <w:keepNext/>
              <w:jc w:val="center"/>
              <w:rPr>
                <w:rFonts w:ascii="Arial Narrow" w:hAnsi="Arial Narrow" w:cs="Calibri"/>
                <w:color w:val="000000"/>
                <w:sz w:val="20"/>
                <w:szCs w:val="20"/>
              </w:rPr>
            </w:pPr>
            <w:r w:rsidRPr="00B07B9F">
              <w:rPr>
                <w:rFonts w:ascii="Arial Narrow" w:hAnsi="Arial Narrow"/>
                <w:sz w:val="20"/>
                <w:szCs w:val="20"/>
              </w:rPr>
              <w:t>9</w:t>
            </w:r>
          </w:p>
        </w:tc>
        <w:tc>
          <w:tcPr>
            <w:tcW w:w="630" w:type="pct"/>
            <w:tcBorders>
              <w:top w:val="nil"/>
              <w:left w:val="nil"/>
              <w:bottom w:val="single" w:sz="4" w:space="0" w:color="auto"/>
              <w:right w:val="single" w:sz="4" w:space="0" w:color="auto"/>
            </w:tcBorders>
            <w:noWrap/>
          </w:tcPr>
          <w:p w14:paraId="1264C9D3" w14:textId="77777777" w:rsidR="00364D5B" w:rsidRPr="00B07B9F" w:rsidRDefault="00364D5B" w:rsidP="00B95A7E">
            <w:pPr>
              <w:keepNext/>
              <w:jc w:val="center"/>
              <w:rPr>
                <w:rFonts w:ascii="Arial Narrow" w:hAnsi="Arial Narrow" w:cs="Calibri"/>
                <w:color w:val="000000"/>
                <w:sz w:val="20"/>
                <w:szCs w:val="20"/>
              </w:rPr>
            </w:pPr>
            <w:r w:rsidRPr="00B07B9F">
              <w:rPr>
                <w:rFonts w:ascii="Arial Narrow" w:hAnsi="Arial Narrow"/>
                <w:sz w:val="20"/>
                <w:szCs w:val="20"/>
              </w:rPr>
              <w:t>13</w:t>
            </w:r>
          </w:p>
        </w:tc>
      </w:tr>
      <w:tr w:rsidR="00364D5B" w:rsidRPr="00B07B9F" w14:paraId="0CEFC5A4" w14:textId="77777777" w:rsidTr="00AF29CF">
        <w:trPr>
          <w:cantSplit/>
        </w:trPr>
        <w:tc>
          <w:tcPr>
            <w:tcW w:w="2478" w:type="pct"/>
            <w:tcBorders>
              <w:top w:val="nil"/>
              <w:left w:val="single" w:sz="4" w:space="0" w:color="auto"/>
              <w:bottom w:val="single" w:sz="4" w:space="0" w:color="auto"/>
              <w:right w:val="single" w:sz="4" w:space="0" w:color="auto"/>
            </w:tcBorders>
            <w:hideMark/>
          </w:tcPr>
          <w:p w14:paraId="62005A94" w14:textId="77777777" w:rsidR="00364D5B" w:rsidRPr="00B07B9F" w:rsidRDefault="00364D5B">
            <w:pPr>
              <w:keepNext/>
              <w:jc w:val="left"/>
              <w:rPr>
                <w:rFonts w:ascii="Arial Narrow" w:hAnsi="Arial Narrow" w:cs="Calibri"/>
                <w:color w:val="000000"/>
                <w:sz w:val="20"/>
                <w:szCs w:val="20"/>
              </w:rPr>
            </w:pPr>
            <w:r w:rsidRPr="00B07B9F">
              <w:rPr>
                <w:rFonts w:ascii="Arial Narrow" w:hAnsi="Arial Narrow" w:cs="Calibri"/>
                <w:color w:val="000000"/>
                <w:sz w:val="20"/>
                <w:szCs w:val="20"/>
              </w:rPr>
              <w:t>Weighted scripts</w:t>
            </w:r>
          </w:p>
        </w:tc>
        <w:tc>
          <w:tcPr>
            <w:tcW w:w="630" w:type="pct"/>
            <w:tcBorders>
              <w:top w:val="nil"/>
              <w:left w:val="nil"/>
              <w:bottom w:val="single" w:sz="4" w:space="0" w:color="auto"/>
              <w:right w:val="single" w:sz="4" w:space="0" w:color="auto"/>
            </w:tcBorders>
          </w:tcPr>
          <w:p w14:paraId="429FBA47" w14:textId="77777777" w:rsidR="00364D5B" w:rsidRPr="00B07B9F" w:rsidRDefault="00364D5B" w:rsidP="00B95A7E">
            <w:pPr>
              <w:keepNext/>
              <w:jc w:val="center"/>
              <w:rPr>
                <w:rFonts w:ascii="Arial Narrow" w:hAnsi="Arial Narrow" w:cs="Calibri"/>
                <w:color w:val="000000"/>
                <w:sz w:val="20"/>
                <w:szCs w:val="20"/>
              </w:rPr>
            </w:pPr>
          </w:p>
        </w:tc>
        <w:tc>
          <w:tcPr>
            <w:tcW w:w="630" w:type="pct"/>
            <w:tcBorders>
              <w:top w:val="nil"/>
              <w:left w:val="nil"/>
              <w:bottom w:val="single" w:sz="4" w:space="0" w:color="auto"/>
              <w:right w:val="single" w:sz="4" w:space="0" w:color="auto"/>
            </w:tcBorders>
            <w:noWrap/>
          </w:tcPr>
          <w:p w14:paraId="04BA1FD2" w14:textId="77777777" w:rsidR="00364D5B" w:rsidRPr="00B07B9F" w:rsidRDefault="00364D5B" w:rsidP="00B95A7E">
            <w:pPr>
              <w:keepNext/>
              <w:jc w:val="center"/>
              <w:rPr>
                <w:rFonts w:ascii="Arial Narrow" w:hAnsi="Arial Narrow" w:cs="Calibri"/>
                <w:color w:val="000000"/>
                <w:sz w:val="20"/>
                <w:szCs w:val="20"/>
              </w:rPr>
            </w:pPr>
            <w:r w:rsidRPr="00B07B9F">
              <w:rPr>
                <w:rFonts w:ascii="Arial Narrow" w:hAnsi="Arial Narrow"/>
                <w:sz w:val="20"/>
                <w:szCs w:val="20"/>
              </w:rPr>
              <w:t>3.26</w:t>
            </w:r>
          </w:p>
        </w:tc>
        <w:tc>
          <w:tcPr>
            <w:tcW w:w="630" w:type="pct"/>
            <w:tcBorders>
              <w:top w:val="nil"/>
              <w:left w:val="nil"/>
              <w:bottom w:val="single" w:sz="4" w:space="0" w:color="auto"/>
              <w:right w:val="single" w:sz="4" w:space="0" w:color="auto"/>
            </w:tcBorders>
            <w:noWrap/>
          </w:tcPr>
          <w:p w14:paraId="73636F96" w14:textId="77777777" w:rsidR="00364D5B" w:rsidRPr="00B07B9F" w:rsidRDefault="00364D5B" w:rsidP="00B95A7E">
            <w:pPr>
              <w:keepNext/>
              <w:jc w:val="center"/>
              <w:rPr>
                <w:rFonts w:ascii="Arial Narrow" w:hAnsi="Arial Narrow" w:cs="Calibri"/>
                <w:color w:val="000000"/>
                <w:sz w:val="20"/>
                <w:szCs w:val="20"/>
              </w:rPr>
            </w:pPr>
            <w:r w:rsidRPr="00B07B9F">
              <w:rPr>
                <w:rFonts w:ascii="Arial Narrow" w:hAnsi="Arial Narrow"/>
                <w:sz w:val="20"/>
                <w:szCs w:val="20"/>
              </w:rPr>
              <w:t>9.74</w:t>
            </w:r>
          </w:p>
        </w:tc>
        <w:tc>
          <w:tcPr>
            <w:tcW w:w="630" w:type="pct"/>
            <w:tcBorders>
              <w:top w:val="nil"/>
              <w:left w:val="nil"/>
              <w:bottom w:val="single" w:sz="4" w:space="0" w:color="auto"/>
              <w:right w:val="single" w:sz="4" w:space="0" w:color="auto"/>
            </w:tcBorders>
            <w:noWrap/>
          </w:tcPr>
          <w:p w14:paraId="48BCC574" w14:textId="77777777" w:rsidR="00364D5B" w:rsidRPr="00B07B9F" w:rsidRDefault="00364D5B" w:rsidP="00B95A7E">
            <w:pPr>
              <w:keepNext/>
              <w:jc w:val="center"/>
              <w:rPr>
                <w:rFonts w:ascii="Arial Narrow" w:hAnsi="Arial Narrow" w:cs="Calibri"/>
                <w:color w:val="000000"/>
                <w:sz w:val="20"/>
                <w:szCs w:val="20"/>
              </w:rPr>
            </w:pPr>
            <w:r w:rsidRPr="00B07B9F">
              <w:rPr>
                <w:rFonts w:ascii="Arial Narrow" w:hAnsi="Arial Narrow"/>
                <w:sz w:val="20"/>
                <w:szCs w:val="20"/>
              </w:rPr>
              <w:t>13</w:t>
            </w:r>
          </w:p>
        </w:tc>
      </w:tr>
    </w:tbl>
    <w:p w14:paraId="657DD787" w14:textId="00CE5969" w:rsidR="00364D5B" w:rsidRPr="00B07B9F" w:rsidRDefault="00364D5B" w:rsidP="00945471">
      <w:pPr>
        <w:pStyle w:val="TableFigureFooter"/>
      </w:pPr>
      <w:r w:rsidRPr="002C5580">
        <w:t xml:space="preserve">Source: The financial estimates from the </w:t>
      </w:r>
      <w:r w:rsidR="00126844">
        <w:t>re</w:t>
      </w:r>
      <w:r w:rsidRPr="002C5580">
        <w:t>submission: 3a. Scripts - proposed</w:t>
      </w:r>
      <w:r w:rsidRPr="00B07B9F">
        <w:t>.</w:t>
      </w:r>
    </w:p>
    <w:p w14:paraId="27C243AA" w14:textId="02339AA4" w:rsidR="00364D5B" w:rsidRPr="009C569A" w:rsidRDefault="00364D5B" w:rsidP="000E4C06">
      <w:pPr>
        <w:pStyle w:val="3-BodyText"/>
        <w:spacing w:before="160" w:after="160"/>
      </w:pPr>
      <w:r w:rsidRPr="00FA2AB8">
        <w:t xml:space="preserve">While this approach aligns with the CMA period and provides a valid comparison over the first two years of treatment, it overestimates the number scripts required over a </w:t>
      </w:r>
      <w:r w:rsidRPr="009C569A">
        <w:t>patient’s full treatment duration.</w:t>
      </w:r>
      <w:r w:rsidR="007411F1" w:rsidRPr="009C569A">
        <w:t xml:space="preserve"> Initial treatment requires more scripts than continuing treatment, so including an initial treatment in each of the subsequent years overestimate</w:t>
      </w:r>
      <w:r w:rsidR="00224280" w:rsidRPr="009C569A">
        <w:t>d</w:t>
      </w:r>
      <w:r w:rsidR="007411F1" w:rsidRPr="009C569A">
        <w:t xml:space="preserve"> the total number of scripts required.</w:t>
      </w:r>
    </w:p>
    <w:p w14:paraId="6E8CB7F2" w14:textId="171AAB55" w:rsidR="00291FFF" w:rsidRPr="009C569A" w:rsidRDefault="00364D5B" w:rsidP="000E4C06">
      <w:pPr>
        <w:pStyle w:val="3-BodyText"/>
        <w:spacing w:before="160" w:after="160"/>
      </w:pPr>
      <w:r w:rsidRPr="009C569A">
        <w:t xml:space="preserve">The resubmission’s financial estimates are shown in </w:t>
      </w:r>
      <w:r w:rsidRPr="009C569A">
        <w:fldChar w:fldCharType="begin"/>
      </w:r>
      <w:r w:rsidRPr="009C569A">
        <w:instrText xml:space="preserve"> REF _Ref104805295 \h  \* MERGEFORMAT </w:instrText>
      </w:r>
      <w:r w:rsidRPr="009C569A">
        <w:fldChar w:fldCharType="separate"/>
      </w:r>
      <w:r w:rsidR="00F51AFF" w:rsidRPr="009C569A">
        <w:t>Table 18</w:t>
      </w:r>
      <w:r w:rsidRPr="009C569A">
        <w:fldChar w:fldCharType="end"/>
      </w:r>
      <w:r w:rsidRPr="009C569A">
        <w:t xml:space="preserve">. </w:t>
      </w:r>
      <w:bookmarkStart w:id="74" w:name="_Ref104805295"/>
    </w:p>
    <w:p w14:paraId="2A3F6D9F" w14:textId="24B63E65" w:rsidR="00364D5B" w:rsidRPr="009C569A" w:rsidRDefault="00364D5B" w:rsidP="0032440C">
      <w:pPr>
        <w:pStyle w:val="TableFigureHeading"/>
      </w:pPr>
      <w:r w:rsidRPr="009C569A">
        <w:lastRenderedPageBreak/>
        <w:t xml:space="preserve">Table </w:t>
      </w:r>
      <w:fldSimple w:instr=" SEQ Table \* ARABIC ">
        <w:r w:rsidR="00CB23C7">
          <w:rPr>
            <w:noProof/>
          </w:rPr>
          <w:t>18</w:t>
        </w:r>
      </w:fldSimple>
      <w:bookmarkEnd w:id="74"/>
      <w:r w:rsidRPr="009C569A">
        <w:t>:</w:t>
      </w:r>
      <w:r w:rsidRPr="009C569A">
        <w:rPr>
          <w:rStyle w:val="CommentReference"/>
          <w:szCs w:val="24"/>
        </w:rPr>
        <w:t xml:space="preserve"> </w:t>
      </w:r>
      <w:r w:rsidRPr="009C569A">
        <w:rPr>
          <w:rStyle w:val="CommentReference"/>
          <w:b/>
          <w:bCs w:val="0"/>
          <w:szCs w:val="24"/>
        </w:rPr>
        <w:t>Estimated use and financial implications</w:t>
      </w:r>
      <w:r w:rsidR="003A17A9" w:rsidRPr="009C569A">
        <w:rPr>
          <w:rStyle w:val="CommentReference"/>
          <w:b/>
          <w:bCs w:val="0"/>
          <w:szCs w:val="24"/>
        </w:rPr>
        <w:t xml:space="preserve"> – published</w:t>
      </w:r>
    </w:p>
    <w:tbl>
      <w:tblPr>
        <w:tblW w:w="5000" w:type="pct"/>
        <w:tblCellMar>
          <w:left w:w="57" w:type="dxa"/>
          <w:right w:w="57" w:type="dxa"/>
        </w:tblCellMar>
        <w:tblLook w:val="04A0" w:firstRow="1" w:lastRow="0" w:firstColumn="1" w:lastColumn="0" w:noHBand="0" w:noVBand="1"/>
        <w:tblCaption w:val="Table 18: Estimated use and financial implications – published"/>
      </w:tblPr>
      <w:tblGrid>
        <w:gridCol w:w="1786"/>
        <w:gridCol w:w="1205"/>
        <w:gridCol w:w="1205"/>
        <w:gridCol w:w="1205"/>
        <w:gridCol w:w="1205"/>
        <w:gridCol w:w="1205"/>
        <w:gridCol w:w="1206"/>
      </w:tblGrid>
      <w:tr w:rsidR="00364D5B" w:rsidRPr="00B07B9F" w14:paraId="3A817E18" w14:textId="77777777" w:rsidTr="00AF29CF">
        <w:trPr>
          <w:cantSplit/>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5D4088" w14:textId="77777777" w:rsidR="00364D5B" w:rsidRPr="00B07B9F" w:rsidRDefault="00364D5B" w:rsidP="00B95A7E">
            <w:pPr>
              <w:keepNext/>
              <w:jc w:val="left"/>
              <w:rPr>
                <w:rFonts w:ascii="Arial Narrow" w:hAnsi="Arial Narrow" w:cs="Calibri"/>
                <w:b/>
                <w:bCs/>
                <w:color w:val="000000"/>
                <w:sz w:val="20"/>
                <w:szCs w:val="20"/>
              </w:rPr>
            </w:pPr>
            <w:r w:rsidRPr="009C569A">
              <w:rPr>
                <w:rFonts w:ascii="Arial Narrow" w:hAnsi="Arial Narrow" w:cs="Calibri"/>
                <w:b/>
                <w:bCs/>
                <w:color w:val="000000"/>
                <w:sz w:val="20"/>
                <w:szCs w:val="20"/>
              </w:rPr>
              <w:t>Scripts - proposed medicine(s)</w:t>
            </w:r>
          </w:p>
        </w:tc>
      </w:tr>
      <w:tr w:rsidR="00364D5B" w:rsidRPr="00B07B9F" w14:paraId="1E693A1A" w14:textId="77777777" w:rsidTr="00AF29CF">
        <w:trPr>
          <w:cantSplit/>
        </w:trPr>
        <w:tc>
          <w:tcPr>
            <w:tcW w:w="991" w:type="pct"/>
            <w:tcBorders>
              <w:top w:val="nil"/>
              <w:left w:val="single" w:sz="4" w:space="0" w:color="auto"/>
              <w:bottom w:val="single" w:sz="4" w:space="0" w:color="auto"/>
              <w:right w:val="single" w:sz="4" w:space="0" w:color="auto"/>
            </w:tcBorders>
            <w:noWrap/>
            <w:tcMar>
              <w:left w:w="28" w:type="dxa"/>
              <w:right w:w="28" w:type="dxa"/>
            </w:tcMar>
            <w:vAlign w:val="bottom"/>
            <w:hideMark/>
          </w:tcPr>
          <w:p w14:paraId="14CF2CA6" w14:textId="77777777" w:rsidR="00364D5B" w:rsidRPr="00B07B9F" w:rsidRDefault="00364D5B" w:rsidP="00B95A7E">
            <w:pPr>
              <w:keepNext/>
              <w:jc w:val="left"/>
              <w:rPr>
                <w:rFonts w:ascii="Arial Narrow" w:hAnsi="Arial Narrow" w:cs="Calibri"/>
                <w:color w:val="000000"/>
                <w:sz w:val="20"/>
                <w:szCs w:val="22"/>
              </w:rPr>
            </w:pPr>
            <w:r w:rsidRPr="00B07B9F">
              <w:rPr>
                <w:rFonts w:ascii="Arial Narrow" w:hAnsi="Arial Narrow" w:cs="Calibri"/>
                <w:color w:val="000000"/>
                <w:sz w:val="20"/>
                <w:szCs w:val="22"/>
              </w:rPr>
              <w:t> </w:t>
            </w:r>
          </w:p>
        </w:tc>
        <w:tc>
          <w:tcPr>
            <w:tcW w:w="668" w:type="pct"/>
            <w:tcBorders>
              <w:top w:val="nil"/>
              <w:left w:val="nil"/>
              <w:bottom w:val="single" w:sz="4" w:space="0" w:color="auto"/>
              <w:right w:val="single" w:sz="4" w:space="0" w:color="auto"/>
            </w:tcBorders>
            <w:tcMar>
              <w:left w:w="28" w:type="dxa"/>
              <w:right w:w="28" w:type="dxa"/>
            </w:tcMar>
            <w:hideMark/>
          </w:tcPr>
          <w:p w14:paraId="6AF08C2E" w14:textId="77777777" w:rsidR="00364D5B" w:rsidRPr="00B07B9F" w:rsidRDefault="00364D5B" w:rsidP="00B95A7E">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Year 1</w:t>
            </w:r>
          </w:p>
        </w:tc>
        <w:tc>
          <w:tcPr>
            <w:tcW w:w="668" w:type="pct"/>
            <w:tcBorders>
              <w:top w:val="nil"/>
              <w:left w:val="nil"/>
              <w:bottom w:val="single" w:sz="4" w:space="0" w:color="auto"/>
              <w:right w:val="single" w:sz="4" w:space="0" w:color="auto"/>
            </w:tcBorders>
            <w:tcMar>
              <w:left w:w="28" w:type="dxa"/>
              <w:right w:w="28" w:type="dxa"/>
            </w:tcMar>
            <w:hideMark/>
          </w:tcPr>
          <w:p w14:paraId="293EC38A" w14:textId="77777777" w:rsidR="00364D5B" w:rsidRPr="00B07B9F" w:rsidRDefault="00364D5B" w:rsidP="00B95A7E">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Year 2</w:t>
            </w:r>
          </w:p>
        </w:tc>
        <w:tc>
          <w:tcPr>
            <w:tcW w:w="668" w:type="pct"/>
            <w:tcBorders>
              <w:top w:val="nil"/>
              <w:left w:val="nil"/>
              <w:bottom w:val="single" w:sz="4" w:space="0" w:color="auto"/>
              <w:right w:val="single" w:sz="4" w:space="0" w:color="auto"/>
            </w:tcBorders>
            <w:tcMar>
              <w:left w:w="28" w:type="dxa"/>
              <w:right w:w="28" w:type="dxa"/>
            </w:tcMar>
            <w:hideMark/>
          </w:tcPr>
          <w:p w14:paraId="67E03E4D" w14:textId="77777777" w:rsidR="00364D5B" w:rsidRPr="00B07B9F" w:rsidRDefault="00364D5B" w:rsidP="00B95A7E">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Year 3</w:t>
            </w:r>
          </w:p>
        </w:tc>
        <w:tc>
          <w:tcPr>
            <w:tcW w:w="668" w:type="pct"/>
            <w:tcBorders>
              <w:top w:val="nil"/>
              <w:left w:val="nil"/>
              <w:bottom w:val="single" w:sz="4" w:space="0" w:color="auto"/>
              <w:right w:val="single" w:sz="4" w:space="0" w:color="auto"/>
            </w:tcBorders>
            <w:tcMar>
              <w:left w:w="28" w:type="dxa"/>
              <w:right w:w="28" w:type="dxa"/>
            </w:tcMar>
            <w:hideMark/>
          </w:tcPr>
          <w:p w14:paraId="20C30084" w14:textId="77777777" w:rsidR="00364D5B" w:rsidRPr="00B07B9F" w:rsidRDefault="00364D5B" w:rsidP="00B95A7E">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Year 4</w:t>
            </w:r>
          </w:p>
        </w:tc>
        <w:tc>
          <w:tcPr>
            <w:tcW w:w="668" w:type="pct"/>
            <w:tcBorders>
              <w:top w:val="nil"/>
              <w:left w:val="nil"/>
              <w:bottom w:val="single" w:sz="4" w:space="0" w:color="auto"/>
              <w:right w:val="single" w:sz="4" w:space="0" w:color="auto"/>
            </w:tcBorders>
            <w:tcMar>
              <w:left w:w="28" w:type="dxa"/>
              <w:right w:w="28" w:type="dxa"/>
            </w:tcMar>
            <w:hideMark/>
          </w:tcPr>
          <w:p w14:paraId="73F79B0C" w14:textId="77777777" w:rsidR="00364D5B" w:rsidRPr="00B07B9F" w:rsidRDefault="00364D5B" w:rsidP="00B95A7E">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Year 5</w:t>
            </w:r>
          </w:p>
        </w:tc>
        <w:tc>
          <w:tcPr>
            <w:tcW w:w="668" w:type="pct"/>
            <w:tcBorders>
              <w:top w:val="nil"/>
              <w:left w:val="nil"/>
              <w:bottom w:val="single" w:sz="4" w:space="0" w:color="auto"/>
              <w:right w:val="single" w:sz="4" w:space="0" w:color="auto"/>
            </w:tcBorders>
            <w:tcMar>
              <w:left w:w="28" w:type="dxa"/>
              <w:right w:w="28" w:type="dxa"/>
            </w:tcMar>
            <w:hideMark/>
          </w:tcPr>
          <w:p w14:paraId="7D04060E" w14:textId="77777777" w:rsidR="00364D5B" w:rsidRPr="00B07B9F" w:rsidRDefault="00364D5B" w:rsidP="00B95A7E">
            <w:pPr>
              <w:keepNext/>
              <w:jc w:val="center"/>
              <w:rPr>
                <w:rFonts w:ascii="Arial Narrow" w:hAnsi="Arial Narrow" w:cs="Calibri"/>
                <w:b/>
                <w:bCs/>
                <w:color w:val="000000"/>
                <w:sz w:val="20"/>
                <w:szCs w:val="20"/>
              </w:rPr>
            </w:pPr>
            <w:r w:rsidRPr="00B07B9F">
              <w:rPr>
                <w:rFonts w:ascii="Arial Narrow" w:hAnsi="Arial Narrow" w:cs="Calibri"/>
                <w:b/>
                <w:bCs/>
                <w:color w:val="000000"/>
                <w:sz w:val="20"/>
                <w:szCs w:val="20"/>
              </w:rPr>
              <w:t>Year 6</w:t>
            </w:r>
          </w:p>
        </w:tc>
      </w:tr>
      <w:tr w:rsidR="00364D5B" w:rsidRPr="00B07B9F" w14:paraId="2C52BA78"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45E6CA64" w14:textId="16BCFE40" w:rsidR="00364D5B" w:rsidRPr="00B07B9F" w:rsidRDefault="006F50CA"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NEMO</w:t>
            </w:r>
            <w:r w:rsidR="00364D5B" w:rsidRPr="00B07B9F">
              <w:rPr>
                <w:rFonts w:ascii="Arial Narrow" w:hAnsi="Arial Narrow" w:cs="Calibri"/>
                <w:color w:val="000000"/>
                <w:sz w:val="20"/>
                <w:szCs w:val="20"/>
              </w:rPr>
              <w:t xml:space="preserve"> 30 mg </w:t>
            </w:r>
            <w:r w:rsidR="00710F11">
              <w:rPr>
                <w:rFonts w:ascii="Arial Narrow" w:hAnsi="Arial Narrow" w:cs="Calibri"/>
                <w:color w:val="000000"/>
                <w:sz w:val="20"/>
                <w:szCs w:val="20"/>
              </w:rPr>
              <w:t xml:space="preserve">x 2 </w:t>
            </w:r>
            <w:r w:rsidR="00364D5B" w:rsidRPr="00B07B9F">
              <w:rPr>
                <w:rFonts w:ascii="Arial Narrow" w:hAnsi="Arial Narrow" w:cs="Calibri"/>
                <w:color w:val="000000"/>
                <w:sz w:val="20"/>
                <w:szCs w:val="20"/>
              </w:rPr>
              <w:t>- initiating</w:t>
            </w:r>
          </w:p>
        </w:tc>
        <w:tc>
          <w:tcPr>
            <w:tcW w:w="668" w:type="pct"/>
            <w:tcBorders>
              <w:top w:val="nil"/>
              <w:left w:val="nil"/>
              <w:bottom w:val="single" w:sz="4" w:space="0" w:color="auto"/>
              <w:right w:val="single" w:sz="4" w:space="0" w:color="auto"/>
            </w:tcBorders>
            <w:noWrap/>
            <w:tcMar>
              <w:left w:w="28" w:type="dxa"/>
              <w:right w:w="28" w:type="dxa"/>
            </w:tcMar>
            <w:hideMark/>
          </w:tcPr>
          <w:p w14:paraId="41EF3B17" w14:textId="701EBF7D"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4F6364">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11BAB641" w14:textId="6674CBB6"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C44188">
              <w:rPr>
                <w:rFonts w:ascii="Arial Narrow" w:hAnsi="Arial Narrow" w:cs="Calibri"/>
                <w:color w:val="000000"/>
                <w:sz w:val="20"/>
                <w:szCs w:val="20"/>
                <w:vertAlign w:val="superscript"/>
              </w:rPr>
              <w:t>2</w:t>
            </w:r>
          </w:p>
        </w:tc>
        <w:tc>
          <w:tcPr>
            <w:tcW w:w="668" w:type="pct"/>
            <w:tcBorders>
              <w:top w:val="nil"/>
              <w:left w:val="nil"/>
              <w:bottom w:val="single" w:sz="4" w:space="0" w:color="auto"/>
              <w:right w:val="single" w:sz="4" w:space="0" w:color="auto"/>
            </w:tcBorders>
            <w:noWrap/>
            <w:tcMar>
              <w:left w:w="28" w:type="dxa"/>
              <w:right w:w="28" w:type="dxa"/>
            </w:tcMar>
            <w:hideMark/>
          </w:tcPr>
          <w:p w14:paraId="42EE875F" w14:textId="132F9249"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EE63C6">
              <w:rPr>
                <w:rFonts w:ascii="Arial Narrow" w:hAnsi="Arial Narrow" w:cs="Calibri"/>
                <w:color w:val="000000"/>
                <w:sz w:val="20"/>
                <w:szCs w:val="20"/>
                <w:vertAlign w:val="superscript"/>
              </w:rPr>
              <w:t>3</w:t>
            </w:r>
          </w:p>
        </w:tc>
        <w:tc>
          <w:tcPr>
            <w:tcW w:w="668" w:type="pct"/>
            <w:tcBorders>
              <w:top w:val="nil"/>
              <w:left w:val="nil"/>
              <w:bottom w:val="single" w:sz="4" w:space="0" w:color="auto"/>
              <w:right w:val="single" w:sz="4" w:space="0" w:color="auto"/>
            </w:tcBorders>
            <w:noWrap/>
            <w:tcMar>
              <w:left w:w="28" w:type="dxa"/>
              <w:right w:w="28" w:type="dxa"/>
            </w:tcMar>
            <w:hideMark/>
          </w:tcPr>
          <w:p w14:paraId="53CC2459" w14:textId="11194D15"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EE63C6">
              <w:rPr>
                <w:rFonts w:ascii="Arial Narrow" w:hAnsi="Arial Narrow" w:cs="Calibri"/>
                <w:color w:val="000000"/>
                <w:sz w:val="20"/>
                <w:szCs w:val="20"/>
                <w:vertAlign w:val="superscript"/>
              </w:rPr>
              <w:t>3</w:t>
            </w:r>
          </w:p>
        </w:tc>
        <w:tc>
          <w:tcPr>
            <w:tcW w:w="668" w:type="pct"/>
            <w:tcBorders>
              <w:top w:val="nil"/>
              <w:left w:val="nil"/>
              <w:bottom w:val="single" w:sz="4" w:space="0" w:color="auto"/>
              <w:right w:val="single" w:sz="4" w:space="0" w:color="auto"/>
            </w:tcBorders>
            <w:noWrap/>
            <w:tcMar>
              <w:left w:w="28" w:type="dxa"/>
              <w:right w:w="28" w:type="dxa"/>
            </w:tcMar>
            <w:hideMark/>
          </w:tcPr>
          <w:p w14:paraId="599B4631" w14:textId="56635721"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EE63C6">
              <w:rPr>
                <w:rFonts w:ascii="Arial Narrow" w:hAnsi="Arial Narrow" w:cs="Calibri"/>
                <w:color w:val="000000"/>
                <w:sz w:val="20"/>
                <w:szCs w:val="20"/>
                <w:vertAlign w:val="superscript"/>
              </w:rPr>
              <w:t>3</w:t>
            </w:r>
          </w:p>
        </w:tc>
        <w:tc>
          <w:tcPr>
            <w:tcW w:w="668" w:type="pct"/>
            <w:tcBorders>
              <w:top w:val="nil"/>
              <w:left w:val="nil"/>
              <w:bottom w:val="single" w:sz="4" w:space="0" w:color="auto"/>
              <w:right w:val="single" w:sz="4" w:space="0" w:color="auto"/>
            </w:tcBorders>
            <w:noWrap/>
            <w:tcMar>
              <w:left w:w="28" w:type="dxa"/>
              <w:right w:w="28" w:type="dxa"/>
            </w:tcMar>
            <w:hideMark/>
          </w:tcPr>
          <w:p w14:paraId="34E0BA2A" w14:textId="28EB8598"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F83CD8">
              <w:rPr>
                <w:rFonts w:ascii="Arial Narrow" w:hAnsi="Arial Narrow" w:cs="Calibri"/>
                <w:color w:val="000000"/>
                <w:sz w:val="20"/>
                <w:szCs w:val="20"/>
                <w:vertAlign w:val="superscript"/>
              </w:rPr>
              <w:t>4</w:t>
            </w:r>
          </w:p>
        </w:tc>
      </w:tr>
      <w:tr w:rsidR="00364D5B" w:rsidRPr="00B07B9F" w14:paraId="26F78E45"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7CC865EE" w14:textId="6BF271CC" w:rsidR="00364D5B" w:rsidRPr="00B07B9F" w:rsidRDefault="006F50CA"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NEMO</w:t>
            </w:r>
            <w:r w:rsidR="00364D5B" w:rsidRPr="00B07B9F">
              <w:rPr>
                <w:rFonts w:ascii="Arial Narrow" w:hAnsi="Arial Narrow" w:cs="Calibri"/>
                <w:color w:val="000000"/>
                <w:sz w:val="20"/>
                <w:szCs w:val="20"/>
              </w:rPr>
              <w:t xml:space="preserve"> 30 mg - continuing</w:t>
            </w:r>
          </w:p>
        </w:tc>
        <w:tc>
          <w:tcPr>
            <w:tcW w:w="668" w:type="pct"/>
            <w:tcBorders>
              <w:top w:val="nil"/>
              <w:left w:val="nil"/>
              <w:bottom w:val="single" w:sz="4" w:space="0" w:color="auto"/>
              <w:right w:val="single" w:sz="4" w:space="0" w:color="auto"/>
            </w:tcBorders>
            <w:noWrap/>
            <w:tcMar>
              <w:left w:w="28" w:type="dxa"/>
              <w:right w:w="28" w:type="dxa"/>
            </w:tcMar>
            <w:hideMark/>
          </w:tcPr>
          <w:p w14:paraId="2EFB6195" w14:textId="7C84AC51"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EE63C6">
              <w:rPr>
                <w:rFonts w:ascii="Arial Narrow" w:hAnsi="Arial Narrow" w:cs="Calibri"/>
                <w:color w:val="000000"/>
                <w:sz w:val="20"/>
                <w:szCs w:val="20"/>
                <w:vertAlign w:val="superscript"/>
              </w:rPr>
              <w:t>3</w:t>
            </w:r>
          </w:p>
        </w:tc>
        <w:tc>
          <w:tcPr>
            <w:tcW w:w="668" w:type="pct"/>
            <w:tcBorders>
              <w:top w:val="nil"/>
              <w:left w:val="nil"/>
              <w:bottom w:val="single" w:sz="4" w:space="0" w:color="auto"/>
              <w:right w:val="single" w:sz="4" w:space="0" w:color="auto"/>
            </w:tcBorders>
            <w:noWrap/>
            <w:tcMar>
              <w:left w:w="28" w:type="dxa"/>
              <w:right w:w="28" w:type="dxa"/>
            </w:tcMar>
            <w:hideMark/>
          </w:tcPr>
          <w:p w14:paraId="7CDB705C" w14:textId="3B37E2DF"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F83CD8">
              <w:rPr>
                <w:rFonts w:ascii="Arial Narrow" w:hAnsi="Arial Narrow" w:cs="Calibri"/>
                <w:color w:val="000000"/>
                <w:sz w:val="20"/>
                <w:szCs w:val="20"/>
                <w:vertAlign w:val="superscript"/>
              </w:rPr>
              <w:t>4</w:t>
            </w:r>
          </w:p>
        </w:tc>
        <w:tc>
          <w:tcPr>
            <w:tcW w:w="668" w:type="pct"/>
            <w:tcBorders>
              <w:top w:val="nil"/>
              <w:left w:val="nil"/>
              <w:bottom w:val="single" w:sz="4" w:space="0" w:color="auto"/>
              <w:right w:val="single" w:sz="4" w:space="0" w:color="auto"/>
            </w:tcBorders>
            <w:noWrap/>
            <w:tcMar>
              <w:left w:w="28" w:type="dxa"/>
              <w:right w:w="28" w:type="dxa"/>
            </w:tcMar>
            <w:hideMark/>
          </w:tcPr>
          <w:p w14:paraId="09727475" w14:textId="3753086E"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A24CD5">
              <w:rPr>
                <w:rFonts w:ascii="Arial Narrow" w:hAnsi="Arial Narrow" w:cs="Calibri"/>
                <w:color w:val="000000"/>
                <w:sz w:val="20"/>
                <w:szCs w:val="20"/>
                <w:vertAlign w:val="superscript"/>
              </w:rPr>
              <w:t>5</w:t>
            </w:r>
          </w:p>
        </w:tc>
        <w:tc>
          <w:tcPr>
            <w:tcW w:w="668" w:type="pct"/>
            <w:tcBorders>
              <w:top w:val="nil"/>
              <w:left w:val="nil"/>
              <w:bottom w:val="single" w:sz="4" w:space="0" w:color="auto"/>
              <w:right w:val="single" w:sz="4" w:space="0" w:color="auto"/>
            </w:tcBorders>
            <w:noWrap/>
            <w:tcMar>
              <w:left w:w="28" w:type="dxa"/>
              <w:right w:w="28" w:type="dxa"/>
            </w:tcMar>
            <w:hideMark/>
          </w:tcPr>
          <w:p w14:paraId="06EA69E0" w14:textId="0248ED25"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E21B19">
              <w:rPr>
                <w:rFonts w:ascii="Arial Narrow" w:hAnsi="Arial Narrow" w:cs="Calibri"/>
                <w:color w:val="000000"/>
                <w:sz w:val="20"/>
                <w:szCs w:val="20"/>
                <w:vertAlign w:val="superscript"/>
              </w:rPr>
              <w:t>6</w:t>
            </w:r>
          </w:p>
        </w:tc>
        <w:tc>
          <w:tcPr>
            <w:tcW w:w="668" w:type="pct"/>
            <w:tcBorders>
              <w:top w:val="nil"/>
              <w:left w:val="nil"/>
              <w:bottom w:val="single" w:sz="4" w:space="0" w:color="auto"/>
              <w:right w:val="single" w:sz="4" w:space="0" w:color="auto"/>
            </w:tcBorders>
            <w:noWrap/>
            <w:tcMar>
              <w:left w:w="28" w:type="dxa"/>
              <w:right w:w="28" w:type="dxa"/>
            </w:tcMar>
            <w:hideMark/>
          </w:tcPr>
          <w:p w14:paraId="69EC60C8" w14:textId="18D59FDA"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3E399F">
              <w:rPr>
                <w:rFonts w:ascii="Arial Narrow" w:hAnsi="Arial Narrow" w:cs="Calibri"/>
                <w:color w:val="000000"/>
                <w:sz w:val="20"/>
                <w:szCs w:val="20"/>
                <w:vertAlign w:val="superscript"/>
              </w:rPr>
              <w:t>7</w:t>
            </w:r>
          </w:p>
        </w:tc>
        <w:tc>
          <w:tcPr>
            <w:tcW w:w="668" w:type="pct"/>
            <w:tcBorders>
              <w:top w:val="nil"/>
              <w:left w:val="nil"/>
              <w:bottom w:val="single" w:sz="4" w:space="0" w:color="auto"/>
              <w:right w:val="single" w:sz="4" w:space="0" w:color="auto"/>
            </w:tcBorders>
            <w:noWrap/>
            <w:tcMar>
              <w:left w:w="28" w:type="dxa"/>
              <w:right w:w="28" w:type="dxa"/>
            </w:tcMar>
            <w:hideMark/>
          </w:tcPr>
          <w:p w14:paraId="2C49D184" w14:textId="11A0A7E5"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1E0F1D">
              <w:rPr>
                <w:rFonts w:ascii="Arial Narrow" w:hAnsi="Arial Narrow" w:cs="Calibri"/>
                <w:color w:val="000000"/>
                <w:sz w:val="20"/>
                <w:szCs w:val="20"/>
                <w:vertAlign w:val="superscript"/>
              </w:rPr>
              <w:t>8</w:t>
            </w:r>
          </w:p>
        </w:tc>
      </w:tr>
      <w:tr w:rsidR="00364D5B" w:rsidRPr="00B07B9F" w14:paraId="5221D7CA"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0219B454" w14:textId="77777777"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Total scripts</w:t>
            </w:r>
          </w:p>
        </w:tc>
        <w:tc>
          <w:tcPr>
            <w:tcW w:w="668" w:type="pct"/>
            <w:tcBorders>
              <w:top w:val="nil"/>
              <w:left w:val="nil"/>
              <w:bottom w:val="single" w:sz="4" w:space="0" w:color="auto"/>
              <w:right w:val="single" w:sz="4" w:space="0" w:color="auto"/>
            </w:tcBorders>
            <w:noWrap/>
            <w:tcMar>
              <w:left w:w="28" w:type="dxa"/>
              <w:right w:w="28" w:type="dxa"/>
            </w:tcMar>
            <w:hideMark/>
          </w:tcPr>
          <w:p w14:paraId="2F27A407" w14:textId="037FEAEF"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EE63C6">
              <w:rPr>
                <w:rFonts w:ascii="Arial Narrow" w:hAnsi="Arial Narrow" w:cs="Calibri"/>
                <w:color w:val="000000"/>
                <w:sz w:val="20"/>
                <w:szCs w:val="20"/>
                <w:vertAlign w:val="superscript"/>
              </w:rPr>
              <w:t>3</w:t>
            </w:r>
          </w:p>
        </w:tc>
        <w:tc>
          <w:tcPr>
            <w:tcW w:w="668" w:type="pct"/>
            <w:tcBorders>
              <w:top w:val="nil"/>
              <w:left w:val="nil"/>
              <w:bottom w:val="single" w:sz="4" w:space="0" w:color="auto"/>
              <w:right w:val="single" w:sz="4" w:space="0" w:color="auto"/>
            </w:tcBorders>
            <w:noWrap/>
            <w:tcMar>
              <w:left w:w="28" w:type="dxa"/>
              <w:right w:w="28" w:type="dxa"/>
            </w:tcMar>
            <w:hideMark/>
          </w:tcPr>
          <w:p w14:paraId="1ECC6C26" w14:textId="71A6EA7E"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A24CD5">
              <w:rPr>
                <w:rFonts w:ascii="Arial Narrow" w:hAnsi="Arial Narrow" w:cs="Calibri"/>
                <w:color w:val="000000"/>
                <w:sz w:val="20"/>
                <w:szCs w:val="20"/>
                <w:vertAlign w:val="superscript"/>
              </w:rPr>
              <w:t>5</w:t>
            </w:r>
          </w:p>
        </w:tc>
        <w:tc>
          <w:tcPr>
            <w:tcW w:w="668" w:type="pct"/>
            <w:tcBorders>
              <w:top w:val="nil"/>
              <w:left w:val="nil"/>
              <w:bottom w:val="single" w:sz="4" w:space="0" w:color="auto"/>
              <w:right w:val="single" w:sz="4" w:space="0" w:color="auto"/>
            </w:tcBorders>
            <w:noWrap/>
            <w:tcMar>
              <w:left w:w="28" w:type="dxa"/>
              <w:right w:w="28" w:type="dxa"/>
            </w:tcMar>
            <w:hideMark/>
          </w:tcPr>
          <w:p w14:paraId="235DC2DA" w14:textId="39CF6FAD"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E21B19">
              <w:rPr>
                <w:rFonts w:ascii="Arial Narrow" w:hAnsi="Arial Narrow" w:cs="Calibri"/>
                <w:color w:val="000000"/>
                <w:sz w:val="20"/>
                <w:szCs w:val="20"/>
                <w:vertAlign w:val="superscript"/>
              </w:rPr>
              <w:t>6</w:t>
            </w:r>
          </w:p>
        </w:tc>
        <w:tc>
          <w:tcPr>
            <w:tcW w:w="668" w:type="pct"/>
            <w:tcBorders>
              <w:top w:val="nil"/>
              <w:left w:val="nil"/>
              <w:bottom w:val="single" w:sz="4" w:space="0" w:color="auto"/>
              <w:right w:val="single" w:sz="4" w:space="0" w:color="auto"/>
            </w:tcBorders>
            <w:noWrap/>
            <w:tcMar>
              <w:left w:w="28" w:type="dxa"/>
              <w:right w:w="28" w:type="dxa"/>
            </w:tcMar>
            <w:hideMark/>
          </w:tcPr>
          <w:p w14:paraId="5F08DEE3" w14:textId="1432DDF3"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1E0F1D">
              <w:rPr>
                <w:rFonts w:ascii="Arial Narrow" w:hAnsi="Arial Narrow" w:cs="Calibri"/>
                <w:color w:val="000000"/>
                <w:sz w:val="20"/>
                <w:szCs w:val="20"/>
                <w:vertAlign w:val="superscript"/>
              </w:rPr>
              <w:t>8</w:t>
            </w:r>
          </w:p>
        </w:tc>
        <w:tc>
          <w:tcPr>
            <w:tcW w:w="668" w:type="pct"/>
            <w:tcBorders>
              <w:top w:val="nil"/>
              <w:left w:val="nil"/>
              <w:bottom w:val="single" w:sz="4" w:space="0" w:color="auto"/>
              <w:right w:val="single" w:sz="4" w:space="0" w:color="auto"/>
            </w:tcBorders>
            <w:noWrap/>
            <w:tcMar>
              <w:left w:w="28" w:type="dxa"/>
              <w:right w:w="28" w:type="dxa"/>
            </w:tcMar>
            <w:hideMark/>
          </w:tcPr>
          <w:p w14:paraId="725BA56B" w14:textId="113439A0"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57286A">
              <w:rPr>
                <w:rFonts w:ascii="Arial Narrow" w:hAnsi="Arial Narrow" w:cs="Calibri"/>
                <w:color w:val="000000"/>
                <w:sz w:val="20"/>
                <w:szCs w:val="20"/>
                <w:vertAlign w:val="superscript"/>
              </w:rPr>
              <w:t>9</w:t>
            </w:r>
          </w:p>
        </w:tc>
        <w:tc>
          <w:tcPr>
            <w:tcW w:w="668" w:type="pct"/>
            <w:tcBorders>
              <w:top w:val="nil"/>
              <w:left w:val="nil"/>
              <w:bottom w:val="single" w:sz="4" w:space="0" w:color="auto"/>
              <w:right w:val="single" w:sz="4" w:space="0" w:color="auto"/>
            </w:tcBorders>
            <w:noWrap/>
            <w:tcMar>
              <w:left w:w="28" w:type="dxa"/>
              <w:right w:w="28" w:type="dxa"/>
            </w:tcMar>
            <w:hideMark/>
          </w:tcPr>
          <w:p w14:paraId="40E5FCD9" w14:textId="03035F8C" w:rsidR="00364D5B" w:rsidRPr="00381C24" w:rsidRDefault="00807021" w:rsidP="00B95A7E">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DF2662">
              <w:rPr>
                <w:rFonts w:ascii="Arial Narrow" w:hAnsi="Arial Narrow" w:cs="Calibri"/>
                <w:color w:val="000000"/>
                <w:sz w:val="20"/>
                <w:szCs w:val="20"/>
                <w:vertAlign w:val="superscript"/>
              </w:rPr>
              <w:t>10</w:t>
            </w:r>
          </w:p>
        </w:tc>
      </w:tr>
      <w:tr w:rsidR="00364D5B" w:rsidRPr="00B07B9F" w14:paraId="3CF1DEC2" w14:textId="77777777" w:rsidTr="00AF29CF">
        <w:trPr>
          <w:cantSplit/>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1F8302" w14:textId="04CF81CC" w:rsidR="00364D5B" w:rsidRPr="00B07B9F" w:rsidRDefault="00364D5B" w:rsidP="00B95A7E">
            <w:pPr>
              <w:keepNext/>
              <w:jc w:val="left"/>
              <w:rPr>
                <w:rFonts w:ascii="Arial Narrow" w:hAnsi="Arial Narrow" w:cs="Calibri"/>
                <w:b/>
                <w:bCs/>
                <w:color w:val="000000"/>
                <w:sz w:val="20"/>
                <w:szCs w:val="20"/>
              </w:rPr>
            </w:pPr>
            <w:r w:rsidRPr="00B07B9F">
              <w:rPr>
                <w:rFonts w:ascii="Arial Narrow" w:hAnsi="Arial Narrow" w:cs="Calibri"/>
                <w:b/>
                <w:bCs/>
                <w:color w:val="000000"/>
                <w:sz w:val="20"/>
                <w:szCs w:val="20"/>
              </w:rPr>
              <w:t xml:space="preserve">Net financial impact of </w:t>
            </w:r>
            <w:r w:rsidR="006F50CA" w:rsidRPr="00B07B9F">
              <w:rPr>
                <w:rFonts w:ascii="Arial Narrow" w:hAnsi="Arial Narrow" w:cs="Calibri"/>
                <w:b/>
                <w:bCs/>
                <w:color w:val="000000"/>
                <w:sz w:val="20"/>
                <w:szCs w:val="20"/>
              </w:rPr>
              <w:t>NEMO</w:t>
            </w:r>
          </w:p>
        </w:tc>
      </w:tr>
      <w:tr w:rsidR="00364D5B" w:rsidRPr="00B07B9F" w14:paraId="6F4F56E6"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25FB9C35" w14:textId="77777777"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PBS/RPBS less copayments</w:t>
            </w:r>
          </w:p>
        </w:tc>
        <w:tc>
          <w:tcPr>
            <w:tcW w:w="668" w:type="pct"/>
            <w:tcBorders>
              <w:top w:val="nil"/>
              <w:left w:val="nil"/>
              <w:bottom w:val="single" w:sz="4" w:space="0" w:color="auto"/>
              <w:right w:val="single" w:sz="4" w:space="0" w:color="auto"/>
            </w:tcBorders>
            <w:noWrap/>
            <w:tcMar>
              <w:left w:w="28" w:type="dxa"/>
              <w:right w:w="28" w:type="dxa"/>
            </w:tcMar>
            <w:hideMark/>
          </w:tcPr>
          <w:p w14:paraId="40A46E07" w14:textId="33F22AE6" w:rsidR="00364D5B" w:rsidRPr="00381C24"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DF2992">
              <w:rPr>
                <w:rFonts w:ascii="Arial Narrow" w:hAnsi="Arial Narrow" w:cs="Calibri"/>
                <w:color w:val="000000"/>
                <w:sz w:val="20"/>
                <w:szCs w:val="20"/>
                <w:vertAlign w:val="superscript"/>
              </w:rPr>
              <w:t>11</w:t>
            </w:r>
          </w:p>
        </w:tc>
        <w:tc>
          <w:tcPr>
            <w:tcW w:w="668" w:type="pct"/>
            <w:tcBorders>
              <w:top w:val="nil"/>
              <w:left w:val="nil"/>
              <w:bottom w:val="single" w:sz="4" w:space="0" w:color="auto"/>
              <w:right w:val="single" w:sz="4" w:space="0" w:color="auto"/>
            </w:tcBorders>
            <w:noWrap/>
            <w:tcMar>
              <w:left w:w="28" w:type="dxa"/>
              <w:right w:w="28" w:type="dxa"/>
            </w:tcMar>
            <w:hideMark/>
          </w:tcPr>
          <w:p w14:paraId="7F1DD509" w14:textId="66669EAB" w:rsidR="00364D5B" w:rsidRPr="00381C24"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432F38">
              <w:rPr>
                <w:rFonts w:ascii="Arial Narrow" w:hAnsi="Arial Narrow" w:cs="Calibri"/>
                <w:color w:val="000000"/>
                <w:sz w:val="20"/>
                <w:szCs w:val="20"/>
                <w:vertAlign w:val="superscript"/>
              </w:rPr>
              <w:t>12</w:t>
            </w:r>
          </w:p>
        </w:tc>
        <w:tc>
          <w:tcPr>
            <w:tcW w:w="668" w:type="pct"/>
            <w:tcBorders>
              <w:top w:val="nil"/>
              <w:left w:val="nil"/>
              <w:bottom w:val="single" w:sz="4" w:space="0" w:color="auto"/>
              <w:right w:val="single" w:sz="4" w:space="0" w:color="auto"/>
            </w:tcBorders>
            <w:noWrap/>
            <w:tcMar>
              <w:left w:w="28" w:type="dxa"/>
              <w:right w:w="28" w:type="dxa"/>
            </w:tcMar>
            <w:hideMark/>
          </w:tcPr>
          <w:p w14:paraId="3682B9F3" w14:textId="3B2B5D17" w:rsidR="00364D5B" w:rsidRPr="00381C24"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432F38">
              <w:rPr>
                <w:rFonts w:ascii="Arial Narrow" w:hAnsi="Arial Narrow" w:cs="Calibri"/>
                <w:color w:val="000000"/>
                <w:sz w:val="20"/>
                <w:szCs w:val="20"/>
                <w:vertAlign w:val="superscript"/>
              </w:rPr>
              <w:t>12</w:t>
            </w:r>
          </w:p>
        </w:tc>
        <w:tc>
          <w:tcPr>
            <w:tcW w:w="668" w:type="pct"/>
            <w:tcBorders>
              <w:top w:val="nil"/>
              <w:left w:val="nil"/>
              <w:bottom w:val="single" w:sz="4" w:space="0" w:color="auto"/>
              <w:right w:val="single" w:sz="4" w:space="0" w:color="auto"/>
            </w:tcBorders>
            <w:noWrap/>
            <w:tcMar>
              <w:left w:w="28" w:type="dxa"/>
              <w:right w:w="28" w:type="dxa"/>
            </w:tcMar>
            <w:hideMark/>
          </w:tcPr>
          <w:p w14:paraId="50246689" w14:textId="349B8C41" w:rsidR="00364D5B" w:rsidRPr="00381C24"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A23227">
              <w:rPr>
                <w:rFonts w:ascii="Arial Narrow" w:hAnsi="Arial Narrow" w:cs="Calibri"/>
                <w:color w:val="000000"/>
                <w:sz w:val="20"/>
                <w:szCs w:val="20"/>
                <w:vertAlign w:val="superscript"/>
              </w:rPr>
              <w:t>13</w:t>
            </w:r>
          </w:p>
        </w:tc>
        <w:tc>
          <w:tcPr>
            <w:tcW w:w="668" w:type="pct"/>
            <w:tcBorders>
              <w:top w:val="nil"/>
              <w:left w:val="nil"/>
              <w:bottom w:val="single" w:sz="4" w:space="0" w:color="auto"/>
              <w:right w:val="single" w:sz="4" w:space="0" w:color="auto"/>
            </w:tcBorders>
            <w:noWrap/>
            <w:tcMar>
              <w:left w:w="28" w:type="dxa"/>
              <w:right w:w="28" w:type="dxa"/>
            </w:tcMar>
            <w:hideMark/>
          </w:tcPr>
          <w:p w14:paraId="1F7E65A5" w14:textId="63DB4A97" w:rsidR="00364D5B" w:rsidRPr="00381C24"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A23227">
              <w:rPr>
                <w:rFonts w:ascii="Arial Narrow" w:hAnsi="Arial Narrow" w:cs="Calibri"/>
                <w:color w:val="000000"/>
                <w:sz w:val="20"/>
                <w:szCs w:val="20"/>
                <w:vertAlign w:val="superscript"/>
              </w:rPr>
              <w:t>13</w:t>
            </w:r>
          </w:p>
        </w:tc>
        <w:tc>
          <w:tcPr>
            <w:tcW w:w="668" w:type="pct"/>
            <w:tcBorders>
              <w:top w:val="nil"/>
              <w:left w:val="nil"/>
              <w:bottom w:val="single" w:sz="4" w:space="0" w:color="auto"/>
              <w:right w:val="single" w:sz="4" w:space="0" w:color="auto"/>
            </w:tcBorders>
            <w:noWrap/>
            <w:tcMar>
              <w:left w:w="28" w:type="dxa"/>
              <w:right w:w="28" w:type="dxa"/>
            </w:tcMar>
            <w:hideMark/>
          </w:tcPr>
          <w:p w14:paraId="4F0E368B" w14:textId="3E7FE421" w:rsidR="00364D5B" w:rsidRPr="00381C24"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BF6B75">
              <w:rPr>
                <w:rFonts w:ascii="Arial Narrow" w:hAnsi="Arial Narrow" w:cs="Calibri"/>
                <w:color w:val="000000"/>
                <w:sz w:val="20"/>
                <w:szCs w:val="20"/>
                <w:vertAlign w:val="superscript"/>
              </w:rPr>
              <w:t>14</w:t>
            </w:r>
          </w:p>
        </w:tc>
      </w:tr>
      <w:tr w:rsidR="00364D5B" w:rsidRPr="00B07B9F" w14:paraId="22E0FB8F" w14:textId="77777777" w:rsidTr="00AF29CF">
        <w:trPr>
          <w:cantSplit/>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80B65D" w14:textId="77777777" w:rsidR="00364D5B" w:rsidRPr="00B07B9F" w:rsidRDefault="00364D5B" w:rsidP="00B95A7E">
            <w:pPr>
              <w:keepNext/>
              <w:jc w:val="left"/>
              <w:rPr>
                <w:rFonts w:ascii="Arial Narrow" w:hAnsi="Arial Narrow" w:cs="Calibri"/>
                <w:b/>
                <w:bCs/>
                <w:color w:val="000000"/>
                <w:sz w:val="20"/>
                <w:szCs w:val="20"/>
              </w:rPr>
            </w:pPr>
            <w:r w:rsidRPr="00B07B9F">
              <w:rPr>
                <w:rFonts w:ascii="Arial Narrow" w:hAnsi="Arial Narrow" w:cs="Calibri"/>
                <w:b/>
                <w:bCs/>
                <w:color w:val="000000"/>
                <w:sz w:val="20"/>
                <w:szCs w:val="20"/>
              </w:rPr>
              <w:t>Scripts - affected medicine(s)</w:t>
            </w:r>
          </w:p>
        </w:tc>
      </w:tr>
      <w:tr w:rsidR="00364D5B" w:rsidRPr="00B07B9F" w14:paraId="71B291B9"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4DB8E442" w14:textId="4DF05019"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 xml:space="preserve">12291X - </w:t>
            </w:r>
            <w:r w:rsidR="006F50CA" w:rsidRPr="00B07B9F">
              <w:rPr>
                <w:rFonts w:ascii="Arial Narrow" w:hAnsi="Arial Narrow" w:cs="Calibri"/>
                <w:color w:val="000000"/>
                <w:sz w:val="20"/>
                <w:szCs w:val="20"/>
              </w:rPr>
              <w:t>DUPI</w:t>
            </w:r>
            <w:r w:rsidRPr="00B07B9F">
              <w:rPr>
                <w:rFonts w:ascii="Arial Narrow" w:hAnsi="Arial Narrow" w:cs="Calibri"/>
                <w:color w:val="000000"/>
                <w:sz w:val="20"/>
                <w:szCs w:val="20"/>
              </w:rPr>
              <w:t xml:space="preserve"> 200 mg</w:t>
            </w:r>
          </w:p>
        </w:tc>
        <w:tc>
          <w:tcPr>
            <w:tcW w:w="668" w:type="pct"/>
            <w:tcBorders>
              <w:top w:val="nil"/>
              <w:left w:val="nil"/>
              <w:bottom w:val="single" w:sz="4" w:space="0" w:color="auto"/>
              <w:right w:val="single" w:sz="4" w:space="0" w:color="auto"/>
            </w:tcBorders>
            <w:noWrap/>
            <w:tcMar>
              <w:left w:w="28" w:type="dxa"/>
              <w:right w:w="28" w:type="dxa"/>
            </w:tcMar>
            <w:hideMark/>
          </w:tcPr>
          <w:p w14:paraId="4919A718" w14:textId="2D91E48D" w:rsidR="00364D5B" w:rsidRPr="00381C24" w:rsidRDefault="00364D5B" w:rsidP="00B95A7E">
            <w:pPr>
              <w:keepNext/>
              <w:jc w:val="right"/>
              <w:rPr>
                <w:rFonts w:ascii="Arial Narrow" w:hAnsi="Arial Narrow" w:cs="Calibri"/>
                <w:color w:val="000000"/>
                <w:sz w:val="20"/>
                <w:szCs w:val="20"/>
                <w:highlight w:val="darkGray"/>
                <w:vertAlign w:val="superscript"/>
              </w:rPr>
            </w:pPr>
            <w:r w:rsidRPr="00470F65">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0C062A" w:rsidRPr="00381C24">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782C2BDE" w14:textId="1A9AA9B6" w:rsidR="00364D5B" w:rsidRPr="00381C24"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10130E">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519BCFEB" w14:textId="12CCA822" w:rsidR="00364D5B" w:rsidRPr="00381C24"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C44188">
              <w:rPr>
                <w:rFonts w:ascii="Arial Narrow" w:hAnsi="Arial Narrow" w:cs="Calibri"/>
                <w:color w:val="000000"/>
                <w:sz w:val="20"/>
                <w:szCs w:val="20"/>
                <w:vertAlign w:val="superscript"/>
              </w:rPr>
              <w:t>2</w:t>
            </w:r>
          </w:p>
        </w:tc>
        <w:tc>
          <w:tcPr>
            <w:tcW w:w="668" w:type="pct"/>
            <w:tcBorders>
              <w:top w:val="nil"/>
              <w:left w:val="nil"/>
              <w:bottom w:val="single" w:sz="4" w:space="0" w:color="auto"/>
              <w:right w:val="single" w:sz="4" w:space="0" w:color="auto"/>
            </w:tcBorders>
            <w:noWrap/>
            <w:tcMar>
              <w:left w:w="28" w:type="dxa"/>
              <w:right w:w="28" w:type="dxa"/>
            </w:tcMar>
            <w:hideMark/>
          </w:tcPr>
          <w:p w14:paraId="61845657" w14:textId="47F5F841" w:rsidR="00364D5B" w:rsidRPr="00381C24"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C44188">
              <w:rPr>
                <w:rFonts w:ascii="Arial Narrow" w:hAnsi="Arial Narrow" w:cs="Calibri"/>
                <w:color w:val="000000"/>
                <w:sz w:val="20"/>
                <w:szCs w:val="20"/>
                <w:vertAlign w:val="superscript"/>
              </w:rPr>
              <w:t>2</w:t>
            </w:r>
          </w:p>
        </w:tc>
        <w:tc>
          <w:tcPr>
            <w:tcW w:w="668" w:type="pct"/>
            <w:tcBorders>
              <w:top w:val="nil"/>
              <w:left w:val="nil"/>
              <w:bottom w:val="single" w:sz="4" w:space="0" w:color="auto"/>
              <w:right w:val="single" w:sz="4" w:space="0" w:color="auto"/>
            </w:tcBorders>
            <w:noWrap/>
            <w:tcMar>
              <w:left w:w="28" w:type="dxa"/>
              <w:right w:w="28" w:type="dxa"/>
            </w:tcMar>
            <w:hideMark/>
          </w:tcPr>
          <w:p w14:paraId="2CF13DFE" w14:textId="6FB22741" w:rsidR="00364D5B" w:rsidRPr="00381C24"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C44188">
              <w:rPr>
                <w:rFonts w:ascii="Arial Narrow" w:hAnsi="Arial Narrow" w:cs="Calibri"/>
                <w:color w:val="000000"/>
                <w:sz w:val="20"/>
                <w:szCs w:val="20"/>
                <w:vertAlign w:val="superscript"/>
              </w:rPr>
              <w:t>2</w:t>
            </w:r>
          </w:p>
        </w:tc>
        <w:tc>
          <w:tcPr>
            <w:tcW w:w="668" w:type="pct"/>
            <w:tcBorders>
              <w:top w:val="nil"/>
              <w:left w:val="nil"/>
              <w:bottom w:val="single" w:sz="4" w:space="0" w:color="auto"/>
              <w:right w:val="single" w:sz="4" w:space="0" w:color="auto"/>
            </w:tcBorders>
            <w:noWrap/>
            <w:tcMar>
              <w:left w:w="28" w:type="dxa"/>
              <w:right w:w="28" w:type="dxa"/>
            </w:tcMar>
            <w:hideMark/>
          </w:tcPr>
          <w:p w14:paraId="3DE412D0" w14:textId="23E0BA6B" w:rsidR="00364D5B" w:rsidRPr="00381C24"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3E15F8">
              <w:rPr>
                <w:rFonts w:ascii="Arial Narrow" w:hAnsi="Arial Narrow" w:cs="Calibri"/>
                <w:color w:val="000000"/>
                <w:sz w:val="20"/>
                <w:szCs w:val="20"/>
                <w:vertAlign w:val="superscript"/>
              </w:rPr>
              <w:t>3</w:t>
            </w:r>
          </w:p>
        </w:tc>
      </w:tr>
      <w:tr w:rsidR="00364D5B" w:rsidRPr="00B07B9F" w14:paraId="5DC5C04A"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6A8D5014" w14:textId="36F01018"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 xml:space="preserve">12292Y - </w:t>
            </w:r>
            <w:r w:rsidR="006F50CA" w:rsidRPr="00B07B9F">
              <w:rPr>
                <w:rFonts w:ascii="Arial Narrow" w:hAnsi="Arial Narrow" w:cs="Calibri"/>
                <w:color w:val="000000"/>
                <w:sz w:val="20"/>
                <w:szCs w:val="20"/>
              </w:rPr>
              <w:t>DUPI</w:t>
            </w:r>
            <w:r w:rsidRPr="00B07B9F">
              <w:rPr>
                <w:rFonts w:ascii="Arial Narrow" w:hAnsi="Arial Narrow" w:cs="Calibri"/>
                <w:color w:val="000000"/>
                <w:sz w:val="20"/>
                <w:szCs w:val="20"/>
              </w:rPr>
              <w:t xml:space="preserve"> 300 mg</w:t>
            </w:r>
          </w:p>
        </w:tc>
        <w:tc>
          <w:tcPr>
            <w:tcW w:w="668" w:type="pct"/>
            <w:tcBorders>
              <w:top w:val="nil"/>
              <w:left w:val="nil"/>
              <w:bottom w:val="single" w:sz="4" w:space="0" w:color="auto"/>
              <w:right w:val="single" w:sz="4" w:space="0" w:color="auto"/>
            </w:tcBorders>
            <w:noWrap/>
            <w:tcMar>
              <w:left w:w="28" w:type="dxa"/>
              <w:right w:w="28" w:type="dxa"/>
            </w:tcMar>
            <w:hideMark/>
          </w:tcPr>
          <w:p w14:paraId="4A46026E" w14:textId="159AC276"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3E399F">
              <w:rPr>
                <w:rFonts w:ascii="Arial Narrow" w:hAnsi="Arial Narrow" w:cs="Calibri"/>
                <w:color w:val="000000"/>
                <w:sz w:val="20"/>
                <w:szCs w:val="20"/>
                <w:vertAlign w:val="superscript"/>
              </w:rPr>
              <w:t>5</w:t>
            </w:r>
          </w:p>
        </w:tc>
        <w:tc>
          <w:tcPr>
            <w:tcW w:w="668" w:type="pct"/>
            <w:tcBorders>
              <w:top w:val="nil"/>
              <w:left w:val="nil"/>
              <w:bottom w:val="single" w:sz="4" w:space="0" w:color="auto"/>
              <w:right w:val="single" w:sz="4" w:space="0" w:color="auto"/>
            </w:tcBorders>
            <w:noWrap/>
            <w:tcMar>
              <w:left w:w="28" w:type="dxa"/>
              <w:right w:w="28" w:type="dxa"/>
            </w:tcMar>
            <w:hideMark/>
          </w:tcPr>
          <w:p w14:paraId="7AD816C4" w14:textId="6E0CE665"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302353">
              <w:rPr>
                <w:rFonts w:ascii="Arial Narrow" w:hAnsi="Arial Narrow" w:cs="Calibri"/>
                <w:color w:val="000000"/>
                <w:sz w:val="20"/>
                <w:szCs w:val="20"/>
                <w:vertAlign w:val="superscript"/>
              </w:rPr>
              <w:t>7</w:t>
            </w:r>
          </w:p>
        </w:tc>
        <w:tc>
          <w:tcPr>
            <w:tcW w:w="668" w:type="pct"/>
            <w:tcBorders>
              <w:top w:val="nil"/>
              <w:left w:val="nil"/>
              <w:bottom w:val="single" w:sz="4" w:space="0" w:color="auto"/>
              <w:right w:val="single" w:sz="4" w:space="0" w:color="auto"/>
            </w:tcBorders>
            <w:noWrap/>
            <w:tcMar>
              <w:left w:w="28" w:type="dxa"/>
              <w:right w:w="28" w:type="dxa"/>
            </w:tcMar>
            <w:hideMark/>
          </w:tcPr>
          <w:p w14:paraId="4EEE511E" w14:textId="293F947E"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57286A">
              <w:rPr>
                <w:rFonts w:ascii="Arial Narrow" w:hAnsi="Arial Narrow" w:cs="Calibri"/>
                <w:color w:val="000000"/>
                <w:sz w:val="20"/>
                <w:szCs w:val="20"/>
                <w:vertAlign w:val="superscript"/>
              </w:rPr>
              <w:t>9</w:t>
            </w:r>
          </w:p>
        </w:tc>
        <w:tc>
          <w:tcPr>
            <w:tcW w:w="668" w:type="pct"/>
            <w:tcBorders>
              <w:top w:val="nil"/>
              <w:left w:val="nil"/>
              <w:bottom w:val="single" w:sz="4" w:space="0" w:color="auto"/>
              <w:right w:val="single" w:sz="4" w:space="0" w:color="auto"/>
            </w:tcBorders>
            <w:noWrap/>
            <w:tcMar>
              <w:left w:w="28" w:type="dxa"/>
              <w:right w:w="28" w:type="dxa"/>
            </w:tcMar>
            <w:hideMark/>
          </w:tcPr>
          <w:p w14:paraId="27AAC5BD" w14:textId="67831F66"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9E50C8">
              <w:rPr>
                <w:rFonts w:ascii="Arial Narrow" w:hAnsi="Arial Narrow" w:cs="Calibri"/>
                <w:color w:val="000000"/>
                <w:sz w:val="20"/>
                <w:szCs w:val="20"/>
                <w:vertAlign w:val="superscript"/>
              </w:rPr>
              <w:t>15</w:t>
            </w:r>
          </w:p>
        </w:tc>
        <w:tc>
          <w:tcPr>
            <w:tcW w:w="668" w:type="pct"/>
            <w:tcBorders>
              <w:top w:val="nil"/>
              <w:left w:val="nil"/>
              <w:bottom w:val="single" w:sz="4" w:space="0" w:color="auto"/>
              <w:right w:val="single" w:sz="4" w:space="0" w:color="auto"/>
            </w:tcBorders>
            <w:noWrap/>
            <w:tcMar>
              <w:left w:w="28" w:type="dxa"/>
              <w:right w:w="28" w:type="dxa"/>
            </w:tcMar>
            <w:hideMark/>
          </w:tcPr>
          <w:p w14:paraId="5D70B555" w14:textId="59F2E9B4"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9E50C8">
              <w:rPr>
                <w:rFonts w:ascii="Arial Narrow" w:hAnsi="Arial Narrow" w:cs="Calibri"/>
                <w:color w:val="000000"/>
                <w:sz w:val="20"/>
                <w:szCs w:val="20"/>
                <w:vertAlign w:val="superscript"/>
              </w:rPr>
              <w:t>15</w:t>
            </w:r>
          </w:p>
        </w:tc>
        <w:tc>
          <w:tcPr>
            <w:tcW w:w="668" w:type="pct"/>
            <w:tcBorders>
              <w:top w:val="nil"/>
              <w:left w:val="nil"/>
              <w:bottom w:val="single" w:sz="4" w:space="0" w:color="auto"/>
              <w:right w:val="single" w:sz="4" w:space="0" w:color="auto"/>
            </w:tcBorders>
            <w:noWrap/>
            <w:tcMar>
              <w:left w:w="28" w:type="dxa"/>
              <w:right w:w="28" w:type="dxa"/>
            </w:tcMar>
            <w:hideMark/>
          </w:tcPr>
          <w:p w14:paraId="47E95745" w14:textId="2E6F432D"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9E50C8">
              <w:rPr>
                <w:rFonts w:ascii="Arial Narrow" w:hAnsi="Arial Narrow" w:cs="Calibri"/>
                <w:color w:val="000000"/>
                <w:sz w:val="20"/>
                <w:szCs w:val="20"/>
                <w:vertAlign w:val="superscript"/>
              </w:rPr>
              <w:t>15</w:t>
            </w:r>
          </w:p>
        </w:tc>
      </w:tr>
      <w:tr w:rsidR="00364D5B" w:rsidRPr="00B07B9F" w14:paraId="752B088E"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066EC901" w14:textId="49782204"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 xml:space="preserve">12828E - </w:t>
            </w:r>
            <w:r w:rsidR="006F50CA" w:rsidRPr="00B07B9F">
              <w:rPr>
                <w:rFonts w:ascii="Arial Narrow" w:hAnsi="Arial Narrow" w:cs="Calibri"/>
                <w:color w:val="000000"/>
                <w:sz w:val="20"/>
                <w:szCs w:val="20"/>
              </w:rPr>
              <w:t>UPA</w:t>
            </w:r>
            <w:r w:rsidRPr="00B07B9F">
              <w:rPr>
                <w:rFonts w:ascii="Arial Narrow" w:hAnsi="Arial Narrow" w:cs="Calibri"/>
                <w:color w:val="000000"/>
                <w:sz w:val="20"/>
                <w:szCs w:val="20"/>
              </w:rPr>
              <w:t xml:space="preserve"> 15 mg - Initiating</w:t>
            </w:r>
          </w:p>
        </w:tc>
        <w:tc>
          <w:tcPr>
            <w:tcW w:w="668" w:type="pct"/>
            <w:tcBorders>
              <w:top w:val="nil"/>
              <w:left w:val="nil"/>
              <w:bottom w:val="single" w:sz="4" w:space="0" w:color="auto"/>
              <w:right w:val="single" w:sz="4" w:space="0" w:color="auto"/>
            </w:tcBorders>
            <w:noWrap/>
            <w:tcMar>
              <w:left w:w="28" w:type="dxa"/>
              <w:right w:w="28" w:type="dxa"/>
            </w:tcMar>
            <w:hideMark/>
          </w:tcPr>
          <w:p w14:paraId="6321D0FA" w14:textId="6EE5A981"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0C062A">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235AE7B4" w14:textId="7A186932"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F13772">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7177B8E8" w14:textId="338EBA50"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F13772">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18FD984A" w14:textId="4307DB57"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F13772">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53C81A09" w14:textId="1EA9AA3C"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F13772">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3E9BAC3A" w14:textId="57A92292"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F13772">
              <w:rPr>
                <w:rFonts w:ascii="Arial Narrow" w:hAnsi="Arial Narrow" w:cs="Calibri"/>
                <w:color w:val="000000"/>
                <w:sz w:val="20"/>
                <w:szCs w:val="20"/>
                <w:vertAlign w:val="superscript"/>
              </w:rPr>
              <w:t>1</w:t>
            </w:r>
          </w:p>
        </w:tc>
      </w:tr>
      <w:tr w:rsidR="00364D5B" w:rsidRPr="00B07B9F" w14:paraId="21EB7484"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0EF42779" w14:textId="2E0915F1"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 xml:space="preserve">12831H - </w:t>
            </w:r>
            <w:r w:rsidR="006F50CA" w:rsidRPr="00B07B9F">
              <w:rPr>
                <w:rFonts w:ascii="Arial Narrow" w:hAnsi="Arial Narrow" w:cs="Calibri"/>
                <w:color w:val="000000"/>
                <w:sz w:val="20"/>
                <w:szCs w:val="20"/>
              </w:rPr>
              <w:t>UPA</w:t>
            </w:r>
            <w:r w:rsidRPr="00B07B9F">
              <w:rPr>
                <w:rFonts w:ascii="Arial Narrow" w:hAnsi="Arial Narrow" w:cs="Calibri"/>
                <w:color w:val="000000"/>
                <w:sz w:val="20"/>
                <w:szCs w:val="20"/>
              </w:rPr>
              <w:t xml:space="preserve"> 15 mg - Continuing</w:t>
            </w:r>
          </w:p>
        </w:tc>
        <w:tc>
          <w:tcPr>
            <w:tcW w:w="668" w:type="pct"/>
            <w:tcBorders>
              <w:top w:val="nil"/>
              <w:left w:val="nil"/>
              <w:bottom w:val="single" w:sz="4" w:space="0" w:color="auto"/>
              <w:right w:val="single" w:sz="4" w:space="0" w:color="auto"/>
            </w:tcBorders>
            <w:noWrap/>
            <w:tcMar>
              <w:left w:w="28" w:type="dxa"/>
              <w:right w:w="28" w:type="dxa"/>
            </w:tcMar>
            <w:hideMark/>
          </w:tcPr>
          <w:p w14:paraId="479B1869" w14:textId="32BA5A75"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F13772">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24044A9D" w14:textId="0483DBE3" w:rsidR="00364D5B" w:rsidRPr="00C64F1F" w:rsidRDefault="00364D5B" w:rsidP="00B95A7E">
            <w:pPr>
              <w:keepNext/>
              <w:jc w:val="right"/>
              <w:rPr>
                <w:rFonts w:ascii="Arial Narrow" w:hAnsi="Arial Narrow" w:cs="Calibri"/>
                <w:color w:val="000000"/>
                <w:sz w:val="20"/>
                <w:szCs w:val="20"/>
                <w:vertAlign w:val="superscript"/>
              </w:rPr>
            </w:pPr>
            <w:r w:rsidRPr="00470F65">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F13772">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53AF340A" w14:textId="36357E72"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F13772">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036C36A8" w14:textId="73237690"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C44188">
              <w:rPr>
                <w:rFonts w:ascii="Arial Narrow" w:hAnsi="Arial Narrow" w:cs="Calibri"/>
                <w:color w:val="000000"/>
                <w:sz w:val="20"/>
                <w:szCs w:val="20"/>
                <w:vertAlign w:val="superscript"/>
              </w:rPr>
              <w:t>2</w:t>
            </w:r>
          </w:p>
        </w:tc>
        <w:tc>
          <w:tcPr>
            <w:tcW w:w="668" w:type="pct"/>
            <w:tcBorders>
              <w:top w:val="nil"/>
              <w:left w:val="nil"/>
              <w:bottom w:val="single" w:sz="4" w:space="0" w:color="auto"/>
              <w:right w:val="single" w:sz="4" w:space="0" w:color="auto"/>
            </w:tcBorders>
            <w:noWrap/>
            <w:tcMar>
              <w:left w:w="28" w:type="dxa"/>
              <w:right w:w="28" w:type="dxa"/>
            </w:tcMar>
            <w:hideMark/>
          </w:tcPr>
          <w:p w14:paraId="69798865" w14:textId="3661D1ED"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C44188">
              <w:rPr>
                <w:rFonts w:ascii="Arial Narrow" w:hAnsi="Arial Narrow" w:cs="Calibri"/>
                <w:color w:val="000000"/>
                <w:sz w:val="20"/>
                <w:szCs w:val="20"/>
                <w:vertAlign w:val="superscript"/>
              </w:rPr>
              <w:t>2</w:t>
            </w:r>
          </w:p>
        </w:tc>
        <w:tc>
          <w:tcPr>
            <w:tcW w:w="668" w:type="pct"/>
            <w:tcBorders>
              <w:top w:val="nil"/>
              <w:left w:val="nil"/>
              <w:bottom w:val="single" w:sz="4" w:space="0" w:color="auto"/>
              <w:right w:val="single" w:sz="4" w:space="0" w:color="auto"/>
            </w:tcBorders>
            <w:noWrap/>
            <w:tcMar>
              <w:left w:w="28" w:type="dxa"/>
              <w:right w:w="28" w:type="dxa"/>
            </w:tcMar>
            <w:hideMark/>
          </w:tcPr>
          <w:p w14:paraId="767281D3" w14:textId="02968BC5"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C44188">
              <w:rPr>
                <w:rFonts w:ascii="Arial Narrow" w:hAnsi="Arial Narrow" w:cs="Calibri"/>
                <w:color w:val="000000"/>
                <w:sz w:val="20"/>
                <w:szCs w:val="20"/>
                <w:vertAlign w:val="superscript"/>
              </w:rPr>
              <w:t>2</w:t>
            </w:r>
          </w:p>
        </w:tc>
      </w:tr>
      <w:tr w:rsidR="00364D5B" w:rsidRPr="00B07B9F" w14:paraId="7426302F"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60E19EFA" w14:textId="45856240"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 xml:space="preserve">12835M - </w:t>
            </w:r>
            <w:r w:rsidR="006F50CA" w:rsidRPr="00B07B9F">
              <w:rPr>
                <w:rFonts w:ascii="Arial Narrow" w:hAnsi="Arial Narrow" w:cs="Calibri"/>
                <w:color w:val="000000"/>
                <w:sz w:val="20"/>
                <w:szCs w:val="20"/>
              </w:rPr>
              <w:t>UPA</w:t>
            </w:r>
            <w:r w:rsidRPr="00B07B9F">
              <w:rPr>
                <w:rFonts w:ascii="Arial Narrow" w:hAnsi="Arial Narrow" w:cs="Calibri"/>
                <w:color w:val="000000"/>
                <w:sz w:val="20"/>
                <w:szCs w:val="20"/>
              </w:rPr>
              <w:t xml:space="preserve"> 15 mg - Continuing</w:t>
            </w:r>
          </w:p>
        </w:tc>
        <w:tc>
          <w:tcPr>
            <w:tcW w:w="668" w:type="pct"/>
            <w:tcBorders>
              <w:top w:val="nil"/>
              <w:left w:val="nil"/>
              <w:bottom w:val="single" w:sz="4" w:space="0" w:color="auto"/>
              <w:right w:val="single" w:sz="4" w:space="0" w:color="auto"/>
            </w:tcBorders>
            <w:noWrap/>
            <w:tcMar>
              <w:left w:w="28" w:type="dxa"/>
              <w:right w:w="28" w:type="dxa"/>
            </w:tcMar>
            <w:hideMark/>
          </w:tcPr>
          <w:p w14:paraId="4A9CD169" w14:textId="1E2F00DF"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825168">
              <w:rPr>
                <w:rFonts w:ascii="Arial Narrow" w:hAnsi="Arial Narrow" w:cs="Calibri"/>
                <w:color w:val="000000"/>
                <w:sz w:val="20"/>
                <w:szCs w:val="20"/>
                <w:vertAlign w:val="superscript"/>
              </w:rPr>
              <w:t>16</w:t>
            </w:r>
          </w:p>
        </w:tc>
        <w:tc>
          <w:tcPr>
            <w:tcW w:w="668" w:type="pct"/>
            <w:tcBorders>
              <w:top w:val="nil"/>
              <w:left w:val="nil"/>
              <w:bottom w:val="single" w:sz="4" w:space="0" w:color="auto"/>
              <w:right w:val="single" w:sz="4" w:space="0" w:color="auto"/>
            </w:tcBorders>
            <w:noWrap/>
            <w:tcMar>
              <w:left w:w="28" w:type="dxa"/>
              <w:right w:w="28" w:type="dxa"/>
            </w:tcMar>
            <w:hideMark/>
          </w:tcPr>
          <w:p w14:paraId="7D1A74E5" w14:textId="3E433925"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EA6476">
              <w:rPr>
                <w:rFonts w:ascii="Arial Narrow" w:hAnsi="Arial Narrow" w:cs="Calibri"/>
                <w:color w:val="000000"/>
                <w:sz w:val="20"/>
                <w:szCs w:val="20"/>
                <w:vertAlign w:val="superscript"/>
              </w:rPr>
              <w:t>16</w:t>
            </w:r>
          </w:p>
        </w:tc>
        <w:tc>
          <w:tcPr>
            <w:tcW w:w="668" w:type="pct"/>
            <w:tcBorders>
              <w:top w:val="nil"/>
              <w:left w:val="nil"/>
              <w:bottom w:val="single" w:sz="4" w:space="0" w:color="auto"/>
              <w:right w:val="single" w:sz="4" w:space="0" w:color="auto"/>
            </w:tcBorders>
            <w:noWrap/>
            <w:tcMar>
              <w:left w:w="28" w:type="dxa"/>
              <w:right w:w="28" w:type="dxa"/>
            </w:tcMar>
            <w:hideMark/>
          </w:tcPr>
          <w:p w14:paraId="7B036787" w14:textId="35D7D6E2"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EA6476">
              <w:rPr>
                <w:rFonts w:ascii="Arial Narrow" w:hAnsi="Arial Narrow" w:cs="Calibri"/>
                <w:color w:val="000000"/>
                <w:sz w:val="20"/>
                <w:szCs w:val="20"/>
                <w:vertAlign w:val="superscript"/>
              </w:rPr>
              <w:t>16</w:t>
            </w:r>
          </w:p>
        </w:tc>
        <w:tc>
          <w:tcPr>
            <w:tcW w:w="668" w:type="pct"/>
            <w:tcBorders>
              <w:top w:val="nil"/>
              <w:left w:val="nil"/>
              <w:bottom w:val="single" w:sz="4" w:space="0" w:color="auto"/>
              <w:right w:val="single" w:sz="4" w:space="0" w:color="auto"/>
            </w:tcBorders>
            <w:noWrap/>
            <w:tcMar>
              <w:left w:w="28" w:type="dxa"/>
              <w:right w:w="28" w:type="dxa"/>
            </w:tcMar>
            <w:hideMark/>
          </w:tcPr>
          <w:p w14:paraId="4CA7AD70" w14:textId="30F410D0" w:rsidR="00364D5B" w:rsidRPr="00C64F1F" w:rsidRDefault="00364D5B" w:rsidP="00B95A7E">
            <w:pPr>
              <w:keepNext/>
              <w:jc w:val="right"/>
              <w:rPr>
                <w:rFonts w:ascii="Arial Narrow" w:hAnsi="Arial Narrow" w:cs="Calibri"/>
                <w:color w:val="000000"/>
                <w:sz w:val="20"/>
                <w:szCs w:val="20"/>
                <w:vertAlign w:val="superscript"/>
              </w:rPr>
            </w:pPr>
            <w:r w:rsidRPr="00470F65">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EA6476">
              <w:rPr>
                <w:rFonts w:ascii="Arial Narrow" w:hAnsi="Arial Narrow" w:cs="Calibri"/>
                <w:color w:val="000000"/>
                <w:sz w:val="20"/>
                <w:szCs w:val="20"/>
                <w:vertAlign w:val="superscript"/>
              </w:rPr>
              <w:t>16</w:t>
            </w:r>
          </w:p>
        </w:tc>
        <w:tc>
          <w:tcPr>
            <w:tcW w:w="668" w:type="pct"/>
            <w:tcBorders>
              <w:top w:val="nil"/>
              <w:left w:val="nil"/>
              <w:bottom w:val="single" w:sz="4" w:space="0" w:color="auto"/>
              <w:right w:val="single" w:sz="4" w:space="0" w:color="auto"/>
            </w:tcBorders>
            <w:noWrap/>
            <w:tcMar>
              <w:left w:w="28" w:type="dxa"/>
              <w:right w:w="28" w:type="dxa"/>
            </w:tcMar>
            <w:hideMark/>
          </w:tcPr>
          <w:p w14:paraId="57B58438" w14:textId="129EDE37" w:rsidR="00364D5B" w:rsidRPr="00C64F1F" w:rsidRDefault="00364D5B" w:rsidP="00B95A7E">
            <w:pPr>
              <w:keepNext/>
              <w:jc w:val="right"/>
              <w:rPr>
                <w:rFonts w:ascii="Arial Narrow" w:hAnsi="Arial Narrow" w:cs="Calibri"/>
                <w:color w:val="000000"/>
                <w:sz w:val="20"/>
                <w:szCs w:val="20"/>
                <w:highlight w:val="darkGray"/>
                <w:vertAlign w:val="superscript"/>
              </w:rPr>
            </w:pPr>
            <w:r w:rsidRPr="00470F65">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EA6476" w:rsidRPr="00C64F1F">
              <w:rPr>
                <w:rFonts w:ascii="Arial Narrow" w:hAnsi="Arial Narrow" w:cs="Calibri"/>
                <w:color w:val="000000"/>
                <w:sz w:val="20"/>
                <w:szCs w:val="20"/>
                <w:vertAlign w:val="superscript"/>
              </w:rPr>
              <w:t>16</w:t>
            </w:r>
          </w:p>
        </w:tc>
        <w:tc>
          <w:tcPr>
            <w:tcW w:w="668" w:type="pct"/>
            <w:tcBorders>
              <w:top w:val="nil"/>
              <w:left w:val="nil"/>
              <w:bottom w:val="single" w:sz="4" w:space="0" w:color="auto"/>
              <w:right w:val="single" w:sz="4" w:space="0" w:color="auto"/>
            </w:tcBorders>
            <w:noWrap/>
            <w:tcMar>
              <w:left w:w="28" w:type="dxa"/>
              <w:right w:w="28" w:type="dxa"/>
            </w:tcMar>
            <w:hideMark/>
          </w:tcPr>
          <w:p w14:paraId="699E2CB6" w14:textId="16C944B3"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EA6476">
              <w:rPr>
                <w:rFonts w:ascii="Arial Narrow" w:hAnsi="Arial Narrow" w:cs="Calibri"/>
                <w:color w:val="000000"/>
                <w:sz w:val="20"/>
                <w:szCs w:val="20"/>
                <w:vertAlign w:val="superscript"/>
              </w:rPr>
              <w:t>16</w:t>
            </w:r>
          </w:p>
        </w:tc>
      </w:tr>
      <w:tr w:rsidR="00364D5B" w:rsidRPr="00B07B9F" w14:paraId="7F26B1D3"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781374C1" w14:textId="73566B6E"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 xml:space="preserve">12836N - </w:t>
            </w:r>
            <w:r w:rsidR="006F50CA" w:rsidRPr="00B07B9F">
              <w:rPr>
                <w:rFonts w:ascii="Arial Narrow" w:hAnsi="Arial Narrow" w:cs="Calibri"/>
                <w:color w:val="000000"/>
                <w:sz w:val="20"/>
                <w:szCs w:val="20"/>
              </w:rPr>
              <w:t>UPA</w:t>
            </w:r>
            <w:r w:rsidRPr="00B07B9F">
              <w:rPr>
                <w:rFonts w:ascii="Arial Narrow" w:hAnsi="Arial Narrow" w:cs="Calibri"/>
                <w:color w:val="000000"/>
                <w:sz w:val="20"/>
                <w:szCs w:val="20"/>
              </w:rPr>
              <w:t xml:space="preserve"> 30 mg - Initiating</w:t>
            </w:r>
          </w:p>
        </w:tc>
        <w:tc>
          <w:tcPr>
            <w:tcW w:w="668" w:type="pct"/>
            <w:tcBorders>
              <w:top w:val="nil"/>
              <w:left w:val="nil"/>
              <w:bottom w:val="single" w:sz="4" w:space="0" w:color="auto"/>
              <w:right w:val="single" w:sz="4" w:space="0" w:color="auto"/>
            </w:tcBorders>
            <w:noWrap/>
            <w:tcMar>
              <w:left w:w="28" w:type="dxa"/>
              <w:right w:w="28" w:type="dxa"/>
            </w:tcMar>
            <w:hideMark/>
          </w:tcPr>
          <w:p w14:paraId="1D730FB8" w14:textId="0CEDC04C"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EA6476">
              <w:rPr>
                <w:rFonts w:ascii="Arial Narrow" w:hAnsi="Arial Narrow" w:cs="Calibri"/>
                <w:color w:val="000000"/>
                <w:sz w:val="20"/>
                <w:szCs w:val="20"/>
                <w:vertAlign w:val="superscript"/>
              </w:rPr>
              <w:t>16</w:t>
            </w:r>
          </w:p>
        </w:tc>
        <w:tc>
          <w:tcPr>
            <w:tcW w:w="668" w:type="pct"/>
            <w:tcBorders>
              <w:top w:val="nil"/>
              <w:left w:val="nil"/>
              <w:bottom w:val="single" w:sz="4" w:space="0" w:color="auto"/>
              <w:right w:val="single" w:sz="4" w:space="0" w:color="auto"/>
            </w:tcBorders>
            <w:noWrap/>
            <w:tcMar>
              <w:left w:w="28" w:type="dxa"/>
              <w:right w:w="28" w:type="dxa"/>
            </w:tcMar>
            <w:hideMark/>
          </w:tcPr>
          <w:p w14:paraId="622EC635" w14:textId="76245BF3" w:rsidR="00364D5B" w:rsidRPr="00C64F1F" w:rsidRDefault="00364D5B" w:rsidP="00B95A7E">
            <w:pPr>
              <w:keepNext/>
              <w:jc w:val="right"/>
              <w:rPr>
                <w:rFonts w:ascii="Arial Narrow" w:hAnsi="Arial Narrow" w:cs="Calibri"/>
                <w:color w:val="000000"/>
                <w:sz w:val="20"/>
                <w:szCs w:val="20"/>
                <w:highlight w:val="darkGray"/>
                <w:vertAlign w:val="superscript"/>
              </w:rPr>
            </w:pPr>
            <w:r w:rsidRPr="00470F65">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EA6476" w:rsidRPr="00C64F1F">
              <w:rPr>
                <w:rFonts w:ascii="Arial Narrow" w:hAnsi="Arial Narrow" w:cs="Calibri"/>
                <w:color w:val="000000"/>
                <w:sz w:val="20"/>
                <w:szCs w:val="20"/>
                <w:vertAlign w:val="superscript"/>
              </w:rPr>
              <w:t>16</w:t>
            </w:r>
          </w:p>
        </w:tc>
        <w:tc>
          <w:tcPr>
            <w:tcW w:w="668" w:type="pct"/>
            <w:tcBorders>
              <w:top w:val="nil"/>
              <w:left w:val="nil"/>
              <w:bottom w:val="single" w:sz="4" w:space="0" w:color="auto"/>
              <w:right w:val="single" w:sz="4" w:space="0" w:color="auto"/>
            </w:tcBorders>
            <w:noWrap/>
            <w:tcMar>
              <w:left w:w="28" w:type="dxa"/>
              <w:right w:w="28" w:type="dxa"/>
            </w:tcMar>
            <w:hideMark/>
          </w:tcPr>
          <w:p w14:paraId="3776BA38" w14:textId="51582C1E" w:rsidR="00364D5B" w:rsidRPr="00C64F1F" w:rsidRDefault="00364D5B" w:rsidP="00B95A7E">
            <w:pPr>
              <w:keepNext/>
              <w:jc w:val="right"/>
              <w:rPr>
                <w:rFonts w:ascii="Arial Narrow" w:hAnsi="Arial Narrow" w:cs="Calibri"/>
                <w:color w:val="000000"/>
                <w:sz w:val="20"/>
                <w:szCs w:val="20"/>
                <w:highlight w:val="darkGray"/>
                <w:vertAlign w:val="superscript"/>
              </w:rPr>
            </w:pPr>
            <w:r w:rsidRPr="00470F65">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EA6476" w:rsidRPr="00C64F1F">
              <w:rPr>
                <w:rFonts w:ascii="Arial Narrow" w:hAnsi="Arial Narrow" w:cs="Calibri"/>
                <w:color w:val="000000"/>
                <w:sz w:val="20"/>
                <w:szCs w:val="20"/>
                <w:vertAlign w:val="superscript"/>
              </w:rPr>
              <w:t>16</w:t>
            </w:r>
          </w:p>
        </w:tc>
        <w:tc>
          <w:tcPr>
            <w:tcW w:w="668" w:type="pct"/>
            <w:tcBorders>
              <w:top w:val="nil"/>
              <w:left w:val="nil"/>
              <w:bottom w:val="single" w:sz="4" w:space="0" w:color="auto"/>
              <w:right w:val="single" w:sz="4" w:space="0" w:color="auto"/>
            </w:tcBorders>
            <w:noWrap/>
            <w:tcMar>
              <w:left w:w="28" w:type="dxa"/>
              <w:right w:w="28" w:type="dxa"/>
            </w:tcMar>
            <w:hideMark/>
          </w:tcPr>
          <w:p w14:paraId="60D2BD73" w14:textId="50C08B5D"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EA6476">
              <w:rPr>
                <w:rFonts w:ascii="Arial Narrow" w:hAnsi="Arial Narrow" w:cs="Calibri"/>
                <w:color w:val="000000"/>
                <w:sz w:val="20"/>
                <w:szCs w:val="20"/>
                <w:vertAlign w:val="superscript"/>
              </w:rPr>
              <w:t>16</w:t>
            </w:r>
          </w:p>
        </w:tc>
        <w:tc>
          <w:tcPr>
            <w:tcW w:w="668" w:type="pct"/>
            <w:tcBorders>
              <w:top w:val="nil"/>
              <w:left w:val="nil"/>
              <w:bottom w:val="single" w:sz="4" w:space="0" w:color="auto"/>
              <w:right w:val="single" w:sz="4" w:space="0" w:color="auto"/>
            </w:tcBorders>
            <w:noWrap/>
            <w:tcMar>
              <w:left w:w="28" w:type="dxa"/>
              <w:right w:w="28" w:type="dxa"/>
            </w:tcMar>
            <w:hideMark/>
          </w:tcPr>
          <w:p w14:paraId="0FBACD15" w14:textId="3014B8B6"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EA6476">
              <w:rPr>
                <w:rFonts w:ascii="Arial Narrow" w:hAnsi="Arial Narrow" w:cs="Calibri"/>
                <w:color w:val="000000"/>
                <w:sz w:val="20"/>
                <w:szCs w:val="20"/>
                <w:vertAlign w:val="superscript"/>
              </w:rPr>
              <w:t>16</w:t>
            </w:r>
          </w:p>
        </w:tc>
        <w:tc>
          <w:tcPr>
            <w:tcW w:w="668" w:type="pct"/>
            <w:tcBorders>
              <w:top w:val="nil"/>
              <w:left w:val="nil"/>
              <w:bottom w:val="single" w:sz="4" w:space="0" w:color="auto"/>
              <w:right w:val="single" w:sz="4" w:space="0" w:color="auto"/>
            </w:tcBorders>
            <w:noWrap/>
            <w:tcMar>
              <w:left w:w="28" w:type="dxa"/>
              <w:right w:w="28" w:type="dxa"/>
            </w:tcMar>
            <w:hideMark/>
          </w:tcPr>
          <w:p w14:paraId="0C5A4C1D" w14:textId="41E2BF05"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9B2D7C">
              <w:rPr>
                <w:rFonts w:ascii="Arial Narrow" w:hAnsi="Arial Narrow" w:cs="Calibri"/>
                <w:color w:val="000000"/>
                <w:sz w:val="20"/>
                <w:szCs w:val="20"/>
                <w:vertAlign w:val="superscript"/>
              </w:rPr>
              <w:t>1</w:t>
            </w:r>
          </w:p>
        </w:tc>
      </w:tr>
      <w:tr w:rsidR="00364D5B" w:rsidRPr="00B07B9F" w14:paraId="3BC92DDA"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0A80DBD3" w14:textId="05DF0DE0"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 xml:space="preserve">12829F - </w:t>
            </w:r>
            <w:r w:rsidR="006F50CA" w:rsidRPr="00B07B9F">
              <w:rPr>
                <w:rFonts w:ascii="Arial Narrow" w:hAnsi="Arial Narrow" w:cs="Calibri"/>
                <w:color w:val="000000"/>
                <w:sz w:val="20"/>
                <w:szCs w:val="20"/>
              </w:rPr>
              <w:t>UPA</w:t>
            </w:r>
            <w:r w:rsidRPr="00B07B9F">
              <w:rPr>
                <w:rFonts w:ascii="Arial Narrow" w:hAnsi="Arial Narrow" w:cs="Calibri"/>
                <w:color w:val="000000"/>
                <w:sz w:val="20"/>
                <w:szCs w:val="20"/>
              </w:rPr>
              <w:t xml:space="preserve"> 30 mg - Continuing</w:t>
            </w:r>
          </w:p>
        </w:tc>
        <w:tc>
          <w:tcPr>
            <w:tcW w:w="668" w:type="pct"/>
            <w:tcBorders>
              <w:top w:val="nil"/>
              <w:left w:val="nil"/>
              <w:bottom w:val="single" w:sz="4" w:space="0" w:color="auto"/>
              <w:right w:val="single" w:sz="4" w:space="0" w:color="auto"/>
            </w:tcBorders>
            <w:noWrap/>
            <w:tcMar>
              <w:left w:w="28" w:type="dxa"/>
              <w:right w:w="28" w:type="dxa"/>
            </w:tcMar>
            <w:hideMark/>
          </w:tcPr>
          <w:p w14:paraId="0C7DDDFC" w14:textId="1789C2B0"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9B2D7C">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53B9C617" w14:textId="3466D774"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9B2D7C">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18F14D61" w14:textId="6C1370BC"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1E0555">
              <w:rPr>
                <w:rFonts w:ascii="Arial Narrow" w:hAnsi="Arial Narrow" w:cs="Calibri"/>
                <w:color w:val="000000"/>
                <w:sz w:val="20"/>
                <w:szCs w:val="20"/>
                <w:vertAlign w:val="superscript"/>
              </w:rPr>
              <w:t>2</w:t>
            </w:r>
          </w:p>
        </w:tc>
        <w:tc>
          <w:tcPr>
            <w:tcW w:w="668" w:type="pct"/>
            <w:tcBorders>
              <w:top w:val="nil"/>
              <w:left w:val="nil"/>
              <w:bottom w:val="single" w:sz="4" w:space="0" w:color="auto"/>
              <w:right w:val="single" w:sz="4" w:space="0" w:color="auto"/>
            </w:tcBorders>
            <w:noWrap/>
            <w:tcMar>
              <w:left w:w="28" w:type="dxa"/>
              <w:right w:w="28" w:type="dxa"/>
            </w:tcMar>
            <w:hideMark/>
          </w:tcPr>
          <w:p w14:paraId="7C3240BA" w14:textId="5606A07E"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1E0555">
              <w:rPr>
                <w:rFonts w:ascii="Arial Narrow" w:hAnsi="Arial Narrow" w:cs="Calibri"/>
                <w:color w:val="000000"/>
                <w:sz w:val="20"/>
                <w:szCs w:val="20"/>
                <w:vertAlign w:val="superscript"/>
              </w:rPr>
              <w:t>2</w:t>
            </w:r>
          </w:p>
        </w:tc>
        <w:tc>
          <w:tcPr>
            <w:tcW w:w="668" w:type="pct"/>
            <w:tcBorders>
              <w:top w:val="nil"/>
              <w:left w:val="nil"/>
              <w:bottom w:val="single" w:sz="4" w:space="0" w:color="auto"/>
              <w:right w:val="single" w:sz="4" w:space="0" w:color="auto"/>
            </w:tcBorders>
            <w:noWrap/>
            <w:tcMar>
              <w:left w:w="28" w:type="dxa"/>
              <w:right w:w="28" w:type="dxa"/>
            </w:tcMar>
            <w:hideMark/>
          </w:tcPr>
          <w:p w14:paraId="2EEA0C25" w14:textId="7E056212"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1E0555">
              <w:rPr>
                <w:rFonts w:ascii="Arial Narrow" w:hAnsi="Arial Narrow" w:cs="Calibri"/>
                <w:color w:val="000000"/>
                <w:sz w:val="20"/>
                <w:szCs w:val="20"/>
                <w:vertAlign w:val="superscript"/>
              </w:rPr>
              <w:t>2</w:t>
            </w:r>
          </w:p>
        </w:tc>
        <w:tc>
          <w:tcPr>
            <w:tcW w:w="668" w:type="pct"/>
            <w:tcBorders>
              <w:top w:val="nil"/>
              <w:left w:val="nil"/>
              <w:bottom w:val="single" w:sz="4" w:space="0" w:color="auto"/>
              <w:right w:val="single" w:sz="4" w:space="0" w:color="auto"/>
            </w:tcBorders>
            <w:noWrap/>
            <w:tcMar>
              <w:left w:w="28" w:type="dxa"/>
              <w:right w:w="28" w:type="dxa"/>
            </w:tcMar>
            <w:hideMark/>
          </w:tcPr>
          <w:p w14:paraId="63E0A28F" w14:textId="4C4D58AC"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3E15F8">
              <w:rPr>
                <w:rFonts w:ascii="Arial Narrow" w:hAnsi="Arial Narrow" w:cs="Calibri"/>
                <w:color w:val="000000"/>
                <w:sz w:val="20"/>
                <w:szCs w:val="20"/>
                <w:vertAlign w:val="superscript"/>
              </w:rPr>
              <w:t>3</w:t>
            </w:r>
          </w:p>
        </w:tc>
      </w:tr>
      <w:tr w:rsidR="00364D5B" w:rsidRPr="00B07B9F" w14:paraId="43B1F9EA"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2FF0DF3C" w14:textId="52812061"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 xml:space="preserve">12827D - </w:t>
            </w:r>
            <w:r w:rsidR="006F50CA" w:rsidRPr="00B07B9F">
              <w:rPr>
                <w:rFonts w:ascii="Arial Narrow" w:hAnsi="Arial Narrow" w:cs="Calibri"/>
                <w:color w:val="000000"/>
                <w:sz w:val="20"/>
                <w:szCs w:val="20"/>
              </w:rPr>
              <w:t>UPA</w:t>
            </w:r>
            <w:r w:rsidRPr="00B07B9F">
              <w:rPr>
                <w:rFonts w:ascii="Arial Narrow" w:hAnsi="Arial Narrow" w:cs="Calibri"/>
                <w:color w:val="000000"/>
                <w:sz w:val="20"/>
                <w:szCs w:val="20"/>
              </w:rPr>
              <w:t xml:space="preserve"> 30 mg - Continuing</w:t>
            </w:r>
          </w:p>
        </w:tc>
        <w:tc>
          <w:tcPr>
            <w:tcW w:w="668" w:type="pct"/>
            <w:tcBorders>
              <w:top w:val="nil"/>
              <w:left w:val="nil"/>
              <w:bottom w:val="single" w:sz="4" w:space="0" w:color="auto"/>
              <w:right w:val="single" w:sz="4" w:space="0" w:color="auto"/>
            </w:tcBorders>
            <w:noWrap/>
            <w:tcMar>
              <w:left w:w="28" w:type="dxa"/>
              <w:right w:w="28" w:type="dxa"/>
            </w:tcMar>
            <w:hideMark/>
          </w:tcPr>
          <w:p w14:paraId="46B0CEDF" w14:textId="5E1D9F20"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EA6476">
              <w:rPr>
                <w:rFonts w:ascii="Arial Narrow" w:hAnsi="Arial Narrow" w:cs="Calibri"/>
                <w:color w:val="000000"/>
                <w:sz w:val="20"/>
                <w:szCs w:val="20"/>
                <w:vertAlign w:val="superscript"/>
              </w:rPr>
              <w:t>16</w:t>
            </w:r>
          </w:p>
        </w:tc>
        <w:tc>
          <w:tcPr>
            <w:tcW w:w="668" w:type="pct"/>
            <w:tcBorders>
              <w:top w:val="nil"/>
              <w:left w:val="nil"/>
              <w:bottom w:val="single" w:sz="4" w:space="0" w:color="auto"/>
              <w:right w:val="single" w:sz="4" w:space="0" w:color="auto"/>
            </w:tcBorders>
            <w:noWrap/>
            <w:tcMar>
              <w:left w:w="28" w:type="dxa"/>
              <w:right w:w="28" w:type="dxa"/>
            </w:tcMar>
            <w:hideMark/>
          </w:tcPr>
          <w:p w14:paraId="07FD2532" w14:textId="75EC34E8"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1E0555">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15889D06" w14:textId="53F236D4" w:rsidR="00364D5B" w:rsidRPr="00C64F1F" w:rsidRDefault="00364D5B" w:rsidP="00B95A7E">
            <w:pPr>
              <w:keepNext/>
              <w:jc w:val="right"/>
              <w:rPr>
                <w:rFonts w:ascii="Arial Narrow" w:hAnsi="Arial Narrow" w:cs="Calibri"/>
                <w:color w:val="000000"/>
                <w:sz w:val="20"/>
                <w:szCs w:val="20"/>
                <w:vertAlign w:val="superscript"/>
              </w:rPr>
            </w:pPr>
            <w:r w:rsidRPr="00470F65">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1E0555">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34FCA8F3" w14:textId="22038227"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1E0555">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5BEA4DD7" w14:textId="7FBCE8E1"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1E0555">
              <w:rPr>
                <w:rFonts w:ascii="Arial Narrow" w:hAnsi="Arial Narrow" w:cs="Calibri"/>
                <w:color w:val="000000"/>
                <w:sz w:val="20"/>
                <w:szCs w:val="20"/>
                <w:vertAlign w:val="superscript"/>
              </w:rPr>
              <w:t>1</w:t>
            </w:r>
          </w:p>
        </w:tc>
        <w:tc>
          <w:tcPr>
            <w:tcW w:w="668" w:type="pct"/>
            <w:tcBorders>
              <w:top w:val="nil"/>
              <w:left w:val="nil"/>
              <w:bottom w:val="single" w:sz="4" w:space="0" w:color="auto"/>
              <w:right w:val="single" w:sz="4" w:space="0" w:color="auto"/>
            </w:tcBorders>
            <w:noWrap/>
            <w:tcMar>
              <w:left w:w="28" w:type="dxa"/>
              <w:right w:w="28" w:type="dxa"/>
            </w:tcMar>
            <w:hideMark/>
          </w:tcPr>
          <w:p w14:paraId="46B90998" w14:textId="451010BF"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1E0555">
              <w:rPr>
                <w:rFonts w:ascii="Arial Narrow" w:hAnsi="Arial Narrow" w:cs="Calibri"/>
                <w:color w:val="000000"/>
                <w:sz w:val="20"/>
                <w:szCs w:val="20"/>
                <w:vertAlign w:val="superscript"/>
              </w:rPr>
              <w:t>1</w:t>
            </w:r>
          </w:p>
        </w:tc>
      </w:tr>
      <w:tr w:rsidR="00364D5B" w:rsidRPr="00B07B9F" w14:paraId="1F69FC49"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1DCD5CDA" w14:textId="77777777"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Total scripts</w:t>
            </w:r>
          </w:p>
        </w:tc>
        <w:tc>
          <w:tcPr>
            <w:tcW w:w="668" w:type="pct"/>
            <w:tcBorders>
              <w:top w:val="nil"/>
              <w:left w:val="nil"/>
              <w:bottom w:val="single" w:sz="4" w:space="0" w:color="auto"/>
              <w:right w:val="single" w:sz="4" w:space="0" w:color="auto"/>
            </w:tcBorders>
            <w:noWrap/>
            <w:tcMar>
              <w:left w:w="28" w:type="dxa"/>
              <w:right w:w="28" w:type="dxa"/>
            </w:tcMar>
            <w:hideMark/>
          </w:tcPr>
          <w:p w14:paraId="6A6FDEAD" w14:textId="25D9AFA2"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FE4000">
              <w:rPr>
                <w:rFonts w:ascii="Arial Narrow" w:hAnsi="Arial Narrow" w:cs="Calibri"/>
                <w:color w:val="000000"/>
                <w:sz w:val="20"/>
                <w:szCs w:val="20"/>
                <w:vertAlign w:val="superscript"/>
              </w:rPr>
              <w:t>5</w:t>
            </w:r>
          </w:p>
        </w:tc>
        <w:tc>
          <w:tcPr>
            <w:tcW w:w="668" w:type="pct"/>
            <w:tcBorders>
              <w:top w:val="nil"/>
              <w:left w:val="nil"/>
              <w:bottom w:val="single" w:sz="4" w:space="0" w:color="auto"/>
              <w:right w:val="single" w:sz="4" w:space="0" w:color="auto"/>
            </w:tcBorders>
            <w:noWrap/>
            <w:tcMar>
              <w:left w:w="28" w:type="dxa"/>
              <w:right w:w="28" w:type="dxa"/>
            </w:tcMar>
            <w:hideMark/>
          </w:tcPr>
          <w:p w14:paraId="60BE77A0" w14:textId="76DDDD5C"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1E0F1D">
              <w:rPr>
                <w:rFonts w:ascii="Arial Narrow" w:hAnsi="Arial Narrow" w:cs="Calibri"/>
                <w:color w:val="000000"/>
                <w:sz w:val="20"/>
                <w:szCs w:val="20"/>
                <w:vertAlign w:val="superscript"/>
              </w:rPr>
              <w:t>8</w:t>
            </w:r>
          </w:p>
        </w:tc>
        <w:tc>
          <w:tcPr>
            <w:tcW w:w="668" w:type="pct"/>
            <w:tcBorders>
              <w:top w:val="nil"/>
              <w:left w:val="nil"/>
              <w:bottom w:val="single" w:sz="4" w:space="0" w:color="auto"/>
              <w:right w:val="single" w:sz="4" w:space="0" w:color="auto"/>
            </w:tcBorders>
            <w:noWrap/>
            <w:tcMar>
              <w:left w:w="28" w:type="dxa"/>
              <w:right w:w="28" w:type="dxa"/>
            </w:tcMar>
            <w:hideMark/>
          </w:tcPr>
          <w:p w14:paraId="06001ABB" w14:textId="4261749D" w:rsidR="00364D5B" w:rsidRPr="00B14ED0" w:rsidRDefault="00364D5B" w:rsidP="00B14ED0">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B14ED0">
              <w:rPr>
                <w:rFonts w:ascii="Arial Narrow" w:hAnsi="Arial Narrow" w:cs="Calibri"/>
                <w:color w:val="000000"/>
                <w:sz w:val="20"/>
                <w:szCs w:val="20"/>
                <w:vertAlign w:val="superscript"/>
              </w:rPr>
              <w:t>19</w:t>
            </w:r>
          </w:p>
        </w:tc>
        <w:tc>
          <w:tcPr>
            <w:tcW w:w="668" w:type="pct"/>
            <w:tcBorders>
              <w:top w:val="nil"/>
              <w:left w:val="nil"/>
              <w:bottom w:val="single" w:sz="4" w:space="0" w:color="auto"/>
              <w:right w:val="single" w:sz="4" w:space="0" w:color="auto"/>
            </w:tcBorders>
            <w:noWrap/>
            <w:tcMar>
              <w:left w:w="28" w:type="dxa"/>
              <w:right w:w="28" w:type="dxa"/>
            </w:tcMar>
            <w:hideMark/>
          </w:tcPr>
          <w:p w14:paraId="4D0E3719" w14:textId="4E2AB4C9"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6460BE">
              <w:rPr>
                <w:rFonts w:ascii="Arial Narrow" w:hAnsi="Arial Narrow" w:cs="Calibri"/>
                <w:color w:val="000000"/>
                <w:sz w:val="20"/>
                <w:szCs w:val="20"/>
                <w:vertAlign w:val="superscript"/>
              </w:rPr>
              <w:t>15</w:t>
            </w:r>
          </w:p>
        </w:tc>
        <w:tc>
          <w:tcPr>
            <w:tcW w:w="668" w:type="pct"/>
            <w:tcBorders>
              <w:top w:val="nil"/>
              <w:left w:val="nil"/>
              <w:bottom w:val="single" w:sz="4" w:space="0" w:color="auto"/>
              <w:right w:val="single" w:sz="4" w:space="0" w:color="auto"/>
            </w:tcBorders>
            <w:noWrap/>
            <w:tcMar>
              <w:left w:w="28" w:type="dxa"/>
              <w:right w:w="28" w:type="dxa"/>
            </w:tcMar>
            <w:hideMark/>
          </w:tcPr>
          <w:p w14:paraId="356498A4" w14:textId="0D8C4F85"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6460BE">
              <w:rPr>
                <w:rFonts w:ascii="Arial Narrow" w:hAnsi="Arial Narrow" w:cs="Calibri"/>
                <w:color w:val="000000"/>
                <w:sz w:val="20"/>
                <w:szCs w:val="20"/>
                <w:vertAlign w:val="superscript"/>
              </w:rPr>
              <w:t>15</w:t>
            </w:r>
          </w:p>
        </w:tc>
        <w:tc>
          <w:tcPr>
            <w:tcW w:w="668" w:type="pct"/>
            <w:tcBorders>
              <w:top w:val="nil"/>
              <w:left w:val="nil"/>
              <w:bottom w:val="single" w:sz="4" w:space="0" w:color="auto"/>
              <w:right w:val="single" w:sz="4" w:space="0" w:color="auto"/>
            </w:tcBorders>
            <w:noWrap/>
            <w:tcMar>
              <w:left w:w="28" w:type="dxa"/>
              <w:right w:w="28" w:type="dxa"/>
            </w:tcMar>
            <w:hideMark/>
          </w:tcPr>
          <w:p w14:paraId="6F40AE42" w14:textId="780FA56D"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6460BE">
              <w:rPr>
                <w:rFonts w:ascii="Arial Narrow" w:hAnsi="Arial Narrow" w:cs="Calibri"/>
                <w:color w:val="000000"/>
                <w:sz w:val="20"/>
                <w:szCs w:val="20"/>
                <w:vertAlign w:val="superscript"/>
              </w:rPr>
              <w:t>15</w:t>
            </w:r>
          </w:p>
        </w:tc>
      </w:tr>
      <w:tr w:rsidR="00364D5B" w:rsidRPr="00B07B9F" w14:paraId="50E298A8" w14:textId="77777777" w:rsidTr="00AF29CF">
        <w:trPr>
          <w:cantSplit/>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EB8F3A" w14:textId="4FC3986E" w:rsidR="00364D5B" w:rsidRPr="00B07B9F" w:rsidRDefault="00364D5B" w:rsidP="00B95A7E">
            <w:pPr>
              <w:keepNext/>
              <w:jc w:val="left"/>
              <w:rPr>
                <w:rFonts w:ascii="Arial Narrow" w:hAnsi="Arial Narrow" w:cs="Calibri"/>
                <w:b/>
                <w:bCs/>
                <w:color w:val="000000"/>
                <w:sz w:val="20"/>
                <w:szCs w:val="20"/>
              </w:rPr>
            </w:pPr>
            <w:r w:rsidRPr="00B07B9F">
              <w:rPr>
                <w:rFonts w:ascii="Arial Narrow" w:hAnsi="Arial Narrow" w:cs="Calibri"/>
                <w:b/>
                <w:bCs/>
                <w:color w:val="000000"/>
                <w:sz w:val="20"/>
                <w:szCs w:val="20"/>
              </w:rPr>
              <w:t>Net financial impact of affected medicine(s)</w:t>
            </w:r>
          </w:p>
        </w:tc>
      </w:tr>
      <w:tr w:rsidR="00364D5B" w:rsidRPr="00B07B9F" w14:paraId="5D4601C8"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20075726" w14:textId="77777777" w:rsidR="00364D5B" w:rsidRPr="00B07B9F" w:rsidRDefault="00364D5B" w:rsidP="00B95A7E">
            <w:pPr>
              <w:keepNext/>
              <w:jc w:val="left"/>
              <w:rPr>
                <w:rFonts w:ascii="Arial Narrow" w:hAnsi="Arial Narrow" w:cs="Calibri"/>
                <w:color w:val="000000"/>
                <w:sz w:val="20"/>
                <w:szCs w:val="20"/>
              </w:rPr>
            </w:pPr>
            <w:r w:rsidRPr="00B07B9F">
              <w:rPr>
                <w:rFonts w:ascii="Arial Narrow" w:hAnsi="Arial Narrow" w:cs="Calibri"/>
                <w:color w:val="000000"/>
                <w:sz w:val="20"/>
                <w:szCs w:val="20"/>
              </w:rPr>
              <w:t>PBS/RPBS less copayments</w:t>
            </w:r>
          </w:p>
        </w:tc>
        <w:tc>
          <w:tcPr>
            <w:tcW w:w="668" w:type="pct"/>
            <w:tcBorders>
              <w:top w:val="nil"/>
              <w:left w:val="nil"/>
              <w:bottom w:val="single" w:sz="4" w:space="0" w:color="auto"/>
              <w:right w:val="single" w:sz="4" w:space="0" w:color="auto"/>
            </w:tcBorders>
            <w:noWrap/>
            <w:tcMar>
              <w:left w:w="28" w:type="dxa"/>
              <w:right w:w="28" w:type="dxa"/>
            </w:tcMar>
            <w:hideMark/>
          </w:tcPr>
          <w:p w14:paraId="54A718C8" w14:textId="379FC56E"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DF2992">
              <w:rPr>
                <w:rFonts w:ascii="Arial Narrow" w:hAnsi="Arial Narrow" w:cs="Calibri"/>
                <w:color w:val="000000"/>
                <w:sz w:val="20"/>
                <w:szCs w:val="20"/>
                <w:vertAlign w:val="superscript"/>
              </w:rPr>
              <w:t>11</w:t>
            </w:r>
          </w:p>
        </w:tc>
        <w:tc>
          <w:tcPr>
            <w:tcW w:w="668" w:type="pct"/>
            <w:tcBorders>
              <w:top w:val="nil"/>
              <w:left w:val="nil"/>
              <w:bottom w:val="single" w:sz="4" w:space="0" w:color="auto"/>
              <w:right w:val="single" w:sz="4" w:space="0" w:color="auto"/>
            </w:tcBorders>
            <w:noWrap/>
            <w:tcMar>
              <w:left w:w="28" w:type="dxa"/>
              <w:right w:w="28" w:type="dxa"/>
            </w:tcMar>
            <w:hideMark/>
          </w:tcPr>
          <w:p w14:paraId="296E918A" w14:textId="6A6B429E"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432F38">
              <w:rPr>
                <w:rFonts w:ascii="Arial Narrow" w:hAnsi="Arial Narrow" w:cs="Calibri"/>
                <w:color w:val="000000"/>
                <w:sz w:val="20"/>
                <w:szCs w:val="20"/>
                <w:vertAlign w:val="superscript"/>
              </w:rPr>
              <w:t>12</w:t>
            </w:r>
          </w:p>
        </w:tc>
        <w:tc>
          <w:tcPr>
            <w:tcW w:w="668" w:type="pct"/>
            <w:tcBorders>
              <w:top w:val="nil"/>
              <w:left w:val="nil"/>
              <w:bottom w:val="single" w:sz="4" w:space="0" w:color="auto"/>
              <w:right w:val="single" w:sz="4" w:space="0" w:color="auto"/>
            </w:tcBorders>
            <w:noWrap/>
            <w:tcMar>
              <w:left w:w="28" w:type="dxa"/>
              <w:right w:w="28" w:type="dxa"/>
            </w:tcMar>
            <w:hideMark/>
          </w:tcPr>
          <w:p w14:paraId="11D22FA8" w14:textId="634C852E"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432F38">
              <w:rPr>
                <w:rFonts w:ascii="Arial Narrow" w:hAnsi="Arial Narrow" w:cs="Calibri"/>
                <w:color w:val="000000"/>
                <w:sz w:val="20"/>
                <w:szCs w:val="20"/>
                <w:vertAlign w:val="superscript"/>
              </w:rPr>
              <w:t>12</w:t>
            </w:r>
          </w:p>
        </w:tc>
        <w:tc>
          <w:tcPr>
            <w:tcW w:w="668" w:type="pct"/>
            <w:tcBorders>
              <w:top w:val="nil"/>
              <w:left w:val="nil"/>
              <w:bottom w:val="single" w:sz="4" w:space="0" w:color="auto"/>
              <w:right w:val="single" w:sz="4" w:space="0" w:color="auto"/>
            </w:tcBorders>
            <w:noWrap/>
            <w:tcMar>
              <w:left w:w="28" w:type="dxa"/>
              <w:right w:w="28" w:type="dxa"/>
            </w:tcMar>
            <w:hideMark/>
          </w:tcPr>
          <w:p w14:paraId="477AEF50" w14:textId="102C015F"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A23227">
              <w:rPr>
                <w:rFonts w:ascii="Arial Narrow" w:hAnsi="Arial Narrow" w:cs="Calibri"/>
                <w:color w:val="000000"/>
                <w:sz w:val="20"/>
                <w:szCs w:val="20"/>
                <w:vertAlign w:val="superscript"/>
              </w:rPr>
              <w:t>13</w:t>
            </w:r>
          </w:p>
        </w:tc>
        <w:tc>
          <w:tcPr>
            <w:tcW w:w="668" w:type="pct"/>
            <w:tcBorders>
              <w:top w:val="nil"/>
              <w:left w:val="nil"/>
              <w:bottom w:val="single" w:sz="4" w:space="0" w:color="auto"/>
              <w:right w:val="single" w:sz="4" w:space="0" w:color="auto"/>
            </w:tcBorders>
            <w:noWrap/>
            <w:tcMar>
              <w:left w:w="28" w:type="dxa"/>
              <w:right w:w="28" w:type="dxa"/>
            </w:tcMar>
            <w:hideMark/>
          </w:tcPr>
          <w:p w14:paraId="523B9B24" w14:textId="630FA873"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A23227">
              <w:rPr>
                <w:rFonts w:ascii="Arial Narrow" w:hAnsi="Arial Narrow" w:cs="Calibri"/>
                <w:color w:val="000000"/>
                <w:sz w:val="20"/>
                <w:szCs w:val="20"/>
                <w:vertAlign w:val="superscript"/>
              </w:rPr>
              <w:t>13</w:t>
            </w:r>
          </w:p>
        </w:tc>
        <w:tc>
          <w:tcPr>
            <w:tcW w:w="668" w:type="pct"/>
            <w:tcBorders>
              <w:top w:val="nil"/>
              <w:left w:val="nil"/>
              <w:bottom w:val="single" w:sz="4" w:space="0" w:color="auto"/>
              <w:right w:val="single" w:sz="4" w:space="0" w:color="auto"/>
            </w:tcBorders>
            <w:noWrap/>
            <w:tcMar>
              <w:left w:w="28" w:type="dxa"/>
              <w:right w:w="28" w:type="dxa"/>
            </w:tcMar>
            <w:hideMark/>
          </w:tcPr>
          <w:p w14:paraId="53BB8E11" w14:textId="1CED2345" w:rsidR="00364D5B" w:rsidRPr="00C64F1F" w:rsidRDefault="00364D5B" w:rsidP="00B95A7E">
            <w:pPr>
              <w:keepNext/>
              <w:jc w:val="right"/>
              <w:rPr>
                <w:rFonts w:ascii="Arial Narrow" w:hAnsi="Arial Narrow" w:cs="Calibri"/>
                <w:color w:val="000000"/>
                <w:sz w:val="20"/>
                <w:szCs w:val="20"/>
                <w:vertAlign w:val="superscript"/>
              </w:rPr>
            </w:pPr>
            <w:r w:rsidRPr="00B07B9F">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0C34CD">
              <w:rPr>
                <w:rFonts w:ascii="Arial Narrow" w:hAnsi="Arial Narrow" w:cs="Calibri"/>
                <w:color w:val="000000"/>
                <w:sz w:val="20"/>
                <w:szCs w:val="20"/>
                <w:vertAlign w:val="superscript"/>
              </w:rPr>
              <w:t>14</w:t>
            </w:r>
          </w:p>
        </w:tc>
      </w:tr>
      <w:tr w:rsidR="00364D5B" w:rsidRPr="00B07B9F" w14:paraId="2803763B" w14:textId="77777777" w:rsidTr="00AF29CF">
        <w:trPr>
          <w:cantSplit/>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178985" w14:textId="77777777" w:rsidR="00364D5B" w:rsidRPr="00B07B9F" w:rsidRDefault="00364D5B" w:rsidP="00B95A7E">
            <w:pPr>
              <w:keepNext/>
              <w:jc w:val="left"/>
              <w:rPr>
                <w:rFonts w:ascii="Arial Narrow" w:hAnsi="Arial Narrow" w:cs="Calibri"/>
                <w:b/>
                <w:bCs/>
                <w:color w:val="000000"/>
                <w:sz w:val="20"/>
                <w:szCs w:val="20"/>
              </w:rPr>
            </w:pPr>
            <w:r w:rsidRPr="00B07B9F">
              <w:rPr>
                <w:rFonts w:ascii="Arial Narrow" w:hAnsi="Arial Narrow" w:cs="Calibri"/>
                <w:b/>
                <w:bCs/>
                <w:color w:val="000000"/>
                <w:sz w:val="20"/>
                <w:szCs w:val="20"/>
              </w:rPr>
              <w:t>Net financial impact</w:t>
            </w:r>
          </w:p>
        </w:tc>
      </w:tr>
      <w:tr w:rsidR="00364D5B" w:rsidRPr="003D3751" w14:paraId="633D9C71" w14:textId="77777777" w:rsidTr="00AF29CF">
        <w:trPr>
          <w:cantSplit/>
        </w:trPr>
        <w:tc>
          <w:tcPr>
            <w:tcW w:w="991" w:type="pct"/>
            <w:tcBorders>
              <w:top w:val="nil"/>
              <w:left w:val="single" w:sz="4" w:space="0" w:color="auto"/>
              <w:bottom w:val="single" w:sz="4" w:space="0" w:color="auto"/>
              <w:right w:val="single" w:sz="4" w:space="0" w:color="auto"/>
            </w:tcBorders>
            <w:tcMar>
              <w:left w:w="28" w:type="dxa"/>
              <w:right w:w="28" w:type="dxa"/>
            </w:tcMar>
            <w:hideMark/>
          </w:tcPr>
          <w:p w14:paraId="27DB70C7" w14:textId="4AA656EA" w:rsidR="00364D5B" w:rsidRPr="00DC31EA" w:rsidRDefault="00364D5B" w:rsidP="00B95A7E">
            <w:pPr>
              <w:keepNext/>
              <w:jc w:val="left"/>
              <w:rPr>
                <w:rFonts w:ascii="Arial Narrow" w:hAnsi="Arial Narrow" w:cs="Calibri"/>
                <w:b/>
                <w:bCs/>
                <w:color w:val="000000"/>
                <w:sz w:val="20"/>
                <w:szCs w:val="20"/>
              </w:rPr>
            </w:pPr>
            <w:r w:rsidRPr="00DC31EA">
              <w:rPr>
                <w:rFonts w:ascii="Arial Narrow" w:hAnsi="Arial Narrow" w:cs="Calibri"/>
                <w:b/>
                <w:bCs/>
                <w:color w:val="000000"/>
                <w:sz w:val="20"/>
                <w:szCs w:val="20"/>
              </w:rPr>
              <w:t xml:space="preserve">Net </w:t>
            </w:r>
            <w:r w:rsidR="003D3751" w:rsidRPr="00DC31EA">
              <w:rPr>
                <w:rFonts w:ascii="Arial Narrow" w:hAnsi="Arial Narrow" w:cs="Calibri"/>
                <w:b/>
                <w:bCs/>
                <w:color w:val="000000"/>
                <w:sz w:val="20"/>
                <w:szCs w:val="20"/>
              </w:rPr>
              <w:t xml:space="preserve">cost to </w:t>
            </w:r>
            <w:r w:rsidRPr="00DC31EA">
              <w:rPr>
                <w:rFonts w:ascii="Arial Narrow" w:hAnsi="Arial Narrow" w:cs="Calibri"/>
                <w:b/>
                <w:bCs/>
                <w:color w:val="000000"/>
                <w:sz w:val="20"/>
                <w:szCs w:val="20"/>
              </w:rPr>
              <w:t>PBS/RPBS</w:t>
            </w:r>
          </w:p>
        </w:tc>
        <w:tc>
          <w:tcPr>
            <w:tcW w:w="668" w:type="pct"/>
            <w:tcBorders>
              <w:top w:val="nil"/>
              <w:left w:val="nil"/>
              <w:bottom w:val="single" w:sz="4" w:space="0" w:color="auto"/>
              <w:right w:val="single" w:sz="4" w:space="0" w:color="auto"/>
            </w:tcBorders>
            <w:noWrap/>
            <w:tcMar>
              <w:left w:w="28" w:type="dxa"/>
              <w:right w:w="28" w:type="dxa"/>
            </w:tcMar>
            <w:hideMark/>
          </w:tcPr>
          <w:p w14:paraId="288256BD" w14:textId="47C997B7" w:rsidR="00364D5B" w:rsidRPr="00C64F1F" w:rsidRDefault="00364D5B" w:rsidP="00B95A7E">
            <w:pPr>
              <w:keepNext/>
              <w:jc w:val="right"/>
              <w:rPr>
                <w:rFonts w:ascii="Arial Narrow" w:hAnsi="Arial Narrow" w:cs="Calibri"/>
                <w:b/>
                <w:bCs/>
                <w:color w:val="000000"/>
                <w:sz w:val="20"/>
                <w:szCs w:val="20"/>
                <w:vertAlign w:val="superscript"/>
              </w:rPr>
            </w:pPr>
            <w:r w:rsidRPr="00DC31EA">
              <w:rPr>
                <w:rFonts w:ascii="Arial Narrow" w:hAnsi="Arial Narrow" w:cs="Calibri"/>
                <w:b/>
                <w:bCs/>
                <w:color w:val="000000"/>
                <w:sz w:val="20"/>
                <w:szCs w:val="20"/>
              </w:rPr>
              <w:t>-$</w:t>
            </w:r>
            <w:r w:rsidR="00807021" w:rsidRPr="00807021">
              <w:rPr>
                <w:rFonts w:ascii="Arial Narrow" w:hAnsi="Arial Narrow" w:cs="Calibri"/>
                <w:b/>
                <w:bCs/>
                <w:color w:val="000000"/>
                <w:sz w:val="2"/>
                <w:szCs w:val="20"/>
                <w:highlight w:val="black"/>
              </w:rPr>
              <w:t>redacted content</w:t>
            </w:r>
            <w:r w:rsidR="006E13AB">
              <w:rPr>
                <w:rFonts w:ascii="Arial Narrow" w:hAnsi="Arial Narrow" w:cs="Calibri"/>
                <w:b/>
                <w:bCs/>
                <w:color w:val="000000"/>
                <w:sz w:val="20"/>
                <w:szCs w:val="20"/>
                <w:vertAlign w:val="superscript"/>
              </w:rPr>
              <w:t>17</w:t>
            </w:r>
          </w:p>
        </w:tc>
        <w:tc>
          <w:tcPr>
            <w:tcW w:w="668" w:type="pct"/>
            <w:tcBorders>
              <w:top w:val="nil"/>
              <w:left w:val="nil"/>
              <w:bottom w:val="single" w:sz="4" w:space="0" w:color="auto"/>
              <w:right w:val="single" w:sz="4" w:space="0" w:color="auto"/>
            </w:tcBorders>
            <w:noWrap/>
            <w:tcMar>
              <w:left w:w="28" w:type="dxa"/>
              <w:right w:w="28" w:type="dxa"/>
            </w:tcMar>
            <w:hideMark/>
          </w:tcPr>
          <w:p w14:paraId="2B465F56" w14:textId="4D45DF72" w:rsidR="00364D5B" w:rsidRPr="00C64F1F" w:rsidRDefault="00364D5B" w:rsidP="00B95A7E">
            <w:pPr>
              <w:keepNext/>
              <w:jc w:val="right"/>
              <w:rPr>
                <w:rFonts w:ascii="Arial Narrow" w:hAnsi="Arial Narrow" w:cs="Calibri"/>
                <w:b/>
                <w:bCs/>
                <w:color w:val="000000"/>
                <w:sz w:val="20"/>
                <w:szCs w:val="20"/>
                <w:vertAlign w:val="superscript"/>
              </w:rPr>
            </w:pPr>
            <w:r w:rsidRPr="00DC31EA">
              <w:rPr>
                <w:rFonts w:ascii="Arial Narrow" w:hAnsi="Arial Narrow" w:cs="Calibri"/>
                <w:b/>
                <w:bCs/>
                <w:color w:val="000000"/>
                <w:sz w:val="20"/>
                <w:szCs w:val="20"/>
              </w:rPr>
              <w:t>-$</w:t>
            </w:r>
            <w:r w:rsidR="00807021" w:rsidRPr="00807021">
              <w:rPr>
                <w:rFonts w:ascii="Arial Narrow" w:hAnsi="Arial Narrow" w:cs="Calibri"/>
                <w:b/>
                <w:bCs/>
                <w:color w:val="000000"/>
                <w:sz w:val="2"/>
                <w:szCs w:val="20"/>
                <w:highlight w:val="black"/>
              </w:rPr>
              <w:t>redacted content</w:t>
            </w:r>
            <w:r w:rsidR="006E13AB">
              <w:rPr>
                <w:rFonts w:ascii="Arial Narrow" w:hAnsi="Arial Narrow" w:cs="Calibri"/>
                <w:b/>
                <w:bCs/>
                <w:color w:val="000000"/>
                <w:sz w:val="20"/>
                <w:szCs w:val="20"/>
                <w:vertAlign w:val="superscript"/>
              </w:rPr>
              <w:t>17</w:t>
            </w:r>
          </w:p>
        </w:tc>
        <w:tc>
          <w:tcPr>
            <w:tcW w:w="668" w:type="pct"/>
            <w:tcBorders>
              <w:top w:val="nil"/>
              <w:left w:val="nil"/>
              <w:bottom w:val="single" w:sz="4" w:space="0" w:color="auto"/>
              <w:right w:val="single" w:sz="4" w:space="0" w:color="auto"/>
            </w:tcBorders>
            <w:noWrap/>
            <w:tcMar>
              <w:left w:w="28" w:type="dxa"/>
              <w:right w:w="28" w:type="dxa"/>
            </w:tcMar>
            <w:hideMark/>
          </w:tcPr>
          <w:p w14:paraId="45C43571" w14:textId="07B90742" w:rsidR="00364D5B" w:rsidRPr="00C64F1F" w:rsidRDefault="00364D5B" w:rsidP="00B95A7E">
            <w:pPr>
              <w:keepNext/>
              <w:jc w:val="right"/>
              <w:rPr>
                <w:rFonts w:ascii="Arial Narrow" w:hAnsi="Arial Narrow" w:cs="Calibri"/>
                <w:b/>
                <w:bCs/>
                <w:color w:val="000000"/>
                <w:sz w:val="20"/>
                <w:szCs w:val="20"/>
                <w:vertAlign w:val="superscript"/>
              </w:rPr>
            </w:pPr>
            <w:r w:rsidRPr="00DC31EA">
              <w:rPr>
                <w:rFonts w:ascii="Arial Narrow" w:hAnsi="Arial Narrow" w:cs="Calibri"/>
                <w:b/>
                <w:bCs/>
                <w:color w:val="000000"/>
                <w:sz w:val="20"/>
                <w:szCs w:val="20"/>
              </w:rPr>
              <w:t>-$</w:t>
            </w:r>
            <w:r w:rsidR="00807021" w:rsidRPr="00807021">
              <w:rPr>
                <w:rFonts w:ascii="Arial Narrow" w:hAnsi="Arial Narrow" w:cs="Calibri"/>
                <w:b/>
                <w:bCs/>
                <w:color w:val="000000"/>
                <w:sz w:val="2"/>
                <w:szCs w:val="20"/>
                <w:highlight w:val="black"/>
              </w:rPr>
              <w:t>redacted content</w:t>
            </w:r>
            <w:r w:rsidR="006E13AB">
              <w:rPr>
                <w:rFonts w:ascii="Arial Narrow" w:hAnsi="Arial Narrow" w:cs="Calibri"/>
                <w:b/>
                <w:bCs/>
                <w:color w:val="000000"/>
                <w:sz w:val="20"/>
                <w:szCs w:val="20"/>
                <w:vertAlign w:val="superscript"/>
              </w:rPr>
              <w:t>17</w:t>
            </w:r>
          </w:p>
        </w:tc>
        <w:tc>
          <w:tcPr>
            <w:tcW w:w="668" w:type="pct"/>
            <w:tcBorders>
              <w:top w:val="nil"/>
              <w:left w:val="nil"/>
              <w:bottom w:val="single" w:sz="4" w:space="0" w:color="auto"/>
              <w:right w:val="single" w:sz="4" w:space="0" w:color="auto"/>
            </w:tcBorders>
            <w:noWrap/>
            <w:tcMar>
              <w:left w:w="28" w:type="dxa"/>
              <w:right w:w="28" w:type="dxa"/>
            </w:tcMar>
            <w:hideMark/>
          </w:tcPr>
          <w:p w14:paraId="134309AB" w14:textId="2DD2E8F9" w:rsidR="00364D5B" w:rsidRPr="00C64F1F" w:rsidRDefault="00364D5B" w:rsidP="00B95A7E">
            <w:pPr>
              <w:keepNext/>
              <w:jc w:val="right"/>
              <w:rPr>
                <w:rFonts w:ascii="Arial Narrow" w:hAnsi="Arial Narrow" w:cs="Calibri"/>
                <w:b/>
                <w:bCs/>
                <w:color w:val="000000"/>
                <w:sz w:val="20"/>
                <w:szCs w:val="20"/>
                <w:vertAlign w:val="superscript"/>
              </w:rPr>
            </w:pPr>
            <w:r w:rsidRPr="00DC31EA">
              <w:rPr>
                <w:rFonts w:ascii="Arial Narrow" w:hAnsi="Arial Narrow" w:cs="Calibri"/>
                <w:b/>
                <w:bCs/>
                <w:color w:val="000000"/>
                <w:sz w:val="20"/>
                <w:szCs w:val="20"/>
              </w:rPr>
              <w:t>-$</w:t>
            </w:r>
            <w:r w:rsidR="00807021" w:rsidRPr="00807021">
              <w:rPr>
                <w:rFonts w:ascii="Arial Narrow" w:hAnsi="Arial Narrow" w:cs="Calibri"/>
                <w:b/>
                <w:bCs/>
                <w:color w:val="000000"/>
                <w:sz w:val="2"/>
                <w:szCs w:val="20"/>
                <w:highlight w:val="black"/>
              </w:rPr>
              <w:t>redacted content</w:t>
            </w:r>
            <w:r w:rsidR="006E13AB">
              <w:rPr>
                <w:rFonts w:ascii="Arial Narrow" w:hAnsi="Arial Narrow" w:cs="Calibri"/>
                <w:b/>
                <w:bCs/>
                <w:color w:val="000000"/>
                <w:sz w:val="20"/>
                <w:szCs w:val="20"/>
                <w:vertAlign w:val="superscript"/>
              </w:rPr>
              <w:t>17</w:t>
            </w:r>
          </w:p>
        </w:tc>
        <w:tc>
          <w:tcPr>
            <w:tcW w:w="668" w:type="pct"/>
            <w:tcBorders>
              <w:top w:val="nil"/>
              <w:left w:val="nil"/>
              <w:bottom w:val="single" w:sz="4" w:space="0" w:color="auto"/>
              <w:right w:val="single" w:sz="4" w:space="0" w:color="auto"/>
            </w:tcBorders>
            <w:noWrap/>
            <w:tcMar>
              <w:left w:w="28" w:type="dxa"/>
              <w:right w:w="28" w:type="dxa"/>
            </w:tcMar>
            <w:hideMark/>
          </w:tcPr>
          <w:p w14:paraId="0DD6A1E4" w14:textId="33D2BD49" w:rsidR="00364D5B" w:rsidRPr="00C64F1F" w:rsidRDefault="00364D5B" w:rsidP="00B95A7E">
            <w:pPr>
              <w:keepNext/>
              <w:jc w:val="right"/>
              <w:rPr>
                <w:rFonts w:ascii="Arial Narrow" w:hAnsi="Arial Narrow" w:cs="Calibri"/>
                <w:b/>
                <w:bCs/>
                <w:color w:val="000000"/>
                <w:sz w:val="20"/>
                <w:szCs w:val="20"/>
                <w:vertAlign w:val="superscript"/>
              </w:rPr>
            </w:pPr>
            <w:r w:rsidRPr="00DC31EA">
              <w:rPr>
                <w:rFonts w:ascii="Arial Narrow" w:hAnsi="Arial Narrow" w:cs="Calibri"/>
                <w:b/>
                <w:bCs/>
                <w:color w:val="000000"/>
                <w:sz w:val="20"/>
                <w:szCs w:val="20"/>
              </w:rPr>
              <w:t>-$</w:t>
            </w:r>
            <w:r w:rsidR="00807021" w:rsidRPr="00807021">
              <w:rPr>
                <w:rFonts w:ascii="Arial Narrow" w:hAnsi="Arial Narrow" w:cs="Calibri"/>
                <w:b/>
                <w:bCs/>
                <w:color w:val="000000"/>
                <w:sz w:val="2"/>
                <w:szCs w:val="20"/>
                <w:highlight w:val="black"/>
              </w:rPr>
              <w:t>redacted content</w:t>
            </w:r>
            <w:r w:rsidR="006E13AB">
              <w:rPr>
                <w:rFonts w:ascii="Arial Narrow" w:hAnsi="Arial Narrow" w:cs="Calibri"/>
                <w:b/>
                <w:bCs/>
                <w:color w:val="000000"/>
                <w:sz w:val="20"/>
                <w:szCs w:val="20"/>
                <w:vertAlign w:val="superscript"/>
              </w:rPr>
              <w:t>17</w:t>
            </w:r>
          </w:p>
        </w:tc>
        <w:tc>
          <w:tcPr>
            <w:tcW w:w="668" w:type="pct"/>
            <w:tcBorders>
              <w:top w:val="nil"/>
              <w:left w:val="nil"/>
              <w:bottom w:val="single" w:sz="4" w:space="0" w:color="auto"/>
              <w:right w:val="single" w:sz="4" w:space="0" w:color="auto"/>
            </w:tcBorders>
            <w:noWrap/>
            <w:tcMar>
              <w:left w:w="28" w:type="dxa"/>
              <w:right w:w="28" w:type="dxa"/>
            </w:tcMar>
            <w:hideMark/>
          </w:tcPr>
          <w:p w14:paraId="7E0D6737" w14:textId="4336280B" w:rsidR="00364D5B" w:rsidRPr="00C64F1F" w:rsidRDefault="00364D5B" w:rsidP="00B95A7E">
            <w:pPr>
              <w:keepNext/>
              <w:jc w:val="right"/>
              <w:rPr>
                <w:rFonts w:ascii="Arial Narrow" w:hAnsi="Arial Narrow" w:cs="Calibri"/>
                <w:b/>
                <w:bCs/>
                <w:color w:val="000000"/>
                <w:sz w:val="20"/>
                <w:szCs w:val="20"/>
                <w:vertAlign w:val="superscript"/>
              </w:rPr>
            </w:pPr>
            <w:r w:rsidRPr="00DC31EA">
              <w:rPr>
                <w:rFonts w:ascii="Arial Narrow" w:hAnsi="Arial Narrow" w:cs="Calibri"/>
                <w:b/>
                <w:bCs/>
                <w:color w:val="000000"/>
                <w:sz w:val="20"/>
                <w:szCs w:val="20"/>
              </w:rPr>
              <w:t>-$</w:t>
            </w:r>
            <w:r w:rsidR="00807021" w:rsidRPr="00807021">
              <w:rPr>
                <w:rFonts w:ascii="Arial Narrow" w:hAnsi="Arial Narrow" w:cs="Calibri"/>
                <w:b/>
                <w:bCs/>
                <w:color w:val="000000"/>
                <w:sz w:val="2"/>
                <w:szCs w:val="20"/>
                <w:highlight w:val="black"/>
              </w:rPr>
              <w:t>redacted content</w:t>
            </w:r>
            <w:r w:rsidR="00CD35E2">
              <w:rPr>
                <w:rFonts w:ascii="Arial Narrow" w:hAnsi="Arial Narrow" w:cs="Calibri"/>
                <w:b/>
                <w:bCs/>
                <w:color w:val="000000"/>
                <w:sz w:val="20"/>
                <w:szCs w:val="20"/>
                <w:vertAlign w:val="superscript"/>
              </w:rPr>
              <w:t>18</w:t>
            </w:r>
          </w:p>
        </w:tc>
      </w:tr>
      <w:tr w:rsidR="00E76E14" w:rsidRPr="00B07B9F" w14:paraId="5019D819" w14:textId="77777777" w:rsidTr="00AF29CF">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tcMar>
              <w:left w:w="28" w:type="dxa"/>
              <w:right w:w="28" w:type="dxa"/>
            </w:tcMar>
          </w:tcPr>
          <w:p w14:paraId="30B94F09" w14:textId="7A01BA68" w:rsidR="00E76E14" w:rsidRPr="00B07B9F" w:rsidRDefault="00E76E14" w:rsidP="007408B8">
            <w:pPr>
              <w:keepNext/>
              <w:jc w:val="left"/>
              <w:rPr>
                <w:rFonts w:ascii="Arial Narrow" w:hAnsi="Arial Narrow" w:cs="Calibri"/>
                <w:b/>
                <w:bCs/>
                <w:color w:val="000000"/>
                <w:sz w:val="20"/>
                <w:szCs w:val="20"/>
              </w:rPr>
            </w:pPr>
            <w:r>
              <w:rPr>
                <w:rFonts w:ascii="Arial Narrow" w:hAnsi="Arial Narrow" w:cs="Calibri"/>
                <w:b/>
                <w:bCs/>
                <w:color w:val="000000"/>
                <w:sz w:val="20"/>
                <w:szCs w:val="20"/>
              </w:rPr>
              <w:t>July 2025 submission</w:t>
            </w:r>
          </w:p>
        </w:tc>
      </w:tr>
      <w:tr w:rsidR="00E76E14" w:rsidRPr="003D3751" w14:paraId="52C83E0B" w14:textId="77777777" w:rsidTr="00AF29CF">
        <w:trPr>
          <w:cantSplit/>
        </w:trPr>
        <w:tc>
          <w:tcPr>
            <w:tcW w:w="991" w:type="pct"/>
            <w:tcBorders>
              <w:top w:val="nil"/>
              <w:left w:val="single" w:sz="4" w:space="0" w:color="auto"/>
              <w:bottom w:val="single" w:sz="4" w:space="0" w:color="auto"/>
              <w:right w:val="single" w:sz="4" w:space="0" w:color="auto"/>
            </w:tcBorders>
            <w:shd w:val="clear" w:color="auto" w:fill="B8CCE4" w:themeFill="accent1" w:themeFillTint="66"/>
            <w:tcMar>
              <w:left w:w="28" w:type="dxa"/>
              <w:right w:w="28" w:type="dxa"/>
            </w:tcMar>
            <w:hideMark/>
          </w:tcPr>
          <w:p w14:paraId="79F0C801" w14:textId="610FA58D" w:rsidR="00E76E14" w:rsidRPr="00562EF6" w:rsidRDefault="00E76E14">
            <w:pPr>
              <w:keepNext/>
              <w:jc w:val="left"/>
              <w:rPr>
                <w:rFonts w:ascii="Arial Narrow" w:hAnsi="Arial Narrow" w:cs="Calibri"/>
                <w:color w:val="000000"/>
                <w:sz w:val="20"/>
                <w:szCs w:val="20"/>
              </w:rPr>
            </w:pPr>
            <w:r w:rsidRPr="00562EF6">
              <w:rPr>
                <w:rFonts w:ascii="Arial Narrow" w:hAnsi="Arial Narrow" w:cs="Calibri"/>
                <w:color w:val="000000"/>
                <w:sz w:val="20"/>
                <w:szCs w:val="20"/>
              </w:rPr>
              <w:t xml:space="preserve">Total </w:t>
            </w:r>
            <w:r w:rsidR="008D68F3" w:rsidRPr="00562EF6">
              <w:rPr>
                <w:rFonts w:ascii="Arial Narrow" w:hAnsi="Arial Narrow" w:cs="Calibri"/>
                <w:color w:val="000000"/>
                <w:sz w:val="20"/>
                <w:szCs w:val="20"/>
              </w:rPr>
              <w:t xml:space="preserve">NEMO </w:t>
            </w:r>
            <w:r w:rsidRPr="00562EF6">
              <w:rPr>
                <w:rFonts w:ascii="Arial Narrow" w:hAnsi="Arial Narrow" w:cs="Calibri"/>
                <w:color w:val="000000"/>
                <w:sz w:val="20"/>
                <w:szCs w:val="20"/>
              </w:rPr>
              <w:t>scripts</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2535CA12" w14:textId="2EF0F312" w:rsidR="00E76E14" w:rsidRPr="00C64F1F" w:rsidRDefault="00807021">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0E5C22">
              <w:rPr>
                <w:rFonts w:ascii="Arial Narrow" w:hAnsi="Arial Narrow" w:cs="Calibri"/>
                <w:color w:val="000000"/>
                <w:sz w:val="20"/>
                <w:szCs w:val="20"/>
                <w:vertAlign w:val="superscript"/>
              </w:rPr>
              <w:t>4</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1B95EA2F" w14:textId="494A4B7B" w:rsidR="00E76E14" w:rsidRPr="00C64F1F" w:rsidRDefault="00807021">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EA6476">
              <w:rPr>
                <w:rFonts w:ascii="Arial Narrow" w:hAnsi="Arial Narrow" w:cs="Calibri"/>
                <w:color w:val="000000"/>
                <w:sz w:val="20"/>
                <w:szCs w:val="20"/>
                <w:vertAlign w:val="superscript"/>
              </w:rPr>
              <w:t>5</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6145D827" w14:textId="7385F57D" w:rsidR="00E76E14" w:rsidRPr="00C64F1F" w:rsidRDefault="00807021">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EA6476">
              <w:rPr>
                <w:rFonts w:ascii="Arial Narrow" w:hAnsi="Arial Narrow" w:cs="Calibri"/>
                <w:color w:val="000000"/>
                <w:sz w:val="20"/>
                <w:szCs w:val="20"/>
                <w:vertAlign w:val="superscript"/>
              </w:rPr>
              <w:t>7</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4F822A28" w14:textId="0D2E8ACF" w:rsidR="00E76E14" w:rsidRPr="00C64F1F" w:rsidRDefault="00807021">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EA6476">
              <w:rPr>
                <w:rFonts w:ascii="Arial Narrow" w:hAnsi="Arial Narrow" w:cs="Calibri"/>
                <w:color w:val="000000"/>
                <w:sz w:val="20"/>
                <w:szCs w:val="20"/>
                <w:vertAlign w:val="superscript"/>
              </w:rPr>
              <w:t>9</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4F982024" w14:textId="215AC0D1" w:rsidR="00E76E14" w:rsidRPr="00C64F1F" w:rsidRDefault="00807021">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7711F7">
              <w:rPr>
                <w:rFonts w:ascii="Arial Narrow" w:hAnsi="Arial Narrow" w:cs="Calibri"/>
                <w:color w:val="000000"/>
                <w:sz w:val="20"/>
                <w:szCs w:val="20"/>
                <w:vertAlign w:val="superscript"/>
              </w:rPr>
              <w:t>19</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1A15D63A" w14:textId="75DB2F6D" w:rsidR="00E76E14" w:rsidRPr="00C64F1F" w:rsidRDefault="00807021">
            <w:pPr>
              <w:keepNext/>
              <w:jc w:val="right"/>
              <w:rPr>
                <w:rFonts w:ascii="Arial Narrow" w:hAnsi="Arial Narrow" w:cs="Calibri"/>
                <w:color w:val="000000"/>
                <w:sz w:val="20"/>
                <w:szCs w:val="20"/>
                <w:vertAlign w:val="superscript"/>
              </w:rPr>
            </w:pPr>
            <w:r w:rsidRPr="00807021">
              <w:rPr>
                <w:rFonts w:ascii="Arial Narrow" w:hAnsi="Arial Narrow" w:cs="Calibri"/>
                <w:color w:val="000000"/>
                <w:sz w:val="2"/>
                <w:szCs w:val="20"/>
                <w:highlight w:val="black"/>
              </w:rPr>
              <w:t>redacted content</w:t>
            </w:r>
            <w:r w:rsidR="00C05DE3">
              <w:rPr>
                <w:rFonts w:ascii="Arial Narrow" w:hAnsi="Arial Narrow" w:cs="Calibri"/>
                <w:color w:val="000000"/>
                <w:sz w:val="20"/>
                <w:szCs w:val="20"/>
                <w:vertAlign w:val="superscript"/>
              </w:rPr>
              <w:t>20</w:t>
            </w:r>
          </w:p>
        </w:tc>
      </w:tr>
      <w:tr w:rsidR="00E76E14" w:rsidRPr="003D3751" w14:paraId="530C6402" w14:textId="77777777" w:rsidTr="00AF29CF">
        <w:trPr>
          <w:cantSplit/>
        </w:trPr>
        <w:tc>
          <w:tcPr>
            <w:tcW w:w="991" w:type="pct"/>
            <w:tcBorders>
              <w:top w:val="nil"/>
              <w:left w:val="single" w:sz="4" w:space="0" w:color="auto"/>
              <w:bottom w:val="single" w:sz="4" w:space="0" w:color="auto"/>
              <w:right w:val="single" w:sz="4" w:space="0" w:color="auto"/>
            </w:tcBorders>
            <w:shd w:val="clear" w:color="auto" w:fill="B8CCE4" w:themeFill="accent1" w:themeFillTint="66"/>
            <w:tcMar>
              <w:left w:w="28" w:type="dxa"/>
              <w:right w:w="28" w:type="dxa"/>
            </w:tcMar>
            <w:hideMark/>
          </w:tcPr>
          <w:p w14:paraId="318C3AA3" w14:textId="41C556BC" w:rsidR="00E76E14" w:rsidRPr="00562EF6" w:rsidRDefault="008D68F3">
            <w:pPr>
              <w:keepNext/>
              <w:jc w:val="left"/>
              <w:rPr>
                <w:rFonts w:ascii="Arial Narrow" w:hAnsi="Arial Narrow" w:cs="Calibri"/>
                <w:color w:val="000000"/>
                <w:sz w:val="20"/>
                <w:szCs w:val="20"/>
              </w:rPr>
            </w:pPr>
            <w:r w:rsidRPr="00562EF6">
              <w:rPr>
                <w:rFonts w:ascii="Arial Narrow" w:hAnsi="Arial Narrow" w:cs="Calibri"/>
                <w:color w:val="000000"/>
                <w:sz w:val="20"/>
                <w:szCs w:val="20"/>
              </w:rPr>
              <w:t>Cost of NEMO to</w:t>
            </w:r>
            <w:r w:rsidR="00807021">
              <w:rPr>
                <w:rFonts w:ascii="Arial Narrow" w:hAnsi="Arial Narrow" w:cs="Calibri"/>
                <w:color w:val="000000"/>
                <w:sz w:val="20"/>
                <w:szCs w:val="20"/>
              </w:rPr>
              <w:t xml:space="preserve"> </w:t>
            </w:r>
            <w:r w:rsidR="00E76E14" w:rsidRPr="00562EF6">
              <w:rPr>
                <w:rFonts w:ascii="Arial Narrow" w:hAnsi="Arial Narrow" w:cs="Calibri"/>
                <w:color w:val="000000"/>
                <w:sz w:val="20"/>
                <w:szCs w:val="20"/>
              </w:rPr>
              <w:t>PBS/</w:t>
            </w:r>
            <w:r w:rsidR="003D3751">
              <w:rPr>
                <w:rFonts w:ascii="Arial Narrow" w:hAnsi="Arial Narrow" w:cs="Calibri"/>
                <w:color w:val="000000"/>
                <w:sz w:val="20"/>
                <w:szCs w:val="20"/>
              </w:rPr>
              <w:t xml:space="preserve"> </w:t>
            </w:r>
            <w:r w:rsidR="00E76E14" w:rsidRPr="00562EF6">
              <w:rPr>
                <w:rFonts w:ascii="Arial Narrow" w:hAnsi="Arial Narrow" w:cs="Calibri"/>
                <w:color w:val="000000"/>
                <w:sz w:val="20"/>
                <w:szCs w:val="20"/>
              </w:rPr>
              <w:t>RPBS less copayments</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6BB24E1D" w14:textId="1F3348AD" w:rsidR="00E76E14" w:rsidRPr="00562EF6" w:rsidRDefault="00E76E14">
            <w:pPr>
              <w:keepNext/>
              <w:jc w:val="right"/>
              <w:rPr>
                <w:rFonts w:ascii="Arial Narrow" w:hAnsi="Arial Narrow" w:cs="Calibri"/>
                <w:color w:val="000000"/>
                <w:sz w:val="20"/>
                <w:szCs w:val="20"/>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 xml:space="preserve">redacted </w:t>
            </w:r>
            <w:r w:rsidR="00807021" w:rsidRPr="005266D5">
              <w:rPr>
                <w:rFonts w:ascii="Arial Narrow" w:hAnsi="Arial Narrow" w:cs="Calibri"/>
                <w:color w:val="000000"/>
                <w:sz w:val="2"/>
                <w:szCs w:val="20"/>
                <w:highlight w:val="black"/>
                <w:vertAlign w:val="superscript"/>
              </w:rPr>
              <w:t>cont</w:t>
            </w:r>
            <w:r w:rsidR="005266D5">
              <w:rPr>
                <w:rFonts w:ascii="Arial Narrow" w:hAnsi="Arial Narrow" w:cs="Calibri"/>
                <w:color w:val="000000"/>
                <w:sz w:val="2"/>
                <w:szCs w:val="20"/>
                <w:highlight w:val="black"/>
                <w:vertAlign w:val="superscript"/>
              </w:rPr>
              <w:t>22</w:t>
            </w:r>
            <w:r w:rsidR="005266D5" w:rsidRPr="005266D5">
              <w:rPr>
                <w:rFonts w:ascii="Arial Narrow" w:hAnsi="Arial Narrow" w:cs="Calibri"/>
                <w:color w:val="000000"/>
                <w:sz w:val="20"/>
                <w:szCs w:val="20"/>
                <w:vertAlign w:val="superscript"/>
              </w:rPr>
              <w:t>22</w:t>
            </w:r>
            <w:r w:rsidR="00807021" w:rsidRPr="005266D5">
              <w:rPr>
                <w:rFonts w:ascii="Arial Narrow" w:hAnsi="Arial Narrow" w:cs="Calibri"/>
                <w:color w:val="000000"/>
                <w:sz w:val="2"/>
                <w:szCs w:val="20"/>
                <w:highlight w:val="black"/>
                <w:vertAlign w:val="superscript"/>
              </w:rPr>
              <w:t>t</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326B92A4" w14:textId="234AAE0D" w:rsidR="00E76E14" w:rsidRPr="00C64F1F" w:rsidRDefault="00E76E14">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432F38">
              <w:rPr>
                <w:rFonts w:ascii="Arial Narrow" w:hAnsi="Arial Narrow" w:cs="Calibri"/>
                <w:color w:val="000000"/>
                <w:sz w:val="20"/>
                <w:szCs w:val="20"/>
                <w:vertAlign w:val="superscript"/>
              </w:rPr>
              <w:t>12</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63E56AD4" w14:textId="472056D2" w:rsidR="00E76E14" w:rsidRPr="00C64F1F" w:rsidRDefault="00E76E14">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432F38">
              <w:rPr>
                <w:rFonts w:ascii="Arial Narrow" w:hAnsi="Arial Narrow" w:cs="Calibri"/>
                <w:color w:val="000000"/>
                <w:sz w:val="20"/>
                <w:szCs w:val="20"/>
                <w:vertAlign w:val="superscript"/>
              </w:rPr>
              <w:t>12</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73402B44" w14:textId="6D8D0971" w:rsidR="00E76E14" w:rsidRPr="00C64F1F" w:rsidRDefault="00E76E14">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A23227">
              <w:rPr>
                <w:rFonts w:ascii="Arial Narrow" w:hAnsi="Arial Narrow" w:cs="Calibri"/>
                <w:color w:val="000000"/>
                <w:sz w:val="20"/>
                <w:szCs w:val="20"/>
                <w:vertAlign w:val="superscript"/>
              </w:rPr>
              <w:t>13</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7FC8D140" w14:textId="3CE64092" w:rsidR="00E76E14" w:rsidRPr="00C64F1F" w:rsidRDefault="00E76E14">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0C34CD">
              <w:rPr>
                <w:rFonts w:ascii="Arial Narrow" w:hAnsi="Arial Narrow" w:cs="Calibri"/>
                <w:color w:val="000000"/>
                <w:sz w:val="20"/>
                <w:szCs w:val="20"/>
                <w:vertAlign w:val="superscript"/>
              </w:rPr>
              <w:t>14</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561086B3" w14:textId="2B8785E3" w:rsidR="00E76E14" w:rsidRPr="00C64F1F" w:rsidRDefault="00E76E14">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0C34CD">
              <w:rPr>
                <w:rFonts w:ascii="Arial Narrow" w:hAnsi="Arial Narrow" w:cs="Calibri"/>
                <w:color w:val="000000"/>
                <w:sz w:val="20"/>
                <w:szCs w:val="20"/>
                <w:vertAlign w:val="superscript"/>
              </w:rPr>
              <w:t>14</w:t>
            </w:r>
          </w:p>
        </w:tc>
      </w:tr>
      <w:tr w:rsidR="008D68F3" w:rsidRPr="003D3751" w14:paraId="7983C311" w14:textId="77777777" w:rsidTr="00AF29CF">
        <w:trPr>
          <w:cantSplit/>
        </w:trPr>
        <w:tc>
          <w:tcPr>
            <w:tcW w:w="991" w:type="pct"/>
            <w:tcBorders>
              <w:top w:val="nil"/>
              <w:left w:val="single" w:sz="4" w:space="0" w:color="auto"/>
              <w:bottom w:val="single" w:sz="4" w:space="0" w:color="auto"/>
              <w:right w:val="single" w:sz="4" w:space="0" w:color="auto"/>
            </w:tcBorders>
            <w:shd w:val="clear" w:color="auto" w:fill="B8CCE4" w:themeFill="accent1" w:themeFillTint="66"/>
            <w:tcMar>
              <w:left w:w="28" w:type="dxa"/>
              <w:right w:w="28" w:type="dxa"/>
            </w:tcMar>
            <w:hideMark/>
          </w:tcPr>
          <w:p w14:paraId="265C6F7A" w14:textId="3DA4F49A" w:rsidR="008D68F3" w:rsidRPr="00562EF6" w:rsidRDefault="008D68F3">
            <w:pPr>
              <w:keepNext/>
              <w:jc w:val="left"/>
              <w:rPr>
                <w:rFonts w:ascii="Arial Narrow" w:hAnsi="Arial Narrow" w:cs="Calibri"/>
                <w:color w:val="000000"/>
                <w:sz w:val="20"/>
                <w:szCs w:val="20"/>
              </w:rPr>
            </w:pPr>
            <w:r w:rsidRPr="00562EF6">
              <w:rPr>
                <w:rFonts w:ascii="Arial Narrow" w:hAnsi="Arial Narrow" w:cs="Calibri"/>
                <w:color w:val="000000"/>
                <w:sz w:val="20"/>
                <w:szCs w:val="20"/>
              </w:rPr>
              <w:t xml:space="preserve">Total </w:t>
            </w:r>
            <w:r w:rsidR="007408B8" w:rsidRPr="00562EF6">
              <w:rPr>
                <w:rFonts w:ascii="Arial Narrow" w:hAnsi="Arial Narrow" w:cs="Calibri"/>
                <w:color w:val="000000"/>
                <w:sz w:val="20"/>
                <w:szCs w:val="20"/>
              </w:rPr>
              <w:t xml:space="preserve">DUPI and UPA </w:t>
            </w:r>
            <w:r w:rsidRPr="00562EF6">
              <w:rPr>
                <w:rFonts w:ascii="Arial Narrow" w:hAnsi="Arial Narrow" w:cs="Calibri"/>
                <w:color w:val="000000"/>
                <w:sz w:val="20"/>
                <w:szCs w:val="20"/>
              </w:rPr>
              <w:t>scripts</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432D722A" w14:textId="63E28992"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302353">
              <w:rPr>
                <w:rFonts w:ascii="Arial Narrow" w:hAnsi="Arial Narrow" w:cs="Calibri"/>
                <w:color w:val="000000"/>
                <w:sz w:val="20"/>
                <w:szCs w:val="20"/>
                <w:vertAlign w:val="superscript"/>
              </w:rPr>
              <w:t>6</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41817CBD" w14:textId="01CF47E3"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57286A">
              <w:rPr>
                <w:rFonts w:ascii="Arial Narrow" w:hAnsi="Arial Narrow" w:cs="Calibri"/>
                <w:color w:val="000000"/>
                <w:sz w:val="20"/>
                <w:szCs w:val="20"/>
                <w:vertAlign w:val="superscript"/>
              </w:rPr>
              <w:t>9</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1F9B4371" w14:textId="57CD7A18"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6460BE">
              <w:rPr>
                <w:rFonts w:ascii="Arial Narrow" w:hAnsi="Arial Narrow" w:cs="Calibri"/>
                <w:color w:val="000000"/>
                <w:sz w:val="20"/>
                <w:szCs w:val="20"/>
                <w:vertAlign w:val="superscript"/>
              </w:rPr>
              <w:t>15</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2277054B" w14:textId="0A8AD652"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6460BE">
              <w:rPr>
                <w:rFonts w:ascii="Arial Narrow" w:hAnsi="Arial Narrow" w:cs="Calibri"/>
                <w:color w:val="000000"/>
                <w:sz w:val="20"/>
                <w:szCs w:val="20"/>
                <w:vertAlign w:val="superscript"/>
              </w:rPr>
              <w:t>15</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4B12CD69" w14:textId="18EA0631"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6460BE">
              <w:rPr>
                <w:rFonts w:ascii="Arial Narrow" w:hAnsi="Arial Narrow" w:cs="Calibri"/>
                <w:color w:val="000000"/>
                <w:sz w:val="20"/>
                <w:szCs w:val="20"/>
                <w:vertAlign w:val="superscript"/>
              </w:rPr>
              <w:t>15</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2B5F13B5" w14:textId="3BC7F38C"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3A6287">
              <w:rPr>
                <w:rFonts w:ascii="Arial Narrow" w:hAnsi="Arial Narrow" w:cs="Calibri"/>
                <w:color w:val="000000"/>
                <w:sz w:val="20"/>
                <w:szCs w:val="20"/>
                <w:vertAlign w:val="superscript"/>
              </w:rPr>
              <w:t>21</w:t>
            </w:r>
          </w:p>
        </w:tc>
      </w:tr>
      <w:tr w:rsidR="008D68F3" w:rsidRPr="003D3751" w14:paraId="77057D4F" w14:textId="77777777" w:rsidTr="00AF29CF">
        <w:trPr>
          <w:cantSplit/>
        </w:trPr>
        <w:tc>
          <w:tcPr>
            <w:tcW w:w="991" w:type="pct"/>
            <w:tcBorders>
              <w:top w:val="nil"/>
              <w:left w:val="single" w:sz="4" w:space="0" w:color="auto"/>
              <w:bottom w:val="single" w:sz="4" w:space="0" w:color="auto"/>
              <w:right w:val="single" w:sz="4" w:space="0" w:color="auto"/>
            </w:tcBorders>
            <w:shd w:val="clear" w:color="auto" w:fill="B8CCE4" w:themeFill="accent1" w:themeFillTint="66"/>
            <w:tcMar>
              <w:left w:w="28" w:type="dxa"/>
              <w:right w:w="28" w:type="dxa"/>
            </w:tcMar>
            <w:hideMark/>
          </w:tcPr>
          <w:p w14:paraId="546194F4" w14:textId="668DC23C" w:rsidR="008D68F3" w:rsidRPr="00562EF6" w:rsidRDefault="007408B8">
            <w:pPr>
              <w:keepNext/>
              <w:jc w:val="left"/>
              <w:rPr>
                <w:rFonts w:ascii="Arial Narrow" w:hAnsi="Arial Narrow" w:cs="Calibri"/>
                <w:color w:val="000000"/>
                <w:sz w:val="20"/>
                <w:szCs w:val="20"/>
              </w:rPr>
            </w:pPr>
            <w:r w:rsidRPr="00562EF6">
              <w:rPr>
                <w:rFonts w:ascii="Arial Narrow" w:hAnsi="Arial Narrow" w:cs="Calibri"/>
                <w:color w:val="000000"/>
                <w:sz w:val="20"/>
                <w:szCs w:val="20"/>
              </w:rPr>
              <w:t xml:space="preserve">Cost offsets of DUPI and </w:t>
            </w:r>
            <w:r w:rsidR="003D3751">
              <w:rPr>
                <w:rFonts w:ascii="Arial Narrow" w:hAnsi="Arial Narrow" w:cs="Calibri"/>
                <w:color w:val="000000"/>
                <w:sz w:val="20"/>
                <w:szCs w:val="20"/>
              </w:rPr>
              <w:t>UPA</w:t>
            </w:r>
            <w:r w:rsidRPr="00562EF6">
              <w:rPr>
                <w:rFonts w:ascii="Arial Narrow" w:hAnsi="Arial Narrow" w:cs="Calibri"/>
                <w:color w:val="000000"/>
                <w:sz w:val="20"/>
                <w:szCs w:val="20"/>
              </w:rPr>
              <w:t xml:space="preserve"> to </w:t>
            </w:r>
            <w:r w:rsidR="008D68F3" w:rsidRPr="00562EF6">
              <w:rPr>
                <w:rFonts w:ascii="Arial Narrow" w:hAnsi="Arial Narrow" w:cs="Calibri"/>
                <w:color w:val="000000"/>
                <w:sz w:val="20"/>
                <w:szCs w:val="20"/>
              </w:rPr>
              <w:t>PBS/RPBS less copayments</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3E9C3BAB" w14:textId="6027E6C8" w:rsidR="008D68F3" w:rsidRPr="00562EF6" w:rsidRDefault="008D68F3" w:rsidP="00471979">
            <w:pPr>
              <w:keepNext/>
              <w:jc w:val="right"/>
              <w:rPr>
                <w:rFonts w:ascii="Arial Narrow" w:hAnsi="Arial Narrow" w:cs="Calibri"/>
                <w:color w:val="000000"/>
                <w:sz w:val="20"/>
                <w:szCs w:val="20"/>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471979" w:rsidRPr="00471979">
              <w:rPr>
                <w:rFonts w:ascii="Arial Narrow" w:hAnsi="Arial Narrow"/>
                <w:iCs/>
                <w:sz w:val="20"/>
                <w:szCs w:val="20"/>
                <w:vertAlign w:val="superscript"/>
              </w:rPr>
              <w:t>22</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0AA9DF99" w14:textId="69E7FE97"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432F38">
              <w:rPr>
                <w:rFonts w:ascii="Arial Narrow" w:hAnsi="Arial Narrow" w:cs="Calibri"/>
                <w:color w:val="000000"/>
                <w:sz w:val="20"/>
                <w:szCs w:val="20"/>
                <w:vertAlign w:val="superscript"/>
              </w:rPr>
              <w:t>12</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31F3A735" w14:textId="2E769470"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432F38">
              <w:rPr>
                <w:rFonts w:ascii="Arial Narrow" w:hAnsi="Arial Narrow" w:cs="Calibri"/>
                <w:color w:val="000000"/>
                <w:sz w:val="20"/>
                <w:szCs w:val="20"/>
                <w:vertAlign w:val="superscript"/>
              </w:rPr>
              <w:t>12</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6B625FB0" w14:textId="489D90C6"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A23227">
              <w:rPr>
                <w:rFonts w:ascii="Arial Narrow" w:hAnsi="Arial Narrow" w:cs="Calibri"/>
                <w:color w:val="000000"/>
                <w:sz w:val="20"/>
                <w:szCs w:val="20"/>
                <w:vertAlign w:val="superscript"/>
              </w:rPr>
              <w:t>13</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37FDCF0F" w14:textId="0FBFBF7C"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0C34CD">
              <w:rPr>
                <w:rFonts w:ascii="Arial Narrow" w:hAnsi="Arial Narrow" w:cs="Calibri"/>
                <w:color w:val="000000"/>
                <w:sz w:val="20"/>
                <w:szCs w:val="20"/>
                <w:vertAlign w:val="superscript"/>
              </w:rPr>
              <w:t>14</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1EFD507D" w14:textId="08C3C519"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CD35E2">
              <w:rPr>
                <w:rFonts w:ascii="Arial Narrow" w:hAnsi="Arial Narrow" w:cs="Calibri"/>
                <w:color w:val="000000"/>
                <w:sz w:val="20"/>
                <w:szCs w:val="20"/>
                <w:vertAlign w:val="superscript"/>
              </w:rPr>
              <w:t>14</w:t>
            </w:r>
          </w:p>
        </w:tc>
      </w:tr>
      <w:tr w:rsidR="008D68F3" w:rsidRPr="003D3751" w14:paraId="29F553BD" w14:textId="77777777" w:rsidTr="00AF29CF">
        <w:trPr>
          <w:cantSplit/>
        </w:trPr>
        <w:tc>
          <w:tcPr>
            <w:tcW w:w="991" w:type="pct"/>
            <w:tcBorders>
              <w:top w:val="nil"/>
              <w:left w:val="single" w:sz="4" w:space="0" w:color="auto"/>
              <w:bottom w:val="single" w:sz="4" w:space="0" w:color="auto"/>
              <w:right w:val="single" w:sz="4" w:space="0" w:color="auto"/>
            </w:tcBorders>
            <w:shd w:val="clear" w:color="auto" w:fill="B8CCE4" w:themeFill="accent1" w:themeFillTint="66"/>
            <w:tcMar>
              <w:left w:w="28" w:type="dxa"/>
              <w:right w:w="28" w:type="dxa"/>
            </w:tcMar>
            <w:hideMark/>
          </w:tcPr>
          <w:p w14:paraId="6E21F911" w14:textId="3AD6DAE8" w:rsidR="008D68F3" w:rsidRPr="00562EF6" w:rsidRDefault="008D68F3">
            <w:pPr>
              <w:keepNext/>
              <w:jc w:val="left"/>
              <w:rPr>
                <w:rFonts w:ascii="Arial Narrow" w:hAnsi="Arial Narrow" w:cs="Calibri"/>
                <w:color w:val="000000"/>
                <w:sz w:val="20"/>
                <w:szCs w:val="20"/>
              </w:rPr>
            </w:pPr>
            <w:r w:rsidRPr="00562EF6">
              <w:rPr>
                <w:rFonts w:ascii="Arial Narrow" w:hAnsi="Arial Narrow" w:cs="Calibri"/>
                <w:color w:val="000000"/>
                <w:sz w:val="20"/>
                <w:szCs w:val="20"/>
              </w:rPr>
              <w:t xml:space="preserve">Net </w:t>
            </w:r>
            <w:r w:rsidR="007408B8" w:rsidRPr="00562EF6">
              <w:rPr>
                <w:rFonts w:ascii="Arial Narrow" w:hAnsi="Arial Narrow" w:cs="Calibri"/>
                <w:color w:val="000000"/>
                <w:sz w:val="20"/>
                <w:szCs w:val="20"/>
              </w:rPr>
              <w:t xml:space="preserve">cost of NEMO to </w:t>
            </w:r>
            <w:r w:rsidRPr="00562EF6">
              <w:rPr>
                <w:rFonts w:ascii="Arial Narrow" w:hAnsi="Arial Narrow" w:cs="Calibri"/>
                <w:color w:val="000000"/>
                <w:sz w:val="20"/>
                <w:szCs w:val="20"/>
              </w:rPr>
              <w:t xml:space="preserve">PBS/RPBS </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285CED26" w14:textId="44E0E59F"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A20FF6">
              <w:rPr>
                <w:rFonts w:ascii="Arial Narrow" w:hAnsi="Arial Narrow" w:cs="Calibri"/>
                <w:color w:val="000000"/>
                <w:sz w:val="20"/>
                <w:szCs w:val="20"/>
                <w:vertAlign w:val="superscript"/>
              </w:rPr>
              <w:t>17</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10029AE8" w14:textId="645EADDF"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A20FF6">
              <w:rPr>
                <w:rFonts w:ascii="Arial Narrow" w:hAnsi="Arial Narrow" w:cs="Calibri"/>
                <w:color w:val="000000"/>
                <w:sz w:val="20"/>
                <w:szCs w:val="20"/>
                <w:vertAlign w:val="superscript"/>
              </w:rPr>
              <w:t>17</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4EFD706D" w14:textId="21C10A40" w:rsidR="008D68F3" w:rsidRPr="00C64F1F" w:rsidRDefault="008D68F3">
            <w:pPr>
              <w:keepNext/>
              <w:jc w:val="right"/>
              <w:rPr>
                <w:rFonts w:ascii="Arial Narrow" w:hAnsi="Arial Narrow" w:cs="Calibri"/>
                <w:color w:val="000000"/>
                <w:sz w:val="20"/>
                <w:szCs w:val="20"/>
                <w:vertAlign w:val="superscript"/>
              </w:rPr>
            </w:pPr>
            <w:r w:rsidRPr="00470F65">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A20FF6">
              <w:rPr>
                <w:rFonts w:ascii="Arial Narrow" w:hAnsi="Arial Narrow" w:cs="Calibri"/>
                <w:color w:val="000000"/>
                <w:sz w:val="20"/>
                <w:szCs w:val="20"/>
                <w:vertAlign w:val="superscript"/>
              </w:rPr>
              <w:t>17</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6BCEDDA3" w14:textId="3DD13A7E"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A20FF6">
              <w:rPr>
                <w:rFonts w:ascii="Arial Narrow" w:hAnsi="Arial Narrow" w:cs="Calibri"/>
                <w:color w:val="000000"/>
                <w:sz w:val="20"/>
                <w:szCs w:val="20"/>
                <w:vertAlign w:val="superscript"/>
              </w:rPr>
              <w:t>17</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7A19A076" w14:textId="6F2498A2"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A20FF6">
              <w:rPr>
                <w:rFonts w:ascii="Arial Narrow" w:hAnsi="Arial Narrow" w:cs="Calibri"/>
                <w:color w:val="000000"/>
                <w:sz w:val="20"/>
                <w:szCs w:val="20"/>
                <w:vertAlign w:val="superscript"/>
              </w:rPr>
              <w:t>17</w:t>
            </w:r>
          </w:p>
        </w:tc>
        <w:tc>
          <w:tcPr>
            <w:tcW w:w="668" w:type="pct"/>
            <w:tcBorders>
              <w:top w:val="nil"/>
              <w:left w:val="nil"/>
              <w:bottom w:val="single" w:sz="4" w:space="0" w:color="auto"/>
              <w:right w:val="single" w:sz="4" w:space="0" w:color="auto"/>
            </w:tcBorders>
            <w:shd w:val="clear" w:color="auto" w:fill="B8CCE4" w:themeFill="accent1" w:themeFillTint="66"/>
            <w:noWrap/>
            <w:tcMar>
              <w:left w:w="28" w:type="dxa"/>
              <w:right w:w="28" w:type="dxa"/>
            </w:tcMar>
            <w:hideMark/>
          </w:tcPr>
          <w:p w14:paraId="442DBE96" w14:textId="2C319AA3" w:rsidR="008D68F3" w:rsidRPr="00C64F1F" w:rsidRDefault="008D68F3">
            <w:pPr>
              <w:keepNext/>
              <w:jc w:val="right"/>
              <w:rPr>
                <w:rFonts w:ascii="Arial Narrow" w:hAnsi="Arial Narrow" w:cs="Calibri"/>
                <w:color w:val="000000"/>
                <w:sz w:val="20"/>
                <w:szCs w:val="20"/>
                <w:vertAlign w:val="superscript"/>
              </w:rPr>
            </w:pPr>
            <w:r w:rsidRPr="00562EF6">
              <w:rPr>
                <w:rFonts w:ascii="Arial Narrow" w:hAnsi="Arial Narrow" w:cs="Calibri"/>
                <w:color w:val="000000"/>
                <w:sz w:val="20"/>
                <w:szCs w:val="20"/>
              </w:rPr>
              <w:t>-$</w:t>
            </w:r>
            <w:r w:rsidR="00807021" w:rsidRPr="00807021">
              <w:rPr>
                <w:rFonts w:ascii="Arial Narrow" w:hAnsi="Arial Narrow" w:cs="Calibri"/>
                <w:color w:val="000000"/>
                <w:sz w:val="2"/>
                <w:szCs w:val="20"/>
                <w:highlight w:val="black"/>
              </w:rPr>
              <w:t>redacted content</w:t>
            </w:r>
            <w:r w:rsidR="00CD35E2">
              <w:rPr>
                <w:rFonts w:ascii="Arial Narrow" w:hAnsi="Arial Narrow" w:cs="Calibri"/>
                <w:color w:val="000000"/>
                <w:sz w:val="20"/>
                <w:szCs w:val="20"/>
                <w:vertAlign w:val="superscript"/>
              </w:rPr>
              <w:t>18</w:t>
            </w:r>
          </w:p>
        </w:tc>
      </w:tr>
    </w:tbl>
    <w:p w14:paraId="2759F59B" w14:textId="4BF6E43D" w:rsidR="00364D5B" w:rsidRPr="00DC31EA" w:rsidRDefault="00364D5B" w:rsidP="00945471">
      <w:pPr>
        <w:pStyle w:val="TableFigureFooter"/>
        <w:rPr>
          <w:i/>
          <w:iCs/>
        </w:rPr>
      </w:pPr>
      <w:r w:rsidRPr="00DC31EA">
        <w:t xml:space="preserve">Source: The financial estimates from the </w:t>
      </w:r>
      <w:r w:rsidR="00BC2527" w:rsidRPr="00DC31EA">
        <w:t>re</w:t>
      </w:r>
      <w:r w:rsidRPr="00DC31EA">
        <w:t>submission: 3a. Scripts - proposed; 3b. Impact - proposed (pub); 4a. Scripts - affected; 4b. Impact - affected (pub); 5. Impact - net.</w:t>
      </w:r>
    </w:p>
    <w:p w14:paraId="218BBAA8" w14:textId="77777777" w:rsidR="007F2C11" w:rsidRPr="00DC31EA" w:rsidRDefault="007F2C11" w:rsidP="00945471">
      <w:pPr>
        <w:pStyle w:val="TableFigureFooter"/>
        <w:rPr>
          <w:i/>
          <w:iCs/>
        </w:rPr>
      </w:pPr>
      <w:r w:rsidRPr="00DC31EA">
        <w:t>DUPI = Dupilumab; NEMO = Nemolizumab; PBS = Pharmaceutical Benefits Scheme; RPBS = Repatriation Pharmaceutical Benefits Schedule; UPA = Upadacitinib.</w:t>
      </w:r>
    </w:p>
    <w:p w14:paraId="2B3D344C" w14:textId="77777777" w:rsidR="00626E15" w:rsidRDefault="00364D5B" w:rsidP="00626E15">
      <w:pPr>
        <w:pStyle w:val="TableFigureFooter"/>
        <w:rPr>
          <w:rFonts w:eastAsia="Times New Roman" w:cstheme="minorHAnsi"/>
          <w:bCs/>
          <w:i/>
          <w:iCs/>
          <w:szCs w:val="18"/>
        </w:rPr>
      </w:pPr>
      <w:r w:rsidRPr="00DC31EA">
        <w:t xml:space="preserve">Note: </w:t>
      </w:r>
      <w:r w:rsidRPr="00DC31EA">
        <w:rPr>
          <w:shd w:val="clear" w:color="auto" w:fill="B8CCE4" w:themeFill="accent1" w:themeFillTint="66"/>
        </w:rPr>
        <w:t>Blue shading</w:t>
      </w:r>
      <w:r w:rsidRPr="00DC31EA">
        <w:t xml:space="preserve"> indicates data previously seen by the PBAC in July 2025.</w:t>
      </w:r>
    </w:p>
    <w:p w14:paraId="06FAD3CF" w14:textId="5C32FDBD" w:rsidR="00626E15" w:rsidRPr="00626E15" w:rsidRDefault="00626E15" w:rsidP="00626E15">
      <w:pPr>
        <w:pStyle w:val="TableFigureFooter"/>
        <w:rPr>
          <w:bCs/>
          <w:i/>
          <w:iCs/>
        </w:rPr>
      </w:pPr>
      <w:r w:rsidRPr="00626E15">
        <w:rPr>
          <w:bCs/>
          <w:i/>
          <w:iCs/>
        </w:rPr>
        <w:t xml:space="preserve">The redacted values correspond to the following ranges: </w:t>
      </w:r>
    </w:p>
    <w:p w14:paraId="5F9C521D" w14:textId="47CDE313" w:rsidR="00626E15" w:rsidRPr="00626E15" w:rsidRDefault="00626E15" w:rsidP="00626E15">
      <w:pPr>
        <w:pStyle w:val="TableFigureFooter"/>
        <w:rPr>
          <w:i/>
        </w:rPr>
      </w:pPr>
      <w:r w:rsidRPr="00626E15">
        <w:rPr>
          <w:i/>
          <w:vertAlign w:val="superscript"/>
        </w:rPr>
        <w:t>1</w:t>
      </w:r>
      <w:r w:rsidRPr="00626E15">
        <w:rPr>
          <w:i/>
        </w:rPr>
        <w:t xml:space="preserve"> </w:t>
      </w:r>
      <w:r w:rsidR="004F6364" w:rsidRPr="004F6364">
        <w:rPr>
          <w:i/>
        </w:rPr>
        <w:t>500 to &lt; 5,000</w:t>
      </w:r>
    </w:p>
    <w:p w14:paraId="0B06F8EE" w14:textId="4951D7AD" w:rsidR="00626E15" w:rsidRPr="00626E15" w:rsidRDefault="00626E15" w:rsidP="00626E15">
      <w:pPr>
        <w:pStyle w:val="TableFigureFooter"/>
        <w:rPr>
          <w:i/>
        </w:rPr>
      </w:pPr>
      <w:r w:rsidRPr="00626E15">
        <w:rPr>
          <w:i/>
          <w:vertAlign w:val="superscript"/>
        </w:rPr>
        <w:t>2</w:t>
      </w:r>
      <w:r w:rsidRPr="00626E15">
        <w:rPr>
          <w:i/>
        </w:rPr>
        <w:t xml:space="preserve"> </w:t>
      </w:r>
      <w:r w:rsidR="00C44188" w:rsidRPr="00C44188">
        <w:rPr>
          <w:i/>
        </w:rPr>
        <w:t>5,000 to &lt; 10,000</w:t>
      </w:r>
    </w:p>
    <w:p w14:paraId="2588867F" w14:textId="1B30474C" w:rsidR="00626E15" w:rsidRPr="003E15F8" w:rsidRDefault="00626E15" w:rsidP="00626E15">
      <w:pPr>
        <w:pStyle w:val="TableFigureFooter"/>
        <w:rPr>
          <w:bCs/>
          <w:i/>
        </w:rPr>
      </w:pPr>
      <w:r w:rsidRPr="00626E15">
        <w:rPr>
          <w:i/>
          <w:vertAlign w:val="superscript"/>
        </w:rPr>
        <w:t>3</w:t>
      </w:r>
      <w:r w:rsidRPr="00626E15">
        <w:rPr>
          <w:i/>
        </w:rPr>
        <w:t xml:space="preserve"> </w:t>
      </w:r>
      <w:r w:rsidR="003E15F8" w:rsidRPr="003E15F8">
        <w:rPr>
          <w:bCs/>
          <w:i/>
        </w:rPr>
        <w:t>10,000 to &lt; 20,000</w:t>
      </w:r>
    </w:p>
    <w:p w14:paraId="019C8D48" w14:textId="3583E1CD" w:rsidR="00626E15" w:rsidRPr="00626E15" w:rsidRDefault="00626E15" w:rsidP="00626E15">
      <w:pPr>
        <w:pStyle w:val="TableFigureFooter"/>
        <w:rPr>
          <w:i/>
        </w:rPr>
      </w:pPr>
      <w:r w:rsidRPr="00626E15">
        <w:rPr>
          <w:i/>
          <w:vertAlign w:val="superscript"/>
        </w:rPr>
        <w:t>4</w:t>
      </w:r>
      <w:r w:rsidRPr="00626E15">
        <w:rPr>
          <w:i/>
        </w:rPr>
        <w:t xml:space="preserve"> </w:t>
      </w:r>
      <w:r w:rsidR="000E5C22" w:rsidRPr="000E5C22">
        <w:rPr>
          <w:i/>
        </w:rPr>
        <w:t>20,000 to &lt; 30,000</w:t>
      </w:r>
    </w:p>
    <w:p w14:paraId="6DE4C025" w14:textId="279DE5AF" w:rsidR="00626E15" w:rsidRPr="00626E15" w:rsidRDefault="00626E15" w:rsidP="00626E15">
      <w:pPr>
        <w:pStyle w:val="TableFigureFooter"/>
        <w:rPr>
          <w:i/>
        </w:rPr>
      </w:pPr>
      <w:r w:rsidRPr="00626E15">
        <w:rPr>
          <w:i/>
          <w:vertAlign w:val="superscript"/>
        </w:rPr>
        <w:lastRenderedPageBreak/>
        <w:t>5</w:t>
      </w:r>
      <w:r w:rsidRPr="00626E15">
        <w:rPr>
          <w:i/>
        </w:rPr>
        <w:t xml:space="preserve"> </w:t>
      </w:r>
      <w:r w:rsidR="00FE4000" w:rsidRPr="00FE4000">
        <w:rPr>
          <w:i/>
        </w:rPr>
        <w:t>30,000 to &lt; 40,000</w:t>
      </w:r>
    </w:p>
    <w:p w14:paraId="1DB2C635" w14:textId="5B240885" w:rsidR="000E5C22" w:rsidRPr="00C64F1F" w:rsidRDefault="00626E15" w:rsidP="00626E15">
      <w:pPr>
        <w:pStyle w:val="TableFigureFooter"/>
        <w:rPr>
          <w:i/>
        </w:rPr>
      </w:pPr>
      <w:r w:rsidRPr="00626E15">
        <w:rPr>
          <w:i/>
          <w:vertAlign w:val="superscript"/>
        </w:rPr>
        <w:t>6</w:t>
      </w:r>
      <w:r w:rsidR="00E21B19">
        <w:rPr>
          <w:i/>
          <w:vertAlign w:val="superscript"/>
        </w:rPr>
        <w:t xml:space="preserve"> </w:t>
      </w:r>
      <w:r w:rsidR="00E21B19" w:rsidRPr="00E21B19">
        <w:rPr>
          <w:i/>
        </w:rPr>
        <w:t>40,000 to &lt; 50,000</w:t>
      </w:r>
    </w:p>
    <w:p w14:paraId="7D39D03F" w14:textId="5B01161E" w:rsidR="000E5C22" w:rsidRPr="00C64F1F" w:rsidRDefault="000E5C22" w:rsidP="00626E15">
      <w:pPr>
        <w:pStyle w:val="TableFigureFooter"/>
        <w:rPr>
          <w:i/>
        </w:rPr>
      </w:pPr>
      <w:r>
        <w:rPr>
          <w:i/>
          <w:vertAlign w:val="superscript"/>
        </w:rPr>
        <w:t>7</w:t>
      </w:r>
      <w:r w:rsidR="003E399F">
        <w:rPr>
          <w:i/>
          <w:vertAlign w:val="superscript"/>
        </w:rPr>
        <w:t xml:space="preserve"> </w:t>
      </w:r>
      <w:r w:rsidR="003E399F" w:rsidRPr="003E399F">
        <w:rPr>
          <w:i/>
        </w:rPr>
        <w:t>50,000 to &lt; 60,000</w:t>
      </w:r>
    </w:p>
    <w:p w14:paraId="1080E975" w14:textId="5CC46FF3" w:rsidR="000E5C22" w:rsidRPr="00C64F1F" w:rsidRDefault="000E5C22" w:rsidP="00626E15">
      <w:pPr>
        <w:pStyle w:val="TableFigureFooter"/>
        <w:rPr>
          <w:i/>
        </w:rPr>
      </w:pPr>
      <w:r>
        <w:rPr>
          <w:i/>
          <w:vertAlign w:val="superscript"/>
        </w:rPr>
        <w:t>8</w:t>
      </w:r>
      <w:r w:rsidR="00B018EF">
        <w:rPr>
          <w:i/>
          <w:vertAlign w:val="superscript"/>
        </w:rPr>
        <w:t xml:space="preserve"> </w:t>
      </w:r>
      <w:r w:rsidR="00B018EF" w:rsidRPr="00B018EF">
        <w:rPr>
          <w:i/>
        </w:rPr>
        <w:t>60,000 to &lt; 70,000</w:t>
      </w:r>
    </w:p>
    <w:p w14:paraId="71DF9544" w14:textId="033A4EB9" w:rsidR="000E5C22" w:rsidRPr="00C64F1F" w:rsidRDefault="000E5C22" w:rsidP="00626E15">
      <w:pPr>
        <w:pStyle w:val="TableFigureFooter"/>
        <w:rPr>
          <w:i/>
        </w:rPr>
      </w:pPr>
      <w:r>
        <w:rPr>
          <w:i/>
          <w:vertAlign w:val="superscript"/>
        </w:rPr>
        <w:t>9</w:t>
      </w:r>
      <w:r w:rsidR="0057286A">
        <w:rPr>
          <w:i/>
          <w:vertAlign w:val="superscript"/>
        </w:rPr>
        <w:t xml:space="preserve"> </w:t>
      </w:r>
      <w:r w:rsidR="0057286A" w:rsidRPr="0057286A">
        <w:rPr>
          <w:i/>
        </w:rPr>
        <w:t>70,000 to &lt; 80,000</w:t>
      </w:r>
    </w:p>
    <w:p w14:paraId="7A68FA35" w14:textId="1A034CF8" w:rsidR="00B018EF" w:rsidRPr="00C64F1F" w:rsidRDefault="000E5C22" w:rsidP="00626E15">
      <w:pPr>
        <w:pStyle w:val="TableFigureFooter"/>
        <w:rPr>
          <w:i/>
        </w:rPr>
      </w:pPr>
      <w:r>
        <w:rPr>
          <w:i/>
          <w:vertAlign w:val="superscript"/>
        </w:rPr>
        <w:t>10</w:t>
      </w:r>
      <w:r w:rsidR="00DF2662">
        <w:rPr>
          <w:i/>
        </w:rPr>
        <w:t xml:space="preserve"> </w:t>
      </w:r>
      <w:r w:rsidR="00DF2662" w:rsidRPr="00DF2662">
        <w:rPr>
          <w:i/>
        </w:rPr>
        <w:t>80,000 to &lt; 90,000</w:t>
      </w:r>
    </w:p>
    <w:p w14:paraId="3767F516" w14:textId="2EF79BAE" w:rsidR="00B018EF" w:rsidRPr="00C64F1F" w:rsidRDefault="00B018EF" w:rsidP="00626E15">
      <w:pPr>
        <w:pStyle w:val="TableFigureFooter"/>
        <w:rPr>
          <w:i/>
        </w:rPr>
      </w:pPr>
      <w:r>
        <w:rPr>
          <w:i/>
          <w:vertAlign w:val="superscript"/>
        </w:rPr>
        <w:t>11</w:t>
      </w:r>
      <w:r w:rsidR="00DF2992">
        <w:rPr>
          <w:i/>
        </w:rPr>
        <w:t xml:space="preserve"> </w:t>
      </w:r>
      <w:r w:rsidR="00DF2992" w:rsidRPr="00DF2992">
        <w:rPr>
          <w:i/>
        </w:rPr>
        <w:t>$60 million to &lt; $70 million</w:t>
      </w:r>
    </w:p>
    <w:p w14:paraId="7183CC16" w14:textId="66A2A808" w:rsidR="00DF2662" w:rsidRPr="00C64F1F" w:rsidRDefault="00B018EF" w:rsidP="00626E15">
      <w:pPr>
        <w:pStyle w:val="TableFigureFooter"/>
        <w:rPr>
          <w:bCs/>
          <w:i/>
        </w:rPr>
      </w:pPr>
      <w:r>
        <w:rPr>
          <w:i/>
          <w:vertAlign w:val="superscript"/>
        </w:rPr>
        <w:t>12</w:t>
      </w:r>
      <w:r w:rsidR="0096158D">
        <w:rPr>
          <w:i/>
        </w:rPr>
        <w:t xml:space="preserve"> </w:t>
      </w:r>
      <w:r w:rsidR="0096158D" w:rsidRPr="0096158D">
        <w:rPr>
          <w:bCs/>
          <w:i/>
        </w:rPr>
        <w:t>$100 million to &lt; $200 million</w:t>
      </w:r>
    </w:p>
    <w:p w14:paraId="1DDB7BA5" w14:textId="7F7C67A3" w:rsidR="00DF2662" w:rsidRPr="00C64F1F" w:rsidRDefault="00DF2662" w:rsidP="00626E15">
      <w:pPr>
        <w:pStyle w:val="TableFigureFooter"/>
        <w:rPr>
          <w:i/>
        </w:rPr>
      </w:pPr>
      <w:r>
        <w:rPr>
          <w:i/>
          <w:vertAlign w:val="superscript"/>
        </w:rPr>
        <w:t>13</w:t>
      </w:r>
      <w:r w:rsidR="00A23227">
        <w:rPr>
          <w:i/>
          <w:vertAlign w:val="superscript"/>
        </w:rPr>
        <w:t xml:space="preserve"> </w:t>
      </w:r>
      <w:r w:rsidR="00A23227" w:rsidRPr="00A23227">
        <w:rPr>
          <w:i/>
        </w:rPr>
        <w:t>$200 million to &lt; $300 million</w:t>
      </w:r>
    </w:p>
    <w:p w14:paraId="349A0F22" w14:textId="67493CEA" w:rsidR="00DF2662" w:rsidRPr="00C64F1F" w:rsidRDefault="00DF2662" w:rsidP="00626E15">
      <w:pPr>
        <w:pStyle w:val="TableFigureFooter"/>
        <w:rPr>
          <w:bCs/>
          <w:i/>
        </w:rPr>
      </w:pPr>
      <w:r>
        <w:rPr>
          <w:i/>
          <w:vertAlign w:val="superscript"/>
        </w:rPr>
        <w:t>14</w:t>
      </w:r>
      <w:r w:rsidR="006052FB">
        <w:rPr>
          <w:i/>
          <w:vertAlign w:val="superscript"/>
        </w:rPr>
        <w:t xml:space="preserve"> </w:t>
      </w:r>
      <w:r w:rsidR="006052FB" w:rsidRPr="006052FB">
        <w:rPr>
          <w:bCs/>
          <w:i/>
        </w:rPr>
        <w:t>$300 million to &lt; $400 million</w:t>
      </w:r>
    </w:p>
    <w:p w14:paraId="672146D5" w14:textId="78366D0C" w:rsidR="00DF2662" w:rsidRPr="00C64F1F" w:rsidRDefault="00DF2662" w:rsidP="00626E15">
      <w:pPr>
        <w:pStyle w:val="TableFigureFooter"/>
        <w:rPr>
          <w:bCs/>
          <w:i/>
        </w:rPr>
      </w:pPr>
      <w:r>
        <w:rPr>
          <w:i/>
          <w:vertAlign w:val="superscript"/>
        </w:rPr>
        <w:t>15</w:t>
      </w:r>
      <w:r w:rsidR="006460BE">
        <w:rPr>
          <w:i/>
        </w:rPr>
        <w:t xml:space="preserve"> </w:t>
      </w:r>
      <w:r w:rsidR="006460BE" w:rsidRPr="006460BE">
        <w:rPr>
          <w:bCs/>
          <w:i/>
        </w:rPr>
        <w:t>100,000 to &lt; 200,000</w:t>
      </w:r>
    </w:p>
    <w:p w14:paraId="08F5AAF1" w14:textId="5C172C1C" w:rsidR="00DF2662" w:rsidRPr="00C64F1F" w:rsidRDefault="00DF2662" w:rsidP="00626E15">
      <w:pPr>
        <w:pStyle w:val="TableFigureFooter"/>
        <w:rPr>
          <w:i/>
        </w:rPr>
      </w:pPr>
      <w:r>
        <w:rPr>
          <w:i/>
          <w:vertAlign w:val="superscript"/>
        </w:rPr>
        <w:t>16</w:t>
      </w:r>
      <w:r w:rsidR="00EA6476">
        <w:rPr>
          <w:i/>
          <w:vertAlign w:val="superscript"/>
        </w:rPr>
        <w:t xml:space="preserve"> </w:t>
      </w:r>
      <w:r w:rsidR="00EA6476" w:rsidRPr="00EA6476">
        <w:rPr>
          <w:i/>
        </w:rPr>
        <w:t>&lt; 500</w:t>
      </w:r>
    </w:p>
    <w:p w14:paraId="25FAA650" w14:textId="3217D190" w:rsidR="00EA6476" w:rsidRPr="00C64F1F" w:rsidRDefault="00DF2662" w:rsidP="00626E15">
      <w:pPr>
        <w:pStyle w:val="TableFigureFooter"/>
        <w:rPr>
          <w:i/>
        </w:rPr>
      </w:pPr>
      <w:r>
        <w:rPr>
          <w:i/>
          <w:vertAlign w:val="superscript"/>
        </w:rPr>
        <w:t>17</w:t>
      </w:r>
      <w:r w:rsidR="00A20FF6">
        <w:rPr>
          <w:i/>
          <w:vertAlign w:val="superscript"/>
        </w:rPr>
        <w:t xml:space="preserve"> </w:t>
      </w:r>
      <w:r w:rsidR="00A20FF6" w:rsidRPr="00A20FF6">
        <w:rPr>
          <w:i/>
        </w:rPr>
        <w:t>$0 to &lt; $10 million</w:t>
      </w:r>
    </w:p>
    <w:p w14:paraId="1A1DAAC8" w14:textId="28AA09FA" w:rsidR="00EA6476" w:rsidRPr="00C64F1F" w:rsidRDefault="00EA6476" w:rsidP="00626E15">
      <w:pPr>
        <w:pStyle w:val="TableFigureFooter"/>
        <w:rPr>
          <w:i/>
        </w:rPr>
      </w:pPr>
      <w:r>
        <w:rPr>
          <w:i/>
          <w:vertAlign w:val="superscript"/>
        </w:rPr>
        <w:t>18</w:t>
      </w:r>
      <w:r w:rsidR="00CD35E2">
        <w:rPr>
          <w:i/>
          <w:vertAlign w:val="superscript"/>
        </w:rPr>
        <w:t xml:space="preserve"> </w:t>
      </w:r>
      <w:r w:rsidR="00CD35E2" w:rsidRPr="00CD35E2">
        <w:rPr>
          <w:i/>
        </w:rPr>
        <w:t>$10 million to &lt; $20 million</w:t>
      </w:r>
    </w:p>
    <w:p w14:paraId="3ABC2EDA" w14:textId="63DE216C" w:rsidR="00EA6476" w:rsidRPr="00C64F1F" w:rsidRDefault="00EA6476" w:rsidP="00626E15">
      <w:pPr>
        <w:pStyle w:val="TableFigureFooter"/>
        <w:rPr>
          <w:i/>
        </w:rPr>
      </w:pPr>
      <w:r>
        <w:rPr>
          <w:i/>
          <w:vertAlign w:val="superscript"/>
        </w:rPr>
        <w:t>19</w:t>
      </w:r>
      <w:r w:rsidR="007711F7">
        <w:rPr>
          <w:i/>
          <w:vertAlign w:val="superscript"/>
        </w:rPr>
        <w:t xml:space="preserve"> </w:t>
      </w:r>
      <w:r w:rsidR="007711F7" w:rsidRPr="007711F7">
        <w:rPr>
          <w:i/>
        </w:rPr>
        <w:t>90,000 to &lt; 100,000</w:t>
      </w:r>
    </w:p>
    <w:p w14:paraId="005EA624" w14:textId="3D3C3582" w:rsidR="00C05DE3" w:rsidRPr="00C64F1F" w:rsidRDefault="00EA6476" w:rsidP="00626E15">
      <w:pPr>
        <w:pStyle w:val="TableFigureFooter"/>
        <w:rPr>
          <w:i/>
        </w:rPr>
      </w:pPr>
      <w:r>
        <w:rPr>
          <w:i/>
          <w:vertAlign w:val="superscript"/>
        </w:rPr>
        <w:t>20</w:t>
      </w:r>
      <w:r w:rsidR="00C05DE3">
        <w:rPr>
          <w:i/>
        </w:rPr>
        <w:t xml:space="preserve"> </w:t>
      </w:r>
      <w:r w:rsidR="00C05DE3" w:rsidRPr="00C05DE3">
        <w:rPr>
          <w:i/>
        </w:rPr>
        <w:t>100,000 to &lt; 200,000</w:t>
      </w:r>
    </w:p>
    <w:p w14:paraId="16BDC4B9" w14:textId="77777777" w:rsidR="005266D5" w:rsidRDefault="00C05DE3" w:rsidP="00626E15">
      <w:pPr>
        <w:pStyle w:val="TableFigureFooter"/>
        <w:rPr>
          <w:i/>
        </w:rPr>
      </w:pPr>
      <w:r>
        <w:rPr>
          <w:i/>
          <w:vertAlign w:val="superscript"/>
        </w:rPr>
        <w:t>21</w:t>
      </w:r>
      <w:r w:rsidR="00626E15" w:rsidRPr="00626E15">
        <w:rPr>
          <w:i/>
        </w:rPr>
        <w:t xml:space="preserve"> </w:t>
      </w:r>
      <w:r w:rsidR="003A6287" w:rsidRPr="003A6287">
        <w:rPr>
          <w:i/>
        </w:rPr>
        <w:t>200,000 to &lt; 300,000</w:t>
      </w:r>
    </w:p>
    <w:p w14:paraId="7BAC4619" w14:textId="5B783FC6" w:rsidR="00626E15" w:rsidRPr="005266D5" w:rsidRDefault="005266D5" w:rsidP="00626E15">
      <w:pPr>
        <w:pStyle w:val="TableFigureFooter"/>
        <w:rPr>
          <w:i/>
        </w:rPr>
      </w:pPr>
      <w:r>
        <w:rPr>
          <w:i/>
          <w:vertAlign w:val="superscript"/>
        </w:rPr>
        <w:t>22</w:t>
      </w:r>
      <w:r>
        <w:rPr>
          <w:i/>
        </w:rPr>
        <w:t xml:space="preserve"> </w:t>
      </w:r>
      <w:r w:rsidRPr="005266D5">
        <w:rPr>
          <w:i/>
        </w:rPr>
        <w:t>$70 million to &lt; $80 million</w:t>
      </w:r>
    </w:p>
    <w:p w14:paraId="412FFD9F" w14:textId="1B0A1FCD" w:rsidR="00364D5B" w:rsidRDefault="00364D5B" w:rsidP="00945471">
      <w:pPr>
        <w:pStyle w:val="TableFigureFooter"/>
        <w:rPr>
          <w:i/>
          <w:iCs/>
        </w:rPr>
      </w:pPr>
    </w:p>
    <w:p w14:paraId="14F1230C" w14:textId="0DCD4A15" w:rsidR="000C3C63" w:rsidRDefault="000C3C63" w:rsidP="009C74FE">
      <w:pPr>
        <w:pStyle w:val="3-BodyText"/>
      </w:pPr>
      <w:r w:rsidRPr="00730FFE">
        <w:t xml:space="preserve">The resubmission estimated that the </w:t>
      </w:r>
      <w:r w:rsidR="00E06164" w:rsidRPr="00730FFE">
        <w:t xml:space="preserve">cost saving to the PBS/RPBS </w:t>
      </w:r>
      <w:r w:rsidR="00E272F3" w:rsidRPr="00730FFE">
        <w:t xml:space="preserve">of listing NEMO </w:t>
      </w:r>
      <w:r w:rsidR="00E06164" w:rsidRPr="00730FFE">
        <w:t xml:space="preserve">would be </w:t>
      </w:r>
      <w:r w:rsidR="0056599D" w:rsidRPr="0056599D">
        <w:t>$0 to &lt; $10 million</w:t>
      </w:r>
      <w:r w:rsidR="00E06164" w:rsidRPr="00730FFE">
        <w:t xml:space="preserve"> in Year 1 increasing to </w:t>
      </w:r>
      <w:r w:rsidR="00B13A1B" w:rsidRPr="00B13A1B">
        <w:t>$10 million to &lt; $20 million</w:t>
      </w:r>
      <w:r w:rsidR="00E06164" w:rsidRPr="00730FFE">
        <w:t xml:space="preserve"> in Year 6 and totalling </w:t>
      </w:r>
      <w:r w:rsidR="001A2DE5" w:rsidRPr="001A2DE5">
        <w:t>$40 million to &lt; $50 million</w:t>
      </w:r>
      <w:r w:rsidR="00E272F3" w:rsidRPr="00730FFE">
        <w:t xml:space="preserve"> over the first 6 six years. The cost saving was due NEMO requiring fewer prescriptions per year than DUPI and UPA</w:t>
      </w:r>
      <w:r w:rsidR="000359F9" w:rsidRPr="00730FFE">
        <w:t>.</w:t>
      </w:r>
    </w:p>
    <w:p w14:paraId="0703D0FF" w14:textId="77777777" w:rsidR="00F67882" w:rsidRPr="00730FFE" w:rsidRDefault="00F67882" w:rsidP="00F67882">
      <w:pPr>
        <w:pStyle w:val="3-BodyText"/>
        <w:numPr>
          <w:ilvl w:val="0"/>
          <w:numId w:val="0"/>
        </w:numPr>
        <w:ind w:left="720"/>
      </w:pPr>
    </w:p>
    <w:p w14:paraId="6D5B28CE" w14:textId="3756CB26" w:rsidR="00253D6C" w:rsidRPr="00730FFE" w:rsidRDefault="00253D6C" w:rsidP="00253D6C">
      <w:pPr>
        <w:pStyle w:val="3-BodyText"/>
        <w:numPr>
          <w:ilvl w:val="0"/>
          <w:numId w:val="0"/>
        </w:numPr>
        <w:ind w:left="720"/>
        <w:rPr>
          <w:i/>
          <w:iCs/>
        </w:rPr>
      </w:pPr>
      <w:r w:rsidRPr="00730FFE">
        <w:rPr>
          <w:i/>
          <w:iCs/>
        </w:rPr>
        <w:t>For more detail on PBAC’s view, see section 7 PBAC outcome.</w:t>
      </w:r>
    </w:p>
    <w:p w14:paraId="5CA556F8" w14:textId="1BB08E86" w:rsidR="001E7689" w:rsidRPr="0090150D" w:rsidDel="005417FA" w:rsidRDefault="001E7689" w:rsidP="001E7689">
      <w:pPr>
        <w:pStyle w:val="2-SectionHeading"/>
      </w:pPr>
      <w:bookmarkStart w:id="75" w:name="_Hlk76381249"/>
      <w:bookmarkStart w:id="76" w:name="_Hlk76377955"/>
      <w:bookmarkStart w:id="77" w:name="_Toc216710471"/>
      <w:r w:rsidRPr="0090150D" w:rsidDel="005417FA">
        <w:t>PBAC Outcome</w:t>
      </w:r>
    </w:p>
    <w:p w14:paraId="7DD1BDE0" w14:textId="64361F5C" w:rsidR="00431CF8" w:rsidRPr="00130BB8" w:rsidDel="005417FA" w:rsidRDefault="00431CF8" w:rsidP="00431CF8">
      <w:pPr>
        <w:pStyle w:val="3-BodyText"/>
      </w:pPr>
      <w:bookmarkStart w:id="78" w:name="_Hlk111543188"/>
      <w:r w:rsidRPr="00CE42B4" w:rsidDel="005417FA">
        <w:rPr>
          <w:snapToGrid w:val="0"/>
          <w:lang w:val="en-GB"/>
        </w:rPr>
        <w:t>The PBAC recommend</w:t>
      </w:r>
      <w:r w:rsidR="00FE2AC4">
        <w:rPr>
          <w:snapToGrid w:val="0"/>
          <w:lang w:val="en-GB"/>
        </w:rPr>
        <w:t>ed</w:t>
      </w:r>
      <w:r w:rsidDel="005417FA">
        <w:rPr>
          <w:snapToGrid w:val="0"/>
          <w:lang w:val="en-GB"/>
        </w:rPr>
        <w:t xml:space="preserve"> the</w:t>
      </w:r>
      <w:r w:rsidRPr="00660081" w:rsidDel="005417FA">
        <w:rPr>
          <w:snapToGrid w:val="0"/>
          <w:lang w:val="en-GB"/>
        </w:rPr>
        <w:t xml:space="preserve"> listing of nemolizumab </w:t>
      </w:r>
      <w:r w:rsidDel="005417FA">
        <w:rPr>
          <w:snapToGrid w:val="0"/>
          <w:lang w:val="en-GB"/>
        </w:rPr>
        <w:t>(NEMO)</w:t>
      </w:r>
      <w:r w:rsidRPr="00660081" w:rsidDel="005417FA">
        <w:rPr>
          <w:snapToGrid w:val="0"/>
          <w:lang w:val="en-GB"/>
        </w:rPr>
        <w:t xml:space="preserve"> for the treatment of patients with severe atopic dermatitis</w:t>
      </w:r>
      <w:r w:rsidDel="005417FA">
        <w:rPr>
          <w:snapToGrid w:val="0"/>
          <w:lang w:val="en-GB"/>
        </w:rPr>
        <w:t xml:space="preserve"> (AD)</w:t>
      </w:r>
      <w:r w:rsidRPr="00660081" w:rsidDel="005417FA">
        <w:rPr>
          <w:snapToGrid w:val="0"/>
          <w:lang w:val="en-GB"/>
        </w:rPr>
        <w:t xml:space="preserve"> affecting the </w:t>
      </w:r>
      <w:r w:rsidRPr="00512AF5" w:rsidDel="005417FA">
        <w:rPr>
          <w:snapToGrid w:val="0"/>
          <w:lang w:val="en-GB"/>
        </w:rPr>
        <w:t>whole body, face, and/or hands. The PBAC</w:t>
      </w:r>
      <w:r w:rsidR="00C44910" w:rsidDel="005417FA">
        <w:rPr>
          <w:snapToGrid w:val="0"/>
          <w:lang w:val="en-GB"/>
        </w:rPr>
        <w:t xml:space="preserve">, </w:t>
      </w:r>
      <w:r w:rsidR="000F0F8B" w:rsidDel="005417FA">
        <w:rPr>
          <w:snapToGrid w:val="0"/>
          <w:lang w:val="en-GB"/>
        </w:rPr>
        <w:t>not</w:t>
      </w:r>
      <w:r w:rsidR="00C44910" w:rsidDel="005417FA">
        <w:rPr>
          <w:snapToGrid w:val="0"/>
          <w:lang w:val="en-GB"/>
        </w:rPr>
        <w:t>ing</w:t>
      </w:r>
      <w:r w:rsidR="000F0F8B" w:rsidDel="005417FA">
        <w:rPr>
          <w:snapToGrid w:val="0"/>
          <w:lang w:val="en-GB"/>
        </w:rPr>
        <w:t xml:space="preserve"> the additional data </w:t>
      </w:r>
      <w:r w:rsidR="00AE0F9A" w:rsidDel="005417FA">
        <w:rPr>
          <w:snapToGrid w:val="0"/>
          <w:lang w:val="en-GB"/>
        </w:rPr>
        <w:t xml:space="preserve">presented in the resubmission that included </w:t>
      </w:r>
      <w:r w:rsidR="00180826" w:rsidDel="005417FA">
        <w:rPr>
          <w:snapToGrid w:val="0"/>
          <w:lang w:val="en-GB"/>
        </w:rPr>
        <w:t>treatment with</w:t>
      </w:r>
      <w:r w:rsidR="00AE0F9A" w:rsidDel="005417FA">
        <w:rPr>
          <w:snapToGrid w:val="0"/>
          <w:lang w:val="en-GB"/>
        </w:rPr>
        <w:t xml:space="preserve"> an extended </w:t>
      </w:r>
      <w:r w:rsidR="00180826" w:rsidDel="005417FA">
        <w:rPr>
          <w:snapToGrid w:val="0"/>
          <w:lang w:val="en-GB"/>
        </w:rPr>
        <w:t xml:space="preserve">NEMO </w:t>
      </w:r>
      <w:r w:rsidR="00AE0F9A" w:rsidDel="005417FA">
        <w:rPr>
          <w:snapToGrid w:val="0"/>
          <w:lang w:val="en-GB"/>
        </w:rPr>
        <w:t>induction period</w:t>
      </w:r>
      <w:r w:rsidR="00C44910" w:rsidDel="005417FA">
        <w:rPr>
          <w:snapToGrid w:val="0"/>
          <w:lang w:val="en-GB"/>
        </w:rPr>
        <w:t>,</w:t>
      </w:r>
      <w:r w:rsidR="00CC76E0" w:rsidDel="005417FA">
        <w:rPr>
          <w:snapToGrid w:val="0"/>
          <w:lang w:val="en-GB"/>
        </w:rPr>
        <w:t xml:space="preserve"> </w:t>
      </w:r>
      <w:r w:rsidR="00C44910" w:rsidDel="005417FA">
        <w:rPr>
          <w:snapToGrid w:val="0"/>
          <w:lang w:val="en-GB"/>
        </w:rPr>
        <w:t>c</w:t>
      </w:r>
      <w:r w:rsidRPr="00512AF5" w:rsidDel="005417FA">
        <w:rPr>
          <w:snapToGrid w:val="0"/>
          <w:lang w:val="en-GB"/>
        </w:rPr>
        <w:t xml:space="preserve">onsidered the submission’s clinical claim of non-inferior effectiveness of NEMO to dupilumab (DUPI) </w:t>
      </w:r>
      <w:r w:rsidDel="005417FA">
        <w:rPr>
          <w:snapToGrid w:val="0"/>
          <w:lang w:val="en-GB"/>
        </w:rPr>
        <w:t>was</w:t>
      </w:r>
      <w:r w:rsidRPr="00512AF5" w:rsidDel="005417FA">
        <w:rPr>
          <w:snapToGrid w:val="0"/>
          <w:lang w:val="en-GB"/>
        </w:rPr>
        <w:t xml:space="preserve"> </w:t>
      </w:r>
      <w:r w:rsidDel="005417FA">
        <w:rPr>
          <w:snapToGrid w:val="0"/>
          <w:lang w:val="en-GB"/>
        </w:rPr>
        <w:t xml:space="preserve">adequately supported. </w:t>
      </w:r>
      <w:r w:rsidR="00FF11C3" w:rsidRPr="00CF445F" w:rsidDel="005417FA">
        <w:rPr>
          <w:snapToGrid w:val="0"/>
          <w:lang w:val="en-GB"/>
        </w:rPr>
        <w:t xml:space="preserve">The PBAC's recommendation was based on, among other matters, its assessment that the cost effectiveness of </w:t>
      </w:r>
      <w:r w:rsidR="006B2600" w:rsidDel="005417FA">
        <w:rPr>
          <w:snapToGrid w:val="0"/>
          <w:lang w:val="en-GB"/>
        </w:rPr>
        <w:t>NEMO</w:t>
      </w:r>
      <w:r w:rsidR="00FF11C3" w:rsidRPr="00CF445F" w:rsidDel="005417FA">
        <w:rPr>
          <w:snapToGrid w:val="0"/>
          <w:lang w:val="en-GB"/>
        </w:rPr>
        <w:t xml:space="preserve"> would be acceptable if it were cost minimised to the least costly alternative therapy of </w:t>
      </w:r>
      <w:r w:rsidR="006B2600" w:rsidDel="005417FA">
        <w:rPr>
          <w:snapToGrid w:val="0"/>
          <w:lang w:val="en-GB"/>
        </w:rPr>
        <w:t>DUPI or upadac</w:t>
      </w:r>
      <w:r w:rsidR="002572D1" w:rsidDel="005417FA">
        <w:rPr>
          <w:snapToGrid w:val="0"/>
          <w:lang w:val="en-GB"/>
        </w:rPr>
        <w:t>itinib</w:t>
      </w:r>
      <w:r w:rsidR="005715AF" w:rsidDel="005417FA">
        <w:rPr>
          <w:snapToGrid w:val="0"/>
          <w:lang w:val="en-GB"/>
        </w:rPr>
        <w:t xml:space="preserve"> (UPA)</w:t>
      </w:r>
      <w:r w:rsidR="00FF11C3" w:rsidRPr="00CF445F" w:rsidDel="005417FA">
        <w:rPr>
          <w:snapToGrid w:val="0"/>
          <w:lang w:val="en-GB"/>
        </w:rPr>
        <w:t>.</w:t>
      </w:r>
      <w:r w:rsidR="002572D1" w:rsidDel="005417FA">
        <w:rPr>
          <w:snapToGrid w:val="0"/>
          <w:lang w:val="en-GB"/>
        </w:rPr>
        <w:t xml:space="preserve"> </w:t>
      </w:r>
      <w:r w:rsidR="00266BCF" w:rsidDel="005417FA">
        <w:rPr>
          <w:snapToGrid w:val="0"/>
          <w:lang w:val="en-GB"/>
        </w:rPr>
        <w:t xml:space="preserve">The PBAC advised that NEMO should join the </w:t>
      </w:r>
      <w:r w:rsidR="00E00C34">
        <w:rPr>
          <w:snapToGrid w:val="0"/>
          <w:lang w:val="en-GB"/>
        </w:rPr>
        <w:t>Risk Sharing Arrangement (</w:t>
      </w:r>
      <w:r w:rsidR="00266BCF" w:rsidDel="005417FA">
        <w:rPr>
          <w:snapToGrid w:val="0"/>
          <w:lang w:val="en-GB"/>
        </w:rPr>
        <w:t>RSA</w:t>
      </w:r>
      <w:r w:rsidR="00E00C34">
        <w:rPr>
          <w:snapToGrid w:val="0"/>
          <w:lang w:val="en-GB"/>
        </w:rPr>
        <w:t>)</w:t>
      </w:r>
      <w:r w:rsidR="00266BCF" w:rsidDel="005417FA">
        <w:rPr>
          <w:snapToGrid w:val="0"/>
          <w:lang w:val="en-GB"/>
        </w:rPr>
        <w:t xml:space="preserve"> for </w:t>
      </w:r>
      <w:r w:rsidR="00E92907" w:rsidDel="005417FA">
        <w:rPr>
          <w:snapToGrid w:val="0"/>
          <w:lang w:val="en-GB"/>
        </w:rPr>
        <w:t xml:space="preserve">severe </w:t>
      </w:r>
      <w:r w:rsidR="001547A5" w:rsidDel="005417FA">
        <w:rPr>
          <w:snapToGrid w:val="0"/>
          <w:lang w:val="en-GB"/>
        </w:rPr>
        <w:t>AD</w:t>
      </w:r>
      <w:r w:rsidR="00E92907" w:rsidDel="005417FA">
        <w:rPr>
          <w:snapToGrid w:val="0"/>
          <w:lang w:val="en-GB"/>
        </w:rPr>
        <w:t xml:space="preserve"> with no increase to the expenditure caps</w:t>
      </w:r>
      <w:r w:rsidRPr="00AD7BB5" w:rsidDel="005417FA">
        <w:rPr>
          <w:snapToGrid w:val="0"/>
          <w:lang w:val="en-GB"/>
        </w:rPr>
        <w:t>.</w:t>
      </w:r>
    </w:p>
    <w:p w14:paraId="501C1653" w14:textId="30343D86" w:rsidR="005E7400" w:rsidRPr="005A662E" w:rsidDel="005417FA" w:rsidRDefault="005E7400" w:rsidP="005E7400">
      <w:pPr>
        <w:pStyle w:val="3-BodyText"/>
        <w:rPr>
          <w:snapToGrid w:val="0"/>
          <w:color w:val="FF0000"/>
          <w:lang w:val="en-GB"/>
        </w:rPr>
      </w:pPr>
      <w:r w:rsidRPr="00836F75" w:rsidDel="005417FA">
        <w:rPr>
          <w:snapToGrid w:val="0"/>
        </w:rPr>
        <w:t>The PBAC noted</w:t>
      </w:r>
      <w:r w:rsidDel="005417FA">
        <w:rPr>
          <w:snapToGrid w:val="0"/>
        </w:rPr>
        <w:t xml:space="preserve"> the sponsor hearing </w:t>
      </w:r>
      <w:r w:rsidR="00130BB8" w:rsidDel="005417FA">
        <w:rPr>
          <w:snapToGrid w:val="0"/>
        </w:rPr>
        <w:t xml:space="preserve">which highlighted safety benefits associated with NEMO, </w:t>
      </w:r>
      <w:r w:rsidDel="005417FA">
        <w:rPr>
          <w:snapToGrid w:val="0"/>
        </w:rPr>
        <w:t>and the</w:t>
      </w:r>
      <w:r w:rsidRPr="00836F75" w:rsidDel="005417FA">
        <w:rPr>
          <w:snapToGrid w:val="0"/>
        </w:rPr>
        <w:t xml:space="preserve"> </w:t>
      </w:r>
      <w:r w:rsidDel="005417FA">
        <w:rPr>
          <w:snapToGrid w:val="0"/>
        </w:rPr>
        <w:t xml:space="preserve">inputs </w:t>
      </w:r>
      <w:r w:rsidRPr="00836F75" w:rsidDel="005417FA">
        <w:rPr>
          <w:snapToGrid w:val="0"/>
        </w:rPr>
        <w:t xml:space="preserve">received </w:t>
      </w:r>
      <w:r w:rsidR="00EE7EC3" w:rsidDel="005417FA">
        <w:rPr>
          <w:snapToGrid w:val="0"/>
        </w:rPr>
        <w:t xml:space="preserve">again </w:t>
      </w:r>
      <w:r w:rsidRPr="00836F75" w:rsidDel="005417FA">
        <w:rPr>
          <w:snapToGrid w:val="0"/>
        </w:rPr>
        <w:t>from</w:t>
      </w:r>
      <w:r w:rsidDel="005417FA">
        <w:rPr>
          <w:snapToGrid w:val="0"/>
        </w:rPr>
        <w:t xml:space="preserve"> the </w:t>
      </w:r>
      <w:r w:rsidRPr="00BB7D9A" w:rsidDel="005417FA">
        <w:rPr>
          <w:rFonts w:eastAsia="Times New Roman" w:cs="Arial"/>
          <w:snapToGrid w:val="0"/>
          <w:szCs w:val="24"/>
        </w:rPr>
        <w:t>Australasian College of Dermatologists (ACD)</w:t>
      </w:r>
      <w:r w:rsidDel="005417FA">
        <w:rPr>
          <w:snapToGrid w:val="0"/>
        </w:rPr>
        <w:t xml:space="preserve">, the </w:t>
      </w:r>
      <w:r w:rsidRPr="00BB7D9A" w:rsidDel="005417FA">
        <w:rPr>
          <w:rFonts w:eastAsia="Times New Roman" w:cs="Arial"/>
          <w:snapToGrid w:val="0"/>
          <w:szCs w:val="24"/>
        </w:rPr>
        <w:t xml:space="preserve">Australasian Society of Clinical Immunology and Allergy (ASCIA) </w:t>
      </w:r>
      <w:r w:rsidDel="005417FA">
        <w:rPr>
          <w:snapToGrid w:val="0"/>
        </w:rPr>
        <w:t xml:space="preserve">and a joint submission between </w:t>
      </w:r>
      <w:r w:rsidRPr="00BB7D9A" w:rsidDel="005417FA">
        <w:rPr>
          <w:rFonts w:eastAsia="Times New Roman" w:cs="Arial"/>
          <w:snapToGrid w:val="0"/>
          <w:szCs w:val="24"/>
        </w:rPr>
        <w:t>Allergy</w:t>
      </w:r>
      <w:r w:rsidDel="005417FA">
        <w:rPr>
          <w:rFonts w:eastAsia="Times New Roman" w:cs="Arial"/>
          <w:snapToGrid w:val="0"/>
          <w:szCs w:val="24"/>
        </w:rPr>
        <w:t xml:space="preserve"> </w:t>
      </w:r>
      <w:r w:rsidRPr="00BB7D9A" w:rsidDel="005417FA">
        <w:rPr>
          <w:rFonts w:eastAsia="Times New Roman" w:cs="Arial"/>
          <w:snapToGrid w:val="0"/>
          <w:szCs w:val="24"/>
        </w:rPr>
        <w:t xml:space="preserve">&amp; Anaphylaxis Australia, and </w:t>
      </w:r>
      <w:r w:rsidDel="005417FA">
        <w:rPr>
          <w:rFonts w:eastAsia="Times New Roman" w:cs="Arial"/>
          <w:snapToGrid w:val="0"/>
          <w:szCs w:val="24"/>
        </w:rPr>
        <w:t xml:space="preserve">the </w:t>
      </w:r>
      <w:r w:rsidRPr="00BB7D9A" w:rsidDel="005417FA">
        <w:rPr>
          <w:rFonts w:eastAsia="Times New Roman" w:cs="Arial"/>
          <w:snapToGrid w:val="0"/>
          <w:szCs w:val="24"/>
        </w:rPr>
        <w:t xml:space="preserve">National </w:t>
      </w:r>
      <w:r w:rsidRPr="00AF4637" w:rsidDel="005417FA">
        <w:rPr>
          <w:rFonts w:eastAsia="Times New Roman" w:cs="Arial"/>
          <w:snapToGrid w:val="0"/>
          <w:szCs w:val="24"/>
        </w:rPr>
        <w:t xml:space="preserve">Allergy Council, all </w:t>
      </w:r>
      <w:r w:rsidR="00C44910" w:rsidDel="005417FA">
        <w:rPr>
          <w:rFonts w:eastAsia="Times New Roman" w:cs="Arial"/>
          <w:snapToGrid w:val="0"/>
          <w:szCs w:val="24"/>
        </w:rPr>
        <w:t xml:space="preserve">of which </w:t>
      </w:r>
      <w:r w:rsidRPr="00AF4637" w:rsidDel="005417FA">
        <w:rPr>
          <w:rFonts w:eastAsia="Times New Roman" w:cs="Arial"/>
          <w:snapToGrid w:val="0"/>
          <w:szCs w:val="24"/>
        </w:rPr>
        <w:t>support</w:t>
      </w:r>
      <w:r w:rsidR="00C44910" w:rsidDel="005417FA">
        <w:rPr>
          <w:rFonts w:eastAsia="Times New Roman" w:cs="Arial"/>
          <w:snapToGrid w:val="0"/>
          <w:szCs w:val="24"/>
        </w:rPr>
        <w:t>ed the</w:t>
      </w:r>
      <w:r w:rsidRPr="00AF4637" w:rsidDel="005417FA">
        <w:rPr>
          <w:rFonts w:eastAsia="Times New Roman" w:cs="Arial"/>
          <w:snapToGrid w:val="0"/>
          <w:szCs w:val="24"/>
        </w:rPr>
        <w:t xml:space="preserve"> listing </w:t>
      </w:r>
      <w:r w:rsidR="00C44910" w:rsidDel="005417FA">
        <w:rPr>
          <w:rFonts w:eastAsia="Times New Roman" w:cs="Arial"/>
          <w:snapToGrid w:val="0"/>
          <w:szCs w:val="24"/>
        </w:rPr>
        <w:t xml:space="preserve">of </w:t>
      </w:r>
      <w:r w:rsidDel="005417FA">
        <w:rPr>
          <w:rFonts w:eastAsia="Times New Roman" w:cs="Arial"/>
          <w:snapToGrid w:val="0"/>
          <w:szCs w:val="24"/>
        </w:rPr>
        <w:t>NEMO</w:t>
      </w:r>
      <w:r w:rsidRPr="00AF4637" w:rsidDel="005417FA">
        <w:rPr>
          <w:rFonts w:eastAsia="Times New Roman" w:cs="Arial"/>
          <w:snapToGrid w:val="0"/>
          <w:szCs w:val="24"/>
        </w:rPr>
        <w:t xml:space="preserve"> on the PBS for </w:t>
      </w:r>
      <w:r w:rsidR="003C0BA4" w:rsidDel="005417FA">
        <w:rPr>
          <w:rFonts w:eastAsia="Times New Roman" w:cs="Arial"/>
          <w:snapToGrid w:val="0"/>
          <w:szCs w:val="24"/>
        </w:rPr>
        <w:t>AD</w:t>
      </w:r>
      <w:r w:rsidRPr="00AF4637" w:rsidDel="005417FA">
        <w:rPr>
          <w:snapToGrid w:val="0"/>
        </w:rPr>
        <w:t xml:space="preserve">. </w:t>
      </w:r>
      <w:r w:rsidRPr="00AF4637" w:rsidDel="005417FA">
        <w:rPr>
          <w:bCs/>
          <w:snapToGrid w:val="0"/>
        </w:rPr>
        <w:t xml:space="preserve">The PBAC </w:t>
      </w:r>
      <w:r w:rsidDel="005417FA">
        <w:rPr>
          <w:bCs/>
          <w:snapToGrid w:val="0"/>
        </w:rPr>
        <w:t xml:space="preserve">acknowledged </w:t>
      </w:r>
      <w:r w:rsidRPr="00AF4637" w:rsidDel="005417FA">
        <w:rPr>
          <w:bCs/>
          <w:snapToGrid w:val="0"/>
        </w:rPr>
        <w:t xml:space="preserve">that there </w:t>
      </w:r>
      <w:r w:rsidDel="005417FA">
        <w:rPr>
          <w:bCs/>
          <w:snapToGrid w:val="0"/>
        </w:rPr>
        <w:t xml:space="preserve">is </w:t>
      </w:r>
      <w:r w:rsidRPr="00AF4637" w:rsidDel="005417FA">
        <w:rPr>
          <w:bCs/>
          <w:snapToGrid w:val="0"/>
        </w:rPr>
        <w:t xml:space="preserve">a need </w:t>
      </w:r>
      <w:r w:rsidR="00C44910" w:rsidDel="005417FA">
        <w:rPr>
          <w:bCs/>
          <w:snapToGrid w:val="0"/>
        </w:rPr>
        <w:t>for</w:t>
      </w:r>
      <w:r w:rsidRPr="00AF4637" w:rsidDel="005417FA">
        <w:rPr>
          <w:bCs/>
          <w:snapToGrid w:val="0"/>
        </w:rPr>
        <w:t xml:space="preserve"> alternative treatments</w:t>
      </w:r>
      <w:r w:rsidR="00130BB8" w:rsidDel="005417FA">
        <w:rPr>
          <w:bCs/>
          <w:snapToGrid w:val="0"/>
        </w:rPr>
        <w:t xml:space="preserve"> with different mechanisms of action</w:t>
      </w:r>
      <w:r w:rsidR="00072073" w:rsidDel="005417FA">
        <w:rPr>
          <w:bCs/>
          <w:snapToGrid w:val="0"/>
        </w:rPr>
        <w:t xml:space="preserve"> to be</w:t>
      </w:r>
      <w:r w:rsidDel="005417FA">
        <w:rPr>
          <w:bCs/>
          <w:snapToGrid w:val="0"/>
        </w:rPr>
        <w:t xml:space="preserve"> available on the PBS.</w:t>
      </w:r>
    </w:p>
    <w:p w14:paraId="1ECB00A3" w14:textId="300C8E39" w:rsidR="00AA2CA9" w:rsidRPr="0049603A" w:rsidDel="005417FA" w:rsidRDefault="00AA2CA9" w:rsidP="005E7400">
      <w:pPr>
        <w:pStyle w:val="3-BodyText"/>
        <w:rPr>
          <w:snapToGrid w:val="0"/>
          <w:color w:val="FF0000"/>
          <w:lang w:val="en-GB"/>
        </w:rPr>
      </w:pPr>
      <w:r w:rsidDel="005417FA">
        <w:rPr>
          <w:bCs/>
          <w:snapToGrid w:val="0"/>
        </w:rPr>
        <w:lastRenderedPageBreak/>
        <w:t xml:space="preserve">The PBAC noted that the </w:t>
      </w:r>
      <w:r w:rsidR="009B2146" w:rsidDel="005417FA">
        <w:rPr>
          <w:bCs/>
          <w:snapToGrid w:val="0"/>
        </w:rPr>
        <w:t xml:space="preserve">TGA Delegate’s Overview supported </w:t>
      </w:r>
      <w:r w:rsidR="005A662E" w:rsidDel="005417FA">
        <w:rPr>
          <w:bCs/>
          <w:snapToGrid w:val="0"/>
        </w:rPr>
        <w:t xml:space="preserve">an addition to the recommended dosing of NEMO to allow for the extended induction period (see paragraph </w:t>
      </w:r>
      <w:r w:rsidR="005A662E" w:rsidDel="005417FA">
        <w:rPr>
          <w:bCs/>
          <w:snapToGrid w:val="0"/>
        </w:rPr>
        <w:fldChar w:fldCharType="begin"/>
      </w:r>
      <w:r w:rsidR="005A662E" w:rsidDel="005417FA">
        <w:rPr>
          <w:bCs/>
          <w:snapToGrid w:val="0"/>
        </w:rPr>
        <w:instrText xml:space="preserve"> REF _Ref225242367 \r \h </w:instrText>
      </w:r>
      <w:r w:rsidR="005A662E" w:rsidDel="005417FA">
        <w:rPr>
          <w:bCs/>
          <w:snapToGrid w:val="0"/>
        </w:rPr>
      </w:r>
      <w:r w:rsidR="005A662E" w:rsidDel="005417FA">
        <w:rPr>
          <w:bCs/>
          <w:snapToGrid w:val="0"/>
        </w:rPr>
        <w:fldChar w:fldCharType="separate"/>
      </w:r>
      <w:r w:rsidR="00F67882">
        <w:rPr>
          <w:bCs/>
          <w:snapToGrid w:val="0"/>
        </w:rPr>
        <w:t>2.2</w:t>
      </w:r>
      <w:r w:rsidR="005A662E" w:rsidDel="005417FA">
        <w:rPr>
          <w:bCs/>
          <w:snapToGrid w:val="0"/>
        </w:rPr>
        <w:fldChar w:fldCharType="end"/>
      </w:r>
      <w:r w:rsidR="005A662E" w:rsidDel="005417FA">
        <w:rPr>
          <w:bCs/>
          <w:snapToGrid w:val="0"/>
        </w:rPr>
        <w:t>).</w:t>
      </w:r>
    </w:p>
    <w:p w14:paraId="49018EBA" w14:textId="0DCFD149" w:rsidR="005E7400" w:rsidRPr="00F76C53" w:rsidDel="005417FA" w:rsidRDefault="00F66A89" w:rsidP="00431CF8">
      <w:pPr>
        <w:pStyle w:val="3-BodyText"/>
      </w:pPr>
      <w:r w:rsidDel="005417FA">
        <w:t xml:space="preserve">The </w:t>
      </w:r>
      <w:r w:rsidR="00EE7365" w:rsidDel="005417FA">
        <w:t>PBAC recalled that in July 2025 i</w:t>
      </w:r>
      <w:r w:rsidR="004033F5" w:rsidDel="005417FA">
        <w:t>t</w:t>
      </w:r>
      <w:r w:rsidR="00EE7365" w:rsidDel="005417FA">
        <w:t xml:space="preserve"> had considered that </w:t>
      </w:r>
      <w:r w:rsidR="00B04384" w:rsidDel="005417FA">
        <w:t>NEMO was likely inferior in terms of comparative effectiveness compared to DUPI, based on 16 weeks t</w:t>
      </w:r>
      <w:r w:rsidR="00D71987" w:rsidDel="005417FA">
        <w:t xml:space="preserve">reatment for both therapies. The </w:t>
      </w:r>
      <w:r w:rsidDel="005417FA">
        <w:t xml:space="preserve">resubmission presented </w:t>
      </w:r>
      <w:r w:rsidR="00EE7365" w:rsidDel="005417FA">
        <w:t xml:space="preserve">additional analyses of the long-term extension phases of the ARCADIA 1 and ARCADIA 2 trials to support </w:t>
      </w:r>
      <w:r w:rsidR="00D71987" w:rsidDel="005417FA">
        <w:t xml:space="preserve">an extended induction period to allow patients an additional 8 weeks of </w:t>
      </w:r>
      <w:r w:rsidR="00B80A30" w:rsidDel="005417FA">
        <w:t>four weekly</w:t>
      </w:r>
      <w:r w:rsidR="00C44910" w:rsidDel="005417FA">
        <w:t xml:space="preserve"> (Q4W)</w:t>
      </w:r>
      <w:r w:rsidR="004634D9" w:rsidDel="005417FA">
        <w:t xml:space="preserve"> </w:t>
      </w:r>
      <w:r w:rsidR="00B80A30" w:rsidDel="005417FA">
        <w:t xml:space="preserve">NEMO treatment if they had not responded at Week 16. </w:t>
      </w:r>
      <w:r w:rsidR="001267A8" w:rsidDel="005417FA">
        <w:rPr>
          <w:rFonts w:eastAsia="Times New Roman" w:cs="Arial"/>
          <w:snapToGrid w:val="0"/>
          <w:szCs w:val="24"/>
          <w:lang w:val="en-GB"/>
        </w:rPr>
        <w:t xml:space="preserve">The PBAC noted </w:t>
      </w:r>
      <w:r w:rsidR="00063C6A" w:rsidDel="005417FA">
        <w:rPr>
          <w:rFonts w:eastAsia="Times New Roman" w:cs="Arial"/>
          <w:snapToGrid w:val="0"/>
          <w:szCs w:val="24"/>
          <w:lang w:val="en-GB"/>
        </w:rPr>
        <w:t>that</w:t>
      </w:r>
      <w:r w:rsidR="001267A8" w:rsidDel="005417FA">
        <w:rPr>
          <w:rFonts w:eastAsia="Times New Roman" w:cs="Arial"/>
          <w:snapToGrid w:val="0"/>
          <w:szCs w:val="24"/>
          <w:lang w:val="en-GB"/>
        </w:rPr>
        <w:t xml:space="preserve"> an additional</w:t>
      </w:r>
      <w:r w:rsidR="001267A8" w:rsidRPr="00997738" w:rsidDel="005417FA">
        <w:rPr>
          <w:rFonts w:eastAsia="Times New Roman" w:cs="Arial"/>
          <w:snapToGrid w:val="0"/>
          <w:szCs w:val="24"/>
          <w:lang w:val="en-GB"/>
        </w:rPr>
        <w:t xml:space="preserve"> 30.1% </w:t>
      </w:r>
      <w:r w:rsidR="001267A8" w:rsidDel="005417FA">
        <w:rPr>
          <w:rFonts w:eastAsia="Times New Roman" w:cs="Arial"/>
          <w:snapToGrid w:val="0"/>
          <w:szCs w:val="24"/>
          <w:lang w:val="en-GB"/>
        </w:rPr>
        <w:t>of</w:t>
      </w:r>
      <w:r w:rsidR="001267A8" w:rsidRPr="00997738" w:rsidDel="005417FA">
        <w:rPr>
          <w:rFonts w:eastAsia="Times New Roman" w:cs="Arial"/>
          <w:snapToGrid w:val="0"/>
          <w:szCs w:val="24"/>
          <w:lang w:val="en-GB"/>
        </w:rPr>
        <w:t xml:space="preserve"> </w:t>
      </w:r>
      <w:r w:rsidR="00D21085" w:rsidDel="005417FA">
        <w:rPr>
          <w:rFonts w:eastAsia="Times New Roman" w:cs="Arial"/>
          <w:snapToGrid w:val="0"/>
          <w:szCs w:val="24"/>
          <w:lang w:val="en-GB"/>
        </w:rPr>
        <w:t xml:space="preserve">NEMO </w:t>
      </w:r>
      <w:r w:rsidR="001267A8" w:rsidRPr="00997738" w:rsidDel="005417FA">
        <w:rPr>
          <w:rFonts w:eastAsia="Times New Roman" w:cs="Arial"/>
          <w:snapToGrid w:val="0"/>
          <w:szCs w:val="24"/>
          <w:lang w:val="en-GB"/>
        </w:rPr>
        <w:t xml:space="preserve">patients had </w:t>
      </w:r>
      <w:r w:rsidR="004634D9" w:rsidDel="005417FA">
        <w:rPr>
          <w:rFonts w:eastAsia="Times New Roman" w:cs="Arial"/>
          <w:snapToGrid w:val="0"/>
          <w:szCs w:val="24"/>
          <w:lang w:val="en-GB"/>
        </w:rPr>
        <w:t>at least a</w:t>
      </w:r>
      <w:r w:rsidR="001267A8" w:rsidRPr="00997738" w:rsidDel="005417FA">
        <w:rPr>
          <w:rFonts w:eastAsia="Times New Roman" w:cs="Arial"/>
          <w:snapToGrid w:val="0"/>
          <w:szCs w:val="24"/>
          <w:lang w:val="en-GB"/>
        </w:rPr>
        <w:t xml:space="preserve"> </w:t>
      </w:r>
      <w:r w:rsidR="004A59D8" w:rsidDel="005417FA">
        <w:rPr>
          <w:rFonts w:eastAsia="Times New Roman" w:cs="Arial"/>
          <w:snapToGrid w:val="0"/>
          <w:szCs w:val="24"/>
          <w:lang w:val="en-GB"/>
        </w:rPr>
        <w:t xml:space="preserve">75% improvement in </w:t>
      </w:r>
      <w:r w:rsidR="00964630" w:rsidDel="005417FA">
        <w:rPr>
          <w:rFonts w:eastAsia="Times New Roman" w:cs="Arial"/>
          <w:snapToGrid w:val="0"/>
          <w:szCs w:val="24"/>
          <w:lang w:val="en-GB"/>
        </w:rPr>
        <w:t>Eczema Area and Severy Index (EASI</w:t>
      </w:r>
      <w:r w:rsidR="004634D9" w:rsidDel="005417FA">
        <w:rPr>
          <w:rFonts w:eastAsia="Times New Roman" w:cs="Arial"/>
          <w:snapToGrid w:val="0"/>
          <w:szCs w:val="24"/>
          <w:lang w:val="en-GB"/>
        </w:rPr>
        <w:t>-75</w:t>
      </w:r>
      <w:r w:rsidR="00964630" w:rsidDel="005417FA">
        <w:rPr>
          <w:rFonts w:eastAsia="Times New Roman" w:cs="Arial"/>
          <w:snapToGrid w:val="0"/>
          <w:szCs w:val="24"/>
          <w:lang w:val="en-GB"/>
        </w:rPr>
        <w:t xml:space="preserve">) </w:t>
      </w:r>
      <w:r w:rsidR="001267A8" w:rsidRPr="00997738" w:rsidDel="005417FA">
        <w:rPr>
          <w:rFonts w:eastAsia="Times New Roman" w:cs="Arial"/>
          <w:snapToGrid w:val="0"/>
          <w:szCs w:val="24"/>
          <w:lang w:val="en-GB"/>
        </w:rPr>
        <w:t xml:space="preserve">response and 9.6% </w:t>
      </w:r>
      <w:r w:rsidR="001267A8" w:rsidDel="005417FA">
        <w:rPr>
          <w:rFonts w:eastAsia="Times New Roman" w:cs="Arial"/>
          <w:snapToGrid w:val="0"/>
          <w:szCs w:val="24"/>
          <w:lang w:val="en-GB"/>
        </w:rPr>
        <w:t xml:space="preserve">more </w:t>
      </w:r>
      <w:r w:rsidR="001267A8" w:rsidRPr="00997738" w:rsidDel="005417FA">
        <w:rPr>
          <w:rFonts w:eastAsia="Times New Roman" w:cs="Arial"/>
          <w:snapToGrid w:val="0"/>
          <w:szCs w:val="24"/>
          <w:lang w:val="en-GB"/>
        </w:rPr>
        <w:t xml:space="preserve">had a positive </w:t>
      </w:r>
      <w:r w:rsidR="004634D9" w:rsidDel="005417FA">
        <w:rPr>
          <w:rFonts w:eastAsia="Times New Roman" w:cs="Arial"/>
          <w:snapToGrid w:val="0"/>
          <w:szCs w:val="24"/>
          <w:lang w:val="en-GB"/>
        </w:rPr>
        <w:t>Investigators Global Assessment (</w:t>
      </w:r>
      <w:r w:rsidR="001267A8" w:rsidRPr="00997738" w:rsidDel="005417FA">
        <w:rPr>
          <w:rFonts w:eastAsia="Times New Roman" w:cs="Arial"/>
          <w:snapToGrid w:val="0"/>
          <w:szCs w:val="24"/>
          <w:lang w:val="en-GB"/>
        </w:rPr>
        <w:t>IGA</w:t>
      </w:r>
      <w:r w:rsidR="004634D9" w:rsidDel="005417FA">
        <w:rPr>
          <w:rFonts w:eastAsia="Times New Roman" w:cs="Arial"/>
          <w:snapToGrid w:val="0"/>
          <w:szCs w:val="24"/>
          <w:lang w:val="en-GB"/>
        </w:rPr>
        <w:t>)</w:t>
      </w:r>
      <w:r w:rsidR="001267A8" w:rsidRPr="00997738" w:rsidDel="005417FA">
        <w:rPr>
          <w:rFonts w:eastAsia="Times New Roman" w:cs="Arial"/>
          <w:snapToGrid w:val="0"/>
          <w:szCs w:val="24"/>
          <w:lang w:val="en-GB"/>
        </w:rPr>
        <w:t xml:space="preserve"> response after </w:t>
      </w:r>
      <w:r w:rsidR="00C44910" w:rsidDel="005417FA">
        <w:rPr>
          <w:rFonts w:eastAsia="Times New Roman" w:cs="Arial"/>
          <w:snapToGrid w:val="0"/>
          <w:szCs w:val="24"/>
          <w:lang w:val="en-GB"/>
        </w:rPr>
        <w:t>24 weeks of induction</w:t>
      </w:r>
      <w:r w:rsidR="001267A8" w:rsidDel="005417FA">
        <w:rPr>
          <w:rFonts w:eastAsia="Times New Roman" w:cs="Arial"/>
          <w:snapToGrid w:val="0"/>
          <w:szCs w:val="24"/>
          <w:lang w:val="en-GB"/>
        </w:rPr>
        <w:t>.</w:t>
      </w:r>
      <w:r w:rsidR="009060C2" w:rsidDel="005417FA">
        <w:rPr>
          <w:rFonts w:eastAsia="Times New Roman" w:cs="Arial"/>
          <w:snapToGrid w:val="0"/>
          <w:szCs w:val="24"/>
          <w:lang w:val="en-GB"/>
        </w:rPr>
        <w:t xml:space="preserve"> Further, the </w:t>
      </w:r>
      <w:r w:rsidR="00145E06" w:rsidDel="005417FA">
        <w:rPr>
          <w:rFonts w:eastAsia="Times New Roman" w:cs="Arial"/>
          <w:snapToGrid w:val="0"/>
          <w:szCs w:val="24"/>
          <w:lang w:val="en-GB"/>
        </w:rPr>
        <w:t>proportion of patients meeting the EASI</w:t>
      </w:r>
      <w:r w:rsidR="00903F26" w:rsidDel="005417FA">
        <w:rPr>
          <w:rFonts w:eastAsia="Times New Roman" w:cs="Arial"/>
          <w:snapToGrid w:val="0"/>
          <w:szCs w:val="24"/>
          <w:lang w:val="en-GB"/>
        </w:rPr>
        <w:t>-50 response</w:t>
      </w:r>
      <w:r w:rsidR="00C44EB5" w:rsidDel="005417FA">
        <w:rPr>
          <w:rFonts w:eastAsia="Times New Roman" w:cs="Arial"/>
          <w:snapToGrid w:val="0"/>
          <w:szCs w:val="24"/>
          <w:lang w:val="en-GB"/>
        </w:rPr>
        <w:t xml:space="preserve"> criteria</w:t>
      </w:r>
      <w:r w:rsidR="00C30E46" w:rsidDel="005417FA">
        <w:rPr>
          <w:rFonts w:eastAsia="Times New Roman" w:cs="Arial"/>
          <w:snapToGrid w:val="0"/>
          <w:szCs w:val="24"/>
          <w:lang w:val="en-GB"/>
        </w:rPr>
        <w:t xml:space="preserve"> after 24 weeks</w:t>
      </w:r>
      <w:r w:rsidR="00C44EB5" w:rsidDel="005417FA">
        <w:rPr>
          <w:rFonts w:eastAsia="Times New Roman" w:cs="Arial"/>
          <w:snapToGrid w:val="0"/>
          <w:szCs w:val="24"/>
          <w:lang w:val="en-GB"/>
        </w:rPr>
        <w:t xml:space="preserve">, which is a component of the </w:t>
      </w:r>
      <w:r w:rsidR="003A17EA" w:rsidDel="005417FA">
        <w:rPr>
          <w:rFonts w:eastAsia="Times New Roman" w:cs="Arial"/>
          <w:snapToGrid w:val="0"/>
          <w:szCs w:val="24"/>
          <w:lang w:val="en-GB"/>
        </w:rPr>
        <w:t>proposed PBS restriction criteria</w:t>
      </w:r>
      <w:r w:rsidR="002212F3" w:rsidDel="005417FA">
        <w:rPr>
          <w:rFonts w:eastAsia="Times New Roman" w:cs="Arial"/>
          <w:snapToGrid w:val="0"/>
          <w:szCs w:val="24"/>
          <w:lang w:val="en-GB"/>
        </w:rPr>
        <w:t>,</w:t>
      </w:r>
      <w:r w:rsidR="00903F26" w:rsidDel="005417FA">
        <w:rPr>
          <w:rFonts w:eastAsia="Times New Roman" w:cs="Arial"/>
          <w:snapToGrid w:val="0"/>
          <w:szCs w:val="24"/>
          <w:lang w:val="en-GB"/>
        </w:rPr>
        <w:t xml:space="preserve"> was similar for NEMO patients after 24 weeks of treatment (67.1%) and </w:t>
      </w:r>
      <w:r w:rsidR="00063C6A" w:rsidDel="005417FA">
        <w:rPr>
          <w:rFonts w:eastAsia="Times New Roman" w:cs="Arial"/>
          <w:snapToGrid w:val="0"/>
          <w:szCs w:val="24"/>
          <w:lang w:val="en-GB"/>
        </w:rPr>
        <w:t>DUPI after 16 weeks of treatment (67.0%)</w:t>
      </w:r>
      <w:r w:rsidR="00250D99" w:rsidDel="005417FA">
        <w:rPr>
          <w:rFonts w:eastAsia="Times New Roman" w:cs="Arial"/>
          <w:snapToGrid w:val="0"/>
          <w:szCs w:val="24"/>
          <w:lang w:val="en-GB"/>
        </w:rPr>
        <w:t xml:space="preserve">. </w:t>
      </w:r>
      <w:r w:rsidR="002E18ED" w:rsidDel="005417FA">
        <w:rPr>
          <w:rFonts w:eastAsia="Times New Roman" w:cs="Arial"/>
          <w:snapToGrid w:val="0"/>
          <w:szCs w:val="24"/>
          <w:lang w:val="en-GB"/>
        </w:rPr>
        <w:t xml:space="preserve">Despite the </w:t>
      </w:r>
      <w:r w:rsidR="003B2773" w:rsidRPr="00BC11C1" w:rsidDel="005417FA">
        <w:rPr>
          <w:rFonts w:eastAsia="Times New Roman" w:cs="Arial"/>
          <w:i/>
          <w:iCs/>
          <w:snapToGrid w:val="0"/>
          <w:szCs w:val="24"/>
          <w:lang w:val="en-GB"/>
        </w:rPr>
        <w:t>post hoc</w:t>
      </w:r>
      <w:r w:rsidR="003B2773" w:rsidDel="005417FA">
        <w:rPr>
          <w:rFonts w:eastAsia="Times New Roman" w:cs="Arial"/>
          <w:snapToGrid w:val="0"/>
          <w:szCs w:val="24"/>
          <w:lang w:val="en-GB"/>
        </w:rPr>
        <w:t xml:space="preserve"> nature of the comparison at 24 weeks (see paragraph </w:t>
      </w:r>
      <w:r w:rsidR="003B2773" w:rsidDel="005417FA">
        <w:rPr>
          <w:rFonts w:eastAsia="Times New Roman"/>
          <w:snapToGrid w:val="0"/>
          <w:lang w:val="en-GB"/>
        </w:rPr>
        <w:fldChar w:fldCharType="begin"/>
      </w:r>
      <w:r w:rsidR="003B2773" w:rsidDel="005417FA">
        <w:rPr>
          <w:rFonts w:eastAsia="Times New Roman" w:cs="Arial"/>
          <w:snapToGrid w:val="0"/>
          <w:szCs w:val="24"/>
          <w:lang w:val="en-GB"/>
        </w:rPr>
        <w:instrText xml:space="preserve"> REF _Ref224895567 \r \h </w:instrText>
      </w:r>
      <w:r w:rsidR="003B2773" w:rsidDel="005417FA">
        <w:rPr>
          <w:rFonts w:eastAsia="Times New Roman"/>
          <w:snapToGrid w:val="0"/>
          <w:lang w:val="en-GB"/>
        </w:rPr>
      </w:r>
      <w:r w:rsidR="003B2773" w:rsidDel="005417FA">
        <w:rPr>
          <w:rFonts w:eastAsia="Times New Roman"/>
          <w:snapToGrid w:val="0"/>
          <w:lang w:val="en-GB"/>
        </w:rPr>
        <w:fldChar w:fldCharType="separate"/>
      </w:r>
      <w:r w:rsidR="00F67882">
        <w:rPr>
          <w:rFonts w:eastAsia="Times New Roman" w:cs="Arial"/>
          <w:snapToGrid w:val="0"/>
          <w:szCs w:val="24"/>
          <w:lang w:val="en-GB"/>
        </w:rPr>
        <w:t>6.9</w:t>
      </w:r>
      <w:r w:rsidR="003B2773" w:rsidDel="005417FA">
        <w:rPr>
          <w:rFonts w:eastAsia="Times New Roman"/>
          <w:snapToGrid w:val="0"/>
          <w:lang w:val="en-GB"/>
        </w:rPr>
        <w:fldChar w:fldCharType="end"/>
      </w:r>
      <w:r w:rsidR="00BC11C1" w:rsidDel="005417FA">
        <w:rPr>
          <w:rFonts w:eastAsia="Times New Roman" w:cs="Arial"/>
          <w:snapToGrid w:val="0"/>
          <w:szCs w:val="24"/>
          <w:lang w:val="en-GB"/>
        </w:rPr>
        <w:t xml:space="preserve">), </w:t>
      </w:r>
      <w:r w:rsidR="0005059D" w:rsidDel="005417FA">
        <w:rPr>
          <w:rFonts w:eastAsia="Times New Roman" w:cs="Arial"/>
          <w:snapToGrid w:val="0"/>
          <w:szCs w:val="24"/>
          <w:lang w:val="en-GB"/>
        </w:rPr>
        <w:t>t</w:t>
      </w:r>
      <w:r w:rsidR="00250D99" w:rsidDel="005417FA">
        <w:rPr>
          <w:rFonts w:eastAsia="Times New Roman" w:cs="Arial"/>
          <w:snapToGrid w:val="0"/>
          <w:szCs w:val="24"/>
          <w:lang w:val="en-GB"/>
        </w:rPr>
        <w:t xml:space="preserve">he PBAC </w:t>
      </w:r>
      <w:r w:rsidR="00F76C53" w:rsidDel="005417FA">
        <w:rPr>
          <w:rFonts w:eastAsia="Times New Roman" w:cs="Arial"/>
          <w:snapToGrid w:val="0"/>
          <w:szCs w:val="24"/>
          <w:lang w:val="en-GB"/>
        </w:rPr>
        <w:t xml:space="preserve">considered </w:t>
      </w:r>
      <w:r w:rsidR="0005059D" w:rsidDel="005417FA">
        <w:rPr>
          <w:rFonts w:eastAsia="Times New Roman" w:cs="Arial"/>
          <w:snapToGrid w:val="0"/>
          <w:szCs w:val="24"/>
          <w:lang w:val="en-GB"/>
        </w:rPr>
        <w:t xml:space="preserve">that </w:t>
      </w:r>
      <w:r w:rsidR="00BC11C1" w:rsidDel="005417FA">
        <w:rPr>
          <w:rFonts w:eastAsia="Times New Roman" w:cs="Arial"/>
          <w:snapToGrid w:val="0"/>
          <w:szCs w:val="24"/>
          <w:lang w:val="en-GB"/>
        </w:rPr>
        <w:t xml:space="preserve">overall, </w:t>
      </w:r>
      <w:r w:rsidR="00F76C53" w:rsidDel="005417FA">
        <w:rPr>
          <w:rFonts w:eastAsia="Times New Roman" w:cs="Arial"/>
          <w:snapToGrid w:val="0"/>
          <w:szCs w:val="24"/>
          <w:lang w:val="en-GB"/>
        </w:rPr>
        <w:t xml:space="preserve">NEMO (with a </w:t>
      </w:r>
      <w:proofErr w:type="gramStart"/>
      <w:r w:rsidR="00F76C53" w:rsidDel="005417FA">
        <w:rPr>
          <w:rFonts w:eastAsia="Times New Roman" w:cs="Arial"/>
          <w:snapToGrid w:val="0"/>
          <w:szCs w:val="24"/>
          <w:lang w:val="en-GB"/>
        </w:rPr>
        <w:t>16 to</w:t>
      </w:r>
      <w:r w:rsidR="00C05C8E">
        <w:rPr>
          <w:rFonts w:eastAsia="Times New Roman" w:cs="Arial"/>
          <w:snapToGrid w:val="0"/>
          <w:szCs w:val="24"/>
          <w:lang w:val="en-GB"/>
        </w:rPr>
        <w:t xml:space="preserve"> </w:t>
      </w:r>
      <w:r w:rsidR="00F76C53" w:rsidDel="005417FA">
        <w:rPr>
          <w:rFonts w:eastAsia="Times New Roman" w:cs="Arial"/>
          <w:snapToGrid w:val="0"/>
          <w:szCs w:val="24"/>
          <w:lang w:val="en-GB"/>
        </w:rPr>
        <w:t xml:space="preserve">24 </w:t>
      </w:r>
      <w:r w:rsidR="00E11EC2" w:rsidDel="005417FA">
        <w:rPr>
          <w:rFonts w:eastAsia="Times New Roman" w:cs="Arial"/>
          <w:snapToGrid w:val="0"/>
          <w:szCs w:val="24"/>
          <w:lang w:val="en-GB"/>
        </w:rPr>
        <w:t>week</w:t>
      </w:r>
      <w:proofErr w:type="gramEnd"/>
      <w:r w:rsidR="00E11EC2" w:rsidDel="005417FA">
        <w:rPr>
          <w:rFonts w:eastAsia="Times New Roman" w:cs="Arial"/>
          <w:snapToGrid w:val="0"/>
          <w:szCs w:val="24"/>
          <w:lang w:val="en-GB"/>
        </w:rPr>
        <w:t xml:space="preserve"> </w:t>
      </w:r>
      <w:r w:rsidR="00F76C53" w:rsidDel="005417FA">
        <w:rPr>
          <w:rFonts w:eastAsia="Times New Roman" w:cs="Arial"/>
          <w:snapToGrid w:val="0"/>
          <w:szCs w:val="24"/>
          <w:lang w:val="en-GB"/>
        </w:rPr>
        <w:t xml:space="preserve">induction period) was likely non-inferior </w:t>
      </w:r>
      <w:r w:rsidR="0005059D" w:rsidDel="005417FA">
        <w:rPr>
          <w:rFonts w:eastAsia="Times New Roman" w:cs="Arial"/>
          <w:snapToGrid w:val="0"/>
          <w:szCs w:val="24"/>
          <w:lang w:val="en-GB"/>
        </w:rPr>
        <w:t xml:space="preserve">compared </w:t>
      </w:r>
      <w:r w:rsidR="00F76C53" w:rsidDel="005417FA">
        <w:rPr>
          <w:rFonts w:eastAsia="Times New Roman" w:cs="Arial"/>
          <w:snapToGrid w:val="0"/>
          <w:szCs w:val="24"/>
          <w:lang w:val="en-GB"/>
        </w:rPr>
        <w:t xml:space="preserve">to DUPI (with at </w:t>
      </w:r>
      <w:proofErr w:type="gramStart"/>
      <w:r w:rsidR="00F76C53" w:rsidDel="005417FA">
        <w:rPr>
          <w:rFonts w:eastAsia="Times New Roman" w:cs="Arial"/>
          <w:snapToGrid w:val="0"/>
          <w:szCs w:val="24"/>
          <w:lang w:val="en-GB"/>
        </w:rPr>
        <w:t>16 week</w:t>
      </w:r>
      <w:proofErr w:type="gramEnd"/>
      <w:r w:rsidR="00F76C53" w:rsidDel="005417FA">
        <w:rPr>
          <w:rFonts w:eastAsia="Times New Roman" w:cs="Arial"/>
          <w:snapToGrid w:val="0"/>
          <w:szCs w:val="24"/>
          <w:lang w:val="en-GB"/>
        </w:rPr>
        <w:t xml:space="preserve"> induction period) in terms of efficacy.</w:t>
      </w:r>
    </w:p>
    <w:p w14:paraId="3207B3CD" w14:textId="2CB4F2CE" w:rsidR="00F76C53" w:rsidDel="005417FA" w:rsidRDefault="001B0224" w:rsidP="00431CF8">
      <w:pPr>
        <w:pStyle w:val="3-BodyText"/>
      </w:pPr>
      <w:r w:rsidDel="005417FA">
        <w:t xml:space="preserve">The PBAC noted that the resubmission again described NEMO as non-inferior </w:t>
      </w:r>
      <w:r w:rsidR="008A4F70" w:rsidDel="005417FA">
        <w:t xml:space="preserve">compared to DUPI in terms of safety. The PBAC recalled that it previously considered that this conclusion was uncertain </w:t>
      </w:r>
      <w:r w:rsidR="00A26F1F" w:rsidDel="005417FA">
        <w:t xml:space="preserve">as </w:t>
      </w:r>
      <w:proofErr w:type="gramStart"/>
      <w:r w:rsidR="002D4EB3" w:rsidDel="005417FA">
        <w:t>a number of</w:t>
      </w:r>
      <w:proofErr w:type="gramEnd"/>
      <w:r w:rsidR="002D4EB3" w:rsidDel="005417FA">
        <w:t xml:space="preserve"> the indirect treatment comparisons were statistically underpowered. </w:t>
      </w:r>
      <w:r w:rsidR="00160371" w:rsidDel="005417FA">
        <w:t xml:space="preserve">The PBAC noted that although the resubmission did not present any additional comparative data, </w:t>
      </w:r>
      <w:r w:rsidR="00B828DA" w:rsidDel="005417FA">
        <w:t xml:space="preserve">the extended safety data from the </w:t>
      </w:r>
      <w:r w:rsidR="00D57355" w:rsidDel="005417FA">
        <w:t xml:space="preserve">ARCADIA LTE study indicated that </w:t>
      </w:r>
      <w:r w:rsidR="004E46F1" w:rsidDel="005417FA">
        <w:t>NE</w:t>
      </w:r>
      <w:r w:rsidR="00D57355" w:rsidDel="005417FA">
        <w:t xml:space="preserve">MO was well tolerated </w:t>
      </w:r>
      <w:r w:rsidR="00622B6F" w:rsidDel="005417FA">
        <w:t>for up to 104 weeks.</w:t>
      </w:r>
      <w:r w:rsidR="00160371" w:rsidDel="005417FA">
        <w:t xml:space="preserve"> </w:t>
      </w:r>
      <w:r w:rsidR="00614044" w:rsidDel="005417FA">
        <w:t>N</w:t>
      </w:r>
      <w:r w:rsidR="00FE3FC3" w:rsidDel="005417FA">
        <w:t xml:space="preserve">oting the </w:t>
      </w:r>
      <w:r w:rsidR="000A7C1D" w:rsidDel="005417FA">
        <w:t xml:space="preserve">additional data and the </w:t>
      </w:r>
      <w:r w:rsidR="00FE3FC3" w:rsidDel="005417FA">
        <w:t xml:space="preserve">advice received in the sponsor hearing </w:t>
      </w:r>
      <w:r w:rsidR="00CC2663" w:rsidDel="005417FA">
        <w:t xml:space="preserve">regarding the safety profile of NEMO (see paragraph </w:t>
      </w:r>
      <w:r w:rsidR="00CC2663" w:rsidDel="005417FA">
        <w:fldChar w:fldCharType="begin"/>
      </w:r>
      <w:r w:rsidR="00CC2663" w:rsidDel="005417FA">
        <w:instrText xml:space="preserve"> REF _Ref224888888 \r \h </w:instrText>
      </w:r>
      <w:r w:rsidR="00CC2663" w:rsidDel="005417FA">
        <w:fldChar w:fldCharType="separate"/>
      </w:r>
      <w:r w:rsidR="00F67882">
        <w:t>6.1</w:t>
      </w:r>
      <w:r w:rsidR="00CC2663" w:rsidDel="005417FA">
        <w:fldChar w:fldCharType="end"/>
      </w:r>
      <w:r w:rsidR="00CC2663" w:rsidDel="005417FA">
        <w:t xml:space="preserve">), the PBAC considered that </w:t>
      </w:r>
      <w:r w:rsidR="00614044" w:rsidDel="005417FA">
        <w:t xml:space="preserve">on balance, </w:t>
      </w:r>
      <w:r w:rsidR="00CC2663" w:rsidDel="005417FA">
        <w:t>NEMO was likely non-inferior compared to DUPI in terms of safety.</w:t>
      </w:r>
    </w:p>
    <w:p w14:paraId="26E02177" w14:textId="50F33FF2" w:rsidR="000254D8" w:rsidDel="005417FA" w:rsidRDefault="00903330" w:rsidP="005C4F91">
      <w:pPr>
        <w:widowControl w:val="0"/>
        <w:numPr>
          <w:ilvl w:val="1"/>
          <w:numId w:val="5"/>
        </w:numPr>
        <w:spacing w:after="120"/>
        <w:rPr>
          <w:rFonts w:asciiTheme="minorHAnsi" w:hAnsiTheme="minorHAnsi"/>
          <w:snapToGrid w:val="0"/>
          <w:lang w:val="en-GB"/>
        </w:rPr>
      </w:pPr>
      <w:r w:rsidDel="005417FA">
        <w:rPr>
          <w:rFonts w:asciiTheme="minorHAnsi" w:hAnsiTheme="minorHAnsi"/>
          <w:snapToGrid w:val="0"/>
          <w:lang w:val="en-GB"/>
        </w:rPr>
        <w:t xml:space="preserve">The PBAC considered that the </w:t>
      </w:r>
      <w:r w:rsidR="009640C5" w:rsidDel="005417FA">
        <w:rPr>
          <w:rFonts w:asciiTheme="minorHAnsi" w:hAnsiTheme="minorHAnsi"/>
          <w:snapToGrid w:val="0"/>
          <w:lang w:val="en-GB"/>
        </w:rPr>
        <w:t>approach for</w:t>
      </w:r>
      <w:r w:rsidR="0015016F" w:rsidDel="005417FA">
        <w:rPr>
          <w:rFonts w:asciiTheme="minorHAnsi" w:hAnsiTheme="minorHAnsi"/>
          <w:snapToGrid w:val="0"/>
          <w:lang w:val="en-GB"/>
        </w:rPr>
        <w:t xml:space="preserve"> </w:t>
      </w:r>
      <w:r w:rsidR="00DE79F0" w:rsidDel="005417FA">
        <w:rPr>
          <w:rFonts w:asciiTheme="minorHAnsi" w:hAnsiTheme="minorHAnsi"/>
          <w:snapToGrid w:val="0"/>
          <w:lang w:val="en-GB"/>
        </w:rPr>
        <w:t xml:space="preserve">the </w:t>
      </w:r>
      <w:r w:rsidDel="005417FA">
        <w:rPr>
          <w:rFonts w:asciiTheme="minorHAnsi" w:hAnsiTheme="minorHAnsi"/>
          <w:snapToGrid w:val="0"/>
          <w:lang w:val="en-GB"/>
        </w:rPr>
        <w:t xml:space="preserve">CMA </w:t>
      </w:r>
      <w:r w:rsidR="00DE79F0" w:rsidDel="005417FA">
        <w:rPr>
          <w:rFonts w:asciiTheme="minorHAnsi" w:hAnsiTheme="minorHAnsi"/>
          <w:snapToGrid w:val="0"/>
          <w:lang w:val="en-GB"/>
        </w:rPr>
        <w:t xml:space="preserve">as presented in the resubmission </w:t>
      </w:r>
      <w:r w:rsidDel="005417FA">
        <w:rPr>
          <w:rFonts w:asciiTheme="minorHAnsi" w:hAnsiTheme="minorHAnsi"/>
          <w:snapToGrid w:val="0"/>
          <w:lang w:val="en-GB"/>
        </w:rPr>
        <w:t>was reasonable</w:t>
      </w:r>
      <w:r w:rsidR="00FD1D23" w:rsidDel="005417FA">
        <w:rPr>
          <w:rFonts w:asciiTheme="minorHAnsi" w:hAnsiTheme="minorHAnsi"/>
          <w:snapToGrid w:val="0"/>
          <w:lang w:val="en-GB"/>
        </w:rPr>
        <w:t xml:space="preserve">, but </w:t>
      </w:r>
      <w:r w:rsidR="00814120" w:rsidDel="005417FA">
        <w:rPr>
          <w:rFonts w:asciiTheme="minorHAnsi" w:hAnsiTheme="minorHAnsi"/>
          <w:snapToGrid w:val="0"/>
          <w:lang w:val="en-GB"/>
        </w:rPr>
        <w:t xml:space="preserve">that </w:t>
      </w:r>
      <w:r w:rsidR="0015016F" w:rsidDel="005417FA">
        <w:rPr>
          <w:rFonts w:asciiTheme="minorHAnsi" w:hAnsiTheme="minorHAnsi"/>
          <w:snapToGrid w:val="0"/>
          <w:lang w:val="en-GB"/>
        </w:rPr>
        <w:t xml:space="preserve">the cost offsets associated with conjunctivitis </w:t>
      </w:r>
      <w:r w:rsidR="00254297" w:rsidDel="005417FA">
        <w:rPr>
          <w:rFonts w:asciiTheme="minorHAnsi" w:hAnsiTheme="minorHAnsi"/>
          <w:snapToGrid w:val="0"/>
          <w:lang w:val="en-GB"/>
        </w:rPr>
        <w:t>should be removed</w:t>
      </w:r>
      <w:r w:rsidR="00A70443" w:rsidDel="005417FA">
        <w:rPr>
          <w:rFonts w:asciiTheme="minorHAnsi" w:hAnsiTheme="minorHAnsi"/>
          <w:snapToGrid w:val="0"/>
          <w:lang w:val="en-GB"/>
        </w:rPr>
        <w:t xml:space="preserve"> </w:t>
      </w:r>
      <w:r w:rsidR="00254297" w:rsidDel="005417FA">
        <w:rPr>
          <w:rFonts w:asciiTheme="minorHAnsi" w:hAnsiTheme="minorHAnsi"/>
          <w:snapToGrid w:val="0"/>
          <w:lang w:val="en-GB"/>
        </w:rPr>
        <w:t xml:space="preserve">(see paragraph </w:t>
      </w:r>
      <w:r w:rsidR="00254297" w:rsidDel="005417FA">
        <w:rPr>
          <w:rFonts w:asciiTheme="minorHAnsi" w:hAnsiTheme="minorHAnsi"/>
          <w:snapToGrid w:val="0"/>
          <w:lang w:val="en-GB"/>
        </w:rPr>
        <w:fldChar w:fldCharType="begin"/>
      </w:r>
      <w:r w:rsidR="00254297" w:rsidDel="005417FA">
        <w:rPr>
          <w:rFonts w:asciiTheme="minorHAnsi" w:hAnsiTheme="minorHAnsi"/>
          <w:snapToGrid w:val="0"/>
          <w:lang w:val="en-GB"/>
        </w:rPr>
        <w:instrText xml:space="preserve"> REF _Ref224890115 \r \h </w:instrText>
      </w:r>
      <w:r w:rsidR="00254297" w:rsidDel="005417FA">
        <w:rPr>
          <w:rFonts w:asciiTheme="minorHAnsi" w:hAnsiTheme="minorHAnsi"/>
          <w:snapToGrid w:val="0"/>
          <w:lang w:val="en-GB"/>
        </w:rPr>
      </w:r>
      <w:r w:rsidR="00254297" w:rsidDel="005417FA">
        <w:rPr>
          <w:rFonts w:asciiTheme="minorHAnsi" w:hAnsiTheme="minorHAnsi"/>
          <w:snapToGrid w:val="0"/>
          <w:lang w:val="en-GB"/>
        </w:rPr>
        <w:fldChar w:fldCharType="separate"/>
      </w:r>
      <w:r w:rsidR="00F67882">
        <w:rPr>
          <w:rFonts w:asciiTheme="minorHAnsi" w:hAnsiTheme="minorHAnsi"/>
          <w:snapToGrid w:val="0"/>
          <w:lang w:val="en-GB"/>
        </w:rPr>
        <w:t>6.38</w:t>
      </w:r>
      <w:r w:rsidR="00254297" w:rsidDel="005417FA">
        <w:rPr>
          <w:rFonts w:asciiTheme="minorHAnsi" w:hAnsiTheme="minorHAnsi"/>
          <w:snapToGrid w:val="0"/>
          <w:lang w:val="en-GB"/>
        </w:rPr>
        <w:fldChar w:fldCharType="end"/>
      </w:r>
      <w:r w:rsidR="00254297" w:rsidDel="005417FA">
        <w:rPr>
          <w:rFonts w:asciiTheme="minorHAnsi" w:hAnsiTheme="minorHAnsi"/>
          <w:snapToGrid w:val="0"/>
          <w:lang w:val="en-GB"/>
        </w:rPr>
        <w:t xml:space="preserve">) </w:t>
      </w:r>
      <w:r w:rsidR="00E72725" w:rsidDel="005417FA">
        <w:rPr>
          <w:rFonts w:asciiTheme="minorHAnsi" w:hAnsiTheme="minorHAnsi"/>
          <w:snapToGrid w:val="0"/>
          <w:lang w:val="en-GB"/>
        </w:rPr>
        <w:t>consistent with its view that the treatments are non-inferior in terms of safety</w:t>
      </w:r>
      <w:r w:rsidR="0077110C" w:rsidDel="005417FA">
        <w:rPr>
          <w:rFonts w:asciiTheme="minorHAnsi" w:hAnsiTheme="minorHAnsi"/>
          <w:snapToGrid w:val="0"/>
          <w:lang w:val="en-GB"/>
        </w:rPr>
        <w:t>,</w:t>
      </w:r>
      <w:r w:rsidR="00E72725" w:rsidDel="005417FA">
        <w:rPr>
          <w:rFonts w:asciiTheme="minorHAnsi" w:hAnsiTheme="minorHAnsi"/>
          <w:snapToGrid w:val="0"/>
          <w:lang w:val="en-GB"/>
        </w:rPr>
        <w:t xml:space="preserve"> </w:t>
      </w:r>
      <w:r w:rsidR="00254297" w:rsidDel="005417FA">
        <w:rPr>
          <w:rFonts w:asciiTheme="minorHAnsi" w:hAnsiTheme="minorHAnsi"/>
          <w:snapToGrid w:val="0"/>
          <w:lang w:val="en-GB"/>
        </w:rPr>
        <w:t xml:space="preserve">and the proportion of </w:t>
      </w:r>
      <w:r w:rsidR="005329EF" w:rsidDel="005417FA">
        <w:rPr>
          <w:rFonts w:asciiTheme="minorHAnsi" w:hAnsiTheme="minorHAnsi"/>
          <w:snapToGrid w:val="0"/>
          <w:lang w:val="en-GB"/>
        </w:rPr>
        <w:t xml:space="preserve">responding </w:t>
      </w:r>
      <w:r w:rsidR="009359EF" w:rsidDel="005417FA">
        <w:rPr>
          <w:rFonts w:asciiTheme="minorHAnsi" w:hAnsiTheme="minorHAnsi"/>
          <w:snapToGrid w:val="0"/>
          <w:lang w:val="en-GB"/>
        </w:rPr>
        <w:t xml:space="preserve">patients </w:t>
      </w:r>
      <w:r w:rsidR="00C22B6D" w:rsidDel="005417FA">
        <w:rPr>
          <w:rFonts w:asciiTheme="minorHAnsi" w:hAnsiTheme="minorHAnsi"/>
          <w:snapToGrid w:val="0"/>
          <w:lang w:val="en-GB"/>
        </w:rPr>
        <w:t>treated with</w:t>
      </w:r>
      <w:r w:rsidR="009359EF" w:rsidDel="005417FA">
        <w:rPr>
          <w:rFonts w:asciiTheme="minorHAnsi" w:hAnsiTheme="minorHAnsi"/>
          <w:snapToGrid w:val="0"/>
          <w:lang w:val="en-GB"/>
        </w:rPr>
        <w:t xml:space="preserve"> 2</w:t>
      </w:r>
      <w:r w:rsidR="009D6051" w:rsidDel="005417FA">
        <w:rPr>
          <w:rFonts w:asciiTheme="minorHAnsi" w:hAnsiTheme="minorHAnsi"/>
          <w:snapToGrid w:val="0"/>
          <w:lang w:val="en-GB"/>
        </w:rPr>
        <w:t>4</w:t>
      </w:r>
      <w:r w:rsidR="009359EF" w:rsidDel="005417FA">
        <w:rPr>
          <w:rFonts w:asciiTheme="minorHAnsi" w:hAnsiTheme="minorHAnsi"/>
          <w:snapToGrid w:val="0"/>
          <w:lang w:val="en-GB"/>
        </w:rPr>
        <w:t xml:space="preserve"> weeks</w:t>
      </w:r>
      <w:r w:rsidR="00C22B6D" w:rsidDel="005417FA">
        <w:rPr>
          <w:rFonts w:asciiTheme="minorHAnsi" w:hAnsiTheme="minorHAnsi"/>
          <w:snapToGrid w:val="0"/>
          <w:lang w:val="en-GB"/>
        </w:rPr>
        <w:t xml:space="preserve"> of treatment</w:t>
      </w:r>
      <w:r w:rsidR="00FB6F67" w:rsidDel="005417FA">
        <w:rPr>
          <w:rFonts w:asciiTheme="minorHAnsi" w:hAnsiTheme="minorHAnsi"/>
          <w:snapToGrid w:val="0"/>
          <w:lang w:val="en-GB"/>
        </w:rPr>
        <w:t>, rather than at 16 weeks,</w:t>
      </w:r>
      <w:r w:rsidR="009359EF" w:rsidDel="005417FA">
        <w:rPr>
          <w:rFonts w:asciiTheme="minorHAnsi" w:hAnsiTheme="minorHAnsi"/>
          <w:snapToGrid w:val="0"/>
          <w:lang w:val="en-GB"/>
        </w:rPr>
        <w:t xml:space="preserve"> should be increased </w:t>
      </w:r>
      <w:r w:rsidR="00CA4E2F" w:rsidDel="005417FA">
        <w:rPr>
          <w:rFonts w:asciiTheme="minorHAnsi" w:hAnsiTheme="minorHAnsi"/>
          <w:snapToGrid w:val="0"/>
          <w:lang w:val="en-GB"/>
        </w:rPr>
        <w:t xml:space="preserve">form 25.9% </w:t>
      </w:r>
      <w:r w:rsidR="009359EF" w:rsidDel="005417FA">
        <w:rPr>
          <w:rFonts w:asciiTheme="minorHAnsi" w:hAnsiTheme="minorHAnsi"/>
          <w:snapToGrid w:val="0"/>
          <w:lang w:val="en-GB"/>
        </w:rPr>
        <w:t xml:space="preserve">to 35.9% (see paragraph </w:t>
      </w:r>
      <w:r w:rsidR="009359EF" w:rsidDel="005417FA">
        <w:rPr>
          <w:rFonts w:asciiTheme="minorHAnsi" w:hAnsiTheme="minorHAnsi"/>
          <w:snapToGrid w:val="0"/>
          <w:lang w:val="en-GB"/>
        </w:rPr>
        <w:fldChar w:fldCharType="begin"/>
      </w:r>
      <w:r w:rsidR="009359EF" w:rsidDel="005417FA">
        <w:rPr>
          <w:rFonts w:asciiTheme="minorHAnsi" w:hAnsiTheme="minorHAnsi"/>
          <w:snapToGrid w:val="0"/>
          <w:lang w:val="en-GB"/>
        </w:rPr>
        <w:instrText xml:space="preserve"> REF _Ref224890163 \r \h </w:instrText>
      </w:r>
      <w:r w:rsidR="009359EF" w:rsidDel="005417FA">
        <w:rPr>
          <w:rFonts w:asciiTheme="minorHAnsi" w:hAnsiTheme="minorHAnsi"/>
          <w:snapToGrid w:val="0"/>
          <w:lang w:val="en-GB"/>
        </w:rPr>
      </w:r>
      <w:r w:rsidR="009359EF" w:rsidDel="005417FA">
        <w:rPr>
          <w:rFonts w:asciiTheme="minorHAnsi" w:hAnsiTheme="minorHAnsi"/>
          <w:snapToGrid w:val="0"/>
          <w:lang w:val="en-GB"/>
        </w:rPr>
        <w:fldChar w:fldCharType="separate"/>
      </w:r>
      <w:r w:rsidR="00F67882">
        <w:rPr>
          <w:rFonts w:asciiTheme="minorHAnsi" w:hAnsiTheme="minorHAnsi"/>
          <w:snapToGrid w:val="0"/>
          <w:lang w:val="en-GB"/>
        </w:rPr>
        <w:t>6.36</w:t>
      </w:r>
      <w:r w:rsidR="009359EF" w:rsidDel="005417FA">
        <w:rPr>
          <w:rFonts w:asciiTheme="minorHAnsi" w:hAnsiTheme="minorHAnsi"/>
          <w:snapToGrid w:val="0"/>
          <w:lang w:val="en-GB"/>
        </w:rPr>
        <w:fldChar w:fldCharType="end"/>
      </w:r>
      <w:r w:rsidR="009359EF" w:rsidDel="005417FA">
        <w:rPr>
          <w:rFonts w:asciiTheme="minorHAnsi" w:hAnsiTheme="minorHAnsi"/>
          <w:snapToGrid w:val="0"/>
          <w:lang w:val="en-GB"/>
        </w:rPr>
        <w:t xml:space="preserve">). </w:t>
      </w:r>
    </w:p>
    <w:p w14:paraId="4FFCEBC5" w14:textId="4584D5B0" w:rsidR="009F11CE" w:rsidDel="005417FA" w:rsidRDefault="009F11CE" w:rsidP="009F11CE">
      <w:pPr>
        <w:pStyle w:val="3-BodyText"/>
      </w:pPr>
      <w:r w:rsidDel="005417FA">
        <w:t>The PBAC noted that the equi-effective doses were:</w:t>
      </w:r>
    </w:p>
    <w:p w14:paraId="1FD98B84" w14:textId="3752B47C" w:rsidR="009F11CE" w:rsidDel="005417FA" w:rsidRDefault="009F11CE" w:rsidP="00802D2A">
      <w:pPr>
        <w:pStyle w:val="3-BodyText"/>
        <w:numPr>
          <w:ilvl w:val="0"/>
          <w:numId w:val="16"/>
        </w:numPr>
      </w:pPr>
      <w:r w:rsidDel="005417FA">
        <w:t xml:space="preserve">NEMO: 60 mg initial loading dose, followed by 30 mg Q4W </w:t>
      </w:r>
      <w:r w:rsidR="00FA6A93">
        <w:t xml:space="preserve">until </w:t>
      </w:r>
      <w:r w:rsidR="00A04677">
        <w:t>W</w:t>
      </w:r>
      <w:r w:rsidR="00593FEE">
        <w:t>eek</w:t>
      </w:r>
      <w:r w:rsidR="00FA6A93" w:rsidDel="005417FA">
        <w:t xml:space="preserve"> </w:t>
      </w:r>
      <w:r w:rsidDel="005417FA">
        <w:t>16</w:t>
      </w:r>
      <w:r w:rsidR="00E00A91">
        <w:t xml:space="preserve"> for </w:t>
      </w:r>
      <w:r w:rsidR="00A04677">
        <w:t xml:space="preserve">64.1% of patients </w:t>
      </w:r>
      <w:r w:rsidR="00C84853">
        <w:t>or</w:t>
      </w:r>
      <w:r w:rsidR="00A04677">
        <w:t xml:space="preserve"> W</w:t>
      </w:r>
      <w:r w:rsidR="004C10F2">
        <w:t>eek</w:t>
      </w:r>
      <w:r w:rsidR="004C10F2" w:rsidDel="005417FA">
        <w:t xml:space="preserve"> </w:t>
      </w:r>
      <w:r w:rsidDel="005417FA">
        <w:t>24</w:t>
      </w:r>
      <w:r w:rsidR="00A04677">
        <w:t xml:space="preserve"> for 35.9% of patients</w:t>
      </w:r>
      <w:r w:rsidDel="005417FA">
        <w:t>; then 30 mg Q8W</w:t>
      </w:r>
      <w:r w:rsidR="00807021">
        <w:t xml:space="preserve"> </w:t>
      </w:r>
      <w:r w:rsidDel="005417FA">
        <w:t xml:space="preserve">DUPI (adults/adolescents </w:t>
      </w:r>
      <w:r w:rsidRPr="00807021" w:rsidDel="005417FA">
        <w:rPr>
          <w:rFonts w:cstheme="minorHAnsi"/>
        </w:rPr>
        <w:t>≥</w:t>
      </w:r>
      <w:r w:rsidDel="005417FA">
        <w:t xml:space="preserve"> 60 kg): 600 mg loading dose, followed by 300 mg Q2W </w:t>
      </w:r>
    </w:p>
    <w:p w14:paraId="77CA08E3" w14:textId="105FD644" w:rsidR="009F11CE" w:rsidRPr="00AD7BB5" w:rsidDel="005417FA" w:rsidRDefault="009F11CE" w:rsidP="009F11CE">
      <w:pPr>
        <w:pStyle w:val="3-BodyText"/>
        <w:numPr>
          <w:ilvl w:val="0"/>
          <w:numId w:val="16"/>
        </w:numPr>
      </w:pPr>
      <w:r w:rsidDel="005417FA">
        <w:t>DUPI (adolescents &lt; 60 kg): 400 mg loading dose, followed by 200 mg Q2W</w:t>
      </w:r>
    </w:p>
    <w:p w14:paraId="4C74F10E" w14:textId="678489D0" w:rsidR="009F11CE" w:rsidDel="005417FA" w:rsidRDefault="009F11CE" w:rsidP="005C4F91">
      <w:pPr>
        <w:widowControl w:val="0"/>
        <w:numPr>
          <w:ilvl w:val="1"/>
          <w:numId w:val="5"/>
        </w:numPr>
        <w:spacing w:after="120"/>
        <w:rPr>
          <w:rFonts w:asciiTheme="minorHAnsi" w:hAnsiTheme="minorHAnsi"/>
          <w:snapToGrid w:val="0"/>
          <w:lang w:val="en-GB"/>
        </w:rPr>
      </w:pPr>
      <w:r w:rsidDel="005417FA">
        <w:rPr>
          <w:rFonts w:asciiTheme="minorHAnsi" w:hAnsiTheme="minorHAnsi"/>
          <w:snapToGrid w:val="0"/>
          <w:lang w:val="en-GB"/>
        </w:rPr>
        <w:t xml:space="preserve">The previously determined equi-effective doses </w:t>
      </w:r>
      <w:r w:rsidR="00086166" w:rsidDel="005417FA">
        <w:rPr>
          <w:rFonts w:asciiTheme="minorHAnsi" w:hAnsiTheme="minorHAnsi"/>
          <w:snapToGrid w:val="0"/>
          <w:lang w:val="en-GB"/>
        </w:rPr>
        <w:t>of</w:t>
      </w:r>
      <w:r w:rsidDel="005417FA">
        <w:rPr>
          <w:rFonts w:asciiTheme="minorHAnsi" w:hAnsiTheme="minorHAnsi"/>
          <w:snapToGrid w:val="0"/>
          <w:lang w:val="en-GB"/>
        </w:rPr>
        <w:t xml:space="preserve"> DUPI and UPA could be used to inform the equi-effective doses of </w:t>
      </w:r>
      <w:r w:rsidR="00086166" w:rsidDel="005417FA">
        <w:rPr>
          <w:rFonts w:asciiTheme="minorHAnsi" w:hAnsiTheme="minorHAnsi"/>
          <w:snapToGrid w:val="0"/>
          <w:lang w:val="en-GB"/>
        </w:rPr>
        <w:t xml:space="preserve">NEMO and UPA for the purpose of determining the </w:t>
      </w:r>
      <w:r w:rsidR="00086166" w:rsidDel="005417FA">
        <w:rPr>
          <w:rFonts w:asciiTheme="minorHAnsi" w:hAnsiTheme="minorHAnsi"/>
          <w:snapToGrid w:val="0"/>
          <w:lang w:val="en-GB"/>
        </w:rPr>
        <w:lastRenderedPageBreak/>
        <w:t>lowest cost alternative therapy</w:t>
      </w:r>
      <w:r w:rsidR="00FB6F67" w:rsidDel="005417FA">
        <w:rPr>
          <w:rFonts w:asciiTheme="minorHAnsi" w:hAnsiTheme="minorHAnsi"/>
          <w:snapToGrid w:val="0"/>
          <w:lang w:val="en-GB"/>
        </w:rPr>
        <w:t xml:space="preserve"> (paragraph 7.12, upadacitinib PSD, July 2021 PBAC meeting).</w:t>
      </w:r>
    </w:p>
    <w:p w14:paraId="20657662" w14:textId="338BF084" w:rsidR="00856C9C" w:rsidDel="005417FA" w:rsidRDefault="00CA4E2F" w:rsidP="005C4F91">
      <w:pPr>
        <w:widowControl w:val="0"/>
        <w:numPr>
          <w:ilvl w:val="1"/>
          <w:numId w:val="5"/>
        </w:numPr>
        <w:spacing w:after="120"/>
        <w:rPr>
          <w:rFonts w:asciiTheme="minorHAnsi" w:hAnsiTheme="minorHAnsi"/>
          <w:snapToGrid w:val="0"/>
          <w:lang w:val="en-GB"/>
        </w:rPr>
      </w:pPr>
      <w:r w:rsidRPr="00A05D0B" w:rsidDel="005417FA">
        <w:rPr>
          <w:rFonts w:asciiTheme="minorHAnsi" w:hAnsiTheme="minorHAnsi"/>
          <w:snapToGrid w:val="0"/>
          <w:lang w:val="en-GB"/>
        </w:rPr>
        <w:t xml:space="preserve">The PBAC noted that the </w:t>
      </w:r>
      <w:r w:rsidR="009A289C" w:rsidRPr="00A05D0B" w:rsidDel="005417FA">
        <w:rPr>
          <w:rFonts w:asciiTheme="minorHAnsi" w:hAnsiTheme="minorHAnsi"/>
          <w:snapToGrid w:val="0"/>
          <w:lang w:val="en-GB"/>
        </w:rPr>
        <w:t xml:space="preserve">March </w:t>
      </w:r>
      <w:r w:rsidR="000B7E1A" w:rsidRPr="00A05D0B" w:rsidDel="005417FA">
        <w:rPr>
          <w:rFonts w:asciiTheme="minorHAnsi" w:hAnsiTheme="minorHAnsi"/>
          <w:snapToGrid w:val="0"/>
          <w:lang w:val="en-GB"/>
        </w:rPr>
        <w:t xml:space="preserve">2026 </w:t>
      </w:r>
      <w:r w:rsidR="009A289C" w:rsidRPr="00A05D0B" w:rsidDel="005417FA">
        <w:rPr>
          <w:rFonts w:asciiTheme="minorHAnsi" w:hAnsiTheme="minorHAnsi"/>
          <w:snapToGrid w:val="0"/>
          <w:lang w:val="en-GB"/>
        </w:rPr>
        <w:t>pre-PBAC response stated that it would honour the</w:t>
      </w:r>
      <w:r w:rsidR="00C83917" w:rsidRPr="00A05D0B" w:rsidDel="005417FA">
        <w:rPr>
          <w:rFonts w:asciiTheme="minorHAnsi" w:hAnsiTheme="minorHAnsi"/>
          <w:snapToGrid w:val="0"/>
          <w:lang w:val="en-GB"/>
        </w:rPr>
        <w:t xml:space="preserve"> </w:t>
      </w:r>
      <w:r w:rsidR="00807021" w:rsidRPr="00807021">
        <w:rPr>
          <w:rFonts w:asciiTheme="minorHAnsi" w:hAnsiTheme="minorHAnsi"/>
          <w:snapToGrid w:val="0"/>
          <w:sz w:val="2"/>
          <w:highlight w:val="black"/>
          <w:lang w:val="en-GB"/>
        </w:rPr>
        <w:t>redacted content</w:t>
      </w:r>
      <w:r w:rsidR="00C83917" w:rsidRPr="00A05D0B" w:rsidDel="005417FA">
        <w:rPr>
          <w:rFonts w:asciiTheme="minorHAnsi" w:hAnsiTheme="minorHAnsi"/>
          <w:snapToGrid w:val="0"/>
          <w:lang w:val="en-GB"/>
        </w:rPr>
        <w:t>%</w:t>
      </w:r>
      <w:r w:rsidR="00C83917" w:rsidDel="005417FA">
        <w:rPr>
          <w:rFonts w:asciiTheme="minorHAnsi" w:hAnsiTheme="minorHAnsi"/>
          <w:snapToGrid w:val="0"/>
          <w:lang w:val="en-GB"/>
        </w:rPr>
        <w:t xml:space="preserve"> </w:t>
      </w:r>
      <w:r w:rsidR="009A289C" w:rsidDel="005417FA">
        <w:rPr>
          <w:rFonts w:asciiTheme="minorHAnsi" w:hAnsiTheme="minorHAnsi"/>
          <w:snapToGrid w:val="0"/>
          <w:lang w:val="en-GB"/>
        </w:rPr>
        <w:t xml:space="preserve">price </w:t>
      </w:r>
      <w:r w:rsidR="00C83917" w:rsidDel="005417FA">
        <w:rPr>
          <w:rFonts w:asciiTheme="minorHAnsi" w:hAnsiTheme="minorHAnsi"/>
          <w:snapToGrid w:val="0"/>
          <w:lang w:val="en-GB"/>
        </w:rPr>
        <w:t xml:space="preserve">reduction </w:t>
      </w:r>
      <w:r w:rsidR="009A289C" w:rsidDel="005417FA">
        <w:rPr>
          <w:rFonts w:asciiTheme="minorHAnsi" w:hAnsiTheme="minorHAnsi"/>
          <w:snapToGrid w:val="0"/>
          <w:lang w:val="en-GB"/>
        </w:rPr>
        <w:t>proposed in the July 2025 pre-PBAC response</w:t>
      </w:r>
      <w:r w:rsidR="00C83917" w:rsidDel="005417FA">
        <w:rPr>
          <w:rFonts w:asciiTheme="minorHAnsi" w:hAnsiTheme="minorHAnsi"/>
          <w:snapToGrid w:val="0"/>
          <w:lang w:val="en-GB"/>
        </w:rPr>
        <w:t xml:space="preserve">. </w:t>
      </w:r>
    </w:p>
    <w:p w14:paraId="3CB4A165" w14:textId="5757D331" w:rsidR="009D6051" w:rsidDel="005417FA" w:rsidRDefault="009D6051" w:rsidP="005C4F91">
      <w:pPr>
        <w:widowControl w:val="0"/>
        <w:numPr>
          <w:ilvl w:val="1"/>
          <w:numId w:val="5"/>
        </w:numPr>
        <w:spacing w:after="120"/>
        <w:rPr>
          <w:rFonts w:asciiTheme="minorHAnsi" w:hAnsiTheme="minorHAnsi"/>
          <w:snapToGrid w:val="0"/>
          <w:lang w:val="en-GB"/>
        </w:rPr>
      </w:pPr>
      <w:r w:rsidDel="005417FA">
        <w:rPr>
          <w:rFonts w:asciiTheme="minorHAnsi" w:hAnsiTheme="minorHAnsi"/>
          <w:snapToGrid w:val="0"/>
          <w:lang w:val="en-GB"/>
        </w:rPr>
        <w:t xml:space="preserve">The PBAC noted that the cost of induction (i.e. the first 16 to 24 weeks) for NEMO was </w:t>
      </w:r>
      <w:r w:rsidR="005B1D09" w:rsidDel="005417FA">
        <w:rPr>
          <w:rFonts w:asciiTheme="minorHAnsi" w:hAnsiTheme="minorHAnsi"/>
          <w:snapToGrid w:val="0"/>
          <w:lang w:val="en-GB"/>
        </w:rPr>
        <w:t>substantially</w:t>
      </w:r>
      <w:r w:rsidDel="005417FA">
        <w:rPr>
          <w:rFonts w:asciiTheme="minorHAnsi" w:hAnsiTheme="minorHAnsi"/>
          <w:snapToGrid w:val="0"/>
          <w:lang w:val="en-GB"/>
        </w:rPr>
        <w:t xml:space="preserve"> higher than that of DUPI (over 16 weeks) (see paragraph </w:t>
      </w:r>
      <w:r w:rsidDel="005417FA">
        <w:rPr>
          <w:rFonts w:asciiTheme="minorHAnsi" w:hAnsiTheme="minorHAnsi"/>
          <w:snapToGrid w:val="0"/>
          <w:lang w:val="en-GB"/>
        </w:rPr>
        <w:fldChar w:fldCharType="begin"/>
      </w:r>
      <w:r w:rsidDel="005417FA">
        <w:rPr>
          <w:rFonts w:asciiTheme="minorHAnsi" w:hAnsiTheme="minorHAnsi"/>
          <w:snapToGrid w:val="0"/>
          <w:lang w:val="en-GB"/>
        </w:rPr>
        <w:instrText xml:space="preserve"> REF _Ref224891071 \r \h </w:instrText>
      </w:r>
      <w:r w:rsidDel="005417FA">
        <w:rPr>
          <w:rFonts w:asciiTheme="minorHAnsi" w:hAnsiTheme="minorHAnsi"/>
          <w:snapToGrid w:val="0"/>
          <w:lang w:val="en-GB"/>
        </w:rPr>
      </w:r>
      <w:r w:rsidDel="005417FA">
        <w:rPr>
          <w:rFonts w:asciiTheme="minorHAnsi" w:hAnsiTheme="minorHAnsi"/>
          <w:snapToGrid w:val="0"/>
          <w:lang w:val="en-GB"/>
        </w:rPr>
        <w:fldChar w:fldCharType="separate"/>
      </w:r>
      <w:r w:rsidR="005B109B">
        <w:rPr>
          <w:rFonts w:asciiTheme="minorHAnsi" w:hAnsiTheme="minorHAnsi"/>
          <w:snapToGrid w:val="0"/>
          <w:lang w:val="en-GB"/>
        </w:rPr>
        <w:t>6.45</w:t>
      </w:r>
      <w:r w:rsidDel="005417FA">
        <w:rPr>
          <w:rFonts w:asciiTheme="minorHAnsi" w:hAnsiTheme="minorHAnsi"/>
          <w:snapToGrid w:val="0"/>
          <w:lang w:val="en-GB"/>
        </w:rPr>
        <w:fldChar w:fldCharType="end"/>
      </w:r>
      <w:r w:rsidDel="005417FA">
        <w:rPr>
          <w:rFonts w:asciiTheme="minorHAnsi" w:hAnsiTheme="minorHAnsi"/>
          <w:snapToGrid w:val="0"/>
          <w:lang w:val="en-GB"/>
        </w:rPr>
        <w:t xml:space="preserve">), but that this was offset by the dosing schedule of the two drugs in the maintenance phase (Q8W for NEMO and Q2W for DUPI), which resulted in lower ongoing treatment costs for NEMO. </w:t>
      </w:r>
    </w:p>
    <w:p w14:paraId="55479A1E" w14:textId="24072C6F" w:rsidR="00CA4E2F" w:rsidDel="005417FA" w:rsidRDefault="00A11D3D" w:rsidP="005C4F91">
      <w:pPr>
        <w:widowControl w:val="0"/>
        <w:numPr>
          <w:ilvl w:val="1"/>
          <w:numId w:val="5"/>
        </w:numPr>
        <w:spacing w:after="120"/>
        <w:rPr>
          <w:rFonts w:asciiTheme="minorHAnsi" w:hAnsiTheme="minorHAnsi"/>
          <w:snapToGrid w:val="0"/>
          <w:lang w:val="en-GB"/>
        </w:rPr>
      </w:pPr>
      <w:r w:rsidDel="005417FA">
        <w:rPr>
          <w:rFonts w:asciiTheme="minorHAnsi" w:hAnsiTheme="minorHAnsi"/>
          <w:snapToGrid w:val="0"/>
          <w:lang w:val="en-GB"/>
        </w:rPr>
        <w:t xml:space="preserve">The PBAC noted that the resubmission presented revised utilisation and financial estimates in which </w:t>
      </w:r>
      <w:r w:rsidR="00BF703E" w:rsidDel="005417FA">
        <w:rPr>
          <w:rFonts w:asciiTheme="minorHAnsi" w:hAnsiTheme="minorHAnsi"/>
          <w:snapToGrid w:val="0"/>
          <w:lang w:val="en-GB"/>
        </w:rPr>
        <w:t xml:space="preserve">the uptake of NEMO was reduced by </w:t>
      </w:r>
      <w:r w:rsidR="00807021" w:rsidRPr="00807021">
        <w:rPr>
          <w:rFonts w:asciiTheme="minorHAnsi" w:hAnsiTheme="minorHAnsi"/>
          <w:snapToGrid w:val="0"/>
          <w:sz w:val="2"/>
          <w:highlight w:val="black"/>
          <w:lang w:val="en-GB"/>
        </w:rPr>
        <w:t>redacted content</w:t>
      </w:r>
      <w:r w:rsidR="00BF703E" w:rsidDel="005417FA">
        <w:rPr>
          <w:rFonts w:asciiTheme="minorHAnsi" w:hAnsiTheme="minorHAnsi"/>
          <w:snapToGrid w:val="0"/>
          <w:lang w:val="en-GB"/>
        </w:rPr>
        <w:t>%. The PBAC considered that this change was reasonable</w:t>
      </w:r>
      <w:r w:rsidR="00CD20EC" w:rsidDel="005417FA">
        <w:rPr>
          <w:rFonts w:asciiTheme="minorHAnsi" w:hAnsiTheme="minorHAnsi"/>
          <w:snapToGrid w:val="0"/>
          <w:lang w:val="en-GB"/>
        </w:rPr>
        <w:t xml:space="preserve">. </w:t>
      </w:r>
      <w:r w:rsidR="007F5694" w:rsidDel="005417FA">
        <w:rPr>
          <w:rFonts w:asciiTheme="minorHAnsi" w:hAnsiTheme="minorHAnsi"/>
          <w:snapToGrid w:val="0"/>
          <w:lang w:val="en-GB"/>
        </w:rPr>
        <w:t xml:space="preserve">The PBAC noted that </w:t>
      </w:r>
      <w:r w:rsidR="00C53456" w:rsidDel="005417FA">
        <w:rPr>
          <w:rFonts w:asciiTheme="minorHAnsi" w:hAnsiTheme="minorHAnsi"/>
          <w:snapToGrid w:val="0"/>
          <w:lang w:val="en-GB"/>
        </w:rPr>
        <w:t>NEMO was estimated to result in cost saving</w:t>
      </w:r>
      <w:r w:rsidR="003145CD" w:rsidDel="005417FA">
        <w:rPr>
          <w:rFonts w:asciiTheme="minorHAnsi" w:hAnsiTheme="minorHAnsi"/>
          <w:snapToGrid w:val="0"/>
          <w:lang w:val="en-GB"/>
        </w:rPr>
        <w:t xml:space="preserve">s to the PBS/RPBS due </w:t>
      </w:r>
      <w:r w:rsidR="008752B0">
        <w:rPr>
          <w:rFonts w:asciiTheme="minorHAnsi" w:hAnsiTheme="minorHAnsi"/>
          <w:snapToGrid w:val="0"/>
          <w:lang w:val="en-GB"/>
        </w:rPr>
        <w:t xml:space="preserve">to </w:t>
      </w:r>
      <w:r w:rsidR="003145CD" w:rsidDel="005417FA">
        <w:rPr>
          <w:rFonts w:asciiTheme="minorHAnsi" w:hAnsiTheme="minorHAnsi"/>
          <w:snapToGrid w:val="0"/>
          <w:lang w:val="en-GB"/>
        </w:rPr>
        <w:t xml:space="preserve">NEMO requiring fewer </w:t>
      </w:r>
      <w:r w:rsidR="009D6051" w:rsidDel="005417FA">
        <w:rPr>
          <w:rFonts w:asciiTheme="minorHAnsi" w:hAnsiTheme="minorHAnsi"/>
          <w:snapToGrid w:val="0"/>
          <w:lang w:val="en-GB"/>
        </w:rPr>
        <w:t xml:space="preserve">doses </w:t>
      </w:r>
      <w:r w:rsidR="003145CD" w:rsidDel="005417FA">
        <w:rPr>
          <w:rFonts w:asciiTheme="minorHAnsi" w:hAnsiTheme="minorHAnsi"/>
          <w:snapToGrid w:val="0"/>
          <w:lang w:val="en-GB"/>
        </w:rPr>
        <w:t>per year than DUPI and upadacitinib</w:t>
      </w:r>
      <w:r w:rsidR="009D6051" w:rsidDel="005417FA">
        <w:rPr>
          <w:rFonts w:asciiTheme="minorHAnsi" w:hAnsiTheme="minorHAnsi"/>
          <w:snapToGrid w:val="0"/>
          <w:lang w:val="en-GB"/>
        </w:rPr>
        <w:t xml:space="preserve"> (UPA)</w:t>
      </w:r>
      <w:r w:rsidR="008752B0">
        <w:rPr>
          <w:rFonts w:asciiTheme="minorHAnsi" w:hAnsiTheme="minorHAnsi"/>
          <w:snapToGrid w:val="0"/>
          <w:lang w:val="en-GB"/>
        </w:rPr>
        <w:t xml:space="preserve">, resulting in lower </w:t>
      </w:r>
      <w:r w:rsidR="000C3BF2">
        <w:rPr>
          <w:rFonts w:asciiTheme="minorHAnsi" w:hAnsiTheme="minorHAnsi"/>
          <w:snapToGrid w:val="0"/>
          <w:lang w:val="en-GB"/>
        </w:rPr>
        <w:t xml:space="preserve">costs associated with the wholesaler mark-up and </w:t>
      </w:r>
      <w:r w:rsidR="009228E2">
        <w:rPr>
          <w:rFonts w:asciiTheme="minorHAnsi" w:hAnsiTheme="minorHAnsi"/>
          <w:snapToGrid w:val="0"/>
          <w:lang w:val="en-GB"/>
        </w:rPr>
        <w:t>administration, handline and infrastructure (</w:t>
      </w:r>
      <w:r w:rsidR="000C3BF2">
        <w:rPr>
          <w:rFonts w:asciiTheme="minorHAnsi" w:hAnsiTheme="minorHAnsi"/>
          <w:snapToGrid w:val="0"/>
          <w:lang w:val="en-GB"/>
        </w:rPr>
        <w:t>AHI</w:t>
      </w:r>
      <w:r w:rsidR="009228E2">
        <w:rPr>
          <w:rFonts w:asciiTheme="minorHAnsi" w:hAnsiTheme="minorHAnsi"/>
          <w:snapToGrid w:val="0"/>
          <w:lang w:val="en-GB"/>
        </w:rPr>
        <w:t>)</w:t>
      </w:r>
      <w:r w:rsidR="000C3BF2">
        <w:rPr>
          <w:rFonts w:asciiTheme="minorHAnsi" w:hAnsiTheme="minorHAnsi"/>
          <w:snapToGrid w:val="0"/>
          <w:lang w:val="en-GB"/>
        </w:rPr>
        <w:t xml:space="preserve"> fees</w:t>
      </w:r>
      <w:r w:rsidR="003145CD" w:rsidDel="005417FA">
        <w:rPr>
          <w:rFonts w:asciiTheme="minorHAnsi" w:hAnsiTheme="minorHAnsi"/>
          <w:snapToGrid w:val="0"/>
          <w:lang w:val="en-GB"/>
        </w:rPr>
        <w:t>.</w:t>
      </w:r>
    </w:p>
    <w:p w14:paraId="646E8D50" w14:textId="70970EE6" w:rsidR="003145CD" w:rsidDel="005417FA" w:rsidRDefault="003145CD" w:rsidP="005C4F91">
      <w:pPr>
        <w:widowControl w:val="0"/>
        <w:numPr>
          <w:ilvl w:val="1"/>
          <w:numId w:val="5"/>
        </w:numPr>
        <w:spacing w:after="120"/>
        <w:rPr>
          <w:rFonts w:asciiTheme="minorHAnsi" w:hAnsiTheme="minorHAnsi"/>
          <w:snapToGrid w:val="0"/>
          <w:lang w:val="en-GB"/>
        </w:rPr>
      </w:pPr>
      <w:r w:rsidDel="005417FA">
        <w:rPr>
          <w:rFonts w:asciiTheme="minorHAnsi" w:hAnsiTheme="minorHAnsi"/>
          <w:snapToGrid w:val="0"/>
          <w:lang w:val="en-GB"/>
        </w:rPr>
        <w:t>The PBAC noted that there was a</w:t>
      </w:r>
      <w:r w:rsidR="0072779C">
        <w:rPr>
          <w:rFonts w:asciiTheme="minorHAnsi" w:hAnsiTheme="minorHAnsi"/>
          <w:snapToGrid w:val="0"/>
          <w:lang w:val="en-GB"/>
        </w:rPr>
        <w:t>n</w:t>
      </w:r>
      <w:r w:rsidDel="005417FA">
        <w:rPr>
          <w:rFonts w:asciiTheme="minorHAnsi" w:hAnsiTheme="minorHAnsi"/>
          <w:snapToGrid w:val="0"/>
          <w:lang w:val="en-GB"/>
        </w:rPr>
        <w:t xml:space="preserve"> RSA for </w:t>
      </w:r>
      <w:r w:rsidR="00A00050" w:rsidDel="005417FA">
        <w:rPr>
          <w:rFonts w:asciiTheme="minorHAnsi" w:hAnsiTheme="minorHAnsi"/>
          <w:snapToGrid w:val="0"/>
          <w:lang w:val="en-GB"/>
        </w:rPr>
        <w:t>DUPI and UPA for the treatment of severe AD. The PBAC advised that NEMO should join the RSA with no increases to the expenditure caps.</w:t>
      </w:r>
    </w:p>
    <w:p w14:paraId="0E78212A" w14:textId="0B2071D8" w:rsidR="00A00050" w:rsidDel="005417FA" w:rsidRDefault="008F2955" w:rsidP="005C4F91">
      <w:pPr>
        <w:widowControl w:val="0"/>
        <w:numPr>
          <w:ilvl w:val="1"/>
          <w:numId w:val="5"/>
        </w:numPr>
        <w:spacing w:after="120"/>
        <w:rPr>
          <w:rFonts w:asciiTheme="minorHAnsi" w:hAnsiTheme="minorHAnsi"/>
          <w:snapToGrid w:val="0"/>
          <w:lang w:val="en-GB"/>
        </w:rPr>
      </w:pPr>
      <w:r w:rsidDel="005417FA">
        <w:rPr>
          <w:rFonts w:asciiTheme="minorHAnsi" w:hAnsiTheme="minorHAnsi"/>
          <w:snapToGrid w:val="0"/>
          <w:lang w:val="en-GB"/>
        </w:rPr>
        <w:t xml:space="preserve">In terms of the proposed restrictions, the PBAC considered that </w:t>
      </w:r>
      <w:r w:rsidR="00F1450E" w:rsidDel="005417FA">
        <w:rPr>
          <w:rFonts w:asciiTheme="minorHAnsi" w:hAnsiTheme="minorHAnsi"/>
          <w:snapToGrid w:val="0"/>
          <w:lang w:val="en-GB"/>
        </w:rPr>
        <w:t xml:space="preserve">the changes suggested by the Secretariat were appropriate. The PBAC also advised </w:t>
      </w:r>
      <w:r w:rsidR="00F1450E">
        <w:rPr>
          <w:rFonts w:asciiTheme="minorHAnsi" w:hAnsiTheme="minorHAnsi"/>
          <w:snapToGrid w:val="0"/>
          <w:lang w:val="en-GB"/>
        </w:rPr>
        <w:t xml:space="preserve">that </w:t>
      </w:r>
      <w:r w:rsidR="00E5699D">
        <w:rPr>
          <w:rFonts w:asciiTheme="minorHAnsi" w:hAnsiTheme="minorHAnsi"/>
          <w:snapToGrid w:val="0"/>
          <w:lang w:val="en-GB"/>
        </w:rPr>
        <w:t xml:space="preserve">the </w:t>
      </w:r>
      <w:r w:rsidR="001932E7" w:rsidDel="005417FA">
        <w:rPr>
          <w:rFonts w:asciiTheme="minorHAnsi" w:hAnsiTheme="minorHAnsi"/>
          <w:snapToGrid w:val="0"/>
          <w:lang w:val="en-GB"/>
        </w:rPr>
        <w:t>clinical criteri</w:t>
      </w:r>
      <w:r w:rsidR="00A35EDA">
        <w:rPr>
          <w:rFonts w:asciiTheme="minorHAnsi" w:hAnsiTheme="minorHAnsi"/>
          <w:snapToGrid w:val="0"/>
          <w:lang w:val="en-GB"/>
        </w:rPr>
        <w:t>on</w:t>
      </w:r>
      <w:r w:rsidR="001932E7" w:rsidDel="005417FA">
        <w:rPr>
          <w:rFonts w:asciiTheme="minorHAnsi" w:hAnsiTheme="minorHAnsi"/>
          <w:snapToGrid w:val="0"/>
          <w:lang w:val="en-GB"/>
        </w:rPr>
        <w:t xml:space="preserve"> </w:t>
      </w:r>
      <w:r w:rsidR="000D420E">
        <w:rPr>
          <w:rFonts w:asciiTheme="minorHAnsi" w:hAnsiTheme="minorHAnsi"/>
          <w:snapToGrid w:val="0"/>
          <w:lang w:val="en-GB"/>
        </w:rPr>
        <w:t xml:space="preserve">in the grandfather </w:t>
      </w:r>
      <w:r w:rsidR="00557F18">
        <w:rPr>
          <w:rFonts w:asciiTheme="minorHAnsi" w:hAnsiTheme="minorHAnsi"/>
          <w:snapToGrid w:val="0"/>
          <w:lang w:val="en-GB"/>
        </w:rPr>
        <w:t>clause</w:t>
      </w:r>
      <w:r w:rsidR="00C94937">
        <w:rPr>
          <w:rFonts w:asciiTheme="minorHAnsi" w:hAnsiTheme="minorHAnsi"/>
          <w:snapToGrid w:val="0"/>
          <w:lang w:val="en-GB"/>
        </w:rPr>
        <w:t xml:space="preserve">: </w:t>
      </w:r>
      <w:r w:rsidR="00453A07">
        <w:rPr>
          <w:rFonts w:asciiTheme="minorHAnsi" w:hAnsiTheme="minorHAnsi"/>
          <w:snapToGrid w:val="0"/>
          <w:lang w:val="en-GB"/>
        </w:rPr>
        <w:t>“</w:t>
      </w:r>
      <w:r w:rsidR="00453A07" w:rsidRPr="007B1652">
        <w:rPr>
          <w:rFonts w:asciiTheme="minorHAnsi" w:hAnsiTheme="minorHAnsi"/>
          <w:snapToGrid w:val="0"/>
          <w:lang w:val="en-GB"/>
        </w:rPr>
        <w:t xml:space="preserve">Patient must not be experiencing an </w:t>
      </w:r>
      <w:r w:rsidR="007B1652">
        <w:rPr>
          <w:rFonts w:asciiTheme="minorHAnsi" w:hAnsiTheme="minorHAnsi"/>
          <w:snapToGrid w:val="0"/>
          <w:lang w:val="en-GB"/>
        </w:rPr>
        <w:t>in</w:t>
      </w:r>
      <w:r w:rsidR="00453A07" w:rsidRPr="007B1652">
        <w:rPr>
          <w:rFonts w:asciiTheme="minorHAnsi" w:hAnsiTheme="minorHAnsi"/>
          <w:snapToGrid w:val="0"/>
          <w:lang w:val="en-GB"/>
        </w:rPr>
        <w:t>adequate response to</w:t>
      </w:r>
      <w:r w:rsidR="007B67FC">
        <w:rPr>
          <w:rFonts w:asciiTheme="minorHAnsi" w:hAnsiTheme="minorHAnsi"/>
          <w:snapToGrid w:val="0"/>
          <w:lang w:val="en-GB"/>
        </w:rPr>
        <w:t xml:space="preserve">…”, </w:t>
      </w:r>
      <w:r w:rsidR="008B68A4" w:rsidDel="005417FA">
        <w:rPr>
          <w:rFonts w:asciiTheme="minorHAnsi" w:hAnsiTheme="minorHAnsi"/>
          <w:snapToGrid w:val="0"/>
          <w:lang w:val="en-GB"/>
        </w:rPr>
        <w:t xml:space="preserve">should be amended to </w:t>
      </w:r>
      <w:r w:rsidR="007B67FC">
        <w:rPr>
          <w:rFonts w:asciiTheme="minorHAnsi" w:hAnsiTheme="minorHAnsi"/>
          <w:snapToGrid w:val="0"/>
          <w:lang w:val="en-GB"/>
        </w:rPr>
        <w:t>“</w:t>
      </w:r>
      <w:r w:rsidR="007B67FC" w:rsidRPr="00E14B3E">
        <w:rPr>
          <w:rFonts w:asciiTheme="minorHAnsi" w:hAnsiTheme="minorHAnsi"/>
          <w:snapToGrid w:val="0"/>
          <w:lang w:val="en-GB"/>
        </w:rPr>
        <w:t>Patient must have achieved an adequate response to</w:t>
      </w:r>
      <w:r w:rsidR="007B67FC">
        <w:rPr>
          <w:rFonts w:asciiTheme="minorHAnsi" w:hAnsiTheme="minorHAnsi"/>
          <w:snapToGrid w:val="0"/>
          <w:lang w:val="en-GB"/>
        </w:rPr>
        <w:t>…”</w:t>
      </w:r>
      <w:r w:rsidR="007B67FC" w:rsidRPr="00E14B3E">
        <w:rPr>
          <w:rFonts w:asciiTheme="minorHAnsi" w:hAnsiTheme="minorHAnsi"/>
          <w:snapToGrid w:val="0"/>
          <w:lang w:val="en-GB"/>
        </w:rPr>
        <w:t xml:space="preserve"> </w:t>
      </w:r>
      <w:r w:rsidR="002050CF">
        <w:rPr>
          <w:rFonts w:asciiTheme="minorHAnsi" w:hAnsiTheme="minorHAnsi"/>
          <w:snapToGrid w:val="0"/>
          <w:lang w:val="en-GB"/>
        </w:rPr>
        <w:t>to remove the double negative</w:t>
      </w:r>
      <w:r w:rsidR="0003157F">
        <w:rPr>
          <w:rFonts w:asciiTheme="minorHAnsi" w:hAnsiTheme="minorHAnsi"/>
          <w:snapToGrid w:val="0"/>
          <w:lang w:val="en-GB"/>
        </w:rPr>
        <w:t xml:space="preserve"> </w:t>
      </w:r>
      <w:r w:rsidR="007B1652">
        <w:rPr>
          <w:rFonts w:asciiTheme="minorHAnsi" w:hAnsiTheme="minorHAnsi"/>
          <w:snapToGrid w:val="0"/>
          <w:lang w:val="en-GB"/>
        </w:rPr>
        <w:t>and improve</w:t>
      </w:r>
      <w:r w:rsidR="0003157F">
        <w:rPr>
          <w:rFonts w:asciiTheme="minorHAnsi" w:hAnsiTheme="minorHAnsi"/>
          <w:snapToGrid w:val="0"/>
          <w:lang w:val="en-GB"/>
        </w:rPr>
        <w:t xml:space="preserve"> clarity</w:t>
      </w:r>
      <w:r w:rsidR="008B68A4" w:rsidDel="005417FA">
        <w:rPr>
          <w:rFonts w:asciiTheme="minorHAnsi" w:hAnsiTheme="minorHAnsi"/>
          <w:snapToGrid w:val="0"/>
          <w:lang w:val="en-GB"/>
        </w:rPr>
        <w:t>.</w:t>
      </w:r>
    </w:p>
    <w:p w14:paraId="35A71558" w14:textId="795081D1" w:rsidR="002D78EA" w:rsidRPr="00205A99" w:rsidDel="005417FA" w:rsidRDefault="002D78EA" w:rsidP="002D78EA">
      <w:pPr>
        <w:pStyle w:val="3-BodyText"/>
        <w:rPr>
          <w:lang w:val="en-GB"/>
        </w:rPr>
      </w:pPr>
      <w:r w:rsidRPr="00205A99" w:rsidDel="005417FA">
        <w:rPr>
          <w:snapToGrid w:val="0"/>
          <w:lang w:val="en-GB"/>
        </w:rPr>
        <w:t xml:space="preserve">The PBAC recommended that </w:t>
      </w:r>
      <w:r w:rsidDel="005417FA">
        <w:rPr>
          <w:snapToGrid w:val="0"/>
          <w:lang w:val="en-GB"/>
        </w:rPr>
        <w:t>NEMO</w:t>
      </w:r>
      <w:r w:rsidRPr="00205A99" w:rsidDel="005417FA">
        <w:rPr>
          <w:snapToGrid w:val="0"/>
          <w:lang w:val="en-GB"/>
        </w:rPr>
        <w:t xml:space="preserve"> should not be treated as interchangeable with any other drugs. </w:t>
      </w:r>
    </w:p>
    <w:p w14:paraId="65EA9D18" w14:textId="73D2CAE0" w:rsidR="002D78EA" w:rsidRPr="00F958D1" w:rsidDel="005417FA" w:rsidRDefault="002D78EA" w:rsidP="002D78EA">
      <w:pPr>
        <w:pStyle w:val="3-BodyText"/>
        <w:rPr>
          <w:snapToGrid w:val="0"/>
          <w:lang w:val="en-GB"/>
        </w:rPr>
      </w:pPr>
      <w:r w:rsidRPr="00205A99" w:rsidDel="005417FA">
        <w:rPr>
          <w:snapToGrid w:val="0"/>
          <w:lang w:val="en-GB"/>
        </w:rPr>
        <w:t xml:space="preserve">The PBAC advised that </w:t>
      </w:r>
      <w:r w:rsidR="00D11652" w:rsidDel="005417FA">
        <w:rPr>
          <w:snapToGrid w:val="0"/>
          <w:lang w:val="en-GB"/>
        </w:rPr>
        <w:t>NEMO</w:t>
      </w:r>
      <w:r w:rsidRPr="00F958D1" w:rsidDel="005417FA">
        <w:rPr>
          <w:snapToGrid w:val="0"/>
          <w:lang w:val="en-GB"/>
        </w:rPr>
        <w:t xml:space="preserve"> is not suitable for prescribing by nurse practitioners. </w:t>
      </w:r>
    </w:p>
    <w:p w14:paraId="74999089" w14:textId="1F1D9CD0" w:rsidR="002D78EA" w:rsidDel="005417FA" w:rsidRDefault="002D78EA" w:rsidP="002D78EA">
      <w:pPr>
        <w:pStyle w:val="3-BodyText"/>
        <w:rPr>
          <w:snapToGrid w:val="0"/>
          <w:lang w:val="en-GB"/>
        </w:rPr>
      </w:pPr>
      <w:r w:rsidRPr="00F958D1" w:rsidDel="005417FA">
        <w:rPr>
          <w:snapToGrid w:val="0"/>
          <w:lang w:val="en-GB"/>
        </w:rPr>
        <w:t xml:space="preserve">The PBAC advised that </w:t>
      </w:r>
      <w:r w:rsidR="00D11652" w:rsidDel="005417FA">
        <w:rPr>
          <w:snapToGrid w:val="0"/>
          <w:lang w:val="en-GB"/>
        </w:rPr>
        <w:t>NEMO</w:t>
      </w:r>
      <w:r w:rsidDel="005417FA">
        <w:rPr>
          <w:snapToGrid w:val="0"/>
          <w:lang w:val="en-GB"/>
        </w:rPr>
        <w:t xml:space="preserve"> </w:t>
      </w:r>
      <w:r w:rsidRPr="00F958D1" w:rsidDel="005417FA">
        <w:rPr>
          <w:snapToGrid w:val="0"/>
          <w:lang w:val="en-GB"/>
        </w:rPr>
        <w:t xml:space="preserve">should </w:t>
      </w:r>
      <w:r w:rsidDel="005417FA">
        <w:rPr>
          <w:snapToGrid w:val="0"/>
          <w:lang w:val="en-GB"/>
        </w:rPr>
        <w:t xml:space="preserve">not </w:t>
      </w:r>
      <w:r w:rsidRPr="00F958D1" w:rsidDel="005417FA">
        <w:rPr>
          <w:snapToGrid w:val="0"/>
          <w:lang w:val="en-GB"/>
        </w:rPr>
        <w:t xml:space="preserve">be exempt from the Early Supply Rule. </w:t>
      </w:r>
    </w:p>
    <w:p w14:paraId="424ACA69" w14:textId="45B0AB46" w:rsidR="002D78EA" w:rsidRPr="00F562ED" w:rsidDel="005417FA" w:rsidRDefault="002D78EA" w:rsidP="002D78EA">
      <w:pPr>
        <w:pStyle w:val="3-BodyText"/>
        <w:rPr>
          <w:snapToGrid w:val="0"/>
          <w:lang w:val="en-GB"/>
        </w:rPr>
      </w:pPr>
      <w:r w:rsidRPr="00F562ED" w:rsidDel="005417FA">
        <w:rPr>
          <w:rFonts w:cstheme="minorHAnsi"/>
          <w:lang w:val="en-GB"/>
        </w:rPr>
        <w:t xml:space="preserve">The PBAC noted that its recommendation was on a cost-minimisation basis and advised that, because </w:t>
      </w:r>
      <w:r w:rsidR="00D11652" w:rsidDel="005417FA">
        <w:rPr>
          <w:rFonts w:cstheme="minorHAnsi"/>
          <w:lang w:val="en-GB"/>
        </w:rPr>
        <w:t>NEMO</w:t>
      </w:r>
      <w:r w:rsidRPr="00F562ED" w:rsidDel="005417FA">
        <w:rPr>
          <w:rFonts w:cstheme="minorHAnsi"/>
          <w:lang w:val="en-GB"/>
        </w:rPr>
        <w:t xml:space="preserve"> is not expected to provide a substantial</w:t>
      </w:r>
      <w:r w:rsidRPr="00F562ED" w:rsidDel="005417FA">
        <w:rPr>
          <w:bCs/>
          <w:lang w:val="en-GB"/>
        </w:rPr>
        <w:t xml:space="preserve"> and clinically relevant improvement in efficacy, or reduction of toxicity, over </w:t>
      </w:r>
      <w:r w:rsidR="00D11652" w:rsidDel="005417FA">
        <w:rPr>
          <w:bCs/>
          <w:lang w:val="en-GB"/>
        </w:rPr>
        <w:t>DUPI</w:t>
      </w:r>
      <w:r w:rsidRPr="00F562ED" w:rsidDel="005417FA">
        <w:rPr>
          <w:bCs/>
          <w:lang w:val="en-GB"/>
        </w:rPr>
        <w:t xml:space="preserve">, or not expected to address a high and urgent unmet clinical need given the presence of an alternative therapy, the criteria prescribed by the </w:t>
      </w:r>
      <w:r w:rsidRPr="00F562ED" w:rsidDel="005417FA">
        <w:rPr>
          <w:bCs/>
          <w:i/>
          <w:lang w:val="en-GB"/>
        </w:rPr>
        <w:t>National Health (Pharmaceuticals and Vaccines – Cost Recovery) Regulations 2022</w:t>
      </w:r>
      <w:r w:rsidRPr="00F562ED" w:rsidDel="005417FA">
        <w:rPr>
          <w:bCs/>
          <w:lang w:val="en-GB"/>
        </w:rPr>
        <w:t xml:space="preserve"> for Pricing Pathway A were not met.</w:t>
      </w:r>
    </w:p>
    <w:p w14:paraId="4A43F4B0" w14:textId="248DC572" w:rsidR="002D78EA" w:rsidRPr="00F562ED" w:rsidDel="005417FA" w:rsidRDefault="002D78EA" w:rsidP="002D78EA">
      <w:pPr>
        <w:pStyle w:val="3-BodyText"/>
        <w:rPr>
          <w:snapToGrid w:val="0"/>
          <w:lang w:val="en-GB"/>
        </w:rPr>
      </w:pPr>
      <w:r w:rsidDel="005417FA">
        <w:rPr>
          <w:rFonts w:cstheme="minorHAnsi"/>
          <w:lang w:val="en-GB"/>
        </w:rPr>
        <w:t>The PBAC noted that this submission is not eligible for an Independent Review as it received a positive recommendation.</w:t>
      </w:r>
    </w:p>
    <w:bookmarkEnd w:id="78"/>
    <w:p w14:paraId="1E172C2D" w14:textId="0A7C0FD5" w:rsidR="001E7689" w:rsidRPr="00525B39" w:rsidDel="005417FA" w:rsidRDefault="001E7689" w:rsidP="001E7689">
      <w:pPr>
        <w:spacing w:before="240"/>
        <w:rPr>
          <w:rFonts w:asciiTheme="minorHAnsi" w:hAnsiTheme="minorHAnsi"/>
          <w:b/>
          <w:bCs/>
          <w:snapToGrid w:val="0"/>
          <w:lang w:val="en-GB"/>
        </w:rPr>
      </w:pPr>
      <w:r w:rsidRPr="00525B39" w:rsidDel="005417FA">
        <w:rPr>
          <w:rFonts w:asciiTheme="minorHAnsi" w:hAnsiTheme="minorHAnsi"/>
          <w:b/>
          <w:bCs/>
          <w:snapToGrid w:val="0"/>
          <w:lang w:val="en-GB"/>
        </w:rPr>
        <w:t>Outcome:</w:t>
      </w:r>
    </w:p>
    <w:p w14:paraId="7A068B7E" w14:textId="1CE49526" w:rsidR="001E7689" w:rsidRPr="00525B39" w:rsidDel="005417FA" w:rsidRDefault="001E7689" w:rsidP="001E7689">
      <w:pPr>
        <w:rPr>
          <w:rFonts w:asciiTheme="minorHAnsi" w:hAnsiTheme="minorHAnsi"/>
          <w:bCs/>
          <w:snapToGrid w:val="0"/>
          <w:lang w:val="en-GB"/>
        </w:rPr>
      </w:pPr>
      <w:r w:rsidRPr="00525B39" w:rsidDel="005417FA">
        <w:rPr>
          <w:rFonts w:asciiTheme="minorHAnsi" w:hAnsiTheme="minorHAnsi"/>
          <w:bCs/>
          <w:snapToGrid w:val="0"/>
          <w:lang w:val="en-GB"/>
        </w:rPr>
        <w:t xml:space="preserve">Recommended </w:t>
      </w:r>
    </w:p>
    <w:p w14:paraId="084E5B66" w14:textId="01C1901E" w:rsidR="001E7689" w:rsidDel="005417FA" w:rsidRDefault="001E7689" w:rsidP="001E7689">
      <w:pPr>
        <w:widowControl w:val="0"/>
        <w:rPr>
          <w:rFonts w:asciiTheme="minorHAnsi" w:hAnsiTheme="minorHAnsi"/>
          <w:b/>
          <w:bCs/>
          <w:snapToGrid w:val="0"/>
        </w:rPr>
      </w:pPr>
    </w:p>
    <w:bookmarkEnd w:id="75"/>
    <w:p w14:paraId="4168EE42" w14:textId="77777777" w:rsidR="001E7689" w:rsidRPr="00907671" w:rsidRDefault="001E7689" w:rsidP="001E7689">
      <w:pPr>
        <w:pStyle w:val="2-SectionHeading"/>
      </w:pPr>
      <w:r w:rsidRPr="00907671">
        <w:lastRenderedPageBreak/>
        <w:t>Recommended listing</w:t>
      </w:r>
    </w:p>
    <w:p w14:paraId="3587A244" w14:textId="77777777" w:rsidR="001E7689" w:rsidRPr="003B0C53" w:rsidRDefault="001E7689" w:rsidP="005C4F91">
      <w:pPr>
        <w:widowControl w:val="0"/>
        <w:numPr>
          <w:ilvl w:val="1"/>
          <w:numId w:val="5"/>
        </w:numPr>
        <w:spacing w:after="120"/>
        <w:contextualSpacing/>
        <w:rPr>
          <w:rFonts w:asciiTheme="minorHAnsi" w:hAnsiTheme="minorHAnsi"/>
          <w:bCs/>
          <w:snapToGrid w:val="0"/>
        </w:rPr>
      </w:pPr>
      <w:r w:rsidRPr="003B0C53">
        <w:rPr>
          <w:rFonts w:asciiTheme="minorHAnsi" w:hAnsiTheme="minorHAnsi"/>
          <w:bCs/>
          <w:snapToGrid w:val="0"/>
        </w:rPr>
        <w:t>Add new item:</w:t>
      </w:r>
    </w:p>
    <w:p w14:paraId="79AD5083" w14:textId="77777777" w:rsidR="007E6AA4" w:rsidRDefault="007E6AA4" w:rsidP="007E6AA4">
      <w:pPr>
        <w:widowControl w:val="0"/>
        <w:rPr>
          <w:rFonts w:asciiTheme="minorHAnsi" w:hAnsiTheme="minorHAnsi"/>
          <w:bCs/>
          <w:snapToGrid w:val="0"/>
        </w:rPr>
      </w:pPr>
    </w:p>
    <w:p w14:paraId="60D7729B" w14:textId="77777777" w:rsidR="007E6AA4" w:rsidRPr="007E6AA4" w:rsidRDefault="007E6AA4" w:rsidP="007E6AA4">
      <w:pPr>
        <w:rPr>
          <w:b/>
          <w:bCs/>
          <w:i/>
        </w:rPr>
      </w:pPr>
      <w:r w:rsidRPr="007E6AA4">
        <w:rPr>
          <w:b/>
          <w:bCs/>
        </w:rPr>
        <w:t>Initial</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Initial"/>
      </w:tblPr>
      <w:tblGrid>
        <w:gridCol w:w="1271"/>
        <w:gridCol w:w="2669"/>
        <w:gridCol w:w="812"/>
        <w:gridCol w:w="812"/>
        <w:gridCol w:w="812"/>
        <w:gridCol w:w="812"/>
        <w:gridCol w:w="2065"/>
      </w:tblGrid>
      <w:tr w:rsidR="007E6AA4" w:rsidRPr="00446E53" w14:paraId="52B0E2BB" w14:textId="77777777" w:rsidTr="00807021">
        <w:trPr>
          <w:cantSplit/>
          <w:trHeight w:val="20"/>
        </w:trPr>
        <w:tc>
          <w:tcPr>
            <w:tcW w:w="2128" w:type="pct"/>
            <w:gridSpan w:val="2"/>
            <w:vAlign w:val="center"/>
          </w:tcPr>
          <w:p w14:paraId="44548F62" w14:textId="77777777" w:rsidR="007E6AA4" w:rsidRPr="00446E53" w:rsidRDefault="007E6AA4" w:rsidP="007157C0">
            <w:pPr>
              <w:keepLines/>
              <w:rPr>
                <w:rFonts w:ascii="Arial Narrow" w:hAnsi="Arial Narrow"/>
                <w:b/>
                <w:bCs/>
                <w:sz w:val="20"/>
                <w:szCs w:val="20"/>
              </w:rPr>
            </w:pPr>
            <w:r w:rsidRPr="00446E53">
              <w:rPr>
                <w:rFonts w:ascii="Arial Narrow" w:hAnsi="Arial Narrow"/>
                <w:b/>
                <w:bCs/>
                <w:sz w:val="20"/>
                <w:szCs w:val="20"/>
              </w:rPr>
              <w:t>MEDICINAL PRODUCT</w:t>
            </w:r>
          </w:p>
          <w:p w14:paraId="7B0D6BBA" w14:textId="77777777" w:rsidR="007E6AA4" w:rsidRPr="00446E53" w:rsidRDefault="007E6AA4" w:rsidP="007157C0">
            <w:pPr>
              <w:keepLines/>
              <w:rPr>
                <w:rFonts w:ascii="Arial Narrow" w:hAnsi="Arial Narrow"/>
                <w:b/>
                <w:sz w:val="20"/>
                <w:szCs w:val="20"/>
              </w:rPr>
            </w:pPr>
            <w:r w:rsidRPr="00446E53">
              <w:rPr>
                <w:rFonts w:ascii="Arial Narrow" w:hAnsi="Arial Narrow"/>
                <w:b/>
                <w:bCs/>
                <w:sz w:val="20"/>
                <w:szCs w:val="20"/>
              </w:rPr>
              <w:t>medicinal product pack</w:t>
            </w:r>
          </w:p>
        </w:tc>
        <w:tc>
          <w:tcPr>
            <w:tcW w:w="439" w:type="pct"/>
            <w:vAlign w:val="center"/>
          </w:tcPr>
          <w:p w14:paraId="4CEAC990"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PBS item code</w:t>
            </w:r>
          </w:p>
        </w:tc>
        <w:tc>
          <w:tcPr>
            <w:tcW w:w="439" w:type="pct"/>
            <w:vAlign w:val="center"/>
          </w:tcPr>
          <w:p w14:paraId="6643710D"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Max. qty packs</w:t>
            </w:r>
          </w:p>
        </w:tc>
        <w:tc>
          <w:tcPr>
            <w:tcW w:w="439" w:type="pct"/>
            <w:vAlign w:val="center"/>
          </w:tcPr>
          <w:p w14:paraId="4454F476"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Max. qty units</w:t>
            </w:r>
          </w:p>
        </w:tc>
        <w:tc>
          <w:tcPr>
            <w:tcW w:w="439" w:type="pct"/>
            <w:vAlign w:val="center"/>
          </w:tcPr>
          <w:p w14:paraId="0A332C8F"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№.of</w:t>
            </w:r>
          </w:p>
          <w:p w14:paraId="68412DAF"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Rpts</w:t>
            </w:r>
          </w:p>
        </w:tc>
        <w:tc>
          <w:tcPr>
            <w:tcW w:w="1116" w:type="pct"/>
            <w:vAlign w:val="center"/>
          </w:tcPr>
          <w:p w14:paraId="27827435" w14:textId="77777777" w:rsidR="007E6AA4" w:rsidRPr="00446E53" w:rsidRDefault="007E6AA4" w:rsidP="007157C0">
            <w:pPr>
              <w:keepLines/>
              <w:rPr>
                <w:rFonts w:ascii="Arial Narrow" w:hAnsi="Arial Narrow"/>
                <w:b/>
                <w:sz w:val="20"/>
                <w:szCs w:val="20"/>
                <w:lang w:val="fr-FR"/>
              </w:rPr>
            </w:pPr>
            <w:r w:rsidRPr="00446E53">
              <w:rPr>
                <w:rFonts w:ascii="Arial Narrow" w:hAnsi="Arial Narrow"/>
                <w:b/>
                <w:sz w:val="20"/>
                <w:szCs w:val="20"/>
              </w:rPr>
              <w:t>Available brands</w:t>
            </w:r>
          </w:p>
        </w:tc>
      </w:tr>
      <w:tr w:rsidR="007E6AA4" w:rsidRPr="00446E53" w14:paraId="2ACABEC3" w14:textId="77777777" w:rsidTr="00807021">
        <w:trPr>
          <w:cantSplit/>
          <w:trHeight w:val="20"/>
        </w:trPr>
        <w:tc>
          <w:tcPr>
            <w:tcW w:w="5000" w:type="pct"/>
            <w:gridSpan w:val="7"/>
            <w:vAlign w:val="center"/>
          </w:tcPr>
          <w:p w14:paraId="66F6F2BA" w14:textId="77777777" w:rsidR="007E6AA4" w:rsidRPr="00446E53" w:rsidRDefault="007E6AA4" w:rsidP="007157C0">
            <w:pPr>
              <w:keepLines/>
              <w:rPr>
                <w:rFonts w:ascii="Arial Narrow" w:hAnsi="Arial Narrow"/>
                <w:sz w:val="20"/>
                <w:szCs w:val="20"/>
              </w:rPr>
            </w:pPr>
            <w:r>
              <w:rPr>
                <w:rFonts w:ascii="Arial Narrow" w:hAnsi="Arial Narrow"/>
                <w:sz w:val="20"/>
                <w:szCs w:val="20"/>
              </w:rPr>
              <w:t>NEMOLIZUMAB</w:t>
            </w:r>
          </w:p>
        </w:tc>
      </w:tr>
      <w:tr w:rsidR="007E6AA4" w:rsidRPr="00E168B8" w14:paraId="79BC0078" w14:textId="77777777" w:rsidTr="00807021">
        <w:trPr>
          <w:cantSplit/>
          <w:trHeight w:val="20"/>
        </w:trPr>
        <w:tc>
          <w:tcPr>
            <w:tcW w:w="2128" w:type="pct"/>
            <w:gridSpan w:val="2"/>
            <w:vAlign w:val="center"/>
          </w:tcPr>
          <w:p w14:paraId="3F04F59D" w14:textId="77777777" w:rsidR="007E6AA4" w:rsidRPr="00CA4390" w:rsidRDefault="007E6AA4" w:rsidP="007157C0">
            <w:pPr>
              <w:keepLines/>
              <w:rPr>
                <w:rFonts w:ascii="Arial Narrow" w:hAnsi="Arial Narrow"/>
                <w:sz w:val="20"/>
                <w:szCs w:val="20"/>
              </w:rPr>
            </w:pPr>
            <w:r w:rsidRPr="00CA4390">
              <w:rPr>
                <w:rFonts w:ascii="Arial Narrow" w:hAnsi="Arial Narrow"/>
                <w:sz w:val="20"/>
                <w:szCs w:val="20"/>
              </w:rPr>
              <w:t xml:space="preserve">nemolizumab 30 mg injection [1 chamber] (&amp;) inert substance diluent [1 chamber], 1 dual chamber pen device </w:t>
            </w:r>
          </w:p>
        </w:tc>
        <w:tc>
          <w:tcPr>
            <w:tcW w:w="439" w:type="pct"/>
            <w:vAlign w:val="center"/>
          </w:tcPr>
          <w:p w14:paraId="3C4F5968" w14:textId="77777777" w:rsidR="007E6AA4" w:rsidRPr="00E168B8" w:rsidRDefault="007E6AA4" w:rsidP="007157C0">
            <w:pPr>
              <w:keepLines/>
              <w:jc w:val="center"/>
              <w:rPr>
                <w:rFonts w:ascii="Arial Narrow" w:hAnsi="Arial Narrow"/>
                <w:sz w:val="20"/>
                <w:szCs w:val="20"/>
              </w:rPr>
            </w:pPr>
            <w:r w:rsidRPr="00E168B8">
              <w:rPr>
                <w:rFonts w:ascii="Arial Narrow" w:hAnsi="Arial Narrow"/>
                <w:sz w:val="20"/>
                <w:szCs w:val="20"/>
              </w:rPr>
              <w:t>NEW</w:t>
            </w:r>
          </w:p>
        </w:tc>
        <w:tc>
          <w:tcPr>
            <w:tcW w:w="439" w:type="pct"/>
            <w:vAlign w:val="center"/>
          </w:tcPr>
          <w:p w14:paraId="4B25CEA9" w14:textId="77777777" w:rsidR="007E6AA4" w:rsidRPr="00E168B8" w:rsidRDefault="007E6AA4" w:rsidP="007157C0">
            <w:pPr>
              <w:keepLines/>
              <w:jc w:val="center"/>
              <w:rPr>
                <w:rFonts w:ascii="Arial Narrow" w:hAnsi="Arial Narrow"/>
                <w:sz w:val="20"/>
                <w:szCs w:val="20"/>
              </w:rPr>
            </w:pPr>
            <w:r w:rsidRPr="00E168B8">
              <w:rPr>
                <w:rFonts w:ascii="Arial Narrow" w:hAnsi="Arial Narrow"/>
                <w:sz w:val="20"/>
                <w:szCs w:val="20"/>
              </w:rPr>
              <w:t>2</w:t>
            </w:r>
          </w:p>
        </w:tc>
        <w:tc>
          <w:tcPr>
            <w:tcW w:w="439" w:type="pct"/>
            <w:vAlign w:val="center"/>
          </w:tcPr>
          <w:p w14:paraId="0476081C" w14:textId="77777777" w:rsidR="007E6AA4" w:rsidRPr="00E168B8" w:rsidRDefault="007E6AA4" w:rsidP="007157C0">
            <w:pPr>
              <w:keepLines/>
              <w:jc w:val="center"/>
              <w:rPr>
                <w:rFonts w:ascii="Arial Narrow" w:hAnsi="Arial Narrow"/>
                <w:sz w:val="20"/>
                <w:szCs w:val="20"/>
              </w:rPr>
            </w:pPr>
            <w:r w:rsidRPr="00E168B8">
              <w:rPr>
                <w:rFonts w:ascii="Arial Narrow" w:hAnsi="Arial Narrow"/>
                <w:sz w:val="20"/>
                <w:szCs w:val="20"/>
              </w:rPr>
              <w:t>2</w:t>
            </w:r>
          </w:p>
        </w:tc>
        <w:tc>
          <w:tcPr>
            <w:tcW w:w="439" w:type="pct"/>
            <w:vAlign w:val="center"/>
          </w:tcPr>
          <w:p w14:paraId="3F21BE10" w14:textId="77777777" w:rsidR="007E6AA4" w:rsidRPr="00E168B8" w:rsidRDefault="007E6AA4" w:rsidP="007157C0">
            <w:pPr>
              <w:keepLines/>
              <w:jc w:val="center"/>
              <w:rPr>
                <w:rFonts w:ascii="Arial Narrow" w:hAnsi="Arial Narrow"/>
                <w:sz w:val="20"/>
                <w:szCs w:val="20"/>
              </w:rPr>
            </w:pPr>
            <w:r w:rsidRPr="00E168B8">
              <w:rPr>
                <w:rFonts w:ascii="Arial Narrow" w:hAnsi="Arial Narrow"/>
                <w:sz w:val="20"/>
                <w:szCs w:val="20"/>
              </w:rPr>
              <w:t>2</w:t>
            </w:r>
          </w:p>
        </w:tc>
        <w:tc>
          <w:tcPr>
            <w:tcW w:w="1116" w:type="pct"/>
            <w:vAlign w:val="center"/>
          </w:tcPr>
          <w:p w14:paraId="0C8545E1" w14:textId="77777777" w:rsidR="007E6AA4" w:rsidRPr="00E168B8" w:rsidRDefault="007E6AA4" w:rsidP="007157C0">
            <w:pPr>
              <w:keepLines/>
              <w:jc w:val="center"/>
              <w:rPr>
                <w:rFonts w:ascii="Arial Narrow" w:hAnsi="Arial Narrow"/>
                <w:sz w:val="20"/>
                <w:szCs w:val="20"/>
              </w:rPr>
            </w:pPr>
          </w:p>
          <w:p w14:paraId="6FD688F3" w14:textId="77777777" w:rsidR="007E6AA4" w:rsidRPr="00E168B8" w:rsidRDefault="007E6AA4" w:rsidP="007157C0">
            <w:pPr>
              <w:keepLines/>
              <w:jc w:val="center"/>
              <w:rPr>
                <w:rFonts w:ascii="Arial Narrow" w:hAnsi="Arial Narrow"/>
                <w:sz w:val="20"/>
                <w:szCs w:val="20"/>
              </w:rPr>
            </w:pPr>
            <w:r w:rsidRPr="00E168B8">
              <w:rPr>
                <w:rFonts w:ascii="Arial Narrow" w:hAnsi="Arial Narrow"/>
                <w:sz w:val="20"/>
                <w:szCs w:val="20"/>
              </w:rPr>
              <w:t>Nemluvio</w:t>
            </w:r>
          </w:p>
          <w:p w14:paraId="1450C5AB" w14:textId="77777777" w:rsidR="007E6AA4" w:rsidRPr="00E168B8" w:rsidRDefault="007E6AA4" w:rsidP="007157C0">
            <w:pPr>
              <w:keepLines/>
              <w:rPr>
                <w:rFonts w:ascii="Arial Narrow" w:hAnsi="Arial Narrow"/>
                <w:sz w:val="20"/>
                <w:szCs w:val="20"/>
              </w:rPr>
            </w:pPr>
          </w:p>
        </w:tc>
      </w:tr>
      <w:tr w:rsidR="007E6AA4" w:rsidRPr="00E168B8" w14:paraId="6B98DD7A" w14:textId="77777777" w:rsidTr="00807021">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3C6AE325" w14:textId="77777777" w:rsidR="007E6AA4" w:rsidRPr="00E168B8" w:rsidRDefault="007E6AA4" w:rsidP="007157C0">
            <w:pPr>
              <w:rPr>
                <w:rFonts w:ascii="Arial Narrow" w:hAnsi="Arial Narrow"/>
                <w:sz w:val="20"/>
                <w:szCs w:val="20"/>
              </w:rPr>
            </w:pPr>
          </w:p>
        </w:tc>
      </w:tr>
      <w:tr w:rsidR="007E6AA4" w:rsidRPr="00E168B8" w14:paraId="2C5B672A" w14:textId="77777777" w:rsidTr="00807021">
        <w:tblPrEx>
          <w:tblCellMar>
            <w:top w:w="15" w:type="dxa"/>
            <w:bottom w:w="15" w:type="dxa"/>
          </w:tblCellMar>
          <w:tblLook w:val="04A0" w:firstRow="1" w:lastRow="0" w:firstColumn="1" w:lastColumn="0" w:noHBand="0" w:noVBand="1"/>
        </w:tblPrEx>
        <w:trPr>
          <w:trHeight w:val="20"/>
        </w:trPr>
        <w:tc>
          <w:tcPr>
            <w:tcW w:w="686" w:type="pct"/>
            <w:vMerge w:val="restart"/>
            <w:tcBorders>
              <w:top w:val="single" w:sz="4" w:space="0" w:color="auto"/>
              <w:left w:val="single" w:sz="4" w:space="0" w:color="auto"/>
              <w:right w:val="single" w:sz="4" w:space="0" w:color="auto"/>
            </w:tcBorders>
          </w:tcPr>
          <w:p w14:paraId="627585C2" w14:textId="77777777" w:rsidR="007E6AA4" w:rsidRPr="00446E53" w:rsidRDefault="007E6AA4" w:rsidP="007157C0">
            <w:pPr>
              <w:jc w:val="center"/>
              <w:rPr>
                <w:rFonts w:ascii="Arial Narrow" w:hAnsi="Arial Narrow"/>
                <w:sz w:val="20"/>
                <w:szCs w:val="20"/>
              </w:rPr>
            </w:pPr>
            <w:r w:rsidRPr="00446E53">
              <w:rPr>
                <w:rFonts w:ascii="Arial Narrow" w:hAnsi="Arial Narrow"/>
                <w:b/>
                <w:sz w:val="20"/>
                <w:szCs w:val="20"/>
              </w:rPr>
              <w:t>Concept ID</w:t>
            </w:r>
          </w:p>
          <w:p w14:paraId="519947CE" w14:textId="77777777" w:rsidR="007E6AA4" w:rsidRPr="00446E53" w:rsidRDefault="007E6AA4" w:rsidP="007157C0">
            <w:pPr>
              <w:jc w:val="center"/>
              <w:rPr>
                <w:rFonts w:ascii="Arial Narrow" w:hAnsi="Arial Narrow"/>
                <w:b/>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00648BFF" w14:textId="77777777" w:rsidR="007E6AA4" w:rsidRPr="00E168B8" w:rsidRDefault="007E6AA4" w:rsidP="007157C0">
            <w:pPr>
              <w:keepLines/>
              <w:jc w:val="left"/>
              <w:rPr>
                <w:rFonts w:ascii="Arial Narrow" w:hAnsi="Arial Narrow"/>
                <w:sz w:val="20"/>
                <w:szCs w:val="20"/>
              </w:rPr>
            </w:pPr>
            <w:r w:rsidRPr="00E168B8">
              <w:rPr>
                <w:rFonts w:ascii="Arial Narrow" w:hAnsi="Arial Narrow"/>
                <w:b/>
                <w:sz w:val="20"/>
                <w:szCs w:val="20"/>
              </w:rPr>
              <w:t>Category / Program:</w:t>
            </w:r>
            <w:r w:rsidRPr="00E168B8">
              <w:rPr>
                <w:rFonts w:ascii="Arial Narrow" w:hAnsi="Arial Narrow"/>
                <w:sz w:val="20"/>
                <w:szCs w:val="20"/>
              </w:rPr>
              <w:t xml:space="preserv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 xml:space="preserve">GENERAL - General Schedule (Code GE) </w:t>
            </w:r>
          </w:p>
        </w:tc>
      </w:tr>
      <w:tr w:rsidR="007E6AA4" w:rsidRPr="00E168B8" w14:paraId="4963B310" w14:textId="77777777" w:rsidTr="00807021">
        <w:tblPrEx>
          <w:tblCellMar>
            <w:top w:w="15" w:type="dxa"/>
            <w:bottom w:w="15" w:type="dxa"/>
          </w:tblCellMar>
          <w:tblLook w:val="04A0" w:firstRow="1" w:lastRow="0" w:firstColumn="1" w:lastColumn="0" w:noHBand="0" w:noVBand="1"/>
        </w:tblPrEx>
        <w:trPr>
          <w:trHeight w:val="20"/>
        </w:trPr>
        <w:tc>
          <w:tcPr>
            <w:tcW w:w="686" w:type="pct"/>
            <w:vMerge/>
            <w:tcBorders>
              <w:left w:val="single" w:sz="4" w:space="0" w:color="auto"/>
              <w:right w:val="single" w:sz="4" w:space="0" w:color="auto"/>
            </w:tcBorders>
          </w:tcPr>
          <w:p w14:paraId="49919292" w14:textId="77777777"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70B0CADF" w14:textId="77777777" w:rsidR="007E6AA4" w:rsidRPr="00E168B8" w:rsidRDefault="007E6AA4" w:rsidP="007157C0">
            <w:pPr>
              <w:keepLines/>
              <w:jc w:val="left"/>
              <w:rPr>
                <w:rFonts w:ascii="Arial Narrow" w:hAnsi="Arial Narrow"/>
                <w:b/>
                <w:sz w:val="20"/>
                <w:szCs w:val="20"/>
              </w:rPr>
            </w:pPr>
            <w:r w:rsidRPr="00E168B8">
              <w:rPr>
                <w:rFonts w:ascii="Arial Narrow" w:hAnsi="Arial Narrow"/>
                <w:b/>
                <w:sz w:val="20"/>
                <w:szCs w:val="20"/>
              </w:rPr>
              <w:t xml:space="preserve">Prescriber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Medical Practitioners </w:t>
            </w:r>
          </w:p>
        </w:tc>
      </w:tr>
      <w:tr w:rsidR="007E6AA4" w:rsidRPr="00E168B8" w14:paraId="534BB2B0" w14:textId="77777777" w:rsidTr="00807021">
        <w:tblPrEx>
          <w:tblCellMar>
            <w:top w:w="15" w:type="dxa"/>
            <w:bottom w:w="15" w:type="dxa"/>
          </w:tblCellMar>
          <w:tblLook w:val="04A0" w:firstRow="1" w:lastRow="0" w:firstColumn="1" w:lastColumn="0" w:noHBand="0" w:noVBand="1"/>
        </w:tblPrEx>
        <w:trPr>
          <w:trHeight w:val="20"/>
        </w:trPr>
        <w:tc>
          <w:tcPr>
            <w:tcW w:w="686" w:type="pct"/>
            <w:vMerge/>
            <w:tcBorders>
              <w:left w:val="single" w:sz="4" w:space="0" w:color="auto"/>
              <w:right w:val="single" w:sz="4" w:space="0" w:color="auto"/>
            </w:tcBorders>
          </w:tcPr>
          <w:p w14:paraId="10D955F1" w14:textId="77777777"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7CC2ABF4" w14:textId="77777777" w:rsidR="007E6AA4" w:rsidRPr="00E168B8" w:rsidRDefault="007E6AA4" w:rsidP="007157C0">
            <w:pPr>
              <w:keepLines/>
              <w:jc w:val="left"/>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Telephone/Online PBS Authorities System) </w:t>
            </w:r>
          </w:p>
        </w:tc>
      </w:tr>
      <w:tr w:rsidR="007E6AA4" w:rsidRPr="00446E53" w14:paraId="12AABC6B"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1A12FE4E" w14:textId="77777777"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65B2AD2E" w14:textId="66A7EF57" w:rsidR="007E6AA4" w:rsidRPr="00446E53" w:rsidRDefault="007E6AA4" w:rsidP="007157C0">
            <w:pPr>
              <w:pStyle w:val="pf0"/>
              <w:spacing w:before="0" w:beforeAutospacing="0" w:after="0" w:afterAutospacing="0"/>
              <w:rPr>
                <w:rFonts w:ascii="Arial Narrow" w:hAnsi="Arial Narrow" w:cs="Arial"/>
                <w:b/>
                <w:sz w:val="20"/>
                <w:szCs w:val="20"/>
              </w:rPr>
            </w:pPr>
            <w:r w:rsidRPr="00446E53">
              <w:rPr>
                <w:rFonts w:ascii="Arial Narrow" w:hAnsi="Arial Narrow" w:cs="Arial"/>
                <w:b/>
                <w:sz w:val="20"/>
                <w:szCs w:val="20"/>
              </w:rPr>
              <w:t>Prescribing rule level:</w:t>
            </w:r>
          </w:p>
        </w:tc>
      </w:tr>
      <w:tr w:rsidR="007E6AA4" w:rsidRPr="00446E53" w14:paraId="2DD1AD5C"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3B0B0E44" w14:textId="5A7F8EC2"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322F25CA" w14:textId="77777777" w:rsidR="007E6AA4"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55C97D1D" w14:textId="77777777" w:rsidR="007E6AA4" w:rsidRPr="00446E53" w:rsidRDefault="007E6AA4" w:rsidP="007157C0">
            <w:pPr>
              <w:pStyle w:val="pf0"/>
              <w:spacing w:before="0" w:beforeAutospacing="0" w:after="0" w:afterAutospacing="0"/>
              <w:rPr>
                <w:rFonts w:ascii="Arial Narrow" w:hAnsi="Arial Narrow" w:cs="Arial"/>
                <w:b/>
                <w:sz w:val="20"/>
                <w:szCs w:val="20"/>
              </w:rPr>
            </w:pPr>
            <w:r w:rsidRPr="008903D2">
              <w:rPr>
                <w:rFonts w:ascii="Arial Narrow" w:eastAsia="Calibri" w:hAnsi="Arial Narrow" w:cs="Arial"/>
                <w:sz w:val="20"/>
                <w:szCs w:val="20"/>
                <w14:ligatures w14:val="standardContextual"/>
              </w:rPr>
              <w:t>No increase in the maximum quantity or number of units may be authorised.</w:t>
            </w:r>
          </w:p>
        </w:tc>
      </w:tr>
      <w:tr w:rsidR="007E6AA4" w:rsidRPr="00E60AF3" w14:paraId="30C1B0A2"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5FF46482" w14:textId="10EC5FCC"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3DC0B102" w14:textId="77777777" w:rsidR="007E6AA4" w:rsidRPr="001D4E34" w:rsidRDefault="007E6AA4" w:rsidP="007157C0">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24537524" w14:textId="77777777" w:rsidR="007E6AA4" w:rsidRPr="00E60AF3" w:rsidRDefault="007E6AA4" w:rsidP="007157C0">
            <w:pPr>
              <w:pStyle w:val="pf0"/>
              <w:spacing w:before="0" w:beforeAutospacing="0" w:after="0" w:afterAutospacing="0"/>
              <w:rPr>
                <w:rFonts w:ascii="Arial Narrow" w:eastAsia="Calibri" w:hAnsi="Arial Narrow" w:cs="Arial"/>
                <w:sz w:val="20"/>
                <w:szCs w:val="20"/>
                <w14:ligatures w14:val="standardContextual"/>
              </w:rPr>
            </w:pPr>
            <w:r w:rsidRPr="00E60AF3">
              <w:rPr>
                <w:rFonts w:ascii="Arial Narrow" w:eastAsia="Calibri" w:hAnsi="Arial Narrow" w:cs="Arial"/>
                <w:sz w:val="20"/>
                <w:szCs w:val="20"/>
                <w14:ligatures w14:val="standardContextual"/>
              </w:rPr>
              <w:t>No increase in the maximum number of repeats may be authorised.</w:t>
            </w:r>
          </w:p>
        </w:tc>
      </w:tr>
      <w:tr w:rsidR="007E6AA4" w:rsidRPr="001D4E34" w14:paraId="156DEB48"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11A2066E" w14:textId="280844C7"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0FDD59B2" w14:textId="77777777" w:rsidR="007E6AA4" w:rsidRPr="001D4E34" w:rsidRDefault="007E6AA4" w:rsidP="007157C0">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39C6A9D4" w14:textId="77777777" w:rsidR="007E6AA4" w:rsidRPr="001D4E34" w:rsidRDefault="007E6AA4" w:rsidP="007157C0">
            <w:pPr>
              <w:pStyle w:val="pf0"/>
              <w:spacing w:before="0" w:beforeAutospacing="0" w:after="0" w:afterAutospacing="0"/>
              <w:rPr>
                <w:rFonts w:ascii="Arial Narrow" w:eastAsia="Calibri" w:hAnsi="Arial Narrow" w:cs="Arial"/>
                <w:sz w:val="20"/>
                <w:szCs w:val="20"/>
                <w14:ligatures w14:val="standardContextual"/>
              </w:rPr>
            </w:pPr>
            <w:r w:rsidRPr="001D4E34">
              <w:rPr>
                <w:rFonts w:ascii="Arial Narrow" w:eastAsia="Calibri" w:hAnsi="Arial Narrow" w:cs="Arial"/>
                <w:sz w:val="20"/>
                <w:szCs w:val="20"/>
                <w14:ligatures w14:val="standardContextual"/>
              </w:rPr>
              <w:t>Special Pricing Arrangements apply.</w:t>
            </w:r>
          </w:p>
        </w:tc>
      </w:tr>
      <w:tr w:rsidR="007E6AA4" w:rsidRPr="002A0B70" w14:paraId="78E705D7"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34E7E4A6" w14:textId="664DFD5D" w:rsidR="007E6AA4" w:rsidRPr="002A0B70"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3F3B96B0" w14:textId="77777777" w:rsidR="007E6AA4" w:rsidRPr="002A0B70" w:rsidRDefault="007E6AA4" w:rsidP="007157C0">
            <w:pPr>
              <w:rPr>
                <w:rFonts w:ascii="Arial Narrow" w:hAnsi="Arial Narrow"/>
                <w:b/>
                <w:bCs/>
                <w:color w:val="333333"/>
                <w:sz w:val="20"/>
                <w:szCs w:val="20"/>
              </w:rPr>
            </w:pPr>
            <w:r w:rsidRPr="002A0B70">
              <w:rPr>
                <w:rFonts w:ascii="Arial Narrow" w:hAnsi="Arial Narrow"/>
                <w:b/>
                <w:bCs/>
                <w:color w:val="333333"/>
                <w:sz w:val="20"/>
                <w:szCs w:val="20"/>
              </w:rPr>
              <w:t>Administrative Advice:</w:t>
            </w:r>
          </w:p>
          <w:p w14:paraId="6C10A45E" w14:textId="77777777" w:rsidR="007E6AA4" w:rsidRPr="002A0B70" w:rsidRDefault="007E6AA4" w:rsidP="007157C0">
            <w:pPr>
              <w:pStyle w:val="TableCentre"/>
              <w:jc w:val="left"/>
              <w:rPr>
                <w:rFonts w:ascii="Arial Narrow" w:eastAsia="Calibri" w:hAnsi="Arial Narrow" w:cs="Arial"/>
                <w:sz w:val="20"/>
                <w:szCs w:val="20"/>
                <w:lang w:eastAsia="en-AU" w:bidi="ar-SA"/>
                <w14:ligatures w14:val="standardContextual"/>
              </w:rPr>
            </w:pPr>
            <w:r w:rsidRPr="002A0B70">
              <w:rPr>
                <w:rFonts w:ascii="Arial Narrow" w:eastAsia="Calibri" w:hAnsi="Arial Narrow" w:cs="Arial"/>
                <w:sz w:val="20"/>
                <w:szCs w:val="20"/>
                <w:lang w:eastAsia="en-AU" w:bidi="ar-SA"/>
                <w14:ligatures w14:val="standardContextual"/>
              </w:rPr>
              <w:t>The Eczema Area and Severity Index (EASI) referenced in this restriction is that described in the following literature publications:</w:t>
            </w:r>
          </w:p>
          <w:p w14:paraId="557EA076" w14:textId="77777777" w:rsidR="007E6AA4" w:rsidRPr="002A0B70" w:rsidRDefault="007E6AA4" w:rsidP="007157C0">
            <w:pPr>
              <w:pStyle w:val="TableCentre"/>
              <w:jc w:val="left"/>
              <w:rPr>
                <w:rFonts w:ascii="Arial Narrow" w:eastAsia="Calibri" w:hAnsi="Arial Narrow" w:cs="Arial"/>
                <w:sz w:val="20"/>
                <w:szCs w:val="20"/>
                <w:lang w:eastAsia="en-AU" w:bidi="ar-SA"/>
                <w14:ligatures w14:val="standardContextual"/>
              </w:rPr>
            </w:pPr>
            <w:r w:rsidRPr="002A0B70">
              <w:rPr>
                <w:rFonts w:ascii="Arial Narrow" w:eastAsia="Calibri" w:hAnsi="Arial Narrow" w:cs="Arial"/>
                <w:sz w:val="20"/>
                <w:szCs w:val="20"/>
                <w:lang w:eastAsia="en-AU" w:bidi="ar-SA"/>
                <w14:ligatures w14:val="standardContextual"/>
              </w:rPr>
              <w:t>Chalmers JR et al. Report from the third international consensus meeting to harmonise core outcome measures for atopic eczema/dermatitis clinical trials (HOME). </w:t>
            </w:r>
            <w:r w:rsidRPr="002A0B70">
              <w:rPr>
                <w:rFonts w:ascii="Arial Narrow" w:eastAsia="Calibri" w:hAnsi="Arial Narrow" w:cs="Arial"/>
                <w:i/>
                <w:iCs/>
                <w:sz w:val="20"/>
                <w:szCs w:val="20"/>
                <w:lang w:eastAsia="en-AU" w:bidi="ar-SA"/>
                <w14:ligatures w14:val="standardContextual"/>
              </w:rPr>
              <w:t>British Journal of Dermatology</w:t>
            </w:r>
            <w:r w:rsidRPr="002A0B70">
              <w:rPr>
                <w:rFonts w:ascii="Arial Narrow" w:eastAsia="Calibri" w:hAnsi="Arial Narrow" w:cs="Arial"/>
                <w:sz w:val="20"/>
                <w:szCs w:val="20"/>
                <w:lang w:eastAsia="en-AU" w:bidi="ar-SA"/>
                <w14:ligatures w14:val="standardContextual"/>
              </w:rPr>
              <w:t> 2014 December;171(6):1318-25.</w:t>
            </w:r>
          </w:p>
          <w:p w14:paraId="75DEA183" w14:textId="77777777" w:rsidR="007E6AA4" w:rsidRPr="002A0B70" w:rsidRDefault="007E6AA4" w:rsidP="007157C0">
            <w:pPr>
              <w:rPr>
                <w:rFonts w:ascii="Arial Narrow" w:hAnsi="Arial Narrow"/>
                <w:color w:val="333333"/>
                <w:sz w:val="20"/>
                <w:szCs w:val="20"/>
              </w:rPr>
            </w:pPr>
            <w:r w:rsidRPr="002A0B70">
              <w:rPr>
                <w:rFonts w:ascii="Arial Narrow" w:eastAsia="Calibri" w:hAnsi="Arial Narrow"/>
                <w:sz w:val="20"/>
                <w:szCs w:val="20"/>
              </w:rPr>
              <w:t>Schmitt J et al. HOME initiative collaborators. The Harmonising Outcome Measures for Eczema (HOME) statement to assess clinical signs of atopic eczema in trials. </w:t>
            </w:r>
            <w:r w:rsidRPr="002A0B70">
              <w:rPr>
                <w:rFonts w:ascii="Arial Narrow" w:eastAsia="Calibri" w:hAnsi="Arial Narrow"/>
                <w:i/>
                <w:iCs/>
                <w:sz w:val="20"/>
                <w:szCs w:val="20"/>
              </w:rPr>
              <w:t>The Journal of Allergy and Clinical Immunology</w:t>
            </w:r>
            <w:r w:rsidRPr="002A0B70">
              <w:rPr>
                <w:rFonts w:ascii="Arial Narrow" w:eastAsia="Calibri" w:hAnsi="Arial Narrow"/>
                <w:sz w:val="20"/>
                <w:szCs w:val="20"/>
              </w:rPr>
              <w:t> 2014 October;134(4):800-7</w:t>
            </w:r>
          </w:p>
        </w:tc>
      </w:tr>
      <w:tr w:rsidR="007E6AA4" w:rsidRPr="00446E53" w14:paraId="6EEF03D9"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51D7EEA2" w14:textId="6D7F5BD2"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63EA9B7C" w14:textId="77777777" w:rsidR="007E6AA4" w:rsidRDefault="007E6AA4" w:rsidP="007157C0">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3A5BCDB2" w14:textId="7700D081" w:rsidR="007E6AA4" w:rsidRPr="00446E53" w:rsidRDefault="007E6AA4" w:rsidP="007157C0">
            <w:pPr>
              <w:keepLines/>
              <w:rPr>
                <w:rFonts w:ascii="Arial Narrow" w:hAnsi="Arial Narrow"/>
                <w:b/>
                <w:sz w:val="20"/>
                <w:szCs w:val="20"/>
              </w:rPr>
            </w:pPr>
            <w:r w:rsidRPr="00D32CAA">
              <w:rPr>
                <w:rFonts w:ascii="Arial Narrow" w:eastAsia="Calibri" w:hAnsi="Arial Narrow"/>
                <w:sz w:val="20"/>
                <w:szCs w:val="20"/>
              </w:rPr>
              <w:t xml:space="preserve">Instructions on the use of the Dermatology Life Quality Index and copyright details can be found here: </w:t>
            </w:r>
            <w:hyperlink r:id="rId15" w:history="1">
              <w:r w:rsidRPr="00180822">
                <w:rPr>
                  <w:rFonts w:ascii="Arial Narrow" w:eastAsia="Calibri" w:hAnsi="Arial Narrow"/>
                  <w:sz w:val="20"/>
                  <w:szCs w:val="20"/>
                </w:rPr>
                <w:t>https://www.cardiff.ac.uk/medicine/resources/quality-of-life-questionnaires/dermatology-life-quality-index</w:t>
              </w:r>
            </w:hyperlink>
          </w:p>
        </w:tc>
      </w:tr>
      <w:tr w:rsidR="007E6AA4" w:rsidRPr="002C1179" w14:paraId="1D7B54CE"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62738208" w14:textId="2033E747" w:rsidR="007E6AA4" w:rsidRPr="002C1179" w:rsidRDefault="007E6AA4" w:rsidP="007157C0">
            <w:pPr>
              <w:jc w:val="center"/>
              <w:rPr>
                <w:rFonts w:ascii="Arial Narrow" w:hAnsi="Arial Narrow"/>
                <w:color w:val="333333"/>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045063D2" w14:textId="77777777" w:rsidR="007E6AA4" w:rsidRPr="002C1179" w:rsidRDefault="007E6AA4" w:rsidP="007157C0">
            <w:pPr>
              <w:keepLines/>
              <w:rPr>
                <w:rFonts w:ascii="Arial Narrow" w:hAnsi="Arial Narrow"/>
                <w:b/>
                <w:bCs/>
                <w:color w:val="333333"/>
                <w:sz w:val="20"/>
                <w:szCs w:val="20"/>
              </w:rPr>
            </w:pPr>
            <w:r w:rsidRPr="002C1179">
              <w:rPr>
                <w:rFonts w:ascii="Arial Narrow" w:hAnsi="Arial Narrow"/>
                <w:b/>
                <w:bCs/>
                <w:color w:val="333333"/>
                <w:sz w:val="20"/>
                <w:szCs w:val="20"/>
              </w:rPr>
              <w:t>Administrative Advice:</w:t>
            </w:r>
          </w:p>
          <w:p w14:paraId="1B122CE2" w14:textId="77777777" w:rsidR="007E6AA4" w:rsidRPr="002C1179" w:rsidRDefault="007E6AA4" w:rsidP="007157C0">
            <w:pPr>
              <w:pStyle w:val="TableCentre"/>
              <w:jc w:val="left"/>
              <w:rPr>
                <w:rFonts w:ascii="Arial Narrow" w:eastAsia="Calibri" w:hAnsi="Arial Narrow" w:cs="Arial"/>
                <w:sz w:val="20"/>
                <w:szCs w:val="20"/>
                <w:lang w:eastAsia="en-AU" w:bidi="ar-SA"/>
                <w14:ligatures w14:val="standardContextual"/>
              </w:rPr>
            </w:pPr>
            <w:r w:rsidRPr="002C1179">
              <w:rPr>
                <w:rFonts w:ascii="Arial Narrow" w:eastAsia="Calibri" w:hAnsi="Arial Narrow" w:cs="Arial"/>
                <w:sz w:val="20"/>
                <w:szCs w:val="20"/>
                <w:lang w:eastAsia="en-AU" w:bidi="ar-SA"/>
                <w14:ligatures w14:val="standardContextual"/>
              </w:rPr>
              <w:t>The Physician's Global Assessment (5-point scale) referenced in this restriction is that described in the following literature publication:</w:t>
            </w:r>
          </w:p>
          <w:p w14:paraId="2350996B" w14:textId="77777777" w:rsidR="007E6AA4" w:rsidRPr="002C1179" w:rsidRDefault="007E6AA4" w:rsidP="007157C0">
            <w:pPr>
              <w:pStyle w:val="TableCentre"/>
              <w:jc w:val="left"/>
              <w:rPr>
                <w:rFonts w:ascii="Arial Narrow" w:eastAsia="Calibri" w:hAnsi="Arial Narrow" w:cs="Arial"/>
                <w:sz w:val="20"/>
                <w:szCs w:val="20"/>
                <w:lang w:eastAsia="en-AU" w:bidi="ar-SA"/>
                <w14:ligatures w14:val="standardContextual"/>
              </w:rPr>
            </w:pPr>
            <w:proofErr w:type="spellStart"/>
            <w:r w:rsidRPr="002C1179">
              <w:rPr>
                <w:rFonts w:ascii="Arial Narrow" w:eastAsia="Calibri" w:hAnsi="Arial Narrow" w:cs="Arial"/>
                <w:sz w:val="20"/>
                <w:szCs w:val="20"/>
                <w:lang w:eastAsia="en-AU" w:bidi="ar-SA"/>
                <w14:ligatures w14:val="standardContextual"/>
              </w:rPr>
              <w:t>Fatumura</w:t>
            </w:r>
            <w:proofErr w:type="spellEnd"/>
            <w:r w:rsidRPr="002C1179">
              <w:rPr>
                <w:rFonts w:ascii="Arial Narrow" w:eastAsia="Calibri" w:hAnsi="Arial Narrow" w:cs="Arial"/>
                <w:sz w:val="20"/>
                <w:szCs w:val="20"/>
                <w:lang w:eastAsia="en-AU" w:bidi="ar-SA"/>
                <w14:ligatures w14:val="standardContextual"/>
              </w:rPr>
              <w:t xml:space="preserve"> M et al. A systematic review of Investigator Global Assessment (IGA) in atopic dermatitis (AD) trials: Many options, no standards Journal of the American Academy of Dermatology 2016; 674(2): 288-94 </w:t>
            </w:r>
          </w:p>
          <w:p w14:paraId="661A6401" w14:textId="77777777" w:rsidR="007E6AA4" w:rsidRPr="002C1179" w:rsidRDefault="007E6AA4" w:rsidP="007157C0">
            <w:pPr>
              <w:keepLines/>
              <w:rPr>
                <w:rFonts w:ascii="Arial Narrow" w:hAnsi="Arial Narrow"/>
                <w:b/>
                <w:bCs/>
                <w:color w:val="333333"/>
                <w:sz w:val="20"/>
                <w:szCs w:val="20"/>
              </w:rPr>
            </w:pPr>
            <w:r w:rsidRPr="002C1179">
              <w:rPr>
                <w:rFonts w:ascii="Arial Narrow" w:eastAsia="Calibri" w:hAnsi="Arial Narrow"/>
                <w:sz w:val="20"/>
                <w:szCs w:val="20"/>
              </w:rPr>
              <w:t>The overall appearance of dermatitis lesions is rated as 4 (severe) if the lesions are best described as featuring: deep/dark red erythema, with marked and extensive induration/papulation; excoriation and oozing/crusting are present.</w:t>
            </w:r>
          </w:p>
        </w:tc>
      </w:tr>
      <w:tr w:rsidR="007E6AA4" w:rsidRPr="00446E53" w14:paraId="066BB41B"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1F711F88" w14:textId="1FA9B1C9"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51D35CD4" w14:textId="77777777" w:rsidR="007E6AA4" w:rsidRDefault="007E6AA4" w:rsidP="007157C0">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349D023D" w14:textId="77777777" w:rsidR="007E6AA4" w:rsidRPr="00446E53" w:rsidRDefault="007E6AA4" w:rsidP="007157C0">
            <w:pPr>
              <w:keepLines/>
              <w:rPr>
                <w:rFonts w:ascii="Arial Narrow" w:hAnsi="Arial Narrow"/>
                <w:b/>
                <w:sz w:val="20"/>
                <w:szCs w:val="20"/>
              </w:rPr>
            </w:pPr>
            <w:r w:rsidRPr="003D23AA">
              <w:rPr>
                <w:rFonts w:ascii="Arial Narrow" w:eastAsia="Calibri" w:hAnsi="Arial Narrow"/>
                <w:sz w:val="20"/>
                <w:szCs w:val="20"/>
              </w:rPr>
              <w:t>Applications for authorisation under this restriction may be made in real time using the Online PBS Authorities system (see www.servicesaustralia.gov.au/HPOS) or by telephone by contacting Services Australia on 1800 888 333.</w:t>
            </w:r>
            <w:r>
              <w:rPr>
                <w:rFonts w:ascii="Arial Narrow" w:eastAsia="Calibri" w:hAnsi="Arial Narrow"/>
                <w:sz w:val="20"/>
                <w:szCs w:val="20"/>
              </w:rPr>
              <w:t xml:space="preserve"> </w:t>
            </w:r>
          </w:p>
        </w:tc>
      </w:tr>
      <w:tr w:rsidR="007E6AA4" w:rsidRPr="00AC5ED2" w14:paraId="1A878922"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shd w:val="clear" w:color="auto" w:fill="D9D9D9" w:themeFill="background1" w:themeFillShade="D9"/>
          </w:tcPr>
          <w:p w14:paraId="6CE93065" w14:textId="77777777" w:rsidR="007E6AA4" w:rsidRPr="00446E53" w:rsidRDefault="007E6AA4" w:rsidP="007157C0">
            <w:pPr>
              <w:jc w:val="center"/>
              <w:rPr>
                <w:rFonts w:ascii="Arial Narrow" w:hAnsi="Arial Narrow"/>
                <w:color w:val="333333"/>
                <w:sz w:val="20"/>
                <w:szCs w:val="20"/>
              </w:rPr>
            </w:pPr>
          </w:p>
        </w:tc>
        <w:tc>
          <w:tcPr>
            <w:tcW w:w="4314"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2828F" w14:textId="77777777" w:rsidR="007E6AA4" w:rsidRPr="00AC5ED2" w:rsidRDefault="007E6AA4" w:rsidP="007157C0">
            <w:pPr>
              <w:keepLines/>
              <w:rPr>
                <w:rFonts w:ascii="Arial Narrow" w:hAnsi="Arial Narrow"/>
                <w:b/>
                <w:bCs/>
                <w:sz w:val="20"/>
                <w:szCs w:val="20"/>
              </w:rPr>
            </w:pPr>
            <w:r w:rsidRPr="00AC5ED2">
              <w:rPr>
                <w:rFonts w:ascii="Arial Narrow" w:hAnsi="Arial Narrow"/>
                <w:b/>
                <w:sz w:val="20"/>
                <w:szCs w:val="20"/>
              </w:rPr>
              <w:t>Restriction Summary [new1] / Treatment of Concept: [new1A]</w:t>
            </w:r>
          </w:p>
        </w:tc>
      </w:tr>
      <w:tr w:rsidR="007E6AA4" w:rsidRPr="0069367A" w14:paraId="6CED486A" w14:textId="77777777" w:rsidTr="00807021">
        <w:tblPrEx>
          <w:tblCellMar>
            <w:top w:w="15" w:type="dxa"/>
            <w:bottom w:w="15" w:type="dxa"/>
          </w:tblCellMar>
          <w:tblLook w:val="04A0" w:firstRow="1" w:lastRow="0" w:firstColumn="1" w:lastColumn="0" w:noHBand="0" w:noVBand="1"/>
        </w:tblPrEx>
        <w:trPr>
          <w:cantSplit/>
          <w:trHeight w:val="20"/>
        </w:trPr>
        <w:tc>
          <w:tcPr>
            <w:tcW w:w="686" w:type="pct"/>
            <w:hideMark/>
          </w:tcPr>
          <w:p w14:paraId="5CA4A761" w14:textId="4727E1D6" w:rsidR="007E6AA4" w:rsidRPr="00446E53" w:rsidRDefault="007E6AA4" w:rsidP="007157C0">
            <w:pPr>
              <w:keepLines/>
              <w:jc w:val="center"/>
              <w:rPr>
                <w:rFonts w:ascii="Arial Narrow" w:hAnsi="Arial Narrow"/>
                <w:color w:val="333333"/>
                <w:sz w:val="20"/>
                <w:szCs w:val="20"/>
              </w:rPr>
            </w:pPr>
          </w:p>
        </w:tc>
        <w:tc>
          <w:tcPr>
            <w:tcW w:w="4314" w:type="pct"/>
            <w:gridSpan w:val="6"/>
            <w:vAlign w:val="center"/>
            <w:hideMark/>
          </w:tcPr>
          <w:p w14:paraId="33B61FC3" w14:textId="77777777" w:rsidR="007E6AA4" w:rsidRPr="0069367A" w:rsidRDefault="007E6AA4" w:rsidP="007157C0">
            <w:pPr>
              <w:keepLines/>
              <w:rPr>
                <w:rFonts w:ascii="Arial Narrow" w:hAnsi="Arial Narrow"/>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7E6AA4" w:rsidRPr="0069367A" w14:paraId="606943FA" w14:textId="77777777" w:rsidTr="00807021">
        <w:tblPrEx>
          <w:tblCellMar>
            <w:top w:w="15" w:type="dxa"/>
            <w:bottom w:w="15" w:type="dxa"/>
          </w:tblCellMar>
          <w:tblLook w:val="04A0" w:firstRow="1" w:lastRow="0" w:firstColumn="1" w:lastColumn="0" w:noHBand="0" w:noVBand="1"/>
        </w:tblPrEx>
        <w:trPr>
          <w:cantSplit/>
          <w:trHeight w:val="20"/>
        </w:trPr>
        <w:tc>
          <w:tcPr>
            <w:tcW w:w="686" w:type="pct"/>
            <w:hideMark/>
          </w:tcPr>
          <w:p w14:paraId="65FFFCC5" w14:textId="77777777" w:rsidR="007E6AA4" w:rsidRPr="00446E53" w:rsidRDefault="007E6AA4" w:rsidP="007157C0">
            <w:pPr>
              <w:jc w:val="center"/>
              <w:rPr>
                <w:rFonts w:ascii="Arial Narrow" w:hAnsi="Arial Narrow"/>
                <w:color w:val="333333"/>
                <w:sz w:val="20"/>
                <w:szCs w:val="20"/>
              </w:rPr>
            </w:pPr>
          </w:p>
        </w:tc>
        <w:tc>
          <w:tcPr>
            <w:tcW w:w="4314" w:type="pct"/>
            <w:gridSpan w:val="6"/>
            <w:vAlign w:val="center"/>
            <w:hideMark/>
          </w:tcPr>
          <w:p w14:paraId="289111EC" w14:textId="77777777" w:rsidR="007E6AA4" w:rsidRPr="0069367A" w:rsidRDefault="007E6AA4" w:rsidP="007157C0">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Initial treatment of the whole body </w:t>
            </w:r>
          </w:p>
        </w:tc>
      </w:tr>
      <w:tr w:rsidR="007E6AA4" w:rsidRPr="00446E53" w14:paraId="3D4BC24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161C555" w14:textId="0082FD64" w:rsidR="007E6AA4" w:rsidRPr="00446E53" w:rsidRDefault="007E6AA4" w:rsidP="007157C0">
            <w:pPr>
              <w:jc w:val="center"/>
              <w:rPr>
                <w:rFonts w:ascii="Arial Narrow" w:hAnsi="Arial Narrow"/>
                <w:color w:val="333333"/>
                <w:sz w:val="20"/>
                <w:szCs w:val="20"/>
              </w:rPr>
            </w:pPr>
          </w:p>
        </w:tc>
        <w:tc>
          <w:tcPr>
            <w:tcW w:w="4314" w:type="pct"/>
            <w:gridSpan w:val="6"/>
            <w:vAlign w:val="center"/>
            <w:hideMark/>
          </w:tcPr>
          <w:p w14:paraId="5EDC1CDA" w14:textId="77777777" w:rsidR="007E6AA4" w:rsidRPr="00446E53" w:rsidRDefault="007E6AA4" w:rsidP="007157C0">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7E6AA4" w:rsidRPr="00EB5ECC" w14:paraId="77F1C769"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E689A33" w14:textId="1F5BEC4F" w:rsidR="007E6AA4" w:rsidRPr="00446E53" w:rsidRDefault="007E6AA4" w:rsidP="007157C0">
            <w:pPr>
              <w:jc w:val="center"/>
              <w:rPr>
                <w:rFonts w:ascii="Arial Narrow" w:hAnsi="Arial Narrow"/>
                <w:color w:val="333333"/>
                <w:sz w:val="20"/>
                <w:szCs w:val="20"/>
              </w:rPr>
            </w:pPr>
          </w:p>
        </w:tc>
        <w:tc>
          <w:tcPr>
            <w:tcW w:w="4314" w:type="pct"/>
            <w:gridSpan w:val="6"/>
            <w:hideMark/>
          </w:tcPr>
          <w:p w14:paraId="2DF054CB" w14:textId="77777777" w:rsidR="007E6AA4" w:rsidRPr="00EB5ECC" w:rsidRDefault="007E6AA4" w:rsidP="007157C0">
            <w:pPr>
              <w:rPr>
                <w:rFonts w:ascii="Arial Narrow" w:eastAsia="Calibri" w:hAnsi="Arial Narrow"/>
                <w:i/>
                <w:iCs/>
                <w:sz w:val="20"/>
                <w:szCs w:val="20"/>
              </w:rPr>
            </w:pPr>
            <w:r w:rsidRPr="00D801D8">
              <w:rPr>
                <w:rFonts w:ascii="Arial Narrow" w:eastAsia="Calibri" w:hAnsi="Arial Narrow"/>
                <w:sz w:val="20"/>
                <w:szCs w:val="20"/>
              </w:rPr>
              <w:t>Patient must have a Physicians Global Assessment (PGA) (5-point scale) baseline score of at least 4 as evidence of severe disease despite treatment with daily topical therapy (corticosteroid of medium to high potency/calcineurin inhibitor), for at least 28 day</w:t>
            </w:r>
            <w:r>
              <w:rPr>
                <w:rFonts w:ascii="Arial Narrow" w:eastAsia="Calibri" w:hAnsi="Arial Narrow"/>
                <w:i/>
                <w:iCs/>
                <w:sz w:val="20"/>
                <w:szCs w:val="20"/>
              </w:rPr>
              <w:t>s</w:t>
            </w:r>
          </w:p>
        </w:tc>
      </w:tr>
      <w:tr w:rsidR="007E6AA4" w:rsidRPr="00446E53" w14:paraId="62632585" w14:textId="77777777" w:rsidTr="00807021">
        <w:tblPrEx>
          <w:tblCellMar>
            <w:top w:w="15" w:type="dxa"/>
            <w:bottom w:w="15" w:type="dxa"/>
          </w:tblCellMar>
          <w:tblLook w:val="04A0" w:firstRow="1" w:lastRow="0" w:firstColumn="1" w:lastColumn="0" w:noHBand="0" w:noVBand="1"/>
        </w:tblPrEx>
        <w:trPr>
          <w:cantSplit/>
          <w:trHeight w:val="20"/>
        </w:trPr>
        <w:tc>
          <w:tcPr>
            <w:tcW w:w="686" w:type="pct"/>
            <w:hideMark/>
          </w:tcPr>
          <w:p w14:paraId="117BF4EB" w14:textId="77777777" w:rsidR="007E6AA4" w:rsidRPr="00446E53" w:rsidRDefault="007E6AA4" w:rsidP="007157C0">
            <w:pPr>
              <w:jc w:val="center"/>
              <w:rPr>
                <w:rFonts w:ascii="Arial Narrow" w:hAnsi="Arial Narrow"/>
                <w:color w:val="333333"/>
                <w:sz w:val="20"/>
                <w:szCs w:val="20"/>
              </w:rPr>
            </w:pPr>
          </w:p>
        </w:tc>
        <w:tc>
          <w:tcPr>
            <w:tcW w:w="4314" w:type="pct"/>
            <w:gridSpan w:val="6"/>
            <w:vAlign w:val="center"/>
            <w:hideMark/>
          </w:tcPr>
          <w:p w14:paraId="5B6F92E4" w14:textId="77777777" w:rsidR="007E6AA4" w:rsidRPr="00446E53" w:rsidRDefault="007E6AA4" w:rsidP="007157C0">
            <w:pPr>
              <w:rPr>
                <w:rFonts w:ascii="Arial Narrow" w:hAnsi="Arial Narrow"/>
                <w:color w:val="333333"/>
                <w:sz w:val="20"/>
                <w:szCs w:val="20"/>
              </w:rPr>
            </w:pPr>
            <w:r w:rsidRPr="00446E53">
              <w:rPr>
                <w:rFonts w:ascii="Arial Narrow" w:hAnsi="Arial Narrow"/>
                <w:b/>
                <w:bCs/>
                <w:color w:val="333333"/>
                <w:sz w:val="20"/>
                <w:szCs w:val="20"/>
              </w:rPr>
              <w:t>AND</w:t>
            </w:r>
          </w:p>
        </w:tc>
      </w:tr>
      <w:tr w:rsidR="007E6AA4" w:rsidRPr="00446E53" w14:paraId="2E6EAAC9"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0A3405A" w14:textId="4EB2500C" w:rsidR="007E6AA4" w:rsidRPr="00D801D8" w:rsidRDefault="007E6AA4" w:rsidP="007157C0">
            <w:pPr>
              <w:jc w:val="center"/>
              <w:rPr>
                <w:rFonts w:ascii="Arial Narrow" w:hAnsi="Arial Narrow"/>
                <w:sz w:val="20"/>
                <w:szCs w:val="20"/>
              </w:rPr>
            </w:pPr>
          </w:p>
        </w:tc>
        <w:tc>
          <w:tcPr>
            <w:tcW w:w="4314" w:type="pct"/>
            <w:gridSpan w:val="6"/>
            <w:vAlign w:val="center"/>
            <w:hideMark/>
          </w:tcPr>
          <w:p w14:paraId="61E878C9" w14:textId="77777777" w:rsidR="007E6AA4" w:rsidRPr="00446E53" w:rsidRDefault="007E6AA4" w:rsidP="007157C0">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7E6AA4" w:rsidRPr="00446E53" w14:paraId="49FA560E"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69AACD8" w14:textId="3B14B55A" w:rsidR="007E6AA4" w:rsidRPr="00D801D8" w:rsidRDefault="007E6AA4" w:rsidP="007157C0">
            <w:pPr>
              <w:jc w:val="center"/>
              <w:rPr>
                <w:rFonts w:ascii="Arial Narrow" w:hAnsi="Arial Narrow"/>
                <w:sz w:val="20"/>
                <w:szCs w:val="20"/>
              </w:rPr>
            </w:pPr>
          </w:p>
        </w:tc>
        <w:tc>
          <w:tcPr>
            <w:tcW w:w="4314" w:type="pct"/>
            <w:gridSpan w:val="6"/>
          </w:tcPr>
          <w:p w14:paraId="56E5D3C7" w14:textId="77777777" w:rsidR="007E6AA4" w:rsidRPr="00446E53" w:rsidRDefault="007E6AA4" w:rsidP="007157C0">
            <w:pPr>
              <w:rPr>
                <w:rFonts w:ascii="Arial Narrow" w:hAnsi="Arial Narrow"/>
                <w:color w:val="FF0000"/>
                <w:sz w:val="20"/>
                <w:szCs w:val="20"/>
              </w:rPr>
            </w:pPr>
            <w:r w:rsidRPr="00E42807">
              <w:rPr>
                <w:rFonts w:ascii="Arial Narrow" w:eastAsia="Calibri" w:hAnsi="Arial Narrow"/>
                <w:sz w:val="20"/>
                <w:szCs w:val="20"/>
              </w:rPr>
              <w:t>Patient must have an Eczema Area and Severity Index (EASI) baseline score of at least 20 despite treatment with daily topical therapy (corticosteroid of medium to high potency/calcineurin inhibitor), for at least 28 days</w:t>
            </w:r>
          </w:p>
        </w:tc>
      </w:tr>
      <w:tr w:rsidR="007E6AA4" w:rsidRPr="00446E53" w14:paraId="76A9A32B"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23C42BFB" w14:textId="77777777" w:rsidR="007E6AA4" w:rsidRPr="00446E53" w:rsidRDefault="007E6AA4" w:rsidP="007157C0">
            <w:pPr>
              <w:jc w:val="center"/>
              <w:rPr>
                <w:rFonts w:ascii="Arial Narrow" w:hAnsi="Arial Narrow"/>
                <w:color w:val="333333"/>
                <w:sz w:val="20"/>
                <w:szCs w:val="20"/>
              </w:rPr>
            </w:pPr>
          </w:p>
        </w:tc>
        <w:tc>
          <w:tcPr>
            <w:tcW w:w="4314" w:type="pct"/>
            <w:gridSpan w:val="6"/>
            <w:vAlign w:val="center"/>
            <w:hideMark/>
          </w:tcPr>
          <w:p w14:paraId="37D80E4E" w14:textId="77777777" w:rsidR="007E6AA4" w:rsidRPr="00446E53" w:rsidRDefault="007E6AA4" w:rsidP="007157C0">
            <w:pPr>
              <w:rPr>
                <w:rFonts w:ascii="Arial Narrow" w:hAnsi="Arial Narrow"/>
                <w:color w:val="333333"/>
                <w:sz w:val="20"/>
                <w:szCs w:val="20"/>
              </w:rPr>
            </w:pPr>
            <w:r w:rsidRPr="00446E53">
              <w:rPr>
                <w:rFonts w:ascii="Arial Narrow" w:hAnsi="Arial Narrow"/>
                <w:b/>
                <w:bCs/>
                <w:color w:val="333333"/>
                <w:sz w:val="20"/>
                <w:szCs w:val="20"/>
              </w:rPr>
              <w:t>AND</w:t>
            </w:r>
          </w:p>
        </w:tc>
      </w:tr>
      <w:tr w:rsidR="007E6AA4" w:rsidRPr="00446E53" w14:paraId="51A9CC5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4E5AAD8" w14:textId="24A6B366" w:rsidR="007E6AA4" w:rsidRPr="00446E53" w:rsidRDefault="007E6AA4" w:rsidP="007157C0">
            <w:pPr>
              <w:jc w:val="center"/>
              <w:rPr>
                <w:rFonts w:ascii="Arial Narrow" w:hAnsi="Arial Narrow"/>
                <w:color w:val="333333"/>
                <w:sz w:val="20"/>
                <w:szCs w:val="20"/>
              </w:rPr>
            </w:pPr>
          </w:p>
        </w:tc>
        <w:tc>
          <w:tcPr>
            <w:tcW w:w="4314" w:type="pct"/>
            <w:gridSpan w:val="6"/>
            <w:vAlign w:val="center"/>
            <w:hideMark/>
          </w:tcPr>
          <w:p w14:paraId="59D814FB" w14:textId="77777777" w:rsidR="007E6AA4" w:rsidRPr="00446E53" w:rsidRDefault="007E6AA4" w:rsidP="007157C0">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7E6AA4" w:rsidRPr="00446E53" w14:paraId="7068F18E"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A10A8F9" w14:textId="7ACD3293" w:rsidR="007E6AA4" w:rsidRPr="00446E53" w:rsidRDefault="007E6AA4" w:rsidP="007157C0">
            <w:pPr>
              <w:jc w:val="center"/>
              <w:rPr>
                <w:rFonts w:ascii="Arial Narrow" w:hAnsi="Arial Narrow"/>
                <w:sz w:val="20"/>
                <w:szCs w:val="20"/>
              </w:rPr>
            </w:pPr>
          </w:p>
        </w:tc>
        <w:tc>
          <w:tcPr>
            <w:tcW w:w="4314" w:type="pct"/>
            <w:gridSpan w:val="6"/>
            <w:hideMark/>
          </w:tcPr>
          <w:p w14:paraId="6C2F5F53" w14:textId="77777777" w:rsidR="007E6AA4" w:rsidRPr="00446E53" w:rsidRDefault="007E6AA4" w:rsidP="007157C0">
            <w:pPr>
              <w:rPr>
                <w:rFonts w:ascii="Arial Narrow" w:hAnsi="Arial Narrow"/>
                <w:color w:val="333333"/>
                <w:sz w:val="20"/>
                <w:szCs w:val="20"/>
              </w:rPr>
            </w:pPr>
            <w:r w:rsidRPr="00BD4DC5">
              <w:rPr>
                <w:rFonts w:ascii="Arial Narrow" w:eastAsia="Calibri" w:hAnsi="Arial Narrow"/>
                <w:sz w:val="20"/>
                <w:szCs w:val="20"/>
              </w:rPr>
              <w:t>Patient must have an age</w:t>
            </w:r>
            <w:r>
              <w:rPr>
                <w:rFonts w:ascii="Arial Narrow" w:eastAsia="Calibri" w:hAnsi="Arial Narrow"/>
                <w:sz w:val="20"/>
                <w:szCs w:val="20"/>
              </w:rPr>
              <w:t xml:space="preserve"> </w:t>
            </w:r>
            <w:r w:rsidRPr="00BD4DC5">
              <w:rPr>
                <w:rFonts w:ascii="Arial Narrow" w:eastAsia="Calibri" w:hAnsi="Arial Narrow"/>
                <w:sz w:val="20"/>
                <w:szCs w:val="20"/>
              </w:rPr>
              <w:t>appropriate Dermatology Life Quality Index (DLQI) baseline score (of any value) measured following treatment with daily topical therapy (corticosteroid of medium to high potency/calcineurin inhibitor), for at least 28 days</w:t>
            </w:r>
          </w:p>
        </w:tc>
      </w:tr>
      <w:tr w:rsidR="007E6AA4" w:rsidRPr="00446E53" w14:paraId="7D7BD94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507BEEA" w14:textId="77777777" w:rsidR="007E6AA4" w:rsidRPr="00446E53" w:rsidRDefault="007E6AA4" w:rsidP="007157C0">
            <w:pPr>
              <w:jc w:val="center"/>
              <w:rPr>
                <w:rFonts w:ascii="Arial Narrow" w:hAnsi="Arial Narrow"/>
                <w:color w:val="FF0000"/>
                <w:sz w:val="20"/>
                <w:szCs w:val="20"/>
              </w:rPr>
            </w:pPr>
          </w:p>
        </w:tc>
        <w:tc>
          <w:tcPr>
            <w:tcW w:w="4314" w:type="pct"/>
            <w:gridSpan w:val="6"/>
            <w:vAlign w:val="center"/>
          </w:tcPr>
          <w:p w14:paraId="1533C0E5" w14:textId="77777777" w:rsidR="007E6AA4" w:rsidRPr="00446E53" w:rsidRDefault="007E6AA4" w:rsidP="007157C0">
            <w:pPr>
              <w:rPr>
                <w:rFonts w:ascii="Arial Narrow" w:hAnsi="Arial Narrow"/>
                <w:color w:val="FF0000"/>
                <w:sz w:val="20"/>
                <w:szCs w:val="20"/>
              </w:rPr>
            </w:pPr>
            <w:r w:rsidRPr="00446E53">
              <w:rPr>
                <w:rFonts w:ascii="Arial Narrow" w:hAnsi="Arial Narrow" w:cs="Arial Narrow"/>
                <w:b/>
                <w:bCs/>
                <w:iCs/>
                <w:sz w:val="20"/>
                <w:szCs w:val="20"/>
              </w:rPr>
              <w:t>AND</w:t>
            </w:r>
          </w:p>
        </w:tc>
      </w:tr>
      <w:tr w:rsidR="007E6AA4" w:rsidRPr="00446E53" w14:paraId="232BB29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34B223B" w14:textId="464E68D6" w:rsidR="007E6AA4" w:rsidRPr="00446E53" w:rsidRDefault="007E6AA4" w:rsidP="007157C0">
            <w:pPr>
              <w:keepNext/>
              <w:jc w:val="center"/>
              <w:rPr>
                <w:rFonts w:ascii="Arial Narrow" w:hAnsi="Arial Narrow"/>
                <w:color w:val="333333"/>
                <w:sz w:val="20"/>
                <w:szCs w:val="20"/>
              </w:rPr>
            </w:pPr>
          </w:p>
        </w:tc>
        <w:tc>
          <w:tcPr>
            <w:tcW w:w="4314" w:type="pct"/>
            <w:gridSpan w:val="6"/>
            <w:vAlign w:val="center"/>
            <w:hideMark/>
          </w:tcPr>
          <w:p w14:paraId="446CF625" w14:textId="77777777" w:rsidR="007E6AA4" w:rsidRPr="00446E53" w:rsidRDefault="007E6AA4" w:rsidP="007157C0">
            <w:pPr>
              <w:keepNext/>
              <w:rPr>
                <w:rFonts w:ascii="Arial Narrow" w:hAnsi="Arial Narrow"/>
                <w:color w:val="333333"/>
                <w:sz w:val="20"/>
                <w:szCs w:val="20"/>
              </w:rPr>
            </w:pPr>
            <w:r>
              <w:rPr>
                <w:rFonts w:ascii="Arial Narrow" w:hAnsi="Arial Narrow"/>
                <w:b/>
                <w:bCs/>
                <w:color w:val="333333"/>
                <w:sz w:val="20"/>
                <w:szCs w:val="20"/>
              </w:rPr>
              <w:t>Clinical</w:t>
            </w:r>
            <w:r w:rsidRPr="00446E53">
              <w:rPr>
                <w:rFonts w:ascii="Arial Narrow" w:hAnsi="Arial Narrow"/>
                <w:b/>
                <w:bCs/>
                <w:color w:val="333333"/>
                <w:sz w:val="20"/>
                <w:szCs w:val="20"/>
              </w:rPr>
              <w:t xml:space="preserve"> criteria:</w:t>
            </w:r>
          </w:p>
        </w:tc>
      </w:tr>
      <w:tr w:rsidR="007E6AA4" w:rsidRPr="00E60D92" w14:paraId="2B766ECB"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E6E6FAB" w14:textId="78C6D637" w:rsidR="007E6AA4" w:rsidRPr="00E60D92" w:rsidRDefault="007E6AA4" w:rsidP="007157C0">
            <w:pPr>
              <w:jc w:val="center"/>
              <w:rPr>
                <w:rFonts w:ascii="Arial Narrow" w:eastAsia="Calibri" w:hAnsi="Arial Narrow"/>
                <w:sz w:val="20"/>
                <w:szCs w:val="20"/>
              </w:rPr>
            </w:pPr>
          </w:p>
        </w:tc>
        <w:tc>
          <w:tcPr>
            <w:tcW w:w="4314" w:type="pct"/>
            <w:gridSpan w:val="6"/>
            <w:vAlign w:val="center"/>
            <w:hideMark/>
          </w:tcPr>
          <w:p w14:paraId="4DBECAC9" w14:textId="77777777" w:rsidR="007E6AA4" w:rsidRPr="00E60D92" w:rsidRDefault="007E6AA4" w:rsidP="007157C0">
            <w:pPr>
              <w:autoSpaceDE w:val="0"/>
              <w:autoSpaceDN w:val="0"/>
              <w:adjustRightInd w:val="0"/>
              <w:rPr>
                <w:rFonts w:ascii="Arial Narrow" w:eastAsia="Calibri" w:hAnsi="Arial Narrow"/>
                <w:sz w:val="20"/>
                <w:szCs w:val="20"/>
              </w:rPr>
            </w:pPr>
            <w:r w:rsidRPr="00E60D92">
              <w:rPr>
                <w:rFonts w:ascii="Arial Narrow" w:eastAsia="Calibri" w:hAnsi="Arial Narrow"/>
                <w:sz w:val="20"/>
                <w:szCs w:val="20"/>
              </w:rPr>
              <w:t>The condition must have had lesions for at least 6 months from the time of the initial diagnosis of chronic severe atopic dermatitis affecting either of: (i) the whole body, (ii) face/hands</w:t>
            </w:r>
          </w:p>
        </w:tc>
      </w:tr>
      <w:tr w:rsidR="007E6AA4" w:rsidRPr="00446E53" w14:paraId="471837E8"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9851931" w14:textId="77777777" w:rsidR="007E6AA4" w:rsidRPr="00446E53" w:rsidRDefault="007E6AA4" w:rsidP="007157C0">
            <w:pPr>
              <w:jc w:val="center"/>
              <w:rPr>
                <w:rFonts w:ascii="Arial Narrow" w:hAnsi="Arial Narrow"/>
                <w:color w:val="FF0000"/>
                <w:sz w:val="20"/>
                <w:szCs w:val="20"/>
              </w:rPr>
            </w:pPr>
          </w:p>
        </w:tc>
        <w:tc>
          <w:tcPr>
            <w:tcW w:w="4314" w:type="pct"/>
            <w:gridSpan w:val="6"/>
            <w:vAlign w:val="center"/>
          </w:tcPr>
          <w:p w14:paraId="02245687" w14:textId="77777777" w:rsidR="007E6AA4" w:rsidRPr="00446E53" w:rsidRDefault="007E6AA4" w:rsidP="007157C0">
            <w:pPr>
              <w:autoSpaceDE w:val="0"/>
              <w:autoSpaceDN w:val="0"/>
              <w:adjustRightInd w:val="0"/>
              <w:rPr>
                <w:rFonts w:ascii="Arial Narrow" w:hAnsi="Arial Narrow" w:cs="Arial Narrow"/>
                <w:b/>
                <w:bCs/>
                <w:iCs/>
                <w:color w:val="FF0000"/>
                <w:sz w:val="20"/>
                <w:szCs w:val="20"/>
              </w:rPr>
            </w:pPr>
            <w:r w:rsidRPr="00446E53">
              <w:rPr>
                <w:rFonts w:ascii="Arial Narrow" w:hAnsi="Arial Narrow" w:cs="Arial Narrow"/>
                <w:b/>
                <w:bCs/>
                <w:iCs/>
                <w:sz w:val="20"/>
                <w:szCs w:val="20"/>
              </w:rPr>
              <w:t>AND</w:t>
            </w:r>
          </w:p>
        </w:tc>
      </w:tr>
      <w:tr w:rsidR="007E6AA4" w:rsidRPr="00446E53" w14:paraId="02CF1952"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725A856" w14:textId="69B4F0FA" w:rsidR="007E6AA4" w:rsidRPr="00E60D92" w:rsidRDefault="007E6AA4" w:rsidP="007157C0">
            <w:pPr>
              <w:jc w:val="center"/>
              <w:rPr>
                <w:rFonts w:ascii="Arial Narrow" w:hAnsi="Arial Narrow"/>
                <w:sz w:val="20"/>
                <w:szCs w:val="20"/>
              </w:rPr>
            </w:pPr>
          </w:p>
        </w:tc>
        <w:tc>
          <w:tcPr>
            <w:tcW w:w="4314" w:type="pct"/>
            <w:gridSpan w:val="6"/>
            <w:vAlign w:val="center"/>
          </w:tcPr>
          <w:p w14:paraId="4AB7A8AF" w14:textId="77777777" w:rsidR="007E6AA4" w:rsidRPr="00446E53" w:rsidRDefault="007E6AA4" w:rsidP="007157C0">
            <w:pPr>
              <w:autoSpaceDE w:val="0"/>
              <w:autoSpaceDN w:val="0"/>
              <w:adjustRightInd w:val="0"/>
              <w:rPr>
                <w:rFonts w:ascii="Arial Narrow" w:hAnsi="Arial Narrow" w:cs="Arial Narrow"/>
                <w:iCs/>
                <w:color w:val="FF0000"/>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7E6AA4" w:rsidRPr="00446E53" w14:paraId="65A8E5FE"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E0B06CD" w14:textId="5126D302" w:rsidR="007E6AA4" w:rsidRPr="00E60D92" w:rsidRDefault="007E6AA4" w:rsidP="007157C0">
            <w:pPr>
              <w:jc w:val="center"/>
              <w:rPr>
                <w:rFonts w:ascii="Arial Narrow" w:hAnsi="Arial Narrow"/>
                <w:sz w:val="20"/>
                <w:szCs w:val="20"/>
              </w:rPr>
            </w:pPr>
          </w:p>
        </w:tc>
        <w:tc>
          <w:tcPr>
            <w:tcW w:w="4314" w:type="pct"/>
            <w:gridSpan w:val="6"/>
          </w:tcPr>
          <w:p w14:paraId="6810C029" w14:textId="53560712" w:rsidR="007E6AA4" w:rsidRPr="00446E53" w:rsidRDefault="007E6AA4" w:rsidP="007157C0">
            <w:pPr>
              <w:autoSpaceDE w:val="0"/>
              <w:autoSpaceDN w:val="0"/>
              <w:adjustRightInd w:val="0"/>
              <w:rPr>
                <w:rFonts w:ascii="Arial Narrow" w:hAnsi="Arial Narrow" w:cs="Arial Narrow"/>
                <w:iCs/>
                <w:color w:val="FF0000"/>
                <w:sz w:val="20"/>
                <w:szCs w:val="20"/>
              </w:rPr>
            </w:pPr>
            <w:r w:rsidRPr="00E62CC5">
              <w:rPr>
                <w:rFonts w:ascii="Arial Narrow" w:eastAsia="Calibri" w:hAnsi="Arial Narrow"/>
                <w:sz w:val="20"/>
                <w:szCs w:val="20"/>
              </w:rPr>
              <w:t>Patient must not have experienced an inadequate response to this biological medicine in this PBS indication</w:t>
            </w:r>
          </w:p>
        </w:tc>
      </w:tr>
      <w:tr w:rsidR="007E6AA4" w:rsidRPr="00D835B8" w14:paraId="6CA3FF8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B8C4034" w14:textId="77777777" w:rsidR="007E6AA4" w:rsidRDefault="007E6AA4" w:rsidP="007157C0">
            <w:pPr>
              <w:jc w:val="center"/>
              <w:rPr>
                <w:rFonts w:ascii="Arial Narrow" w:hAnsi="Arial Narrow"/>
                <w:sz w:val="20"/>
                <w:szCs w:val="20"/>
              </w:rPr>
            </w:pPr>
          </w:p>
        </w:tc>
        <w:tc>
          <w:tcPr>
            <w:tcW w:w="4314" w:type="pct"/>
            <w:gridSpan w:val="6"/>
          </w:tcPr>
          <w:p w14:paraId="6E87D930" w14:textId="77777777" w:rsidR="007E6AA4" w:rsidRPr="00D835B8" w:rsidRDefault="007E6AA4" w:rsidP="007157C0">
            <w:pPr>
              <w:autoSpaceDE w:val="0"/>
              <w:autoSpaceDN w:val="0"/>
              <w:adjustRightInd w:val="0"/>
              <w:rPr>
                <w:rFonts w:ascii="Arial Narrow" w:eastAsia="Calibri" w:hAnsi="Arial Narrow"/>
                <w:sz w:val="20"/>
                <w:szCs w:val="20"/>
              </w:rPr>
            </w:pPr>
            <w:r w:rsidRPr="00D835B8">
              <w:rPr>
                <w:rFonts w:ascii="Arial Narrow" w:hAnsi="Arial Narrow" w:cs="Arial Narrow"/>
                <w:b/>
                <w:bCs/>
                <w:iCs/>
                <w:sz w:val="20"/>
                <w:szCs w:val="20"/>
              </w:rPr>
              <w:t>AND</w:t>
            </w:r>
          </w:p>
        </w:tc>
      </w:tr>
      <w:tr w:rsidR="007E6AA4" w:rsidRPr="00E62CC5" w14:paraId="0A6E996A"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A8E7F89" w14:textId="31CE6DD8" w:rsidR="007E6AA4" w:rsidRDefault="007E6AA4" w:rsidP="007157C0">
            <w:pPr>
              <w:jc w:val="center"/>
              <w:rPr>
                <w:rFonts w:ascii="Arial Narrow" w:hAnsi="Arial Narrow"/>
                <w:sz w:val="20"/>
                <w:szCs w:val="20"/>
              </w:rPr>
            </w:pPr>
          </w:p>
        </w:tc>
        <w:tc>
          <w:tcPr>
            <w:tcW w:w="4314" w:type="pct"/>
            <w:gridSpan w:val="6"/>
          </w:tcPr>
          <w:p w14:paraId="77BF8C19" w14:textId="77777777" w:rsidR="007E6AA4" w:rsidRPr="00E62CC5" w:rsidRDefault="007E6AA4" w:rsidP="007157C0">
            <w:pPr>
              <w:autoSpaceDE w:val="0"/>
              <w:autoSpaceDN w:val="0"/>
              <w:adjustRightInd w:val="0"/>
              <w:rPr>
                <w:rFonts w:ascii="Arial Narrow" w:eastAsia="Calibri" w:hAnsi="Arial Narrow"/>
                <w:sz w:val="20"/>
                <w:szCs w:val="20"/>
              </w:rPr>
            </w:pPr>
            <w:r w:rsidRPr="009A5E54">
              <w:rPr>
                <w:rFonts w:ascii="Arial Narrow" w:eastAsia="Calibri" w:hAnsi="Arial Narrow"/>
                <w:b/>
                <w:bCs/>
                <w:sz w:val="20"/>
                <w:szCs w:val="20"/>
              </w:rPr>
              <w:t xml:space="preserve">Clinical </w:t>
            </w:r>
            <w:r>
              <w:rPr>
                <w:rFonts w:ascii="Arial Narrow" w:eastAsia="Calibri" w:hAnsi="Arial Narrow"/>
                <w:b/>
                <w:bCs/>
                <w:sz w:val="20"/>
                <w:szCs w:val="20"/>
              </w:rPr>
              <w:t xml:space="preserve">criteria: </w:t>
            </w:r>
          </w:p>
        </w:tc>
      </w:tr>
      <w:tr w:rsidR="007E6AA4" w:rsidRPr="00E62CC5" w14:paraId="66EB4ABC"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0003493" w14:textId="04518B25" w:rsidR="007E6AA4" w:rsidRDefault="007E6AA4" w:rsidP="007157C0">
            <w:pPr>
              <w:jc w:val="center"/>
              <w:rPr>
                <w:rFonts w:ascii="Arial Narrow" w:hAnsi="Arial Narrow"/>
                <w:sz w:val="20"/>
                <w:szCs w:val="20"/>
              </w:rPr>
            </w:pPr>
          </w:p>
        </w:tc>
        <w:tc>
          <w:tcPr>
            <w:tcW w:w="4314" w:type="pct"/>
            <w:gridSpan w:val="6"/>
          </w:tcPr>
          <w:p w14:paraId="32EDC6AB" w14:textId="77777777" w:rsidR="007E6AA4" w:rsidRPr="00E62CC5" w:rsidRDefault="007E6AA4" w:rsidP="007157C0">
            <w:pPr>
              <w:autoSpaceDE w:val="0"/>
              <w:autoSpaceDN w:val="0"/>
              <w:adjustRightInd w:val="0"/>
              <w:rPr>
                <w:rFonts w:ascii="Arial Narrow" w:eastAsia="Calibri" w:hAnsi="Arial Narrow"/>
                <w:sz w:val="20"/>
                <w:szCs w:val="20"/>
              </w:rPr>
            </w:pPr>
            <w:r w:rsidRPr="00A14516">
              <w:rPr>
                <w:rFonts w:ascii="Arial Narrow" w:eastAsia="Calibri" w:hAnsi="Arial Narrow"/>
                <w:sz w:val="20"/>
                <w:szCs w:val="20"/>
              </w:rPr>
              <w:t>The treatment must be the sole PBS-subsidised biological medicine for this PBS indication</w:t>
            </w:r>
          </w:p>
        </w:tc>
      </w:tr>
      <w:tr w:rsidR="007E6AA4" w:rsidRPr="00E62CC5" w14:paraId="737E4466"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B9F0C79" w14:textId="0AD65471" w:rsidR="007E6AA4" w:rsidRPr="00E60D92" w:rsidRDefault="007E6AA4" w:rsidP="007157C0">
            <w:pPr>
              <w:jc w:val="center"/>
              <w:rPr>
                <w:rFonts w:ascii="Arial Narrow" w:hAnsi="Arial Narrow"/>
                <w:sz w:val="20"/>
                <w:szCs w:val="20"/>
              </w:rPr>
            </w:pPr>
          </w:p>
        </w:tc>
        <w:tc>
          <w:tcPr>
            <w:tcW w:w="4314" w:type="pct"/>
            <w:gridSpan w:val="6"/>
          </w:tcPr>
          <w:p w14:paraId="4FAE79AA" w14:textId="77777777" w:rsidR="007E6AA4" w:rsidRPr="00E62CC5" w:rsidRDefault="007E6AA4" w:rsidP="007157C0">
            <w:pPr>
              <w:autoSpaceDE w:val="0"/>
              <w:autoSpaceDN w:val="0"/>
              <w:adjustRightInd w:val="0"/>
              <w:rPr>
                <w:rFonts w:ascii="Arial Narrow" w:eastAsia="Calibri" w:hAnsi="Arial Narrow"/>
                <w:b/>
                <w:bCs/>
                <w:sz w:val="20"/>
                <w:szCs w:val="20"/>
              </w:rPr>
            </w:pPr>
            <w:r>
              <w:rPr>
                <w:rFonts w:ascii="Arial Narrow" w:eastAsia="Calibri" w:hAnsi="Arial Narrow"/>
                <w:b/>
                <w:bCs/>
                <w:sz w:val="20"/>
                <w:szCs w:val="20"/>
              </w:rPr>
              <w:t xml:space="preserve">Treatment criteria: </w:t>
            </w:r>
          </w:p>
        </w:tc>
      </w:tr>
      <w:tr w:rsidR="007E6AA4" w:rsidRPr="00E62CC5" w14:paraId="09CB62FA"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E12EE7F" w14:textId="08B704F4" w:rsidR="007E6AA4" w:rsidRPr="00E60D92" w:rsidRDefault="007E6AA4" w:rsidP="007157C0">
            <w:pPr>
              <w:jc w:val="center"/>
              <w:rPr>
                <w:rFonts w:ascii="Arial Narrow" w:hAnsi="Arial Narrow"/>
                <w:sz w:val="20"/>
                <w:szCs w:val="20"/>
              </w:rPr>
            </w:pPr>
          </w:p>
        </w:tc>
        <w:tc>
          <w:tcPr>
            <w:tcW w:w="4314" w:type="pct"/>
            <w:gridSpan w:val="6"/>
          </w:tcPr>
          <w:p w14:paraId="47545846" w14:textId="77777777" w:rsidR="007E6AA4" w:rsidRPr="00E62CC5" w:rsidRDefault="007E6AA4" w:rsidP="007157C0">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dermatologist; or</w:t>
            </w:r>
          </w:p>
        </w:tc>
      </w:tr>
      <w:tr w:rsidR="007E6AA4" w:rsidRPr="00176579" w14:paraId="52591546"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AA0D9B9" w14:textId="2C99466F" w:rsidR="007E6AA4" w:rsidRDefault="007E6AA4" w:rsidP="007157C0">
            <w:pPr>
              <w:jc w:val="center"/>
              <w:rPr>
                <w:rFonts w:ascii="Arial Narrow" w:hAnsi="Arial Narrow"/>
                <w:sz w:val="20"/>
                <w:szCs w:val="20"/>
              </w:rPr>
            </w:pPr>
          </w:p>
        </w:tc>
        <w:tc>
          <w:tcPr>
            <w:tcW w:w="4314" w:type="pct"/>
            <w:gridSpan w:val="6"/>
          </w:tcPr>
          <w:p w14:paraId="67CD844B" w14:textId="77777777" w:rsidR="007E6AA4" w:rsidRPr="00176579" w:rsidRDefault="007E6AA4" w:rsidP="007157C0">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clinical immunologist</w:t>
            </w:r>
          </w:p>
        </w:tc>
      </w:tr>
      <w:tr w:rsidR="007E6AA4" w:rsidRPr="00446E53" w14:paraId="6E403E9B"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3E920B13" w14:textId="74BCB232" w:rsidR="007E6AA4" w:rsidRPr="00446E53" w:rsidRDefault="007E6AA4" w:rsidP="007157C0">
            <w:pPr>
              <w:jc w:val="center"/>
              <w:rPr>
                <w:rFonts w:ascii="Arial Narrow" w:hAnsi="Arial Narrow"/>
                <w:color w:val="333333"/>
                <w:sz w:val="20"/>
                <w:szCs w:val="20"/>
              </w:rPr>
            </w:pPr>
          </w:p>
        </w:tc>
        <w:tc>
          <w:tcPr>
            <w:tcW w:w="4314" w:type="pct"/>
            <w:gridSpan w:val="6"/>
            <w:vAlign w:val="center"/>
            <w:hideMark/>
          </w:tcPr>
          <w:p w14:paraId="03BFC048" w14:textId="77777777" w:rsidR="007E6AA4" w:rsidRPr="00446E53" w:rsidRDefault="007E6AA4" w:rsidP="007157C0">
            <w:pPr>
              <w:rPr>
                <w:rFonts w:ascii="Arial Narrow" w:hAnsi="Arial Narrow"/>
                <w:color w:val="333333"/>
                <w:sz w:val="20"/>
                <w:szCs w:val="20"/>
              </w:rPr>
            </w:pPr>
            <w:r w:rsidRPr="00446E53">
              <w:rPr>
                <w:rFonts w:ascii="Arial Narrow" w:hAnsi="Arial Narrow"/>
                <w:b/>
                <w:bCs/>
                <w:color w:val="333333"/>
                <w:sz w:val="20"/>
                <w:szCs w:val="20"/>
              </w:rPr>
              <w:t>Population criteria:</w:t>
            </w:r>
          </w:p>
        </w:tc>
      </w:tr>
      <w:tr w:rsidR="007E6AA4" w:rsidRPr="002B3075" w14:paraId="3CFDF24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31AE9FD8" w14:textId="2C878275" w:rsidR="007E6AA4" w:rsidRPr="00446E53" w:rsidRDefault="007E6AA4" w:rsidP="007157C0">
            <w:pPr>
              <w:jc w:val="center"/>
              <w:rPr>
                <w:rFonts w:ascii="Arial Narrow" w:hAnsi="Arial Narrow"/>
                <w:color w:val="333333"/>
                <w:sz w:val="20"/>
                <w:szCs w:val="20"/>
              </w:rPr>
            </w:pPr>
          </w:p>
        </w:tc>
        <w:tc>
          <w:tcPr>
            <w:tcW w:w="4314" w:type="pct"/>
            <w:gridSpan w:val="6"/>
            <w:vAlign w:val="center"/>
            <w:hideMark/>
          </w:tcPr>
          <w:p w14:paraId="1336EBBA" w14:textId="77777777" w:rsidR="007E6AA4" w:rsidRPr="002B3075" w:rsidRDefault="007E6AA4" w:rsidP="007157C0">
            <w:pPr>
              <w:rPr>
                <w:rFonts w:ascii="Arial Narrow" w:eastAsia="Calibri" w:hAnsi="Arial Narrow"/>
                <w:sz w:val="20"/>
                <w:szCs w:val="20"/>
              </w:rPr>
            </w:pPr>
            <w:r w:rsidRPr="002B3075">
              <w:rPr>
                <w:rFonts w:ascii="Arial Narrow" w:eastAsia="Calibri" w:hAnsi="Arial Narrow"/>
                <w:sz w:val="20"/>
                <w:szCs w:val="20"/>
              </w:rPr>
              <w:t>Patient must be 12 years of age or older</w:t>
            </w:r>
          </w:p>
        </w:tc>
      </w:tr>
      <w:tr w:rsidR="007E6AA4" w:rsidRPr="0069367A" w14:paraId="74F886E8"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54427A4" w14:textId="77AC5028" w:rsidR="007E6AA4" w:rsidRPr="0069367A" w:rsidRDefault="007E6AA4" w:rsidP="007157C0">
            <w:pPr>
              <w:jc w:val="center"/>
              <w:rPr>
                <w:rFonts w:ascii="Arial Narrow" w:eastAsia="Calibri" w:hAnsi="Arial Narrow"/>
                <w:sz w:val="20"/>
                <w:szCs w:val="20"/>
              </w:rPr>
            </w:pPr>
          </w:p>
        </w:tc>
        <w:tc>
          <w:tcPr>
            <w:tcW w:w="4314" w:type="pct"/>
            <w:gridSpan w:val="6"/>
            <w:vAlign w:val="center"/>
          </w:tcPr>
          <w:p w14:paraId="52B1B1F8" w14:textId="77777777" w:rsidR="007E6AA4" w:rsidRPr="0069367A" w:rsidRDefault="007E6AA4" w:rsidP="007157C0">
            <w:pPr>
              <w:rPr>
                <w:rFonts w:ascii="Arial Narrow" w:eastAsia="Calibri" w:hAnsi="Arial Narrow"/>
                <w:sz w:val="20"/>
                <w:szCs w:val="20"/>
              </w:rPr>
            </w:pPr>
            <w:r w:rsidRPr="00446E53">
              <w:rPr>
                <w:rFonts w:ascii="Arial Narrow" w:hAnsi="Arial Narrow"/>
                <w:b/>
                <w:bCs/>
                <w:color w:val="333333"/>
                <w:sz w:val="20"/>
                <w:szCs w:val="20"/>
              </w:rPr>
              <w:t>Prescribing Instructions:</w:t>
            </w:r>
          </w:p>
          <w:p w14:paraId="06054672" w14:textId="77777777" w:rsidR="007E6AA4" w:rsidRPr="0069367A" w:rsidRDefault="007E6AA4" w:rsidP="007157C0">
            <w:pPr>
              <w:rPr>
                <w:rFonts w:ascii="Arial Narrow" w:eastAsia="Calibri" w:hAnsi="Arial Narrow"/>
                <w:sz w:val="20"/>
                <w:szCs w:val="20"/>
              </w:rPr>
            </w:pPr>
            <w:r w:rsidRPr="0069367A">
              <w:rPr>
                <w:rFonts w:ascii="Arial Narrow" w:eastAsia="Calibri" w:hAnsi="Arial Narrow"/>
                <w:sz w:val="20"/>
                <w:szCs w:val="20"/>
              </w:rPr>
              <w:t>State each of the qualifying (i) PGA, (ii) EASI and (iii) DLQI scores in the authority application.</w:t>
            </w:r>
          </w:p>
          <w:p w14:paraId="136C449B" w14:textId="77777777" w:rsidR="007E6AA4" w:rsidRPr="0069367A" w:rsidRDefault="007E6AA4" w:rsidP="007157C0">
            <w:pPr>
              <w:rPr>
                <w:rFonts w:ascii="Arial Narrow" w:eastAsia="Calibri" w:hAnsi="Arial Narrow"/>
                <w:sz w:val="20"/>
                <w:szCs w:val="20"/>
              </w:rPr>
            </w:pPr>
            <w:r w:rsidRPr="0069367A">
              <w:rPr>
                <w:rFonts w:ascii="Arial Narrow" w:eastAsia="Calibri" w:hAnsi="Arial Narrow"/>
                <w:sz w:val="20"/>
                <w:szCs w:val="20"/>
              </w:rPr>
              <w:t>Acceptable scores can be:</w:t>
            </w:r>
          </w:p>
          <w:p w14:paraId="3B90A2D5" w14:textId="77777777" w:rsidR="007E6AA4" w:rsidRPr="0069367A" w:rsidRDefault="007E6AA4" w:rsidP="007157C0">
            <w:pPr>
              <w:rPr>
                <w:rFonts w:ascii="Arial Narrow" w:eastAsia="Calibri" w:hAnsi="Arial Narrow"/>
                <w:sz w:val="20"/>
                <w:szCs w:val="20"/>
              </w:rPr>
            </w:pPr>
            <w:r w:rsidRPr="0069367A">
              <w:rPr>
                <w:rFonts w:ascii="Arial Narrow" w:eastAsia="Calibri" w:hAnsi="Arial Narrow"/>
                <w:sz w:val="20"/>
                <w:szCs w:val="20"/>
              </w:rPr>
              <w:t>(a) current scores; or</w:t>
            </w:r>
          </w:p>
          <w:p w14:paraId="36C3ABE2" w14:textId="77777777" w:rsidR="007E6AA4" w:rsidRDefault="007E6AA4" w:rsidP="007157C0">
            <w:pPr>
              <w:rPr>
                <w:rFonts w:ascii="Arial Narrow" w:eastAsia="Calibri" w:hAnsi="Arial Narrow"/>
                <w:sz w:val="20"/>
                <w:szCs w:val="20"/>
              </w:rPr>
            </w:pPr>
            <w:r w:rsidRPr="0069367A">
              <w:rPr>
                <w:rFonts w:ascii="Arial Narrow" w:eastAsia="Calibri" w:hAnsi="Arial Narrow"/>
                <w:sz w:val="20"/>
                <w:szCs w:val="20"/>
              </w:rPr>
              <w:t>(b) past scores, including those previously quoted in a PBS authority application for another drug listed for this indication.</w:t>
            </w:r>
          </w:p>
          <w:p w14:paraId="0BA5C32A" w14:textId="77777777" w:rsidR="007E6AA4" w:rsidRPr="0069367A" w:rsidRDefault="007E6AA4" w:rsidP="007157C0">
            <w:pPr>
              <w:rPr>
                <w:rFonts w:ascii="Arial Narrow" w:eastAsia="Calibri" w:hAnsi="Arial Narrow"/>
                <w:sz w:val="20"/>
                <w:szCs w:val="20"/>
              </w:rPr>
            </w:pPr>
          </w:p>
          <w:p w14:paraId="713CCF5D" w14:textId="77777777" w:rsidR="007E6AA4" w:rsidRDefault="007E6AA4" w:rsidP="007157C0">
            <w:pPr>
              <w:rPr>
                <w:rFonts w:ascii="Arial Narrow" w:eastAsia="Calibri" w:hAnsi="Arial Narrow"/>
                <w:sz w:val="20"/>
                <w:szCs w:val="20"/>
              </w:rPr>
            </w:pPr>
            <w:r w:rsidRPr="0069367A">
              <w:rPr>
                <w:rFonts w:ascii="Arial Narrow" w:eastAsia="Calibri" w:hAnsi="Arial Narrow"/>
                <w:sz w:val="20"/>
                <w:szCs w:val="20"/>
              </w:rPr>
              <w:t>The EASI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44EC09F6" w14:textId="77777777" w:rsidR="007E6AA4" w:rsidRPr="0069367A" w:rsidRDefault="007E6AA4" w:rsidP="007157C0">
            <w:pPr>
              <w:rPr>
                <w:rFonts w:ascii="Arial Narrow" w:eastAsia="Calibri" w:hAnsi="Arial Narrow"/>
                <w:sz w:val="20"/>
                <w:szCs w:val="20"/>
              </w:rPr>
            </w:pPr>
          </w:p>
          <w:p w14:paraId="2E4700DA" w14:textId="77777777" w:rsidR="007E6AA4" w:rsidRPr="0069367A" w:rsidRDefault="007E6AA4" w:rsidP="007157C0">
            <w:pPr>
              <w:rPr>
                <w:rFonts w:ascii="Arial Narrow" w:eastAsia="Calibri" w:hAnsi="Arial Narrow"/>
                <w:sz w:val="20"/>
                <w:szCs w:val="20"/>
              </w:rPr>
            </w:pPr>
            <w:r w:rsidRPr="0069367A">
              <w:rPr>
                <w:rFonts w:ascii="Arial Narrow" w:eastAsia="Calibri" w:hAnsi="Arial Narrow"/>
                <w:sz w:val="20"/>
                <w:szCs w:val="20"/>
              </w:rPr>
              <w:t>Document the details of the medium to high potency topical corticosteroids (or calcineurin inhibitors) initially trialled in the patient's medical records.</w:t>
            </w:r>
          </w:p>
        </w:tc>
      </w:tr>
      <w:tr w:rsidR="007E6AA4" w:rsidRPr="00EC0A25" w14:paraId="2E5DDC08"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D5C58B4" w14:textId="74438B10" w:rsidR="007E6AA4" w:rsidRPr="00EC0A25" w:rsidRDefault="007E6AA4" w:rsidP="007157C0">
            <w:pPr>
              <w:jc w:val="center"/>
              <w:rPr>
                <w:rFonts w:ascii="Arial Narrow" w:eastAsia="Calibri" w:hAnsi="Arial Narrow"/>
                <w:b/>
                <w:bCs/>
                <w:sz w:val="20"/>
                <w:szCs w:val="20"/>
              </w:rPr>
            </w:pPr>
          </w:p>
        </w:tc>
        <w:tc>
          <w:tcPr>
            <w:tcW w:w="4314" w:type="pct"/>
            <w:gridSpan w:val="6"/>
          </w:tcPr>
          <w:p w14:paraId="5AC3FD48" w14:textId="77777777" w:rsidR="007E6AA4" w:rsidRPr="00EC0A25" w:rsidRDefault="007E6AA4" w:rsidP="007157C0">
            <w:pPr>
              <w:rPr>
                <w:rFonts w:ascii="Arial Narrow" w:eastAsia="Calibri" w:hAnsi="Arial Narrow"/>
                <w:b/>
                <w:bCs/>
                <w:sz w:val="20"/>
                <w:szCs w:val="20"/>
              </w:rPr>
            </w:pPr>
            <w:r w:rsidRPr="00EC0A25">
              <w:rPr>
                <w:rFonts w:ascii="Arial Narrow" w:eastAsia="Calibri" w:hAnsi="Arial Narrow"/>
                <w:b/>
                <w:bCs/>
                <w:sz w:val="20"/>
                <w:szCs w:val="20"/>
              </w:rPr>
              <w:t>Prescribing Instructions:</w:t>
            </w:r>
          </w:p>
          <w:p w14:paraId="2BD891CB" w14:textId="77777777" w:rsidR="007E6AA4" w:rsidRPr="00EC0A25" w:rsidRDefault="007E6AA4" w:rsidP="007157C0">
            <w:pPr>
              <w:rPr>
                <w:rFonts w:ascii="Arial Narrow" w:hAnsi="Arial Narrow"/>
                <w:b/>
                <w:bCs/>
                <w:color w:val="333333"/>
                <w:sz w:val="20"/>
                <w:szCs w:val="20"/>
              </w:rPr>
            </w:pPr>
            <w:r w:rsidRPr="00EC0A25">
              <w:rPr>
                <w:rFonts w:ascii="Arial Narrow" w:eastAsia="Calibri" w:hAnsi="Arial Narrow"/>
                <w:sz w:val="20"/>
                <w:szCs w:val="20"/>
              </w:rPr>
              <w:t>At the time of assessment of response, i.e., within 16 weeks of initial treatment, if adequate response hasn’t been achieved, the prescriber can apply for an extended induction treatment (up to further 8 weeks of therapy) where there has been a partial response and the prescriber considers that extended induction doses could result in achieving adequate response.</w:t>
            </w:r>
          </w:p>
        </w:tc>
      </w:tr>
      <w:tr w:rsidR="007E6AA4" w:rsidRPr="00446E53" w14:paraId="3C6FDB7F" w14:textId="77777777" w:rsidTr="00807021">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61CEFD17" w14:textId="77777777" w:rsidR="007E6AA4" w:rsidRDefault="007E6AA4" w:rsidP="007157C0">
            <w:pPr>
              <w:rPr>
                <w:rFonts w:ascii="Arial Narrow" w:hAnsi="Arial Narrow"/>
                <w:bCs/>
                <w:color w:val="FF0000"/>
                <w:sz w:val="20"/>
                <w:szCs w:val="20"/>
              </w:rPr>
            </w:pPr>
          </w:p>
          <w:p w14:paraId="5CD0418E" w14:textId="77777777" w:rsidR="007E6AA4" w:rsidRPr="00446E53" w:rsidRDefault="007E6AA4" w:rsidP="007157C0">
            <w:pPr>
              <w:rPr>
                <w:rFonts w:ascii="Arial Narrow" w:hAnsi="Arial Narrow"/>
                <w:bCs/>
                <w:color w:val="FF0000"/>
                <w:sz w:val="20"/>
                <w:szCs w:val="20"/>
              </w:rPr>
            </w:pPr>
          </w:p>
        </w:tc>
      </w:tr>
      <w:tr w:rsidR="007E6AA4" w:rsidRPr="0069367A" w14:paraId="60A1AA67" w14:textId="77777777" w:rsidTr="00807021">
        <w:tblPrEx>
          <w:tblCellMar>
            <w:top w:w="15" w:type="dxa"/>
            <w:bottom w:w="15" w:type="dxa"/>
          </w:tblCellMar>
          <w:tblLook w:val="04A0" w:firstRow="1" w:lastRow="0" w:firstColumn="1" w:lastColumn="0" w:noHBand="0" w:noVBand="1"/>
        </w:tblPrEx>
        <w:trPr>
          <w:cantSplit/>
          <w:trHeight w:val="20"/>
        </w:trPr>
        <w:tc>
          <w:tcPr>
            <w:tcW w:w="686" w:type="pct"/>
            <w:shd w:val="clear" w:color="auto" w:fill="D9D9D9" w:themeFill="background1" w:themeFillShade="D9"/>
          </w:tcPr>
          <w:p w14:paraId="2A447B18" w14:textId="77777777" w:rsidR="007E6AA4" w:rsidRPr="00446E53" w:rsidRDefault="007E6AA4" w:rsidP="007157C0">
            <w:pPr>
              <w:keepNext/>
              <w:keepLines/>
              <w:jc w:val="center"/>
              <w:rPr>
                <w:rFonts w:ascii="Arial Narrow" w:hAnsi="Arial Narrow"/>
                <w:b/>
                <w:bCs/>
                <w:color w:val="333333"/>
                <w:sz w:val="20"/>
                <w:szCs w:val="20"/>
              </w:rPr>
            </w:pPr>
          </w:p>
        </w:tc>
        <w:tc>
          <w:tcPr>
            <w:tcW w:w="4314" w:type="pct"/>
            <w:gridSpan w:val="6"/>
            <w:shd w:val="clear" w:color="auto" w:fill="D9D9D9" w:themeFill="background1" w:themeFillShade="D9"/>
            <w:vAlign w:val="center"/>
          </w:tcPr>
          <w:p w14:paraId="20330709" w14:textId="77777777" w:rsidR="007E6AA4" w:rsidRPr="0069367A" w:rsidRDefault="007E6AA4" w:rsidP="007157C0">
            <w:pPr>
              <w:keepNext/>
              <w:keepLines/>
              <w:rPr>
                <w:rFonts w:ascii="Arial Narrow" w:hAnsi="Arial Narrow"/>
                <w:b/>
                <w:bCs/>
                <w:color w:val="FF0000"/>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2</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2A</w:t>
            </w:r>
            <w:r w:rsidRPr="00446E53">
              <w:rPr>
                <w:rFonts w:ascii="Arial Narrow" w:hAnsi="Arial Narrow"/>
                <w:b/>
                <w:bCs/>
                <w:color w:val="333333"/>
                <w:sz w:val="20"/>
                <w:szCs w:val="20"/>
              </w:rPr>
              <w:t>]</w:t>
            </w:r>
          </w:p>
        </w:tc>
      </w:tr>
      <w:tr w:rsidR="007E6AA4" w:rsidRPr="00446E53" w14:paraId="33896CD2" w14:textId="77777777" w:rsidTr="00807021">
        <w:tblPrEx>
          <w:tblCellMar>
            <w:top w:w="15" w:type="dxa"/>
            <w:bottom w:w="15" w:type="dxa"/>
          </w:tblCellMar>
          <w:tblLook w:val="04A0" w:firstRow="1" w:lastRow="0" w:firstColumn="1" w:lastColumn="0" w:noHBand="0" w:noVBand="1"/>
        </w:tblPrEx>
        <w:trPr>
          <w:cantSplit/>
          <w:trHeight w:val="20"/>
        </w:trPr>
        <w:tc>
          <w:tcPr>
            <w:tcW w:w="686" w:type="pct"/>
            <w:hideMark/>
          </w:tcPr>
          <w:p w14:paraId="35130BDB" w14:textId="06A80DE0" w:rsidR="007E6AA4" w:rsidRPr="00446E53" w:rsidRDefault="007E6AA4" w:rsidP="007157C0">
            <w:pPr>
              <w:jc w:val="center"/>
              <w:rPr>
                <w:rFonts w:ascii="Arial Narrow" w:hAnsi="Arial Narrow"/>
                <w:color w:val="333333"/>
                <w:sz w:val="20"/>
                <w:szCs w:val="20"/>
              </w:rPr>
            </w:pPr>
          </w:p>
        </w:tc>
        <w:tc>
          <w:tcPr>
            <w:tcW w:w="4314" w:type="pct"/>
            <w:gridSpan w:val="6"/>
            <w:vAlign w:val="center"/>
            <w:hideMark/>
          </w:tcPr>
          <w:p w14:paraId="36BAB39D" w14:textId="77777777" w:rsidR="007E6AA4" w:rsidRPr="00446E53" w:rsidRDefault="007E6AA4" w:rsidP="007157C0">
            <w:pPr>
              <w:rPr>
                <w:rFonts w:ascii="Arial Narrow" w:hAnsi="Arial Narrow"/>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7E6AA4" w:rsidRPr="00446E53" w14:paraId="284FF05C" w14:textId="77777777" w:rsidTr="00807021">
        <w:tblPrEx>
          <w:tblCellMar>
            <w:top w:w="15" w:type="dxa"/>
            <w:bottom w:w="15" w:type="dxa"/>
          </w:tblCellMar>
          <w:tblLook w:val="04A0" w:firstRow="1" w:lastRow="0" w:firstColumn="1" w:lastColumn="0" w:noHBand="0" w:noVBand="1"/>
        </w:tblPrEx>
        <w:trPr>
          <w:cantSplit/>
          <w:trHeight w:val="20"/>
        </w:trPr>
        <w:tc>
          <w:tcPr>
            <w:tcW w:w="686" w:type="pct"/>
            <w:hideMark/>
          </w:tcPr>
          <w:p w14:paraId="3A208583" w14:textId="77777777" w:rsidR="007E6AA4" w:rsidRPr="00446E53" w:rsidRDefault="007E6AA4" w:rsidP="007157C0">
            <w:pPr>
              <w:jc w:val="center"/>
              <w:rPr>
                <w:rFonts w:ascii="Arial Narrow" w:hAnsi="Arial Narrow"/>
                <w:color w:val="333333"/>
                <w:sz w:val="20"/>
                <w:szCs w:val="20"/>
              </w:rPr>
            </w:pPr>
          </w:p>
        </w:tc>
        <w:tc>
          <w:tcPr>
            <w:tcW w:w="4314" w:type="pct"/>
            <w:gridSpan w:val="6"/>
            <w:vAlign w:val="center"/>
            <w:hideMark/>
          </w:tcPr>
          <w:p w14:paraId="0CAEC889" w14:textId="77777777" w:rsidR="007E6AA4" w:rsidRPr="00446E53" w:rsidRDefault="007E6AA4" w:rsidP="007157C0">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Initial treatment of the </w:t>
            </w:r>
            <w:r>
              <w:rPr>
                <w:rFonts w:ascii="Arial Narrow" w:hAnsi="Arial Narrow"/>
                <w:sz w:val="20"/>
                <w:szCs w:val="20"/>
              </w:rPr>
              <w:t>face and/or hands</w:t>
            </w:r>
            <w:r w:rsidRPr="0069367A">
              <w:rPr>
                <w:rFonts w:ascii="Arial Narrow" w:hAnsi="Arial Narrow"/>
                <w:sz w:val="20"/>
                <w:szCs w:val="20"/>
              </w:rPr>
              <w:t xml:space="preserve"> </w:t>
            </w:r>
          </w:p>
        </w:tc>
      </w:tr>
      <w:tr w:rsidR="007E6AA4" w:rsidRPr="00446E53" w14:paraId="0B5DB751"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DC4C2EE" w14:textId="1928B0AA" w:rsidR="007E6AA4" w:rsidRPr="00446E53" w:rsidRDefault="007E6AA4" w:rsidP="007157C0">
            <w:pPr>
              <w:jc w:val="center"/>
              <w:rPr>
                <w:rFonts w:ascii="Arial Narrow" w:hAnsi="Arial Narrow"/>
                <w:color w:val="333333"/>
                <w:sz w:val="20"/>
                <w:szCs w:val="20"/>
              </w:rPr>
            </w:pPr>
          </w:p>
        </w:tc>
        <w:tc>
          <w:tcPr>
            <w:tcW w:w="4314" w:type="pct"/>
            <w:gridSpan w:val="6"/>
            <w:vAlign w:val="center"/>
          </w:tcPr>
          <w:p w14:paraId="2076DF35"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7E6AA4" w:rsidRPr="00CD7E60" w14:paraId="6B2DC46D"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254E67B5" w14:textId="753AFE8C" w:rsidR="007E6AA4" w:rsidRPr="00596F26" w:rsidRDefault="007E6AA4" w:rsidP="007157C0">
            <w:pPr>
              <w:jc w:val="center"/>
              <w:rPr>
                <w:rFonts w:ascii="Arial Narrow" w:hAnsi="Arial Narrow"/>
                <w:sz w:val="20"/>
                <w:szCs w:val="20"/>
              </w:rPr>
            </w:pPr>
          </w:p>
        </w:tc>
        <w:tc>
          <w:tcPr>
            <w:tcW w:w="4314" w:type="pct"/>
            <w:gridSpan w:val="6"/>
          </w:tcPr>
          <w:p w14:paraId="4BED56F5" w14:textId="77777777" w:rsidR="007E6AA4" w:rsidRPr="00596F26" w:rsidRDefault="007E6AA4" w:rsidP="007157C0">
            <w:pPr>
              <w:rPr>
                <w:rFonts w:ascii="Arial Narrow" w:hAnsi="Arial Narrow"/>
                <w:sz w:val="20"/>
                <w:szCs w:val="20"/>
              </w:rPr>
            </w:pPr>
            <w:r w:rsidRPr="00596F26">
              <w:rPr>
                <w:rFonts w:ascii="Arial Narrow" w:hAnsi="Arial Narrow"/>
                <w:sz w:val="20"/>
                <w:szCs w:val="20"/>
              </w:rPr>
              <w:t xml:space="preserve">The condition must have at least 2 of the following Eczema Area and Severity Index (EASI) symptom sub-scores for erythema, oedema/papulation, excoriation, </w:t>
            </w:r>
            <w:proofErr w:type="spellStart"/>
            <w:r w:rsidRPr="00596F26">
              <w:rPr>
                <w:rFonts w:ascii="Arial Narrow" w:hAnsi="Arial Narrow"/>
                <w:sz w:val="20"/>
                <w:szCs w:val="20"/>
              </w:rPr>
              <w:t>lichenification</w:t>
            </w:r>
            <w:proofErr w:type="spellEnd"/>
            <w:r w:rsidRPr="00596F26">
              <w:rPr>
                <w:rFonts w:ascii="Arial Narrow" w:hAnsi="Arial Narrow"/>
                <w:sz w:val="20"/>
                <w:szCs w:val="20"/>
              </w:rPr>
              <w:t xml:space="preserve"> rated as severe despite treatment with daily topical therapy (corticosteroid of medium to high potency/calcineurin inhibitor), for at least 28 days; or</w:t>
            </w:r>
          </w:p>
        </w:tc>
      </w:tr>
      <w:tr w:rsidR="007E6AA4" w:rsidRPr="00CD7E60" w14:paraId="09465982"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5D5781E" w14:textId="12332D54" w:rsidR="007E6AA4" w:rsidRPr="00596F26" w:rsidRDefault="007E6AA4" w:rsidP="007157C0">
            <w:pPr>
              <w:jc w:val="center"/>
              <w:rPr>
                <w:rFonts w:ascii="Arial Narrow" w:hAnsi="Arial Narrow"/>
                <w:sz w:val="20"/>
                <w:szCs w:val="20"/>
              </w:rPr>
            </w:pPr>
          </w:p>
        </w:tc>
        <w:tc>
          <w:tcPr>
            <w:tcW w:w="4314" w:type="pct"/>
            <w:gridSpan w:val="6"/>
          </w:tcPr>
          <w:p w14:paraId="796DEDBD" w14:textId="77777777" w:rsidR="007E6AA4" w:rsidRPr="00596F26" w:rsidRDefault="007E6AA4" w:rsidP="007157C0">
            <w:pPr>
              <w:rPr>
                <w:rFonts w:ascii="Arial Narrow" w:hAnsi="Arial Narrow"/>
                <w:sz w:val="20"/>
                <w:szCs w:val="20"/>
              </w:rPr>
            </w:pPr>
            <w:r w:rsidRPr="00596F26">
              <w:rPr>
                <w:rFonts w:ascii="Arial Narrow" w:hAnsi="Arial Narrow"/>
                <w:sz w:val="20"/>
                <w:szCs w:val="20"/>
              </w:rPr>
              <w:t>The condition must have affected at least 30% of the face/hands surface area despite treatment with daily topical therapy (corticosteroid of medium to high potency/calcineurin inhibitor), for at least 28 days</w:t>
            </w:r>
          </w:p>
        </w:tc>
      </w:tr>
      <w:tr w:rsidR="007E6AA4" w:rsidRPr="00446E53" w14:paraId="007D112D"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AE48ECA" w14:textId="77777777" w:rsidR="007E6AA4" w:rsidRPr="00596F26" w:rsidRDefault="007E6AA4" w:rsidP="007157C0">
            <w:pPr>
              <w:jc w:val="center"/>
              <w:rPr>
                <w:rFonts w:ascii="Arial Narrow" w:hAnsi="Arial Narrow"/>
                <w:sz w:val="20"/>
                <w:szCs w:val="20"/>
              </w:rPr>
            </w:pPr>
          </w:p>
        </w:tc>
        <w:tc>
          <w:tcPr>
            <w:tcW w:w="4314" w:type="pct"/>
            <w:gridSpan w:val="6"/>
            <w:vAlign w:val="center"/>
          </w:tcPr>
          <w:p w14:paraId="5D46CEEC" w14:textId="77777777" w:rsidR="007E6AA4" w:rsidRPr="00596F26" w:rsidRDefault="007E6AA4" w:rsidP="007157C0">
            <w:pPr>
              <w:rPr>
                <w:rFonts w:ascii="Arial Narrow" w:hAnsi="Arial Narrow"/>
                <w:b/>
                <w:bCs/>
                <w:sz w:val="20"/>
                <w:szCs w:val="20"/>
              </w:rPr>
            </w:pPr>
            <w:r w:rsidRPr="00596F26">
              <w:rPr>
                <w:rFonts w:ascii="Arial Narrow" w:hAnsi="Arial Narrow"/>
                <w:b/>
                <w:bCs/>
                <w:sz w:val="20"/>
                <w:szCs w:val="20"/>
              </w:rPr>
              <w:t>AND</w:t>
            </w:r>
          </w:p>
        </w:tc>
      </w:tr>
      <w:tr w:rsidR="007E6AA4" w:rsidRPr="00446E53" w14:paraId="3DB16CAB"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9088BDE" w14:textId="27C6A1AE" w:rsidR="007E6AA4" w:rsidRPr="00596F26" w:rsidRDefault="007E6AA4" w:rsidP="007157C0">
            <w:pPr>
              <w:jc w:val="center"/>
              <w:rPr>
                <w:rFonts w:ascii="Arial Narrow" w:hAnsi="Arial Narrow"/>
                <w:sz w:val="20"/>
                <w:szCs w:val="20"/>
              </w:rPr>
            </w:pPr>
          </w:p>
        </w:tc>
        <w:tc>
          <w:tcPr>
            <w:tcW w:w="4314" w:type="pct"/>
            <w:gridSpan w:val="6"/>
            <w:vAlign w:val="center"/>
          </w:tcPr>
          <w:p w14:paraId="37EA970C" w14:textId="77777777" w:rsidR="007E6AA4" w:rsidRPr="00596F26" w:rsidRDefault="007E6AA4" w:rsidP="007157C0">
            <w:pPr>
              <w:rPr>
                <w:rFonts w:ascii="Arial Narrow" w:hAnsi="Arial Narrow"/>
                <w:b/>
                <w:bCs/>
                <w:sz w:val="20"/>
                <w:szCs w:val="20"/>
              </w:rPr>
            </w:pPr>
            <w:r w:rsidRPr="00596F26">
              <w:rPr>
                <w:rFonts w:ascii="Arial Narrow" w:hAnsi="Arial Narrow"/>
                <w:b/>
                <w:bCs/>
                <w:sz w:val="20"/>
                <w:szCs w:val="20"/>
              </w:rPr>
              <w:t xml:space="preserve">Clinical criteria: </w:t>
            </w:r>
          </w:p>
        </w:tc>
      </w:tr>
      <w:tr w:rsidR="007E6AA4" w:rsidRPr="00446E53" w14:paraId="10EFC20B"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AA2B6A2" w14:textId="2CB0D943" w:rsidR="007E6AA4" w:rsidRPr="00596F26" w:rsidRDefault="007E6AA4" w:rsidP="007157C0">
            <w:pPr>
              <w:jc w:val="center"/>
              <w:rPr>
                <w:rFonts w:ascii="Arial Narrow" w:hAnsi="Arial Narrow"/>
                <w:sz w:val="20"/>
                <w:szCs w:val="20"/>
              </w:rPr>
            </w:pPr>
          </w:p>
        </w:tc>
        <w:tc>
          <w:tcPr>
            <w:tcW w:w="4314" w:type="pct"/>
            <w:gridSpan w:val="6"/>
          </w:tcPr>
          <w:p w14:paraId="2F454EE0" w14:textId="77777777" w:rsidR="007E6AA4" w:rsidRPr="00596F26" w:rsidRDefault="007E6AA4" w:rsidP="007157C0">
            <w:pPr>
              <w:rPr>
                <w:rFonts w:ascii="Arial Narrow" w:hAnsi="Arial Narrow"/>
                <w:b/>
                <w:bCs/>
                <w:sz w:val="20"/>
                <w:szCs w:val="20"/>
              </w:rPr>
            </w:pPr>
            <w:r w:rsidRPr="00596F26">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r>
      <w:tr w:rsidR="007E6AA4" w:rsidRPr="000A7AD1" w14:paraId="726B6BE7"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8F3CB3B" w14:textId="77777777" w:rsidR="007E6AA4" w:rsidRPr="00596F26" w:rsidRDefault="007E6AA4" w:rsidP="007157C0">
            <w:pPr>
              <w:jc w:val="center"/>
              <w:rPr>
                <w:rFonts w:ascii="Arial Narrow" w:hAnsi="Arial Narrow"/>
                <w:sz w:val="20"/>
                <w:szCs w:val="20"/>
              </w:rPr>
            </w:pPr>
          </w:p>
        </w:tc>
        <w:tc>
          <w:tcPr>
            <w:tcW w:w="4314" w:type="pct"/>
            <w:gridSpan w:val="6"/>
            <w:vAlign w:val="center"/>
          </w:tcPr>
          <w:p w14:paraId="1BC868DB" w14:textId="77777777" w:rsidR="007E6AA4" w:rsidRPr="00596F26" w:rsidRDefault="007E6AA4" w:rsidP="007157C0">
            <w:pPr>
              <w:rPr>
                <w:rFonts w:ascii="Arial Narrow" w:hAnsi="Arial Narrow"/>
                <w:sz w:val="20"/>
                <w:szCs w:val="20"/>
              </w:rPr>
            </w:pPr>
            <w:r w:rsidRPr="00596F26">
              <w:rPr>
                <w:rFonts w:ascii="Arial Narrow" w:hAnsi="Arial Narrow" w:cs="Arial Narrow"/>
                <w:b/>
                <w:bCs/>
                <w:iCs/>
                <w:sz w:val="20"/>
                <w:szCs w:val="20"/>
              </w:rPr>
              <w:t>AND</w:t>
            </w:r>
          </w:p>
        </w:tc>
      </w:tr>
      <w:tr w:rsidR="007E6AA4" w:rsidRPr="000A7AD1" w14:paraId="1FB6980F"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E176EA9" w14:textId="4D5E34AE" w:rsidR="007E6AA4" w:rsidRPr="00596F26" w:rsidRDefault="007E6AA4" w:rsidP="007157C0">
            <w:pPr>
              <w:jc w:val="center"/>
              <w:rPr>
                <w:rFonts w:ascii="Arial Narrow" w:hAnsi="Arial Narrow"/>
                <w:sz w:val="20"/>
                <w:szCs w:val="20"/>
              </w:rPr>
            </w:pPr>
          </w:p>
        </w:tc>
        <w:tc>
          <w:tcPr>
            <w:tcW w:w="4314" w:type="pct"/>
            <w:gridSpan w:val="6"/>
            <w:vAlign w:val="center"/>
          </w:tcPr>
          <w:p w14:paraId="03FD190C" w14:textId="77777777" w:rsidR="007E6AA4" w:rsidRPr="00596F26" w:rsidRDefault="007E6AA4" w:rsidP="007157C0">
            <w:pPr>
              <w:rPr>
                <w:rFonts w:ascii="Arial Narrow" w:hAnsi="Arial Narrow"/>
                <w:sz w:val="20"/>
                <w:szCs w:val="20"/>
              </w:rPr>
            </w:pPr>
            <w:r w:rsidRPr="00596F26">
              <w:rPr>
                <w:rFonts w:ascii="Arial Narrow" w:hAnsi="Arial Narrow"/>
                <w:b/>
                <w:bCs/>
                <w:sz w:val="20"/>
                <w:szCs w:val="20"/>
              </w:rPr>
              <w:t>Clinical criteria:</w:t>
            </w:r>
          </w:p>
        </w:tc>
      </w:tr>
      <w:tr w:rsidR="007E6AA4" w:rsidRPr="000A7AD1" w14:paraId="5B38CC7F"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3AF441DB" w14:textId="477D79DA" w:rsidR="007E6AA4" w:rsidRPr="00596F26" w:rsidRDefault="007E6AA4" w:rsidP="007157C0">
            <w:pPr>
              <w:jc w:val="center"/>
              <w:rPr>
                <w:rFonts w:ascii="Arial Narrow" w:hAnsi="Arial Narrow"/>
                <w:sz w:val="20"/>
                <w:szCs w:val="20"/>
              </w:rPr>
            </w:pPr>
          </w:p>
        </w:tc>
        <w:tc>
          <w:tcPr>
            <w:tcW w:w="4314" w:type="pct"/>
            <w:gridSpan w:val="6"/>
            <w:vAlign w:val="center"/>
          </w:tcPr>
          <w:p w14:paraId="478F3032" w14:textId="77777777" w:rsidR="007E6AA4" w:rsidRPr="00596F26" w:rsidRDefault="007E6AA4" w:rsidP="007157C0">
            <w:pPr>
              <w:rPr>
                <w:rFonts w:ascii="Arial Narrow" w:hAnsi="Arial Narrow"/>
                <w:sz w:val="20"/>
                <w:szCs w:val="20"/>
              </w:rPr>
            </w:pPr>
            <w:r w:rsidRPr="00596F26">
              <w:rPr>
                <w:rFonts w:ascii="Arial Narrow" w:eastAsia="Calibri" w:hAnsi="Arial Narrow"/>
                <w:sz w:val="20"/>
                <w:szCs w:val="20"/>
              </w:rPr>
              <w:t>The condition must have had lesions for at least 6 months from the time of the initial diagnosis of chronic severe atopic dermatitis affecting either of: (i) the whole body, (ii) face/hands</w:t>
            </w:r>
          </w:p>
        </w:tc>
      </w:tr>
      <w:tr w:rsidR="007E6AA4" w:rsidRPr="000A7AD1" w14:paraId="253FB7CA"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2D0A1847" w14:textId="77777777" w:rsidR="007E6AA4" w:rsidRPr="00596F26" w:rsidRDefault="007E6AA4" w:rsidP="007157C0">
            <w:pPr>
              <w:jc w:val="center"/>
              <w:rPr>
                <w:rFonts w:ascii="Arial Narrow" w:hAnsi="Arial Narrow"/>
                <w:sz w:val="20"/>
                <w:szCs w:val="20"/>
              </w:rPr>
            </w:pPr>
          </w:p>
        </w:tc>
        <w:tc>
          <w:tcPr>
            <w:tcW w:w="4314" w:type="pct"/>
            <w:gridSpan w:val="6"/>
            <w:vAlign w:val="center"/>
          </w:tcPr>
          <w:p w14:paraId="77522419" w14:textId="77777777" w:rsidR="007E6AA4" w:rsidRPr="00596F26" w:rsidRDefault="007E6AA4" w:rsidP="007157C0">
            <w:pPr>
              <w:rPr>
                <w:rFonts w:ascii="Arial Narrow" w:hAnsi="Arial Narrow"/>
                <w:sz w:val="20"/>
                <w:szCs w:val="20"/>
              </w:rPr>
            </w:pPr>
            <w:r w:rsidRPr="00596F26">
              <w:rPr>
                <w:rFonts w:ascii="Arial Narrow" w:hAnsi="Arial Narrow" w:cs="Arial Narrow"/>
                <w:b/>
                <w:bCs/>
                <w:iCs/>
                <w:sz w:val="20"/>
                <w:szCs w:val="20"/>
              </w:rPr>
              <w:t>AND</w:t>
            </w:r>
          </w:p>
        </w:tc>
      </w:tr>
      <w:tr w:rsidR="007E6AA4" w:rsidRPr="000A7AD1" w14:paraId="4441699C"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87A78A8" w14:textId="24892BF1" w:rsidR="007E6AA4" w:rsidRPr="00596F26" w:rsidRDefault="007E6AA4" w:rsidP="007157C0">
            <w:pPr>
              <w:jc w:val="center"/>
              <w:rPr>
                <w:rFonts w:ascii="Arial Narrow" w:hAnsi="Arial Narrow"/>
                <w:sz w:val="20"/>
                <w:szCs w:val="20"/>
              </w:rPr>
            </w:pPr>
          </w:p>
        </w:tc>
        <w:tc>
          <w:tcPr>
            <w:tcW w:w="4314" w:type="pct"/>
            <w:gridSpan w:val="6"/>
            <w:vAlign w:val="center"/>
          </w:tcPr>
          <w:p w14:paraId="2D738851" w14:textId="77777777" w:rsidR="007E6AA4" w:rsidRPr="00596F26" w:rsidRDefault="007E6AA4" w:rsidP="007157C0">
            <w:pPr>
              <w:rPr>
                <w:rFonts w:ascii="Arial Narrow" w:hAnsi="Arial Narrow"/>
                <w:sz w:val="20"/>
                <w:szCs w:val="20"/>
              </w:rPr>
            </w:pPr>
            <w:r w:rsidRPr="00596F26">
              <w:rPr>
                <w:rFonts w:ascii="Arial Narrow" w:hAnsi="Arial Narrow"/>
                <w:b/>
                <w:bCs/>
                <w:sz w:val="20"/>
                <w:szCs w:val="20"/>
              </w:rPr>
              <w:t>Clinical criteria:</w:t>
            </w:r>
          </w:p>
        </w:tc>
      </w:tr>
      <w:tr w:rsidR="007E6AA4" w:rsidRPr="000A7AD1" w14:paraId="28E781B1"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C7D6BE0" w14:textId="5EB199C6" w:rsidR="007E6AA4" w:rsidRPr="00596F26" w:rsidRDefault="007E6AA4" w:rsidP="007157C0">
            <w:pPr>
              <w:jc w:val="center"/>
              <w:rPr>
                <w:rFonts w:ascii="Arial Narrow" w:hAnsi="Arial Narrow"/>
                <w:sz w:val="20"/>
                <w:szCs w:val="20"/>
              </w:rPr>
            </w:pPr>
          </w:p>
        </w:tc>
        <w:tc>
          <w:tcPr>
            <w:tcW w:w="4314" w:type="pct"/>
            <w:gridSpan w:val="6"/>
          </w:tcPr>
          <w:p w14:paraId="12A040ED" w14:textId="77777777" w:rsidR="007E6AA4" w:rsidRPr="00596F26" w:rsidRDefault="007E6AA4" w:rsidP="007157C0">
            <w:pPr>
              <w:rPr>
                <w:rFonts w:ascii="Arial Narrow" w:hAnsi="Arial Narrow"/>
                <w:sz w:val="20"/>
                <w:szCs w:val="20"/>
              </w:rPr>
            </w:pPr>
            <w:r w:rsidRPr="00596F26">
              <w:rPr>
                <w:rFonts w:ascii="Arial Narrow" w:eastAsia="Calibri" w:hAnsi="Arial Narrow"/>
                <w:sz w:val="20"/>
                <w:szCs w:val="20"/>
              </w:rPr>
              <w:t>The treatment must be the sole PBS-subsidised biological medicine for this PBS indication</w:t>
            </w:r>
          </w:p>
        </w:tc>
      </w:tr>
      <w:tr w:rsidR="007E6AA4" w:rsidRPr="00C14CB9" w14:paraId="2784B4D9"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467229D" w14:textId="77777777" w:rsidR="007E6AA4" w:rsidRPr="00E60D92" w:rsidRDefault="007E6AA4" w:rsidP="007157C0">
            <w:pPr>
              <w:jc w:val="center"/>
              <w:rPr>
                <w:rFonts w:ascii="Arial Narrow" w:hAnsi="Arial Narrow"/>
                <w:sz w:val="20"/>
                <w:szCs w:val="20"/>
              </w:rPr>
            </w:pPr>
          </w:p>
        </w:tc>
        <w:tc>
          <w:tcPr>
            <w:tcW w:w="4314" w:type="pct"/>
            <w:gridSpan w:val="6"/>
            <w:vAlign w:val="center"/>
          </w:tcPr>
          <w:p w14:paraId="13A7CD89" w14:textId="77777777" w:rsidR="007E6AA4" w:rsidRPr="00C14CB9" w:rsidRDefault="007E6AA4" w:rsidP="007157C0">
            <w:pPr>
              <w:rPr>
                <w:rFonts w:ascii="Arial Narrow" w:eastAsia="Calibri" w:hAnsi="Arial Narrow"/>
                <w:sz w:val="20"/>
                <w:szCs w:val="20"/>
              </w:rPr>
            </w:pPr>
            <w:r w:rsidRPr="00446E53">
              <w:rPr>
                <w:rFonts w:ascii="Arial Narrow" w:hAnsi="Arial Narrow" w:cs="Arial Narrow"/>
                <w:b/>
                <w:bCs/>
                <w:iCs/>
                <w:sz w:val="20"/>
                <w:szCs w:val="20"/>
              </w:rPr>
              <w:t>AND</w:t>
            </w:r>
          </w:p>
        </w:tc>
      </w:tr>
      <w:tr w:rsidR="007E6AA4" w:rsidRPr="00C14CB9" w14:paraId="66E57A7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291AA587" w14:textId="0E030F82" w:rsidR="007E6AA4" w:rsidRPr="00E60D92" w:rsidRDefault="007E6AA4" w:rsidP="007157C0">
            <w:pPr>
              <w:jc w:val="center"/>
              <w:rPr>
                <w:rFonts w:ascii="Arial Narrow" w:hAnsi="Arial Narrow"/>
                <w:sz w:val="20"/>
                <w:szCs w:val="20"/>
              </w:rPr>
            </w:pPr>
          </w:p>
        </w:tc>
        <w:tc>
          <w:tcPr>
            <w:tcW w:w="4314" w:type="pct"/>
            <w:gridSpan w:val="6"/>
            <w:vAlign w:val="center"/>
          </w:tcPr>
          <w:p w14:paraId="7E4CE476" w14:textId="77777777" w:rsidR="007E6AA4" w:rsidRPr="00C14CB9" w:rsidRDefault="007E6AA4" w:rsidP="007157C0">
            <w:pPr>
              <w:rPr>
                <w:rFonts w:ascii="Arial Narrow" w:eastAsia="Calibri" w:hAnsi="Arial Narrow"/>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7E6AA4" w:rsidRPr="00C14CB9" w14:paraId="0B9CD3A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C978A16" w14:textId="3929B97F" w:rsidR="007E6AA4" w:rsidRPr="00E60D92" w:rsidRDefault="007E6AA4" w:rsidP="007157C0">
            <w:pPr>
              <w:jc w:val="center"/>
              <w:rPr>
                <w:rFonts w:ascii="Arial Narrow" w:hAnsi="Arial Narrow"/>
                <w:sz w:val="20"/>
                <w:szCs w:val="20"/>
              </w:rPr>
            </w:pPr>
          </w:p>
        </w:tc>
        <w:tc>
          <w:tcPr>
            <w:tcW w:w="4314" w:type="pct"/>
            <w:gridSpan w:val="6"/>
          </w:tcPr>
          <w:p w14:paraId="2C992E95" w14:textId="77777777" w:rsidR="007E6AA4" w:rsidRPr="00C14CB9" w:rsidRDefault="007E6AA4" w:rsidP="007157C0">
            <w:pPr>
              <w:rPr>
                <w:rFonts w:ascii="Arial Narrow" w:eastAsia="Calibri" w:hAnsi="Arial Narrow"/>
                <w:sz w:val="20"/>
                <w:szCs w:val="20"/>
              </w:rPr>
            </w:pPr>
            <w:r w:rsidRPr="00BA58E1">
              <w:rPr>
                <w:rFonts w:ascii="Arial Narrow" w:eastAsia="Calibri" w:hAnsi="Arial Narrow"/>
                <w:sz w:val="20"/>
                <w:szCs w:val="20"/>
              </w:rPr>
              <w:t>Patient must not have experienced an inadequate response to this biological medicine in this PBS indication</w:t>
            </w:r>
          </w:p>
        </w:tc>
      </w:tr>
      <w:tr w:rsidR="007E6AA4" w:rsidRPr="00446E53" w14:paraId="58C3233D"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A6FCEF6" w14:textId="15BED2E8" w:rsidR="007E6AA4" w:rsidRPr="00446E53" w:rsidRDefault="007E6AA4" w:rsidP="007157C0">
            <w:pPr>
              <w:jc w:val="center"/>
              <w:rPr>
                <w:rFonts w:ascii="Arial Narrow" w:hAnsi="Arial Narrow"/>
                <w:color w:val="333333"/>
                <w:sz w:val="20"/>
                <w:szCs w:val="20"/>
              </w:rPr>
            </w:pPr>
          </w:p>
        </w:tc>
        <w:tc>
          <w:tcPr>
            <w:tcW w:w="4314" w:type="pct"/>
            <w:gridSpan w:val="6"/>
          </w:tcPr>
          <w:p w14:paraId="4E63766D" w14:textId="77777777" w:rsidR="007E6AA4" w:rsidRPr="00446E53" w:rsidRDefault="007E6AA4" w:rsidP="007157C0">
            <w:pPr>
              <w:rPr>
                <w:rFonts w:ascii="Arial Narrow" w:hAnsi="Arial Narrow"/>
                <w:b/>
                <w:bCs/>
                <w:color w:val="333333"/>
                <w:sz w:val="20"/>
                <w:szCs w:val="20"/>
              </w:rPr>
            </w:pPr>
            <w:r>
              <w:rPr>
                <w:rFonts w:ascii="Arial Narrow" w:eastAsia="Calibri" w:hAnsi="Arial Narrow"/>
                <w:b/>
                <w:bCs/>
                <w:sz w:val="20"/>
                <w:szCs w:val="20"/>
              </w:rPr>
              <w:t xml:space="preserve">Treatment criteria: </w:t>
            </w:r>
          </w:p>
        </w:tc>
      </w:tr>
      <w:tr w:rsidR="007E6AA4" w:rsidRPr="00446E53" w14:paraId="078B29CC"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12BCDBA" w14:textId="0B3BA9F1" w:rsidR="007E6AA4" w:rsidRPr="00446E53" w:rsidRDefault="007E6AA4" w:rsidP="007157C0">
            <w:pPr>
              <w:jc w:val="center"/>
              <w:rPr>
                <w:rFonts w:ascii="Arial Narrow" w:hAnsi="Arial Narrow"/>
                <w:color w:val="333333"/>
                <w:sz w:val="20"/>
                <w:szCs w:val="20"/>
              </w:rPr>
            </w:pPr>
          </w:p>
        </w:tc>
        <w:tc>
          <w:tcPr>
            <w:tcW w:w="4314" w:type="pct"/>
            <w:gridSpan w:val="6"/>
          </w:tcPr>
          <w:p w14:paraId="188027FF" w14:textId="77777777" w:rsidR="007E6AA4" w:rsidRPr="00446E53" w:rsidRDefault="007E6AA4" w:rsidP="007157C0">
            <w:pPr>
              <w:rPr>
                <w:rFonts w:ascii="Arial Narrow" w:hAnsi="Arial Narrow"/>
                <w:b/>
                <w:bCs/>
                <w:color w:val="333333"/>
                <w:sz w:val="20"/>
                <w:szCs w:val="20"/>
              </w:rPr>
            </w:pPr>
            <w:r w:rsidRPr="00176579">
              <w:rPr>
                <w:rFonts w:ascii="Arial Narrow" w:eastAsia="Calibri" w:hAnsi="Arial Narrow"/>
                <w:sz w:val="20"/>
                <w:szCs w:val="20"/>
              </w:rPr>
              <w:t>Must be treated by a dermatologist; or</w:t>
            </w:r>
          </w:p>
        </w:tc>
      </w:tr>
      <w:tr w:rsidR="007E6AA4" w:rsidRPr="00446E53" w14:paraId="7590C521"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0CF2784" w14:textId="3AD793C0" w:rsidR="007E6AA4" w:rsidRPr="00446E53" w:rsidRDefault="007E6AA4" w:rsidP="007157C0">
            <w:pPr>
              <w:jc w:val="center"/>
              <w:rPr>
                <w:rFonts w:ascii="Arial Narrow" w:hAnsi="Arial Narrow"/>
                <w:color w:val="FF0000"/>
                <w:sz w:val="20"/>
                <w:szCs w:val="20"/>
              </w:rPr>
            </w:pPr>
          </w:p>
        </w:tc>
        <w:tc>
          <w:tcPr>
            <w:tcW w:w="4314" w:type="pct"/>
            <w:gridSpan w:val="6"/>
          </w:tcPr>
          <w:p w14:paraId="262BB378" w14:textId="77777777" w:rsidR="007E6AA4" w:rsidRPr="00446E53" w:rsidRDefault="007E6AA4" w:rsidP="007157C0">
            <w:pPr>
              <w:rPr>
                <w:rFonts w:ascii="Arial Narrow" w:hAnsi="Arial Narrow" w:cs="Arial Narrow"/>
                <w:iCs/>
                <w:color w:val="FF0000"/>
                <w:sz w:val="20"/>
                <w:szCs w:val="20"/>
              </w:rPr>
            </w:pPr>
            <w:r w:rsidRPr="00176579">
              <w:rPr>
                <w:rFonts w:ascii="Arial Narrow" w:eastAsia="Calibri" w:hAnsi="Arial Narrow"/>
                <w:sz w:val="20"/>
                <w:szCs w:val="20"/>
              </w:rPr>
              <w:t>Must be treated by a clinical immunologist</w:t>
            </w:r>
          </w:p>
        </w:tc>
      </w:tr>
      <w:tr w:rsidR="007E6AA4" w:rsidRPr="00446E53" w14:paraId="4F3CA0BB"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DE773B8" w14:textId="708216C1" w:rsidR="007E6AA4" w:rsidRPr="00446E53" w:rsidRDefault="007E6AA4" w:rsidP="007157C0">
            <w:pPr>
              <w:jc w:val="center"/>
              <w:rPr>
                <w:rFonts w:ascii="Arial Narrow" w:hAnsi="Arial Narrow"/>
                <w:color w:val="FF0000"/>
                <w:sz w:val="20"/>
                <w:szCs w:val="20"/>
              </w:rPr>
            </w:pPr>
          </w:p>
        </w:tc>
        <w:tc>
          <w:tcPr>
            <w:tcW w:w="4314" w:type="pct"/>
            <w:gridSpan w:val="6"/>
            <w:vAlign w:val="center"/>
          </w:tcPr>
          <w:p w14:paraId="434F2B4A" w14:textId="77777777" w:rsidR="007E6AA4" w:rsidRPr="00446E53" w:rsidRDefault="007E6AA4" w:rsidP="007157C0">
            <w:pPr>
              <w:rPr>
                <w:rFonts w:ascii="Arial Narrow" w:hAnsi="Arial Narrow" w:cs="Arial Narrow"/>
                <w:iCs/>
                <w:color w:val="FF0000"/>
                <w:sz w:val="20"/>
                <w:szCs w:val="20"/>
              </w:rPr>
            </w:pPr>
            <w:r w:rsidRPr="00446E53">
              <w:rPr>
                <w:rFonts w:ascii="Arial Narrow" w:hAnsi="Arial Narrow"/>
                <w:b/>
                <w:bCs/>
                <w:color w:val="333333"/>
                <w:sz w:val="20"/>
                <w:szCs w:val="20"/>
              </w:rPr>
              <w:t>Population criteria:</w:t>
            </w:r>
          </w:p>
        </w:tc>
      </w:tr>
      <w:tr w:rsidR="007E6AA4" w:rsidRPr="00C05175" w14:paraId="40CAB03E"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3EF0085" w14:textId="76491657" w:rsidR="007E6AA4" w:rsidRPr="00446E53" w:rsidRDefault="007E6AA4" w:rsidP="007157C0">
            <w:pPr>
              <w:jc w:val="center"/>
              <w:rPr>
                <w:rFonts w:ascii="Arial Narrow" w:hAnsi="Arial Narrow"/>
                <w:color w:val="FF0000"/>
                <w:sz w:val="20"/>
                <w:szCs w:val="20"/>
              </w:rPr>
            </w:pPr>
          </w:p>
        </w:tc>
        <w:tc>
          <w:tcPr>
            <w:tcW w:w="4314" w:type="pct"/>
            <w:gridSpan w:val="6"/>
            <w:vAlign w:val="center"/>
          </w:tcPr>
          <w:p w14:paraId="62F3DF4E" w14:textId="77777777" w:rsidR="007E6AA4" w:rsidRPr="00C05175" w:rsidRDefault="007E6AA4" w:rsidP="007157C0">
            <w:pPr>
              <w:rPr>
                <w:rFonts w:ascii="Arial Narrow" w:eastAsia="Calibri" w:hAnsi="Arial Narrow"/>
                <w:sz w:val="20"/>
                <w:szCs w:val="20"/>
              </w:rPr>
            </w:pPr>
            <w:r w:rsidRPr="00C05175">
              <w:rPr>
                <w:rFonts w:ascii="Arial Narrow" w:eastAsia="Calibri" w:hAnsi="Arial Narrow"/>
                <w:sz w:val="20"/>
                <w:szCs w:val="20"/>
              </w:rPr>
              <w:t>Patient must be 12 years of age or older</w:t>
            </w:r>
          </w:p>
        </w:tc>
      </w:tr>
      <w:tr w:rsidR="007E6AA4" w:rsidRPr="00446E53" w14:paraId="0EACD1DE"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3AD80C7F" w14:textId="7F25F43B" w:rsidR="007E6AA4" w:rsidRPr="00446E53" w:rsidRDefault="007E6AA4" w:rsidP="007157C0">
            <w:pPr>
              <w:jc w:val="center"/>
              <w:rPr>
                <w:rFonts w:ascii="Arial Narrow" w:hAnsi="Arial Narrow"/>
                <w:color w:val="FF0000"/>
                <w:sz w:val="20"/>
                <w:szCs w:val="20"/>
              </w:rPr>
            </w:pPr>
          </w:p>
        </w:tc>
        <w:tc>
          <w:tcPr>
            <w:tcW w:w="4314" w:type="pct"/>
            <w:gridSpan w:val="6"/>
            <w:vAlign w:val="center"/>
          </w:tcPr>
          <w:p w14:paraId="0D64330A" w14:textId="77777777" w:rsidR="007E6AA4" w:rsidRPr="0069367A" w:rsidRDefault="007E6AA4" w:rsidP="007157C0">
            <w:pPr>
              <w:rPr>
                <w:rFonts w:ascii="Arial Narrow" w:eastAsia="Calibri" w:hAnsi="Arial Narrow"/>
                <w:sz w:val="20"/>
                <w:szCs w:val="20"/>
              </w:rPr>
            </w:pPr>
            <w:r w:rsidRPr="00446E53">
              <w:rPr>
                <w:rFonts w:ascii="Arial Narrow" w:hAnsi="Arial Narrow"/>
                <w:b/>
                <w:bCs/>
                <w:color w:val="333333"/>
                <w:sz w:val="20"/>
                <w:szCs w:val="20"/>
              </w:rPr>
              <w:t>Prescribing Instructions:</w:t>
            </w:r>
          </w:p>
          <w:p w14:paraId="5806C45F" w14:textId="77777777" w:rsidR="007E6AA4" w:rsidRPr="006455BE" w:rsidRDefault="007E6AA4" w:rsidP="007157C0">
            <w:pPr>
              <w:rPr>
                <w:rFonts w:ascii="Arial Narrow" w:eastAsia="Calibri" w:hAnsi="Arial Narrow"/>
                <w:sz w:val="20"/>
                <w:szCs w:val="20"/>
              </w:rPr>
            </w:pPr>
            <w:r w:rsidRPr="006455BE">
              <w:rPr>
                <w:rFonts w:ascii="Arial Narrow" w:eastAsia="Calibri" w:hAnsi="Arial Narrow"/>
                <w:sz w:val="20"/>
                <w:szCs w:val="20"/>
              </w:rPr>
              <w:t>State each of the 4 Eczema Area and Severity Index (EASI) symptom sub-score ratings (0 = none, 1 = mild, 2 = moderate, 3 = severe) for:</w:t>
            </w:r>
          </w:p>
          <w:p w14:paraId="16A86421" w14:textId="77777777" w:rsidR="007E6AA4" w:rsidRPr="00C64F1F" w:rsidRDefault="007E6AA4" w:rsidP="007157C0">
            <w:pPr>
              <w:rPr>
                <w:rFonts w:ascii="Arial Narrow" w:eastAsia="Calibri" w:hAnsi="Arial Narrow"/>
                <w:sz w:val="20"/>
                <w:szCs w:val="20"/>
                <w:lang w:val="fr-FR"/>
              </w:rPr>
            </w:pPr>
            <w:r w:rsidRPr="00C64F1F">
              <w:rPr>
                <w:rFonts w:ascii="Arial Narrow" w:eastAsia="Calibri" w:hAnsi="Arial Narrow"/>
                <w:sz w:val="20"/>
                <w:szCs w:val="20"/>
                <w:lang w:val="fr-FR"/>
              </w:rPr>
              <w:t xml:space="preserve">(i) </w:t>
            </w:r>
            <w:proofErr w:type="spellStart"/>
            <w:r w:rsidRPr="00C64F1F">
              <w:rPr>
                <w:rFonts w:ascii="Arial Narrow" w:eastAsia="Calibri" w:hAnsi="Arial Narrow"/>
                <w:sz w:val="20"/>
                <w:szCs w:val="20"/>
                <w:lang w:val="fr-FR"/>
              </w:rPr>
              <w:t>erythema</w:t>
            </w:r>
            <w:proofErr w:type="spellEnd"/>
            <w:r w:rsidRPr="00C64F1F">
              <w:rPr>
                <w:rFonts w:ascii="Arial Narrow" w:eastAsia="Calibri" w:hAnsi="Arial Narrow"/>
                <w:sz w:val="20"/>
                <w:szCs w:val="20"/>
                <w:lang w:val="fr-FR"/>
              </w:rPr>
              <w:t>,</w:t>
            </w:r>
          </w:p>
          <w:p w14:paraId="551603E1" w14:textId="77777777" w:rsidR="007E6AA4" w:rsidRPr="00C64F1F" w:rsidRDefault="007E6AA4" w:rsidP="007157C0">
            <w:pPr>
              <w:rPr>
                <w:rFonts w:ascii="Arial Narrow" w:eastAsia="Calibri" w:hAnsi="Arial Narrow"/>
                <w:sz w:val="20"/>
                <w:szCs w:val="20"/>
                <w:lang w:val="fr-FR"/>
              </w:rPr>
            </w:pPr>
            <w:r w:rsidRPr="00C64F1F">
              <w:rPr>
                <w:rFonts w:ascii="Arial Narrow" w:eastAsia="Calibri" w:hAnsi="Arial Narrow"/>
                <w:sz w:val="20"/>
                <w:szCs w:val="20"/>
                <w:lang w:val="fr-FR"/>
              </w:rPr>
              <w:t xml:space="preserve">(ii) </w:t>
            </w:r>
            <w:proofErr w:type="spellStart"/>
            <w:r w:rsidRPr="00C64F1F">
              <w:rPr>
                <w:rFonts w:ascii="Arial Narrow" w:eastAsia="Calibri" w:hAnsi="Arial Narrow"/>
                <w:sz w:val="20"/>
                <w:szCs w:val="20"/>
                <w:lang w:val="fr-FR"/>
              </w:rPr>
              <w:t>oedema</w:t>
            </w:r>
            <w:proofErr w:type="spellEnd"/>
            <w:r w:rsidRPr="00C64F1F">
              <w:rPr>
                <w:rFonts w:ascii="Arial Narrow" w:eastAsia="Calibri" w:hAnsi="Arial Narrow"/>
                <w:sz w:val="20"/>
                <w:szCs w:val="20"/>
                <w:lang w:val="fr-FR"/>
              </w:rPr>
              <w:t>/</w:t>
            </w:r>
            <w:proofErr w:type="spellStart"/>
            <w:r w:rsidRPr="00C64F1F">
              <w:rPr>
                <w:rFonts w:ascii="Arial Narrow" w:eastAsia="Calibri" w:hAnsi="Arial Narrow"/>
                <w:sz w:val="20"/>
                <w:szCs w:val="20"/>
                <w:lang w:val="fr-FR"/>
              </w:rPr>
              <w:t>papulation</w:t>
            </w:r>
            <w:proofErr w:type="spellEnd"/>
            <w:r w:rsidRPr="00C64F1F">
              <w:rPr>
                <w:rFonts w:ascii="Arial Narrow" w:eastAsia="Calibri" w:hAnsi="Arial Narrow"/>
                <w:sz w:val="20"/>
                <w:szCs w:val="20"/>
                <w:lang w:val="fr-FR"/>
              </w:rPr>
              <w:t>,</w:t>
            </w:r>
          </w:p>
          <w:p w14:paraId="489FA9ED" w14:textId="77777777" w:rsidR="007E6AA4" w:rsidRPr="00C64F1F" w:rsidRDefault="007E6AA4" w:rsidP="007157C0">
            <w:pPr>
              <w:rPr>
                <w:rFonts w:ascii="Arial Narrow" w:eastAsia="Calibri" w:hAnsi="Arial Narrow"/>
                <w:sz w:val="20"/>
                <w:szCs w:val="20"/>
                <w:lang w:val="fr-FR"/>
              </w:rPr>
            </w:pPr>
            <w:r w:rsidRPr="00C64F1F">
              <w:rPr>
                <w:rFonts w:ascii="Arial Narrow" w:eastAsia="Calibri" w:hAnsi="Arial Narrow"/>
                <w:sz w:val="20"/>
                <w:szCs w:val="20"/>
                <w:lang w:val="fr-FR"/>
              </w:rPr>
              <w:t>(iii) excoriation,</w:t>
            </w:r>
          </w:p>
          <w:p w14:paraId="3046C51C" w14:textId="77777777" w:rsidR="007E6AA4" w:rsidRPr="00C64F1F" w:rsidRDefault="007E6AA4" w:rsidP="007157C0">
            <w:pPr>
              <w:rPr>
                <w:rFonts w:ascii="Arial Narrow" w:eastAsia="Calibri" w:hAnsi="Arial Narrow"/>
                <w:sz w:val="20"/>
                <w:szCs w:val="20"/>
                <w:lang w:val="fr-FR"/>
              </w:rPr>
            </w:pPr>
            <w:r w:rsidRPr="00C64F1F">
              <w:rPr>
                <w:rFonts w:ascii="Arial Narrow" w:eastAsia="Calibri" w:hAnsi="Arial Narrow"/>
                <w:sz w:val="20"/>
                <w:szCs w:val="20"/>
                <w:lang w:val="fr-FR"/>
              </w:rPr>
              <w:t xml:space="preserve">(iv) </w:t>
            </w:r>
            <w:proofErr w:type="spellStart"/>
            <w:r w:rsidRPr="00C64F1F">
              <w:rPr>
                <w:rFonts w:ascii="Arial Narrow" w:eastAsia="Calibri" w:hAnsi="Arial Narrow"/>
                <w:sz w:val="20"/>
                <w:szCs w:val="20"/>
                <w:lang w:val="fr-FR"/>
              </w:rPr>
              <w:t>lichenification</w:t>
            </w:r>
            <w:proofErr w:type="spellEnd"/>
          </w:p>
          <w:p w14:paraId="26049F1C" w14:textId="77777777" w:rsidR="007E6AA4" w:rsidRPr="006455BE" w:rsidRDefault="007E6AA4" w:rsidP="007157C0">
            <w:pPr>
              <w:rPr>
                <w:rFonts w:ascii="Arial Narrow" w:eastAsia="Calibri" w:hAnsi="Arial Narrow"/>
                <w:sz w:val="20"/>
                <w:szCs w:val="20"/>
              </w:rPr>
            </w:pPr>
            <w:r w:rsidRPr="006455BE">
              <w:rPr>
                <w:rFonts w:ascii="Arial Narrow" w:eastAsia="Calibri" w:hAnsi="Arial Narrow"/>
                <w:sz w:val="20"/>
                <w:szCs w:val="20"/>
              </w:rPr>
              <w:t>Acceptable scores can be:</w:t>
            </w:r>
          </w:p>
          <w:p w14:paraId="1A58CA25" w14:textId="77777777" w:rsidR="007E6AA4" w:rsidRPr="006455BE" w:rsidRDefault="007E6AA4" w:rsidP="007157C0">
            <w:pPr>
              <w:rPr>
                <w:rFonts w:ascii="Arial Narrow" w:eastAsia="Calibri" w:hAnsi="Arial Narrow"/>
                <w:sz w:val="20"/>
                <w:szCs w:val="20"/>
              </w:rPr>
            </w:pPr>
            <w:r w:rsidRPr="006455BE">
              <w:rPr>
                <w:rFonts w:ascii="Arial Narrow" w:eastAsia="Calibri" w:hAnsi="Arial Narrow"/>
                <w:sz w:val="20"/>
                <w:szCs w:val="20"/>
              </w:rPr>
              <w:t>(a) current scores; or</w:t>
            </w:r>
          </w:p>
          <w:p w14:paraId="5B4FA02B" w14:textId="77777777" w:rsidR="007E6AA4" w:rsidRPr="006455BE" w:rsidRDefault="007E6AA4" w:rsidP="007157C0">
            <w:pPr>
              <w:rPr>
                <w:rFonts w:ascii="Arial Narrow" w:eastAsia="Calibri" w:hAnsi="Arial Narrow"/>
                <w:sz w:val="20"/>
                <w:szCs w:val="20"/>
              </w:rPr>
            </w:pPr>
            <w:r w:rsidRPr="006455BE">
              <w:rPr>
                <w:rFonts w:ascii="Arial Narrow" w:eastAsia="Calibri" w:hAnsi="Arial Narrow"/>
                <w:sz w:val="20"/>
                <w:szCs w:val="20"/>
              </w:rPr>
              <w:t>(b) past scores, including those previously quoted in a PBS authority application for another drug listed for this indication.</w:t>
            </w:r>
          </w:p>
          <w:p w14:paraId="18C06A57" w14:textId="77777777" w:rsidR="007E6AA4" w:rsidRPr="006455BE" w:rsidRDefault="007E6AA4" w:rsidP="007157C0">
            <w:pPr>
              <w:rPr>
                <w:rFonts w:ascii="Arial Narrow" w:eastAsia="Calibri" w:hAnsi="Arial Narrow"/>
                <w:sz w:val="20"/>
                <w:szCs w:val="20"/>
              </w:rPr>
            </w:pPr>
            <w:r w:rsidRPr="006455BE">
              <w:rPr>
                <w:rFonts w:ascii="Arial Narrow" w:eastAsia="Calibri" w:hAnsi="Arial Narrow"/>
                <w:sz w:val="20"/>
                <w:szCs w:val="20"/>
              </w:rPr>
              <w:t>State the percentage face/hand surface area affected by the condition (must be at least 30%) where EASI symptom sub-scores are not provided. This percentage surface area can also be stated in addition to the EASI symptom sub-scores.</w:t>
            </w:r>
          </w:p>
          <w:p w14:paraId="28BC417B" w14:textId="77777777" w:rsidR="007E6AA4" w:rsidRPr="006455BE" w:rsidRDefault="007E6AA4" w:rsidP="007157C0">
            <w:pPr>
              <w:rPr>
                <w:rFonts w:ascii="Arial Narrow" w:eastAsia="Calibri" w:hAnsi="Arial Narrow"/>
                <w:sz w:val="20"/>
                <w:szCs w:val="20"/>
              </w:rPr>
            </w:pPr>
            <w:r w:rsidRPr="006455BE">
              <w:rPr>
                <w:rFonts w:ascii="Arial Narrow" w:eastAsia="Calibri" w:hAnsi="Arial Narrow"/>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5928D629" w14:textId="77777777" w:rsidR="007E6AA4" w:rsidRPr="00446E53" w:rsidRDefault="007E6AA4" w:rsidP="007157C0">
            <w:pPr>
              <w:rPr>
                <w:rFonts w:ascii="Arial Narrow" w:hAnsi="Arial Narrow" w:cs="Arial Narrow"/>
                <w:iCs/>
                <w:color w:val="FF0000"/>
                <w:sz w:val="20"/>
                <w:szCs w:val="20"/>
              </w:rPr>
            </w:pPr>
            <w:r w:rsidRPr="006455BE">
              <w:rPr>
                <w:rFonts w:ascii="Arial Narrow" w:eastAsia="Calibri" w:hAnsi="Arial Narrow"/>
                <w:sz w:val="20"/>
                <w:szCs w:val="20"/>
              </w:rPr>
              <w:t>Document the details of the medium to high potency topical corticosteroids (or calcineurin inhibitors) initially trialled are in the patient's medical records.</w:t>
            </w:r>
          </w:p>
        </w:tc>
      </w:tr>
      <w:tr w:rsidR="007E6AA4" w:rsidRPr="00EC0A25" w14:paraId="7DF7463C"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6FBE580" w14:textId="6F5497C7" w:rsidR="007E6AA4" w:rsidRPr="00EC0A25" w:rsidRDefault="007E6AA4" w:rsidP="007157C0">
            <w:pPr>
              <w:jc w:val="center"/>
              <w:rPr>
                <w:rFonts w:ascii="Arial Narrow" w:eastAsia="Calibri" w:hAnsi="Arial Narrow"/>
                <w:sz w:val="20"/>
                <w:szCs w:val="20"/>
              </w:rPr>
            </w:pPr>
          </w:p>
        </w:tc>
        <w:tc>
          <w:tcPr>
            <w:tcW w:w="4314" w:type="pct"/>
            <w:gridSpan w:val="6"/>
          </w:tcPr>
          <w:p w14:paraId="58A02DA6" w14:textId="77777777" w:rsidR="007E6AA4" w:rsidRPr="00EC0A25" w:rsidRDefault="007E6AA4" w:rsidP="007157C0">
            <w:pPr>
              <w:rPr>
                <w:rFonts w:ascii="Arial Narrow" w:eastAsia="Calibri" w:hAnsi="Arial Narrow"/>
                <w:b/>
                <w:bCs/>
                <w:sz w:val="20"/>
                <w:szCs w:val="20"/>
              </w:rPr>
            </w:pPr>
            <w:r w:rsidRPr="00EC0A25">
              <w:rPr>
                <w:rFonts w:ascii="Arial Narrow" w:eastAsia="Calibri" w:hAnsi="Arial Narrow"/>
                <w:b/>
                <w:bCs/>
                <w:sz w:val="20"/>
                <w:szCs w:val="20"/>
              </w:rPr>
              <w:t>Prescribing Instructions:</w:t>
            </w:r>
          </w:p>
          <w:p w14:paraId="14042475" w14:textId="77777777" w:rsidR="007E6AA4" w:rsidRPr="00EC0A25" w:rsidRDefault="007E6AA4" w:rsidP="007157C0">
            <w:pPr>
              <w:rPr>
                <w:rFonts w:ascii="Arial Narrow" w:hAnsi="Arial Narrow"/>
                <w:b/>
                <w:bCs/>
                <w:color w:val="333333"/>
                <w:sz w:val="20"/>
                <w:szCs w:val="20"/>
              </w:rPr>
            </w:pPr>
            <w:r w:rsidRPr="00EC0A25">
              <w:rPr>
                <w:rFonts w:ascii="Arial Narrow" w:eastAsia="Calibri" w:hAnsi="Arial Narrow"/>
                <w:sz w:val="20"/>
                <w:szCs w:val="20"/>
              </w:rPr>
              <w:t>At the time of assessment of response, i.e., within 16 weeks of initial treatment, if adequate response hasn’t been achieved, the prescriber can apply for an extended induction treatment (up to further 8 weeks of therapy) where there has been a partial response and the prescriber considers that extended induction doses could result in achieving adequate response.</w:t>
            </w:r>
          </w:p>
        </w:tc>
      </w:tr>
    </w:tbl>
    <w:p w14:paraId="124E72AC" w14:textId="77777777" w:rsidR="007E6AA4" w:rsidRPr="00156BC8" w:rsidRDefault="007E6AA4" w:rsidP="007E6AA4"/>
    <w:p w14:paraId="6691E229" w14:textId="77777777" w:rsidR="007E6AA4" w:rsidRPr="007E6AA4" w:rsidRDefault="007E6AA4" w:rsidP="007E6AA4">
      <w:pPr>
        <w:rPr>
          <w:b/>
          <w:bCs/>
        </w:rPr>
      </w:pPr>
      <w:r w:rsidRPr="007E6AA4">
        <w:rPr>
          <w:b/>
          <w:bCs/>
        </w:rPr>
        <w:t>Extended induction restriction</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Extended induction"/>
      </w:tblPr>
      <w:tblGrid>
        <w:gridCol w:w="1271"/>
        <w:gridCol w:w="2669"/>
        <w:gridCol w:w="812"/>
        <w:gridCol w:w="812"/>
        <w:gridCol w:w="812"/>
        <w:gridCol w:w="812"/>
        <w:gridCol w:w="2065"/>
      </w:tblGrid>
      <w:tr w:rsidR="007E6AA4" w:rsidRPr="00972B06" w14:paraId="1A18AFF5" w14:textId="77777777" w:rsidTr="00807021">
        <w:trPr>
          <w:cantSplit/>
          <w:trHeight w:val="20"/>
        </w:trPr>
        <w:tc>
          <w:tcPr>
            <w:tcW w:w="2128" w:type="pct"/>
            <w:gridSpan w:val="2"/>
            <w:vAlign w:val="center"/>
          </w:tcPr>
          <w:p w14:paraId="059E2926" w14:textId="77777777" w:rsidR="007E6AA4" w:rsidRPr="00972B06" w:rsidRDefault="007E6AA4" w:rsidP="007157C0">
            <w:pPr>
              <w:keepLines/>
              <w:rPr>
                <w:rFonts w:ascii="Arial Narrow" w:hAnsi="Arial Narrow"/>
                <w:b/>
                <w:bCs/>
                <w:sz w:val="20"/>
                <w:szCs w:val="20"/>
              </w:rPr>
            </w:pPr>
            <w:r w:rsidRPr="00972B06">
              <w:rPr>
                <w:rFonts w:ascii="Arial Narrow" w:hAnsi="Arial Narrow"/>
                <w:b/>
                <w:bCs/>
                <w:sz w:val="20"/>
                <w:szCs w:val="20"/>
              </w:rPr>
              <w:t>MEDICINAL PRODUCT</w:t>
            </w:r>
          </w:p>
          <w:p w14:paraId="1F9D39A6" w14:textId="77777777" w:rsidR="007E6AA4" w:rsidRPr="00972B06" w:rsidRDefault="007E6AA4" w:rsidP="007157C0">
            <w:pPr>
              <w:keepLines/>
              <w:rPr>
                <w:rFonts w:ascii="Arial Narrow" w:hAnsi="Arial Narrow"/>
                <w:b/>
                <w:sz w:val="20"/>
                <w:szCs w:val="20"/>
              </w:rPr>
            </w:pPr>
            <w:r w:rsidRPr="00972B06">
              <w:rPr>
                <w:rFonts w:ascii="Arial Narrow" w:hAnsi="Arial Narrow"/>
                <w:b/>
                <w:bCs/>
                <w:sz w:val="20"/>
                <w:szCs w:val="20"/>
              </w:rPr>
              <w:t>medicinal product pack</w:t>
            </w:r>
          </w:p>
        </w:tc>
        <w:tc>
          <w:tcPr>
            <w:tcW w:w="439" w:type="pct"/>
            <w:vAlign w:val="center"/>
          </w:tcPr>
          <w:p w14:paraId="6DB95A89" w14:textId="77777777" w:rsidR="007E6AA4" w:rsidRPr="00972B06" w:rsidRDefault="007E6AA4" w:rsidP="007157C0">
            <w:pPr>
              <w:keepLines/>
              <w:jc w:val="center"/>
              <w:rPr>
                <w:rFonts w:ascii="Arial Narrow" w:hAnsi="Arial Narrow"/>
                <w:b/>
                <w:sz w:val="20"/>
                <w:szCs w:val="20"/>
              </w:rPr>
            </w:pPr>
            <w:r w:rsidRPr="00972B06">
              <w:rPr>
                <w:rFonts w:ascii="Arial Narrow" w:hAnsi="Arial Narrow"/>
                <w:b/>
                <w:sz w:val="20"/>
                <w:szCs w:val="20"/>
              </w:rPr>
              <w:t>PBS item code</w:t>
            </w:r>
          </w:p>
        </w:tc>
        <w:tc>
          <w:tcPr>
            <w:tcW w:w="439" w:type="pct"/>
            <w:vAlign w:val="center"/>
          </w:tcPr>
          <w:p w14:paraId="7AD333AD" w14:textId="77777777" w:rsidR="007E6AA4" w:rsidRPr="00972B06" w:rsidRDefault="007E6AA4" w:rsidP="007157C0">
            <w:pPr>
              <w:keepLines/>
              <w:jc w:val="center"/>
              <w:rPr>
                <w:rFonts w:ascii="Arial Narrow" w:hAnsi="Arial Narrow"/>
                <w:b/>
                <w:sz w:val="20"/>
                <w:szCs w:val="20"/>
              </w:rPr>
            </w:pPr>
            <w:r w:rsidRPr="00972B06">
              <w:rPr>
                <w:rFonts w:ascii="Arial Narrow" w:hAnsi="Arial Narrow"/>
                <w:b/>
                <w:sz w:val="20"/>
                <w:szCs w:val="20"/>
              </w:rPr>
              <w:t>Max. qty packs</w:t>
            </w:r>
          </w:p>
        </w:tc>
        <w:tc>
          <w:tcPr>
            <w:tcW w:w="439" w:type="pct"/>
            <w:vAlign w:val="center"/>
          </w:tcPr>
          <w:p w14:paraId="13726212" w14:textId="77777777" w:rsidR="007E6AA4" w:rsidRPr="00972B06" w:rsidRDefault="007E6AA4" w:rsidP="007157C0">
            <w:pPr>
              <w:keepLines/>
              <w:jc w:val="center"/>
              <w:rPr>
                <w:rFonts w:ascii="Arial Narrow" w:hAnsi="Arial Narrow"/>
                <w:b/>
                <w:sz w:val="20"/>
                <w:szCs w:val="20"/>
              </w:rPr>
            </w:pPr>
            <w:r w:rsidRPr="00972B06">
              <w:rPr>
                <w:rFonts w:ascii="Arial Narrow" w:hAnsi="Arial Narrow"/>
                <w:b/>
                <w:sz w:val="20"/>
                <w:szCs w:val="20"/>
              </w:rPr>
              <w:t>Max. qty units</w:t>
            </w:r>
          </w:p>
        </w:tc>
        <w:tc>
          <w:tcPr>
            <w:tcW w:w="439" w:type="pct"/>
            <w:vAlign w:val="center"/>
          </w:tcPr>
          <w:p w14:paraId="26290782" w14:textId="77777777" w:rsidR="007E6AA4" w:rsidRPr="00972B06" w:rsidRDefault="007E6AA4" w:rsidP="007157C0">
            <w:pPr>
              <w:keepLines/>
              <w:jc w:val="center"/>
              <w:rPr>
                <w:rFonts w:ascii="Arial Narrow" w:hAnsi="Arial Narrow"/>
                <w:b/>
                <w:sz w:val="20"/>
                <w:szCs w:val="20"/>
              </w:rPr>
            </w:pPr>
            <w:r w:rsidRPr="00972B06">
              <w:rPr>
                <w:rFonts w:ascii="Arial Narrow" w:hAnsi="Arial Narrow"/>
                <w:b/>
                <w:sz w:val="20"/>
                <w:szCs w:val="20"/>
              </w:rPr>
              <w:t>№.of</w:t>
            </w:r>
          </w:p>
          <w:p w14:paraId="0F11DE32" w14:textId="77777777" w:rsidR="007E6AA4" w:rsidRPr="00972B06" w:rsidRDefault="007E6AA4" w:rsidP="007157C0">
            <w:pPr>
              <w:keepLines/>
              <w:jc w:val="center"/>
              <w:rPr>
                <w:rFonts w:ascii="Arial Narrow" w:hAnsi="Arial Narrow"/>
                <w:b/>
                <w:sz w:val="20"/>
                <w:szCs w:val="20"/>
              </w:rPr>
            </w:pPr>
            <w:r w:rsidRPr="00972B06">
              <w:rPr>
                <w:rFonts w:ascii="Arial Narrow" w:hAnsi="Arial Narrow"/>
                <w:b/>
                <w:sz w:val="20"/>
                <w:szCs w:val="20"/>
              </w:rPr>
              <w:t>Rpts</w:t>
            </w:r>
          </w:p>
        </w:tc>
        <w:tc>
          <w:tcPr>
            <w:tcW w:w="1116" w:type="pct"/>
            <w:vAlign w:val="center"/>
          </w:tcPr>
          <w:p w14:paraId="3B85E115" w14:textId="77777777" w:rsidR="007E6AA4" w:rsidRPr="00972B06" w:rsidRDefault="007E6AA4" w:rsidP="007157C0">
            <w:pPr>
              <w:keepLines/>
              <w:rPr>
                <w:rFonts w:ascii="Arial Narrow" w:hAnsi="Arial Narrow"/>
                <w:b/>
                <w:sz w:val="20"/>
                <w:szCs w:val="20"/>
                <w:lang w:val="fr-FR"/>
              </w:rPr>
            </w:pPr>
            <w:r w:rsidRPr="00972B06">
              <w:rPr>
                <w:rFonts w:ascii="Arial Narrow" w:hAnsi="Arial Narrow"/>
                <w:b/>
                <w:sz w:val="20"/>
                <w:szCs w:val="20"/>
              </w:rPr>
              <w:t>Available brands</w:t>
            </w:r>
          </w:p>
        </w:tc>
      </w:tr>
      <w:tr w:rsidR="007E6AA4" w:rsidRPr="00972B06" w14:paraId="1BFE0B5B" w14:textId="77777777" w:rsidTr="00807021">
        <w:trPr>
          <w:cantSplit/>
          <w:trHeight w:val="20"/>
        </w:trPr>
        <w:tc>
          <w:tcPr>
            <w:tcW w:w="5000" w:type="pct"/>
            <w:gridSpan w:val="7"/>
            <w:vAlign w:val="center"/>
          </w:tcPr>
          <w:p w14:paraId="40230EDD" w14:textId="77777777" w:rsidR="007E6AA4" w:rsidRPr="00972B06" w:rsidRDefault="007E6AA4" w:rsidP="007157C0">
            <w:pPr>
              <w:keepLines/>
              <w:rPr>
                <w:rFonts w:ascii="Arial Narrow" w:hAnsi="Arial Narrow"/>
                <w:sz w:val="20"/>
                <w:szCs w:val="20"/>
              </w:rPr>
            </w:pPr>
            <w:r w:rsidRPr="00972B06">
              <w:rPr>
                <w:rFonts w:ascii="Arial Narrow" w:hAnsi="Arial Narrow"/>
                <w:sz w:val="20"/>
                <w:szCs w:val="20"/>
              </w:rPr>
              <w:t>NEMOLIZUMAB</w:t>
            </w:r>
          </w:p>
        </w:tc>
      </w:tr>
      <w:tr w:rsidR="007E6AA4" w:rsidRPr="00972B06" w14:paraId="5629ACB6" w14:textId="77777777" w:rsidTr="00807021">
        <w:trPr>
          <w:cantSplit/>
          <w:trHeight w:val="20"/>
        </w:trPr>
        <w:tc>
          <w:tcPr>
            <w:tcW w:w="2128" w:type="pct"/>
            <w:gridSpan w:val="2"/>
            <w:vAlign w:val="center"/>
          </w:tcPr>
          <w:p w14:paraId="7C065814" w14:textId="77777777" w:rsidR="007E6AA4" w:rsidRPr="00972B06" w:rsidRDefault="007E6AA4" w:rsidP="007157C0">
            <w:pPr>
              <w:keepLines/>
              <w:rPr>
                <w:rFonts w:ascii="Arial Narrow" w:hAnsi="Arial Narrow"/>
                <w:sz w:val="20"/>
                <w:szCs w:val="20"/>
              </w:rPr>
            </w:pPr>
            <w:r w:rsidRPr="00972B06">
              <w:rPr>
                <w:rFonts w:ascii="Arial Narrow" w:hAnsi="Arial Narrow"/>
                <w:sz w:val="20"/>
                <w:szCs w:val="20"/>
              </w:rPr>
              <w:t xml:space="preserve">nemolizumab 30 mg injection [1 chamber] (&amp;) inert substance diluent [1 chamber], 1 dual chamber pen device </w:t>
            </w:r>
          </w:p>
        </w:tc>
        <w:tc>
          <w:tcPr>
            <w:tcW w:w="439" w:type="pct"/>
            <w:vAlign w:val="center"/>
          </w:tcPr>
          <w:p w14:paraId="1A6DF60C" w14:textId="77777777" w:rsidR="007E6AA4" w:rsidRPr="00972B06" w:rsidRDefault="007E6AA4" w:rsidP="007157C0">
            <w:pPr>
              <w:keepLines/>
              <w:jc w:val="center"/>
              <w:rPr>
                <w:rFonts w:ascii="Arial Narrow" w:hAnsi="Arial Narrow"/>
                <w:sz w:val="20"/>
                <w:szCs w:val="20"/>
              </w:rPr>
            </w:pPr>
            <w:r w:rsidRPr="00972B06">
              <w:rPr>
                <w:rFonts w:ascii="Arial Narrow" w:hAnsi="Arial Narrow"/>
                <w:sz w:val="20"/>
                <w:szCs w:val="20"/>
              </w:rPr>
              <w:t>NEW</w:t>
            </w:r>
          </w:p>
        </w:tc>
        <w:tc>
          <w:tcPr>
            <w:tcW w:w="439" w:type="pct"/>
            <w:vAlign w:val="center"/>
          </w:tcPr>
          <w:p w14:paraId="0784EABA" w14:textId="77777777" w:rsidR="007E6AA4" w:rsidRPr="00972B06" w:rsidRDefault="007E6AA4" w:rsidP="007157C0">
            <w:pPr>
              <w:keepLines/>
              <w:jc w:val="center"/>
              <w:rPr>
                <w:rFonts w:ascii="Arial Narrow" w:hAnsi="Arial Narrow"/>
                <w:sz w:val="20"/>
                <w:szCs w:val="20"/>
              </w:rPr>
            </w:pPr>
            <w:r w:rsidRPr="00972B06">
              <w:rPr>
                <w:rFonts w:ascii="Arial Narrow" w:hAnsi="Arial Narrow"/>
                <w:sz w:val="20"/>
                <w:szCs w:val="20"/>
              </w:rPr>
              <w:t>2</w:t>
            </w:r>
          </w:p>
        </w:tc>
        <w:tc>
          <w:tcPr>
            <w:tcW w:w="439" w:type="pct"/>
            <w:vAlign w:val="center"/>
          </w:tcPr>
          <w:p w14:paraId="112D962C" w14:textId="77777777" w:rsidR="007E6AA4" w:rsidRPr="00972B06" w:rsidRDefault="007E6AA4" w:rsidP="007157C0">
            <w:pPr>
              <w:keepLines/>
              <w:jc w:val="center"/>
              <w:rPr>
                <w:rFonts w:ascii="Arial Narrow" w:hAnsi="Arial Narrow"/>
                <w:sz w:val="20"/>
                <w:szCs w:val="20"/>
              </w:rPr>
            </w:pPr>
            <w:r w:rsidRPr="00972B06">
              <w:rPr>
                <w:rFonts w:ascii="Arial Narrow" w:hAnsi="Arial Narrow"/>
                <w:sz w:val="20"/>
                <w:szCs w:val="20"/>
              </w:rPr>
              <w:t>2</w:t>
            </w:r>
          </w:p>
        </w:tc>
        <w:tc>
          <w:tcPr>
            <w:tcW w:w="439" w:type="pct"/>
            <w:vAlign w:val="center"/>
          </w:tcPr>
          <w:p w14:paraId="1CE6DD18" w14:textId="77777777" w:rsidR="007E6AA4" w:rsidRPr="00972B06" w:rsidRDefault="007E6AA4" w:rsidP="007157C0">
            <w:pPr>
              <w:keepLines/>
              <w:jc w:val="center"/>
              <w:rPr>
                <w:rFonts w:ascii="Arial Narrow" w:hAnsi="Arial Narrow"/>
                <w:sz w:val="20"/>
                <w:szCs w:val="20"/>
              </w:rPr>
            </w:pPr>
            <w:r>
              <w:rPr>
                <w:rFonts w:ascii="Arial Narrow" w:hAnsi="Arial Narrow"/>
                <w:sz w:val="20"/>
                <w:szCs w:val="20"/>
              </w:rPr>
              <w:t>0</w:t>
            </w:r>
          </w:p>
        </w:tc>
        <w:tc>
          <w:tcPr>
            <w:tcW w:w="1116" w:type="pct"/>
            <w:vAlign w:val="center"/>
          </w:tcPr>
          <w:p w14:paraId="5FBCA3A7" w14:textId="77777777" w:rsidR="007E6AA4" w:rsidRPr="00972B06" w:rsidRDefault="007E6AA4" w:rsidP="007157C0">
            <w:pPr>
              <w:keepLines/>
              <w:jc w:val="center"/>
              <w:rPr>
                <w:rFonts w:ascii="Arial Narrow" w:hAnsi="Arial Narrow"/>
                <w:sz w:val="20"/>
                <w:szCs w:val="20"/>
              </w:rPr>
            </w:pPr>
          </w:p>
          <w:p w14:paraId="62DF37E0" w14:textId="77777777" w:rsidR="007E6AA4" w:rsidRPr="00972B06" w:rsidRDefault="007E6AA4" w:rsidP="007157C0">
            <w:pPr>
              <w:keepLines/>
              <w:jc w:val="center"/>
              <w:rPr>
                <w:rFonts w:ascii="Arial Narrow" w:hAnsi="Arial Narrow"/>
                <w:sz w:val="20"/>
                <w:szCs w:val="20"/>
              </w:rPr>
            </w:pPr>
            <w:r w:rsidRPr="00972B06">
              <w:rPr>
                <w:rFonts w:ascii="Arial Narrow" w:hAnsi="Arial Narrow"/>
                <w:sz w:val="20"/>
                <w:szCs w:val="20"/>
              </w:rPr>
              <w:t>Nemluvio</w:t>
            </w:r>
          </w:p>
          <w:p w14:paraId="286F7008" w14:textId="77777777" w:rsidR="007E6AA4" w:rsidRPr="00972B06" w:rsidRDefault="007E6AA4" w:rsidP="007157C0">
            <w:pPr>
              <w:keepLines/>
              <w:rPr>
                <w:rFonts w:ascii="Arial Narrow" w:hAnsi="Arial Narrow"/>
                <w:sz w:val="20"/>
                <w:szCs w:val="20"/>
              </w:rPr>
            </w:pPr>
          </w:p>
        </w:tc>
      </w:tr>
      <w:tr w:rsidR="007E6AA4" w:rsidRPr="00972B06" w14:paraId="2B973D3D" w14:textId="77777777" w:rsidTr="00807021">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17D398BD" w14:textId="77777777" w:rsidR="007E6AA4" w:rsidRPr="00972B06" w:rsidRDefault="007E6AA4" w:rsidP="007157C0">
            <w:pPr>
              <w:rPr>
                <w:rFonts w:ascii="Arial Narrow" w:hAnsi="Arial Narrow"/>
                <w:sz w:val="20"/>
                <w:szCs w:val="20"/>
              </w:rPr>
            </w:pPr>
          </w:p>
        </w:tc>
      </w:tr>
      <w:tr w:rsidR="00183E42" w:rsidRPr="00972B06" w14:paraId="5F2405D8" w14:textId="77777777" w:rsidTr="00807021">
        <w:tblPrEx>
          <w:tblCellMar>
            <w:top w:w="15" w:type="dxa"/>
            <w:bottom w:w="15" w:type="dxa"/>
          </w:tblCellMar>
          <w:tblLook w:val="04A0" w:firstRow="1" w:lastRow="0" w:firstColumn="1" w:lastColumn="0" w:noHBand="0" w:noVBand="1"/>
        </w:tblPrEx>
        <w:trPr>
          <w:trHeight w:val="20"/>
        </w:trPr>
        <w:tc>
          <w:tcPr>
            <w:tcW w:w="686" w:type="pct"/>
            <w:vMerge w:val="restart"/>
            <w:tcBorders>
              <w:top w:val="single" w:sz="4" w:space="0" w:color="auto"/>
              <w:left w:val="single" w:sz="4" w:space="0" w:color="auto"/>
              <w:right w:val="single" w:sz="4" w:space="0" w:color="auto"/>
            </w:tcBorders>
          </w:tcPr>
          <w:p w14:paraId="641517F0" w14:textId="77777777" w:rsidR="007E6AA4" w:rsidRPr="00972B06" w:rsidRDefault="007E6AA4" w:rsidP="007157C0">
            <w:pPr>
              <w:jc w:val="center"/>
              <w:rPr>
                <w:rFonts w:ascii="Arial Narrow" w:hAnsi="Arial Narrow"/>
                <w:sz w:val="20"/>
                <w:szCs w:val="20"/>
              </w:rPr>
            </w:pPr>
            <w:r w:rsidRPr="00972B06">
              <w:rPr>
                <w:rFonts w:ascii="Arial Narrow" w:hAnsi="Arial Narrow"/>
                <w:b/>
                <w:sz w:val="20"/>
                <w:szCs w:val="20"/>
              </w:rPr>
              <w:t>Concept ID</w:t>
            </w:r>
          </w:p>
          <w:p w14:paraId="184436AB" w14:textId="77777777" w:rsidR="007E6AA4" w:rsidRPr="00972B06" w:rsidRDefault="007E6AA4" w:rsidP="007157C0">
            <w:pPr>
              <w:jc w:val="center"/>
              <w:rPr>
                <w:rFonts w:ascii="Arial Narrow" w:hAnsi="Arial Narrow"/>
                <w:b/>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0BF207DB" w14:textId="77777777" w:rsidR="007E6AA4" w:rsidRPr="00972B06" w:rsidRDefault="007E6AA4" w:rsidP="007157C0">
            <w:pPr>
              <w:keepLines/>
              <w:rPr>
                <w:rFonts w:ascii="Arial Narrow" w:hAnsi="Arial Narrow"/>
                <w:sz w:val="20"/>
                <w:szCs w:val="20"/>
              </w:rPr>
            </w:pPr>
            <w:r w:rsidRPr="00972B06">
              <w:rPr>
                <w:rFonts w:ascii="Arial Narrow" w:hAnsi="Arial Narrow"/>
                <w:b/>
                <w:sz w:val="20"/>
                <w:szCs w:val="20"/>
              </w:rPr>
              <w:t>Category / Program:</w:t>
            </w:r>
            <w:r w:rsidRPr="00972B06">
              <w:rPr>
                <w:rFonts w:ascii="Arial Narrow" w:hAnsi="Arial Narrow"/>
                <w:sz w:val="20"/>
                <w:szCs w:val="20"/>
              </w:rPr>
              <w:t xml:space="preserve"> </w:t>
            </w:r>
            <w:r w:rsidRPr="00972B06">
              <w:rPr>
                <w:rFonts w:ascii="Arial Narrow" w:hAnsi="Arial Narrow"/>
                <w:sz w:val="20"/>
                <w:szCs w:val="20"/>
              </w:rPr>
              <w:fldChar w:fldCharType="begin">
                <w:ffData>
                  <w:name w:val=""/>
                  <w:enabled/>
                  <w:calcOnExit w:val="0"/>
                  <w:checkBox>
                    <w:sizeAuto/>
                    <w:default w:val="1"/>
                  </w:checkBox>
                </w:ffData>
              </w:fldChar>
            </w:r>
            <w:r w:rsidRPr="00972B06">
              <w:rPr>
                <w:rFonts w:ascii="Arial Narrow" w:hAnsi="Arial Narrow"/>
                <w:sz w:val="20"/>
                <w:szCs w:val="20"/>
              </w:rPr>
              <w:instrText xml:space="preserve"> FORMCHECKBOX </w:instrText>
            </w:r>
            <w:r w:rsidRPr="00972B06">
              <w:rPr>
                <w:rFonts w:ascii="Arial Narrow" w:hAnsi="Arial Narrow"/>
                <w:sz w:val="20"/>
                <w:szCs w:val="20"/>
              </w:rPr>
            </w:r>
            <w:r w:rsidRPr="00972B06">
              <w:rPr>
                <w:rFonts w:ascii="Arial Narrow" w:hAnsi="Arial Narrow"/>
                <w:sz w:val="20"/>
                <w:szCs w:val="20"/>
              </w:rPr>
              <w:fldChar w:fldCharType="separate"/>
            </w:r>
            <w:r w:rsidRPr="00972B06">
              <w:rPr>
                <w:rFonts w:ascii="Arial Narrow" w:hAnsi="Arial Narrow"/>
                <w:sz w:val="20"/>
                <w:szCs w:val="20"/>
              </w:rPr>
              <w:fldChar w:fldCharType="end"/>
            </w:r>
            <w:r w:rsidRPr="00972B06">
              <w:rPr>
                <w:rFonts w:ascii="Arial Narrow" w:hAnsi="Arial Narrow"/>
                <w:sz w:val="20"/>
                <w:szCs w:val="20"/>
              </w:rPr>
              <w:t xml:space="preserve"> </w:t>
            </w:r>
            <w:r w:rsidRPr="00972B06">
              <w:rPr>
                <w:rFonts w:ascii="Arial Narrow" w:eastAsia="Calibri" w:hAnsi="Arial Narrow"/>
                <w:sz w:val="20"/>
                <w:szCs w:val="20"/>
              </w:rPr>
              <w:t xml:space="preserve">GENERAL - General Schedule (Code GE) </w:t>
            </w:r>
          </w:p>
        </w:tc>
      </w:tr>
      <w:tr w:rsidR="00183E42" w:rsidRPr="00972B06" w14:paraId="4148F833" w14:textId="77777777" w:rsidTr="00807021">
        <w:tblPrEx>
          <w:tblCellMar>
            <w:top w:w="15" w:type="dxa"/>
            <w:bottom w:w="15" w:type="dxa"/>
          </w:tblCellMar>
          <w:tblLook w:val="04A0" w:firstRow="1" w:lastRow="0" w:firstColumn="1" w:lastColumn="0" w:noHBand="0" w:noVBand="1"/>
        </w:tblPrEx>
        <w:trPr>
          <w:trHeight w:val="20"/>
        </w:trPr>
        <w:tc>
          <w:tcPr>
            <w:tcW w:w="686" w:type="pct"/>
            <w:vMerge/>
            <w:tcBorders>
              <w:left w:val="single" w:sz="4" w:space="0" w:color="auto"/>
              <w:right w:val="single" w:sz="4" w:space="0" w:color="auto"/>
            </w:tcBorders>
          </w:tcPr>
          <w:p w14:paraId="04010C89" w14:textId="77777777" w:rsidR="007E6AA4" w:rsidRPr="00972B06"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374A87D0" w14:textId="77777777" w:rsidR="007E6AA4" w:rsidRPr="00972B06" w:rsidRDefault="007E6AA4" w:rsidP="007157C0">
            <w:pPr>
              <w:keepLines/>
              <w:rPr>
                <w:rFonts w:ascii="Arial Narrow" w:hAnsi="Arial Narrow"/>
                <w:b/>
                <w:sz w:val="20"/>
                <w:szCs w:val="20"/>
              </w:rPr>
            </w:pPr>
            <w:r w:rsidRPr="00972B06">
              <w:rPr>
                <w:rFonts w:ascii="Arial Narrow" w:hAnsi="Arial Narrow"/>
                <w:b/>
                <w:sz w:val="20"/>
                <w:szCs w:val="20"/>
              </w:rPr>
              <w:t xml:space="preserve">Prescriber type: </w:t>
            </w:r>
            <w:r w:rsidRPr="00972B06">
              <w:rPr>
                <w:rFonts w:ascii="Arial Narrow" w:hAnsi="Arial Narrow"/>
                <w:sz w:val="20"/>
                <w:szCs w:val="20"/>
              </w:rPr>
              <w:fldChar w:fldCharType="begin">
                <w:ffData>
                  <w:name w:val=""/>
                  <w:enabled/>
                  <w:calcOnExit w:val="0"/>
                  <w:checkBox>
                    <w:sizeAuto/>
                    <w:default w:val="1"/>
                  </w:checkBox>
                </w:ffData>
              </w:fldChar>
            </w:r>
            <w:r w:rsidRPr="00972B06">
              <w:rPr>
                <w:rFonts w:ascii="Arial Narrow" w:hAnsi="Arial Narrow"/>
                <w:sz w:val="20"/>
                <w:szCs w:val="20"/>
              </w:rPr>
              <w:instrText xml:space="preserve"> FORMCHECKBOX </w:instrText>
            </w:r>
            <w:r w:rsidRPr="00972B06">
              <w:rPr>
                <w:rFonts w:ascii="Arial Narrow" w:hAnsi="Arial Narrow"/>
                <w:sz w:val="20"/>
                <w:szCs w:val="20"/>
              </w:rPr>
            </w:r>
            <w:r w:rsidRPr="00972B06">
              <w:rPr>
                <w:rFonts w:ascii="Arial Narrow" w:hAnsi="Arial Narrow"/>
                <w:sz w:val="20"/>
                <w:szCs w:val="20"/>
              </w:rPr>
              <w:fldChar w:fldCharType="separate"/>
            </w:r>
            <w:r w:rsidRPr="00972B06">
              <w:rPr>
                <w:rFonts w:ascii="Arial Narrow" w:hAnsi="Arial Narrow"/>
                <w:sz w:val="20"/>
                <w:szCs w:val="20"/>
              </w:rPr>
              <w:fldChar w:fldCharType="end"/>
            </w:r>
            <w:r w:rsidRPr="00972B06">
              <w:rPr>
                <w:rFonts w:ascii="Arial Narrow" w:hAnsi="Arial Narrow"/>
                <w:sz w:val="20"/>
                <w:szCs w:val="20"/>
              </w:rPr>
              <w:t xml:space="preserve"> Medical Practitioners </w:t>
            </w:r>
          </w:p>
        </w:tc>
      </w:tr>
      <w:tr w:rsidR="00183E42" w:rsidRPr="00972B06" w14:paraId="6106D41E" w14:textId="77777777" w:rsidTr="00807021">
        <w:tblPrEx>
          <w:tblCellMar>
            <w:top w:w="15" w:type="dxa"/>
            <w:bottom w:w="15" w:type="dxa"/>
          </w:tblCellMar>
          <w:tblLook w:val="04A0" w:firstRow="1" w:lastRow="0" w:firstColumn="1" w:lastColumn="0" w:noHBand="0" w:noVBand="1"/>
        </w:tblPrEx>
        <w:trPr>
          <w:trHeight w:val="20"/>
        </w:trPr>
        <w:tc>
          <w:tcPr>
            <w:tcW w:w="686" w:type="pct"/>
            <w:vMerge/>
            <w:tcBorders>
              <w:left w:val="single" w:sz="4" w:space="0" w:color="auto"/>
              <w:right w:val="single" w:sz="4" w:space="0" w:color="auto"/>
            </w:tcBorders>
          </w:tcPr>
          <w:p w14:paraId="27669ADD" w14:textId="77777777" w:rsidR="007E6AA4" w:rsidRPr="00972B06"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264FDE10" w14:textId="77777777" w:rsidR="007E6AA4" w:rsidRPr="00972B06" w:rsidRDefault="007E6AA4" w:rsidP="007157C0">
            <w:pPr>
              <w:keepLines/>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Telephone/Online PBS Authorities System) </w:t>
            </w:r>
          </w:p>
        </w:tc>
      </w:tr>
      <w:tr w:rsidR="007E6AA4" w:rsidRPr="00972B06" w14:paraId="379DE06A"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5E04679A" w14:textId="77777777" w:rsidR="007E6AA4" w:rsidRPr="00972B06"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6A075D94" w14:textId="7D2C3D12" w:rsidR="007E6AA4" w:rsidRPr="00972B06" w:rsidRDefault="007E6AA4" w:rsidP="007157C0">
            <w:pPr>
              <w:rPr>
                <w:rFonts w:ascii="Arial Narrow" w:hAnsi="Arial Narrow"/>
                <w:b/>
                <w:sz w:val="20"/>
                <w:szCs w:val="20"/>
              </w:rPr>
            </w:pPr>
            <w:r w:rsidRPr="00972B06">
              <w:rPr>
                <w:rFonts w:ascii="Arial Narrow" w:hAnsi="Arial Narrow"/>
                <w:b/>
                <w:sz w:val="20"/>
                <w:szCs w:val="20"/>
              </w:rPr>
              <w:t>Prescribing rule level:</w:t>
            </w:r>
          </w:p>
        </w:tc>
      </w:tr>
      <w:tr w:rsidR="007E6AA4" w:rsidRPr="00972B06" w14:paraId="668B7D19"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3EB720B1" w14:textId="5C43C4C2" w:rsidR="007E6AA4" w:rsidRPr="00972B06"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126E0C82" w14:textId="77777777" w:rsidR="007E6AA4" w:rsidRPr="00972B06" w:rsidRDefault="007E6AA4" w:rsidP="007157C0">
            <w:pPr>
              <w:rPr>
                <w:rFonts w:ascii="Arial Narrow" w:hAnsi="Arial Narrow"/>
                <w:b/>
                <w:bCs/>
                <w:color w:val="333333"/>
                <w:sz w:val="20"/>
                <w:szCs w:val="20"/>
              </w:rPr>
            </w:pPr>
            <w:r w:rsidRPr="00972B06">
              <w:rPr>
                <w:rFonts w:ascii="Arial Narrow" w:hAnsi="Arial Narrow"/>
                <w:b/>
                <w:bCs/>
                <w:color w:val="333333"/>
                <w:sz w:val="20"/>
                <w:szCs w:val="20"/>
              </w:rPr>
              <w:t>Administrative Advice:</w:t>
            </w:r>
          </w:p>
          <w:p w14:paraId="22E2816A" w14:textId="77777777" w:rsidR="007E6AA4" w:rsidRPr="00972B06" w:rsidRDefault="007E6AA4" w:rsidP="007157C0">
            <w:pPr>
              <w:rPr>
                <w:rFonts w:ascii="Arial Narrow" w:hAnsi="Arial Narrow"/>
                <w:b/>
                <w:sz w:val="20"/>
                <w:szCs w:val="20"/>
              </w:rPr>
            </w:pPr>
            <w:r w:rsidRPr="00972B06">
              <w:rPr>
                <w:rFonts w:ascii="Arial Narrow" w:eastAsia="Calibri" w:hAnsi="Arial Narrow"/>
                <w:sz w:val="20"/>
                <w:szCs w:val="20"/>
              </w:rPr>
              <w:t>No increase in the maximum quantity or number of units may be authorised.</w:t>
            </w:r>
          </w:p>
        </w:tc>
      </w:tr>
      <w:tr w:rsidR="007E6AA4" w:rsidRPr="00972B06" w14:paraId="6FC2253E"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104B0DC3" w14:textId="706BBD87" w:rsidR="007E6AA4" w:rsidRPr="00972B06"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2A5BB7F9" w14:textId="77777777" w:rsidR="007E6AA4" w:rsidRPr="00972B06" w:rsidRDefault="007E6AA4" w:rsidP="007157C0">
            <w:pPr>
              <w:rPr>
                <w:rFonts w:ascii="Arial Narrow" w:eastAsia="Calibri" w:hAnsi="Arial Narrow"/>
                <w:b/>
                <w:bCs/>
                <w:sz w:val="20"/>
                <w:szCs w:val="20"/>
              </w:rPr>
            </w:pPr>
            <w:r w:rsidRPr="00972B06">
              <w:rPr>
                <w:rFonts w:ascii="Arial Narrow" w:eastAsia="Calibri" w:hAnsi="Arial Narrow"/>
                <w:b/>
                <w:bCs/>
                <w:sz w:val="20"/>
                <w:szCs w:val="20"/>
              </w:rPr>
              <w:t>Administrative Advice:</w:t>
            </w:r>
          </w:p>
          <w:p w14:paraId="1BADA5E6" w14:textId="77777777" w:rsidR="007E6AA4" w:rsidRPr="00972B06" w:rsidRDefault="007E6AA4" w:rsidP="007157C0">
            <w:pPr>
              <w:rPr>
                <w:rFonts w:ascii="Arial Narrow" w:eastAsia="Calibri" w:hAnsi="Arial Narrow"/>
                <w:sz w:val="20"/>
                <w:szCs w:val="20"/>
              </w:rPr>
            </w:pPr>
            <w:r w:rsidRPr="00972B06">
              <w:rPr>
                <w:rFonts w:ascii="Arial Narrow" w:eastAsia="Calibri" w:hAnsi="Arial Narrow"/>
                <w:sz w:val="20"/>
                <w:szCs w:val="20"/>
              </w:rPr>
              <w:t>No increase in the maximum number of repeats may be authorised.</w:t>
            </w:r>
          </w:p>
        </w:tc>
      </w:tr>
      <w:tr w:rsidR="007E6AA4" w:rsidRPr="00972B06" w14:paraId="59A24D81"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061BC0AD" w14:textId="06CB9C3E" w:rsidR="007E6AA4" w:rsidRPr="00972B06"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71BB57C7" w14:textId="77777777" w:rsidR="007E6AA4" w:rsidRPr="00972B06" w:rsidRDefault="007E6AA4" w:rsidP="007157C0">
            <w:pPr>
              <w:rPr>
                <w:rFonts w:ascii="Arial Narrow" w:eastAsia="Calibri" w:hAnsi="Arial Narrow"/>
                <w:b/>
                <w:bCs/>
                <w:sz w:val="20"/>
                <w:szCs w:val="20"/>
              </w:rPr>
            </w:pPr>
            <w:r w:rsidRPr="00972B06">
              <w:rPr>
                <w:rFonts w:ascii="Arial Narrow" w:eastAsia="Calibri" w:hAnsi="Arial Narrow"/>
                <w:b/>
                <w:bCs/>
                <w:sz w:val="20"/>
                <w:szCs w:val="20"/>
              </w:rPr>
              <w:t>Administrative Advice:</w:t>
            </w:r>
          </w:p>
          <w:p w14:paraId="3B237091" w14:textId="77777777" w:rsidR="007E6AA4" w:rsidRPr="00972B06" w:rsidRDefault="007E6AA4" w:rsidP="007157C0">
            <w:pPr>
              <w:rPr>
                <w:rFonts w:ascii="Arial Narrow" w:eastAsia="Calibri" w:hAnsi="Arial Narrow"/>
                <w:sz w:val="20"/>
                <w:szCs w:val="20"/>
              </w:rPr>
            </w:pPr>
            <w:r w:rsidRPr="00972B06">
              <w:rPr>
                <w:rFonts w:ascii="Arial Narrow" w:eastAsia="Calibri" w:hAnsi="Arial Narrow"/>
                <w:sz w:val="20"/>
                <w:szCs w:val="20"/>
              </w:rPr>
              <w:t>Special Pricing Arrangements apply.</w:t>
            </w:r>
          </w:p>
        </w:tc>
      </w:tr>
      <w:tr w:rsidR="007E6AA4" w:rsidRPr="00972B06" w14:paraId="3EA50BAC"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42843E1B" w14:textId="64FB9A63" w:rsidR="007E6AA4" w:rsidRPr="00972B06"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664F6F64" w14:textId="77777777" w:rsidR="007E6AA4" w:rsidRPr="00972B06" w:rsidRDefault="007E6AA4" w:rsidP="007157C0">
            <w:pPr>
              <w:rPr>
                <w:rFonts w:ascii="Arial Narrow" w:hAnsi="Arial Narrow"/>
                <w:b/>
                <w:bCs/>
                <w:color w:val="333333"/>
                <w:sz w:val="20"/>
                <w:szCs w:val="20"/>
              </w:rPr>
            </w:pPr>
            <w:r w:rsidRPr="00972B06">
              <w:rPr>
                <w:rFonts w:ascii="Arial Narrow" w:hAnsi="Arial Narrow"/>
                <w:b/>
                <w:bCs/>
                <w:color w:val="333333"/>
                <w:sz w:val="20"/>
                <w:szCs w:val="20"/>
              </w:rPr>
              <w:t>Administrative Advice:</w:t>
            </w:r>
          </w:p>
          <w:p w14:paraId="10714A83" w14:textId="77777777" w:rsidR="007E6AA4" w:rsidRPr="00972B06" w:rsidRDefault="007E6AA4" w:rsidP="007157C0">
            <w:pPr>
              <w:rPr>
                <w:rFonts w:ascii="Arial Narrow" w:eastAsia="Calibri" w:hAnsi="Arial Narrow"/>
                <w:sz w:val="20"/>
                <w:szCs w:val="20"/>
              </w:rPr>
            </w:pPr>
            <w:r w:rsidRPr="00972B06">
              <w:rPr>
                <w:rFonts w:ascii="Arial Narrow" w:eastAsia="Calibri" w:hAnsi="Arial Narrow"/>
                <w:sz w:val="20"/>
                <w:szCs w:val="20"/>
              </w:rPr>
              <w:t>The Eczema Area and Severity Index (EASI) referenced in this restriction is that described in the following literature publications:</w:t>
            </w:r>
          </w:p>
          <w:p w14:paraId="65444EBE" w14:textId="77777777" w:rsidR="007E6AA4" w:rsidRPr="00972B06" w:rsidRDefault="007E6AA4" w:rsidP="007157C0">
            <w:pPr>
              <w:rPr>
                <w:rFonts w:ascii="Arial Narrow" w:eastAsia="Calibri" w:hAnsi="Arial Narrow"/>
                <w:sz w:val="20"/>
                <w:szCs w:val="20"/>
              </w:rPr>
            </w:pPr>
            <w:r w:rsidRPr="00972B06">
              <w:rPr>
                <w:rFonts w:ascii="Arial Narrow" w:eastAsia="Calibri" w:hAnsi="Arial Narrow"/>
                <w:sz w:val="20"/>
                <w:szCs w:val="20"/>
              </w:rPr>
              <w:t>Chalmers JR et al. Report from the third international consensus meeting to harmonise core outcome measures for atopic eczema/dermatitis clinical trials (HOME). </w:t>
            </w:r>
            <w:r w:rsidRPr="00972B06">
              <w:rPr>
                <w:rFonts w:ascii="Arial Narrow" w:eastAsia="Calibri" w:hAnsi="Arial Narrow"/>
                <w:i/>
                <w:iCs/>
                <w:sz w:val="20"/>
                <w:szCs w:val="20"/>
              </w:rPr>
              <w:t>British Journal of Dermatology</w:t>
            </w:r>
            <w:r w:rsidRPr="00972B06">
              <w:rPr>
                <w:rFonts w:ascii="Arial Narrow" w:eastAsia="Calibri" w:hAnsi="Arial Narrow"/>
                <w:sz w:val="20"/>
                <w:szCs w:val="20"/>
              </w:rPr>
              <w:t> 2014 December;171(6):1318-25.</w:t>
            </w:r>
          </w:p>
          <w:p w14:paraId="088DAFFC" w14:textId="77777777" w:rsidR="007E6AA4" w:rsidRPr="00972B06" w:rsidRDefault="007E6AA4" w:rsidP="007157C0">
            <w:pPr>
              <w:rPr>
                <w:rFonts w:ascii="Arial Narrow" w:hAnsi="Arial Narrow"/>
                <w:color w:val="333333"/>
                <w:sz w:val="20"/>
                <w:szCs w:val="20"/>
              </w:rPr>
            </w:pPr>
            <w:r w:rsidRPr="00972B06">
              <w:rPr>
                <w:rFonts w:ascii="Arial Narrow" w:eastAsia="Calibri" w:hAnsi="Arial Narrow"/>
                <w:sz w:val="20"/>
                <w:szCs w:val="20"/>
              </w:rPr>
              <w:t>Schmitt J et al. HOME initiative collaborators. The Harmonising Outcome Measures for Eczema (HOME) statement to assess clinical signs of atopic eczema in trials. </w:t>
            </w:r>
            <w:r w:rsidRPr="00972B06">
              <w:rPr>
                <w:rFonts w:ascii="Arial Narrow" w:eastAsia="Calibri" w:hAnsi="Arial Narrow"/>
                <w:i/>
                <w:iCs/>
                <w:sz w:val="20"/>
                <w:szCs w:val="20"/>
              </w:rPr>
              <w:t>The Journal of Allergy and Clinical Immunology</w:t>
            </w:r>
            <w:r w:rsidRPr="00972B06">
              <w:rPr>
                <w:rFonts w:ascii="Arial Narrow" w:eastAsia="Calibri" w:hAnsi="Arial Narrow"/>
                <w:sz w:val="20"/>
                <w:szCs w:val="20"/>
              </w:rPr>
              <w:t> 2014 October;134(4):800-7</w:t>
            </w:r>
          </w:p>
        </w:tc>
      </w:tr>
      <w:tr w:rsidR="007E6AA4" w:rsidRPr="00972B06" w14:paraId="11AC69DE"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5CBD9701" w14:textId="749214F6" w:rsidR="007E6AA4" w:rsidRPr="00972B06"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7056F32D" w14:textId="77777777" w:rsidR="007E6AA4" w:rsidRPr="00B74BAC" w:rsidRDefault="007E6AA4" w:rsidP="007157C0">
            <w:pPr>
              <w:keepLines/>
              <w:rPr>
                <w:rFonts w:ascii="Arial Narrow" w:hAnsi="Arial Narrow"/>
                <w:b/>
                <w:bCs/>
                <w:color w:val="333333"/>
                <w:sz w:val="20"/>
                <w:szCs w:val="20"/>
              </w:rPr>
            </w:pPr>
            <w:r w:rsidRPr="00B74BAC">
              <w:rPr>
                <w:rFonts w:ascii="Arial Narrow" w:hAnsi="Arial Narrow"/>
                <w:b/>
                <w:bCs/>
                <w:color w:val="333333"/>
                <w:sz w:val="20"/>
                <w:szCs w:val="20"/>
              </w:rPr>
              <w:t>Administrative Advice:</w:t>
            </w:r>
          </w:p>
          <w:p w14:paraId="52BC022D" w14:textId="32B9244C" w:rsidR="007E6AA4" w:rsidRPr="00B74BAC" w:rsidRDefault="007E6AA4" w:rsidP="007157C0">
            <w:pPr>
              <w:keepLines/>
              <w:rPr>
                <w:rFonts w:ascii="Arial Narrow" w:hAnsi="Arial Narrow"/>
                <w:b/>
                <w:sz w:val="20"/>
                <w:szCs w:val="20"/>
              </w:rPr>
            </w:pPr>
            <w:r w:rsidRPr="00B74BAC">
              <w:rPr>
                <w:rFonts w:ascii="Arial Narrow" w:eastAsia="Calibri" w:hAnsi="Arial Narrow"/>
                <w:sz w:val="20"/>
                <w:szCs w:val="20"/>
              </w:rPr>
              <w:t xml:space="preserve">Instructions on the use of the Dermatology Life Quality Index and copyright details can be found here: </w:t>
            </w:r>
            <w:hyperlink r:id="rId16" w:history="1">
              <w:r w:rsidRPr="00B74BAC">
                <w:rPr>
                  <w:rFonts w:ascii="Arial Narrow" w:eastAsia="Calibri" w:hAnsi="Arial Narrow"/>
                  <w:sz w:val="20"/>
                  <w:szCs w:val="20"/>
                </w:rPr>
                <w:t>https://www.cardiff.ac.uk/medicine/resources/quality-of-life-questionnaires/dermatology-life-quality-index</w:t>
              </w:r>
            </w:hyperlink>
          </w:p>
        </w:tc>
      </w:tr>
      <w:tr w:rsidR="007E6AA4" w:rsidRPr="00972B06" w14:paraId="48FB3FE4"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1E66243F" w14:textId="2DF59A2F" w:rsidR="007E6AA4" w:rsidRPr="00972B06" w:rsidRDefault="007E6AA4" w:rsidP="007157C0">
            <w:pPr>
              <w:jc w:val="center"/>
              <w:rPr>
                <w:rFonts w:ascii="Arial Narrow" w:hAnsi="Arial Narrow"/>
                <w:color w:val="333333"/>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4F893A03" w14:textId="77777777" w:rsidR="007E6AA4" w:rsidRPr="00972B06" w:rsidRDefault="007E6AA4" w:rsidP="007157C0">
            <w:pPr>
              <w:keepLines/>
              <w:rPr>
                <w:rFonts w:ascii="Arial Narrow" w:hAnsi="Arial Narrow"/>
                <w:b/>
                <w:bCs/>
                <w:color w:val="333333"/>
                <w:sz w:val="20"/>
                <w:szCs w:val="20"/>
              </w:rPr>
            </w:pPr>
            <w:r w:rsidRPr="00972B06">
              <w:rPr>
                <w:rFonts w:ascii="Arial Narrow" w:hAnsi="Arial Narrow"/>
                <w:b/>
                <w:bCs/>
                <w:color w:val="333333"/>
                <w:sz w:val="20"/>
                <w:szCs w:val="20"/>
              </w:rPr>
              <w:t>Administrative Advice:</w:t>
            </w:r>
          </w:p>
          <w:p w14:paraId="5E83569C" w14:textId="77777777" w:rsidR="007E6AA4" w:rsidRPr="00972B06" w:rsidRDefault="007E6AA4" w:rsidP="007157C0">
            <w:pPr>
              <w:rPr>
                <w:rFonts w:ascii="Arial Narrow" w:eastAsia="Calibri" w:hAnsi="Arial Narrow"/>
                <w:sz w:val="20"/>
                <w:szCs w:val="20"/>
              </w:rPr>
            </w:pPr>
            <w:r w:rsidRPr="00972B06">
              <w:rPr>
                <w:rFonts w:ascii="Arial Narrow" w:eastAsia="Calibri" w:hAnsi="Arial Narrow"/>
                <w:sz w:val="20"/>
                <w:szCs w:val="20"/>
              </w:rPr>
              <w:t>The Physician's Global Assessment (5-point scale) referenced in this restriction is that described in the following literature publication:</w:t>
            </w:r>
          </w:p>
          <w:p w14:paraId="6F9E907C" w14:textId="77777777" w:rsidR="007E6AA4" w:rsidRPr="00972B06" w:rsidRDefault="007E6AA4" w:rsidP="007157C0">
            <w:pPr>
              <w:rPr>
                <w:rFonts w:ascii="Arial Narrow" w:eastAsia="Calibri" w:hAnsi="Arial Narrow"/>
                <w:sz w:val="20"/>
                <w:szCs w:val="20"/>
              </w:rPr>
            </w:pPr>
            <w:proofErr w:type="spellStart"/>
            <w:r w:rsidRPr="00972B06">
              <w:rPr>
                <w:rFonts w:ascii="Arial Narrow" w:eastAsia="Calibri" w:hAnsi="Arial Narrow"/>
                <w:sz w:val="20"/>
                <w:szCs w:val="20"/>
              </w:rPr>
              <w:t>Fatumura</w:t>
            </w:r>
            <w:proofErr w:type="spellEnd"/>
            <w:r w:rsidRPr="00972B06">
              <w:rPr>
                <w:rFonts w:ascii="Arial Narrow" w:eastAsia="Calibri" w:hAnsi="Arial Narrow"/>
                <w:sz w:val="20"/>
                <w:szCs w:val="20"/>
              </w:rPr>
              <w:t xml:space="preserve"> M et al. A systematic review of Investigator Global Assessment (IGA) in atopic dermatitis (AD) trials: Many options, no standards Journal of the American Academy of Dermatology 2016; 674(2): 288-94 </w:t>
            </w:r>
          </w:p>
          <w:p w14:paraId="3119E1E1" w14:textId="77777777" w:rsidR="007E6AA4" w:rsidRPr="00972B06" w:rsidRDefault="007E6AA4" w:rsidP="007157C0">
            <w:pPr>
              <w:keepLines/>
              <w:rPr>
                <w:rFonts w:ascii="Arial Narrow" w:hAnsi="Arial Narrow"/>
                <w:b/>
                <w:bCs/>
                <w:color w:val="333333"/>
                <w:sz w:val="20"/>
                <w:szCs w:val="20"/>
              </w:rPr>
            </w:pPr>
            <w:r w:rsidRPr="00972B06">
              <w:rPr>
                <w:rFonts w:ascii="Arial Narrow" w:eastAsia="Calibri" w:hAnsi="Arial Narrow"/>
                <w:sz w:val="20"/>
                <w:szCs w:val="20"/>
              </w:rPr>
              <w:t>The overall appearance of dermatitis lesions is rated as 4 (severe) if the lesions are best described as featuring: deep/dark red erythema, with marked and extensive induration/papulation; excoriation and oozing/crusting are present.</w:t>
            </w:r>
          </w:p>
        </w:tc>
      </w:tr>
      <w:tr w:rsidR="007E6AA4" w:rsidRPr="00972B06" w14:paraId="3B781D34"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69CEEEC8" w14:textId="0BAAC694" w:rsidR="007E6AA4" w:rsidRPr="00972B06"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42AB7082" w14:textId="77777777" w:rsidR="007E6AA4" w:rsidRPr="00972B06" w:rsidRDefault="007E6AA4" w:rsidP="007157C0">
            <w:pPr>
              <w:keepLines/>
              <w:rPr>
                <w:rFonts w:ascii="Arial Narrow" w:hAnsi="Arial Narrow"/>
                <w:b/>
                <w:bCs/>
                <w:color w:val="333333"/>
                <w:sz w:val="20"/>
                <w:szCs w:val="20"/>
              </w:rPr>
            </w:pPr>
            <w:r w:rsidRPr="00972B06">
              <w:rPr>
                <w:rFonts w:ascii="Arial Narrow" w:hAnsi="Arial Narrow"/>
                <w:b/>
                <w:bCs/>
                <w:color w:val="333333"/>
                <w:sz w:val="20"/>
                <w:szCs w:val="20"/>
              </w:rPr>
              <w:t>Administrative Advice:</w:t>
            </w:r>
          </w:p>
          <w:p w14:paraId="4607FCC0" w14:textId="77777777" w:rsidR="007E6AA4" w:rsidRPr="00972B06" w:rsidRDefault="007E6AA4" w:rsidP="007157C0">
            <w:pPr>
              <w:keepLines/>
              <w:rPr>
                <w:rFonts w:ascii="Arial Narrow" w:hAnsi="Arial Narrow"/>
                <w:b/>
                <w:sz w:val="20"/>
                <w:szCs w:val="20"/>
              </w:rPr>
            </w:pPr>
            <w:r w:rsidRPr="00972B06">
              <w:rPr>
                <w:rFonts w:ascii="Arial Narrow" w:eastAsia="Calibri" w:hAnsi="Arial Narrow"/>
                <w:sz w:val="20"/>
                <w:szCs w:val="20"/>
              </w:rPr>
              <w:t xml:space="preserve">Applications for authorisation under this restriction may be made in real time using the Online PBS Authorities system (see www.servicesaustralia.gov.au/HPOS) or by telephone by contacting Services Australia on 1800 888 333. </w:t>
            </w:r>
          </w:p>
        </w:tc>
      </w:tr>
      <w:tr w:rsidR="00183E42" w:rsidRPr="00972B06" w14:paraId="69CCE69E"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shd w:val="clear" w:color="auto" w:fill="D9D9D9" w:themeFill="background1" w:themeFillShade="D9"/>
          </w:tcPr>
          <w:p w14:paraId="0A052A5D" w14:textId="77777777" w:rsidR="007E6AA4" w:rsidRPr="00972B06" w:rsidRDefault="007E6AA4" w:rsidP="007157C0">
            <w:pPr>
              <w:jc w:val="center"/>
              <w:rPr>
                <w:rFonts w:ascii="Arial Narrow" w:hAnsi="Arial Narrow"/>
                <w:color w:val="333333"/>
                <w:sz w:val="20"/>
                <w:szCs w:val="20"/>
              </w:rPr>
            </w:pPr>
          </w:p>
        </w:tc>
        <w:tc>
          <w:tcPr>
            <w:tcW w:w="4314"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6D66E" w14:textId="77777777" w:rsidR="007E6AA4" w:rsidRPr="00972B06" w:rsidRDefault="007E6AA4" w:rsidP="007157C0">
            <w:pPr>
              <w:keepLines/>
              <w:rPr>
                <w:rFonts w:ascii="Arial Narrow" w:hAnsi="Arial Narrow"/>
                <w:b/>
                <w:bCs/>
                <w:sz w:val="20"/>
                <w:szCs w:val="20"/>
              </w:rPr>
            </w:pPr>
            <w:r w:rsidRPr="00972B06">
              <w:rPr>
                <w:rFonts w:ascii="Arial Narrow" w:hAnsi="Arial Narrow"/>
                <w:b/>
                <w:sz w:val="20"/>
                <w:szCs w:val="20"/>
              </w:rPr>
              <w:t>Restriction Summary [new</w:t>
            </w:r>
            <w:r>
              <w:rPr>
                <w:rFonts w:ascii="Arial Narrow" w:hAnsi="Arial Narrow"/>
                <w:b/>
                <w:sz w:val="20"/>
                <w:szCs w:val="20"/>
              </w:rPr>
              <w:t>3</w:t>
            </w:r>
            <w:r w:rsidRPr="00972B06">
              <w:rPr>
                <w:rFonts w:ascii="Arial Narrow" w:hAnsi="Arial Narrow"/>
                <w:b/>
                <w:sz w:val="20"/>
                <w:szCs w:val="20"/>
              </w:rPr>
              <w:t>] / Treatment of Concept: [new</w:t>
            </w:r>
            <w:r>
              <w:rPr>
                <w:rFonts w:ascii="Arial Narrow" w:hAnsi="Arial Narrow"/>
                <w:b/>
                <w:sz w:val="20"/>
                <w:szCs w:val="20"/>
              </w:rPr>
              <w:t>3</w:t>
            </w:r>
            <w:r w:rsidRPr="00972B06">
              <w:rPr>
                <w:rFonts w:ascii="Arial Narrow" w:hAnsi="Arial Narrow"/>
                <w:b/>
                <w:sz w:val="20"/>
                <w:szCs w:val="20"/>
              </w:rPr>
              <w:t>A]</w:t>
            </w:r>
          </w:p>
        </w:tc>
      </w:tr>
      <w:tr w:rsidR="007E6AA4" w:rsidRPr="00972B06" w14:paraId="4B4F54B5" w14:textId="77777777" w:rsidTr="00807021">
        <w:tblPrEx>
          <w:tblCellMar>
            <w:top w:w="15" w:type="dxa"/>
            <w:bottom w:w="15" w:type="dxa"/>
          </w:tblCellMar>
          <w:tblLook w:val="04A0" w:firstRow="1" w:lastRow="0" w:firstColumn="1" w:lastColumn="0" w:noHBand="0" w:noVBand="1"/>
        </w:tblPrEx>
        <w:trPr>
          <w:cantSplit/>
          <w:trHeight w:val="20"/>
        </w:trPr>
        <w:tc>
          <w:tcPr>
            <w:tcW w:w="686" w:type="pct"/>
            <w:hideMark/>
          </w:tcPr>
          <w:p w14:paraId="74B81F21" w14:textId="58B7C8B1" w:rsidR="007E6AA4" w:rsidRPr="00972B06" w:rsidRDefault="007E6AA4" w:rsidP="007157C0">
            <w:pPr>
              <w:keepLines/>
              <w:jc w:val="center"/>
              <w:rPr>
                <w:rFonts w:ascii="Arial Narrow" w:hAnsi="Arial Narrow"/>
                <w:color w:val="333333"/>
                <w:sz w:val="20"/>
                <w:szCs w:val="20"/>
              </w:rPr>
            </w:pPr>
          </w:p>
        </w:tc>
        <w:tc>
          <w:tcPr>
            <w:tcW w:w="4314" w:type="pct"/>
            <w:gridSpan w:val="6"/>
            <w:vAlign w:val="center"/>
            <w:hideMark/>
          </w:tcPr>
          <w:p w14:paraId="568F1CC3" w14:textId="77777777" w:rsidR="007E6AA4" w:rsidRPr="00972B06" w:rsidRDefault="007E6AA4" w:rsidP="007157C0">
            <w:pPr>
              <w:keepLines/>
              <w:rPr>
                <w:rFonts w:ascii="Arial Narrow" w:hAnsi="Arial Narrow"/>
                <w:sz w:val="20"/>
                <w:szCs w:val="20"/>
              </w:rPr>
            </w:pPr>
            <w:r w:rsidRPr="00972B06">
              <w:rPr>
                <w:rFonts w:ascii="Arial Narrow" w:hAnsi="Arial Narrow"/>
                <w:b/>
                <w:bCs/>
                <w:sz w:val="20"/>
                <w:szCs w:val="20"/>
              </w:rPr>
              <w:t>Indication:</w:t>
            </w:r>
            <w:r w:rsidRPr="00972B06">
              <w:rPr>
                <w:rFonts w:ascii="Arial Narrow" w:hAnsi="Arial Narrow"/>
                <w:sz w:val="20"/>
                <w:szCs w:val="20"/>
              </w:rPr>
              <w:t xml:space="preserve"> Chronic severe atopic dermatitis </w:t>
            </w:r>
          </w:p>
        </w:tc>
      </w:tr>
      <w:tr w:rsidR="007E6AA4" w:rsidRPr="00972B06" w14:paraId="52BF809C" w14:textId="77777777" w:rsidTr="00807021">
        <w:tblPrEx>
          <w:tblCellMar>
            <w:top w:w="15" w:type="dxa"/>
            <w:bottom w:w="15" w:type="dxa"/>
          </w:tblCellMar>
          <w:tblLook w:val="04A0" w:firstRow="1" w:lastRow="0" w:firstColumn="1" w:lastColumn="0" w:noHBand="0" w:noVBand="1"/>
        </w:tblPrEx>
        <w:trPr>
          <w:cantSplit/>
          <w:trHeight w:val="20"/>
        </w:trPr>
        <w:tc>
          <w:tcPr>
            <w:tcW w:w="686" w:type="pct"/>
            <w:hideMark/>
          </w:tcPr>
          <w:p w14:paraId="3D7184DD" w14:textId="77777777" w:rsidR="007E6AA4" w:rsidRPr="00972B06" w:rsidRDefault="007E6AA4" w:rsidP="007157C0">
            <w:pPr>
              <w:jc w:val="center"/>
              <w:rPr>
                <w:rFonts w:ascii="Arial Narrow" w:hAnsi="Arial Narrow"/>
                <w:color w:val="333333"/>
                <w:sz w:val="20"/>
                <w:szCs w:val="20"/>
              </w:rPr>
            </w:pPr>
          </w:p>
        </w:tc>
        <w:tc>
          <w:tcPr>
            <w:tcW w:w="4314" w:type="pct"/>
            <w:gridSpan w:val="6"/>
            <w:vAlign w:val="center"/>
            <w:hideMark/>
          </w:tcPr>
          <w:p w14:paraId="4702D559" w14:textId="77777777" w:rsidR="007E6AA4" w:rsidRPr="00972B06" w:rsidRDefault="007E6AA4" w:rsidP="007157C0">
            <w:pPr>
              <w:rPr>
                <w:rFonts w:ascii="Arial Narrow" w:hAnsi="Arial Narrow"/>
                <w:sz w:val="20"/>
                <w:szCs w:val="20"/>
              </w:rPr>
            </w:pPr>
            <w:r w:rsidRPr="00972B06">
              <w:rPr>
                <w:rFonts w:ascii="Arial Narrow" w:hAnsi="Arial Narrow"/>
                <w:b/>
                <w:bCs/>
                <w:sz w:val="20"/>
                <w:szCs w:val="20"/>
              </w:rPr>
              <w:t>Treatment Phase:</w:t>
            </w:r>
            <w:r w:rsidRPr="00972B06">
              <w:rPr>
                <w:rFonts w:ascii="Arial Narrow" w:hAnsi="Arial Narrow"/>
                <w:sz w:val="20"/>
                <w:szCs w:val="20"/>
              </w:rPr>
              <w:t xml:space="preserve"> </w:t>
            </w:r>
            <w:r>
              <w:rPr>
                <w:rFonts w:ascii="Arial Narrow" w:hAnsi="Arial Narrow"/>
                <w:sz w:val="20"/>
                <w:szCs w:val="20"/>
              </w:rPr>
              <w:t>Extended induction treatment (further 8 weeks of initial treatment of the whole body or the face and/or hands)</w:t>
            </w:r>
          </w:p>
        </w:tc>
      </w:tr>
      <w:tr w:rsidR="007E6AA4" w:rsidRPr="00972B06" w14:paraId="7BB834A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7B5D33D" w14:textId="71DF702C" w:rsidR="007E6AA4" w:rsidRPr="00972B06" w:rsidRDefault="007E6AA4" w:rsidP="007157C0">
            <w:pPr>
              <w:jc w:val="center"/>
              <w:rPr>
                <w:rFonts w:ascii="Arial Narrow" w:hAnsi="Arial Narrow"/>
                <w:color w:val="333333"/>
                <w:sz w:val="20"/>
                <w:szCs w:val="20"/>
              </w:rPr>
            </w:pPr>
          </w:p>
        </w:tc>
        <w:tc>
          <w:tcPr>
            <w:tcW w:w="4314" w:type="pct"/>
            <w:gridSpan w:val="6"/>
            <w:vAlign w:val="center"/>
            <w:hideMark/>
          </w:tcPr>
          <w:p w14:paraId="35759A96" w14:textId="77777777" w:rsidR="007E6AA4" w:rsidRPr="00972B06" w:rsidRDefault="007E6AA4" w:rsidP="007157C0">
            <w:pPr>
              <w:rPr>
                <w:rFonts w:ascii="Arial Narrow" w:hAnsi="Arial Narrow"/>
                <w:sz w:val="20"/>
                <w:szCs w:val="20"/>
              </w:rPr>
            </w:pPr>
            <w:r w:rsidRPr="00972B06">
              <w:rPr>
                <w:rFonts w:ascii="Arial Narrow" w:hAnsi="Arial Narrow"/>
                <w:b/>
                <w:bCs/>
                <w:color w:val="333333"/>
                <w:sz w:val="20"/>
                <w:szCs w:val="20"/>
              </w:rPr>
              <w:t xml:space="preserve">Clinical criteria: </w:t>
            </w:r>
          </w:p>
        </w:tc>
      </w:tr>
      <w:tr w:rsidR="007E6AA4" w:rsidRPr="00972B06" w14:paraId="2173D327"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4C89B12" w14:textId="0BB56DA7" w:rsidR="007E6AA4" w:rsidRPr="00972B06" w:rsidRDefault="007E6AA4" w:rsidP="007157C0">
            <w:pPr>
              <w:jc w:val="center"/>
              <w:rPr>
                <w:rFonts w:ascii="Arial Narrow" w:hAnsi="Arial Narrow"/>
                <w:color w:val="333333"/>
                <w:sz w:val="20"/>
                <w:szCs w:val="20"/>
              </w:rPr>
            </w:pPr>
          </w:p>
        </w:tc>
        <w:tc>
          <w:tcPr>
            <w:tcW w:w="4314" w:type="pct"/>
            <w:gridSpan w:val="6"/>
            <w:hideMark/>
          </w:tcPr>
          <w:p w14:paraId="7EF1E890" w14:textId="77777777" w:rsidR="007E6AA4" w:rsidRPr="00972B06" w:rsidRDefault="007E6AA4" w:rsidP="007157C0">
            <w:pPr>
              <w:rPr>
                <w:rFonts w:ascii="Arial Narrow" w:eastAsia="Calibri" w:hAnsi="Arial Narrow"/>
                <w:sz w:val="20"/>
                <w:szCs w:val="20"/>
              </w:rPr>
            </w:pPr>
            <w:r w:rsidRPr="003171A4">
              <w:rPr>
                <w:rFonts w:ascii="Arial Narrow" w:hAnsi="Arial Narrow"/>
                <w:sz w:val="20"/>
                <w:szCs w:val="20"/>
              </w:rPr>
              <w:t xml:space="preserve">Patient must have received PBS-subsidised treatment with this biological medicine for the treatment of chronic severe atopic dermatitis under the initial treatment </w:t>
            </w:r>
            <w:r>
              <w:rPr>
                <w:rFonts w:ascii="Arial Narrow" w:hAnsi="Arial Narrow"/>
                <w:sz w:val="20"/>
                <w:szCs w:val="20"/>
              </w:rPr>
              <w:t xml:space="preserve">or grandfather treatment </w:t>
            </w:r>
            <w:r w:rsidRPr="003171A4">
              <w:rPr>
                <w:rFonts w:ascii="Arial Narrow" w:hAnsi="Arial Narrow"/>
                <w:sz w:val="20"/>
                <w:szCs w:val="20"/>
              </w:rPr>
              <w:t>phase of the whole body or the face and/or hands</w:t>
            </w:r>
          </w:p>
        </w:tc>
      </w:tr>
      <w:tr w:rsidR="007E6AA4" w:rsidRPr="00972B06" w14:paraId="32CD54C4"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37835F0" w14:textId="77777777" w:rsidR="007E6AA4" w:rsidRPr="00972B06" w:rsidRDefault="007E6AA4" w:rsidP="007157C0">
            <w:pPr>
              <w:jc w:val="center"/>
              <w:rPr>
                <w:rFonts w:ascii="Arial Narrow" w:hAnsi="Arial Narrow"/>
                <w:color w:val="333333"/>
                <w:sz w:val="20"/>
                <w:szCs w:val="20"/>
              </w:rPr>
            </w:pPr>
          </w:p>
        </w:tc>
        <w:tc>
          <w:tcPr>
            <w:tcW w:w="4314" w:type="pct"/>
            <w:gridSpan w:val="6"/>
            <w:vAlign w:val="center"/>
            <w:hideMark/>
          </w:tcPr>
          <w:p w14:paraId="65BA2FEC" w14:textId="77777777" w:rsidR="007E6AA4" w:rsidRPr="00972B06" w:rsidRDefault="007E6AA4" w:rsidP="007157C0">
            <w:pPr>
              <w:rPr>
                <w:rFonts w:ascii="Arial Narrow" w:hAnsi="Arial Narrow"/>
                <w:color w:val="333333"/>
                <w:sz w:val="20"/>
                <w:szCs w:val="20"/>
              </w:rPr>
            </w:pPr>
            <w:r w:rsidRPr="00972B06">
              <w:rPr>
                <w:rFonts w:ascii="Arial Narrow" w:hAnsi="Arial Narrow"/>
                <w:b/>
                <w:bCs/>
                <w:color w:val="333333"/>
                <w:sz w:val="20"/>
                <w:szCs w:val="20"/>
              </w:rPr>
              <w:t>AND</w:t>
            </w:r>
          </w:p>
        </w:tc>
      </w:tr>
      <w:tr w:rsidR="007E6AA4" w:rsidRPr="00972B06" w14:paraId="5226240C"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A39A97D" w14:textId="1D207C27" w:rsidR="007E6AA4" w:rsidRPr="001578BD" w:rsidRDefault="007E6AA4" w:rsidP="007157C0">
            <w:pPr>
              <w:jc w:val="center"/>
              <w:rPr>
                <w:rFonts w:ascii="Arial Narrow" w:hAnsi="Arial Narrow"/>
                <w:sz w:val="20"/>
                <w:szCs w:val="20"/>
              </w:rPr>
            </w:pPr>
          </w:p>
        </w:tc>
        <w:tc>
          <w:tcPr>
            <w:tcW w:w="4314" w:type="pct"/>
            <w:gridSpan w:val="6"/>
            <w:vAlign w:val="center"/>
            <w:hideMark/>
          </w:tcPr>
          <w:p w14:paraId="6127E26C" w14:textId="77777777" w:rsidR="007E6AA4" w:rsidRPr="001578BD" w:rsidRDefault="007E6AA4" w:rsidP="007157C0">
            <w:pPr>
              <w:rPr>
                <w:rFonts w:ascii="Arial Narrow" w:hAnsi="Arial Narrow"/>
                <w:color w:val="333333"/>
                <w:sz w:val="20"/>
                <w:szCs w:val="20"/>
              </w:rPr>
            </w:pPr>
            <w:r w:rsidRPr="001578BD">
              <w:rPr>
                <w:rFonts w:ascii="Arial Narrow" w:hAnsi="Arial Narrow"/>
                <w:b/>
                <w:bCs/>
                <w:color w:val="333333"/>
                <w:sz w:val="20"/>
                <w:szCs w:val="20"/>
              </w:rPr>
              <w:t>Clinical criteria:</w:t>
            </w:r>
          </w:p>
        </w:tc>
      </w:tr>
      <w:tr w:rsidR="00183E42" w:rsidRPr="00972B06" w14:paraId="33DBD59C"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C41BFE5" w14:textId="235E418E" w:rsidR="007E6AA4" w:rsidRPr="001578BD" w:rsidRDefault="007E6AA4" w:rsidP="007157C0">
            <w:pPr>
              <w:jc w:val="center"/>
              <w:rPr>
                <w:rFonts w:ascii="Arial Narrow" w:hAnsi="Arial Narrow"/>
                <w:sz w:val="20"/>
                <w:szCs w:val="20"/>
              </w:rPr>
            </w:pPr>
          </w:p>
        </w:tc>
        <w:tc>
          <w:tcPr>
            <w:tcW w:w="4314" w:type="pct"/>
            <w:gridSpan w:val="6"/>
          </w:tcPr>
          <w:p w14:paraId="216B7E5F" w14:textId="33ED1EDF" w:rsidR="007E6AA4" w:rsidRPr="001578BD" w:rsidRDefault="007E6AA4" w:rsidP="007157C0">
            <w:pPr>
              <w:rPr>
                <w:rFonts w:ascii="Arial Narrow" w:hAnsi="Arial Narrow"/>
                <w:color w:val="FF0000"/>
                <w:sz w:val="20"/>
                <w:szCs w:val="20"/>
              </w:rPr>
            </w:pPr>
            <w:r w:rsidRPr="001578BD">
              <w:rPr>
                <w:rFonts w:ascii="Arial Narrow" w:hAnsi="Arial Narrow"/>
                <w:sz w:val="20"/>
                <w:szCs w:val="20"/>
              </w:rPr>
              <w:t xml:space="preserve">Patient must not be undergoing </w:t>
            </w:r>
            <w:r w:rsidR="001578BD">
              <w:rPr>
                <w:rFonts w:ascii="Arial Narrow" w:hAnsi="Arial Narrow"/>
                <w:sz w:val="20"/>
                <w:szCs w:val="20"/>
              </w:rPr>
              <w:t>any</w:t>
            </w:r>
            <w:r w:rsidRPr="001578BD">
              <w:rPr>
                <w:rFonts w:ascii="Arial Narrow" w:hAnsi="Arial Narrow"/>
                <w:sz w:val="20"/>
                <w:szCs w:val="20"/>
              </w:rPr>
              <w:t xml:space="preserve"> of</w:t>
            </w:r>
            <w:r w:rsidR="001578BD">
              <w:rPr>
                <w:rFonts w:ascii="Arial Narrow" w:hAnsi="Arial Narrow"/>
                <w:sz w:val="20"/>
                <w:szCs w:val="20"/>
              </w:rPr>
              <w:t xml:space="preserve"> the following</w:t>
            </w:r>
            <w:r w:rsidRPr="001578BD">
              <w:rPr>
                <w:rFonts w:ascii="Arial Narrow" w:hAnsi="Arial Narrow"/>
                <w:sz w:val="20"/>
                <w:szCs w:val="20"/>
              </w:rPr>
              <w:t>: (i) commencing treatment through this treatment phase listing, (ii) treatment accessed through this treatment phase more than once;</w:t>
            </w:r>
          </w:p>
        </w:tc>
      </w:tr>
      <w:tr w:rsidR="00183E42" w:rsidRPr="00972B06" w14:paraId="4AF8A71C"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39E8602" w14:textId="77777777" w:rsidR="007E6AA4" w:rsidRPr="00972B06" w:rsidRDefault="007E6AA4" w:rsidP="007157C0">
            <w:pPr>
              <w:jc w:val="center"/>
              <w:rPr>
                <w:rFonts w:ascii="Arial Narrow" w:hAnsi="Arial Narrow"/>
                <w:color w:val="333333"/>
                <w:sz w:val="20"/>
                <w:szCs w:val="20"/>
              </w:rPr>
            </w:pPr>
          </w:p>
        </w:tc>
        <w:tc>
          <w:tcPr>
            <w:tcW w:w="4314" w:type="pct"/>
            <w:gridSpan w:val="6"/>
            <w:vAlign w:val="center"/>
            <w:hideMark/>
          </w:tcPr>
          <w:p w14:paraId="4387C761" w14:textId="77777777" w:rsidR="007E6AA4" w:rsidRPr="00972B06" w:rsidRDefault="007E6AA4" w:rsidP="007157C0">
            <w:pPr>
              <w:rPr>
                <w:rFonts w:ascii="Arial Narrow" w:hAnsi="Arial Narrow"/>
                <w:color w:val="333333"/>
                <w:sz w:val="20"/>
                <w:szCs w:val="20"/>
              </w:rPr>
            </w:pPr>
            <w:r w:rsidRPr="00972B06">
              <w:rPr>
                <w:rFonts w:ascii="Arial Narrow" w:hAnsi="Arial Narrow"/>
                <w:b/>
                <w:bCs/>
                <w:color w:val="333333"/>
                <w:sz w:val="20"/>
                <w:szCs w:val="20"/>
              </w:rPr>
              <w:t>AND</w:t>
            </w:r>
          </w:p>
        </w:tc>
      </w:tr>
      <w:tr w:rsidR="00183E42" w:rsidRPr="00972B06" w14:paraId="4CCB1F22"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02FB2F7" w14:textId="77B15151" w:rsidR="007E6AA4" w:rsidRPr="00972B06" w:rsidRDefault="007E6AA4" w:rsidP="007157C0">
            <w:pPr>
              <w:jc w:val="center"/>
              <w:rPr>
                <w:rFonts w:ascii="Arial Narrow" w:hAnsi="Arial Narrow"/>
                <w:color w:val="333333"/>
                <w:sz w:val="20"/>
                <w:szCs w:val="20"/>
              </w:rPr>
            </w:pPr>
          </w:p>
        </w:tc>
        <w:tc>
          <w:tcPr>
            <w:tcW w:w="4314" w:type="pct"/>
            <w:gridSpan w:val="6"/>
            <w:vAlign w:val="center"/>
            <w:hideMark/>
          </w:tcPr>
          <w:p w14:paraId="00F186C0" w14:textId="77777777" w:rsidR="007E6AA4" w:rsidRPr="00972B06" w:rsidRDefault="007E6AA4" w:rsidP="007157C0">
            <w:pPr>
              <w:rPr>
                <w:rFonts w:ascii="Arial Narrow" w:hAnsi="Arial Narrow"/>
                <w:color w:val="333333"/>
                <w:sz w:val="20"/>
                <w:szCs w:val="20"/>
              </w:rPr>
            </w:pPr>
            <w:r w:rsidRPr="00972B06">
              <w:rPr>
                <w:rFonts w:ascii="Arial Narrow" w:hAnsi="Arial Narrow"/>
                <w:b/>
                <w:bCs/>
                <w:color w:val="333333"/>
                <w:sz w:val="20"/>
                <w:szCs w:val="20"/>
              </w:rPr>
              <w:t>Clinical criteria:</w:t>
            </w:r>
          </w:p>
        </w:tc>
      </w:tr>
      <w:tr w:rsidR="00183E42" w:rsidRPr="00972B06" w14:paraId="371E460C"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27763BB6" w14:textId="597558F3" w:rsidR="007E6AA4" w:rsidRPr="00972B06" w:rsidRDefault="007E6AA4" w:rsidP="007157C0">
            <w:pPr>
              <w:jc w:val="center"/>
              <w:rPr>
                <w:rFonts w:ascii="Arial Narrow" w:hAnsi="Arial Narrow"/>
                <w:sz w:val="20"/>
                <w:szCs w:val="20"/>
              </w:rPr>
            </w:pPr>
          </w:p>
        </w:tc>
        <w:tc>
          <w:tcPr>
            <w:tcW w:w="4314" w:type="pct"/>
            <w:gridSpan w:val="6"/>
            <w:hideMark/>
          </w:tcPr>
          <w:p w14:paraId="7DDD8AAF" w14:textId="25836B98" w:rsidR="007E6AA4" w:rsidRPr="00972B06" w:rsidRDefault="007E6AA4" w:rsidP="007157C0">
            <w:pPr>
              <w:rPr>
                <w:rFonts w:ascii="Arial Narrow" w:hAnsi="Arial Narrow"/>
                <w:color w:val="333333"/>
                <w:sz w:val="20"/>
                <w:szCs w:val="20"/>
              </w:rPr>
            </w:pPr>
            <w:r w:rsidRPr="00991515">
              <w:rPr>
                <w:rFonts w:ascii="Arial Narrow" w:hAnsi="Arial Narrow"/>
                <w:sz w:val="20"/>
                <w:szCs w:val="20"/>
              </w:rPr>
              <w:t>Patient must not have achieved</w:t>
            </w:r>
            <w:r w:rsidR="00B676E5">
              <w:rPr>
                <w:rFonts w:ascii="Arial Narrow" w:hAnsi="Arial Narrow"/>
                <w:sz w:val="20"/>
                <w:szCs w:val="20"/>
              </w:rPr>
              <w:t xml:space="preserve"> an </w:t>
            </w:r>
            <w:r w:rsidRPr="00991515">
              <w:rPr>
                <w:rFonts w:ascii="Arial Narrow" w:hAnsi="Arial Narrow"/>
                <w:sz w:val="20"/>
                <w:szCs w:val="20"/>
              </w:rPr>
              <w:t xml:space="preserve">adequate response after 16 weeks of treatment with this </w:t>
            </w:r>
            <w:r w:rsidRPr="00837FB6">
              <w:rPr>
                <w:rFonts w:ascii="Arial Narrow" w:hAnsi="Arial Narrow"/>
                <w:sz w:val="20"/>
                <w:szCs w:val="20"/>
              </w:rPr>
              <w:t xml:space="preserve">drug </w:t>
            </w:r>
            <w:r w:rsidRPr="00AD6F0D">
              <w:rPr>
                <w:rFonts w:ascii="Arial Narrow" w:hAnsi="Arial Narrow"/>
                <w:sz w:val="20"/>
                <w:szCs w:val="20"/>
              </w:rPr>
              <w:t xml:space="preserve">for </w:t>
            </w:r>
            <w:r w:rsidRPr="00837FB6">
              <w:rPr>
                <w:rFonts w:ascii="Arial Narrow" w:hAnsi="Arial Narrow"/>
                <w:sz w:val="20"/>
                <w:szCs w:val="20"/>
              </w:rPr>
              <w:t>this</w:t>
            </w:r>
            <w:r w:rsidRPr="00991515">
              <w:rPr>
                <w:rFonts w:ascii="Arial Narrow" w:hAnsi="Arial Narrow"/>
                <w:sz w:val="20"/>
                <w:szCs w:val="20"/>
              </w:rPr>
              <w:t xml:space="preserve"> PBS indication;</w:t>
            </w:r>
          </w:p>
        </w:tc>
      </w:tr>
      <w:tr w:rsidR="007E6AA4" w:rsidRPr="00972B06" w14:paraId="4C510D9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F72188C" w14:textId="77777777" w:rsidR="007E6AA4" w:rsidRPr="00972B06" w:rsidRDefault="007E6AA4" w:rsidP="007157C0">
            <w:pPr>
              <w:jc w:val="center"/>
              <w:rPr>
                <w:rFonts w:ascii="Arial Narrow" w:hAnsi="Arial Narrow"/>
                <w:color w:val="FF0000"/>
                <w:sz w:val="20"/>
                <w:szCs w:val="20"/>
              </w:rPr>
            </w:pPr>
          </w:p>
        </w:tc>
        <w:tc>
          <w:tcPr>
            <w:tcW w:w="4314" w:type="pct"/>
            <w:gridSpan w:val="6"/>
            <w:vAlign w:val="center"/>
          </w:tcPr>
          <w:p w14:paraId="772472B2" w14:textId="77777777" w:rsidR="007E6AA4" w:rsidRPr="00972B06" w:rsidRDefault="007E6AA4" w:rsidP="007157C0">
            <w:pPr>
              <w:rPr>
                <w:rFonts w:ascii="Arial Narrow" w:hAnsi="Arial Narrow"/>
                <w:color w:val="FF0000"/>
                <w:sz w:val="20"/>
                <w:szCs w:val="20"/>
              </w:rPr>
            </w:pPr>
            <w:r w:rsidRPr="00972B06">
              <w:rPr>
                <w:rFonts w:ascii="Arial Narrow" w:hAnsi="Arial Narrow" w:cs="Arial Narrow"/>
                <w:b/>
                <w:bCs/>
                <w:iCs/>
                <w:sz w:val="20"/>
                <w:szCs w:val="20"/>
              </w:rPr>
              <w:t>AND</w:t>
            </w:r>
          </w:p>
        </w:tc>
      </w:tr>
      <w:tr w:rsidR="007E6AA4" w:rsidRPr="00972B06" w14:paraId="43E9AEAF"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C82A46E" w14:textId="126C419E" w:rsidR="007E6AA4" w:rsidRPr="00972B06" w:rsidRDefault="007E6AA4" w:rsidP="007157C0">
            <w:pPr>
              <w:keepNext/>
              <w:jc w:val="center"/>
              <w:rPr>
                <w:rFonts w:ascii="Arial Narrow" w:hAnsi="Arial Narrow"/>
                <w:color w:val="333333"/>
                <w:sz w:val="20"/>
                <w:szCs w:val="20"/>
              </w:rPr>
            </w:pPr>
          </w:p>
        </w:tc>
        <w:tc>
          <w:tcPr>
            <w:tcW w:w="4314" w:type="pct"/>
            <w:gridSpan w:val="6"/>
            <w:vAlign w:val="center"/>
            <w:hideMark/>
          </w:tcPr>
          <w:p w14:paraId="1AEAFC9C" w14:textId="77777777" w:rsidR="007E6AA4" w:rsidRPr="00972B06" w:rsidRDefault="007E6AA4" w:rsidP="007157C0">
            <w:pPr>
              <w:keepNext/>
              <w:rPr>
                <w:rFonts w:ascii="Arial Narrow" w:hAnsi="Arial Narrow"/>
                <w:color w:val="333333"/>
                <w:sz w:val="20"/>
                <w:szCs w:val="20"/>
              </w:rPr>
            </w:pPr>
            <w:r w:rsidRPr="00972B06">
              <w:rPr>
                <w:rFonts w:ascii="Arial Narrow" w:hAnsi="Arial Narrow"/>
                <w:b/>
                <w:bCs/>
                <w:color w:val="333333"/>
                <w:sz w:val="20"/>
                <w:szCs w:val="20"/>
              </w:rPr>
              <w:t>Clinical criteria:</w:t>
            </w:r>
          </w:p>
        </w:tc>
      </w:tr>
      <w:tr w:rsidR="007E6AA4" w:rsidRPr="00972B06" w14:paraId="7601D3C0"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6DF4A62" w14:textId="7D79798B" w:rsidR="007E6AA4" w:rsidRPr="00972B06" w:rsidRDefault="007E6AA4" w:rsidP="007157C0">
            <w:pPr>
              <w:jc w:val="center"/>
              <w:rPr>
                <w:rFonts w:ascii="Arial Narrow" w:hAnsi="Arial Narrow"/>
                <w:sz w:val="20"/>
                <w:szCs w:val="20"/>
              </w:rPr>
            </w:pPr>
          </w:p>
        </w:tc>
        <w:tc>
          <w:tcPr>
            <w:tcW w:w="4314" w:type="pct"/>
            <w:gridSpan w:val="6"/>
            <w:vAlign w:val="center"/>
          </w:tcPr>
          <w:p w14:paraId="6F35977F" w14:textId="77777777" w:rsidR="007E6AA4" w:rsidRPr="00972B06" w:rsidRDefault="007E6AA4" w:rsidP="007157C0">
            <w:pPr>
              <w:autoSpaceDE w:val="0"/>
              <w:autoSpaceDN w:val="0"/>
              <w:adjustRightInd w:val="0"/>
              <w:rPr>
                <w:rFonts w:ascii="Arial Narrow" w:hAnsi="Arial Narrow"/>
                <w:sz w:val="20"/>
                <w:szCs w:val="20"/>
              </w:rPr>
            </w:pPr>
            <w:r w:rsidRPr="00586FD4">
              <w:rPr>
                <w:rFonts w:ascii="Arial Narrow" w:hAnsi="Arial Narrow"/>
                <w:sz w:val="20"/>
                <w:szCs w:val="20"/>
              </w:rPr>
              <w:t>The treatment must be the sole PBS-subsidised biological medicine for this PBS indication</w:t>
            </w:r>
          </w:p>
        </w:tc>
      </w:tr>
      <w:tr w:rsidR="007E6AA4" w:rsidRPr="00972B06" w14:paraId="52CFC3E2"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3F256D41" w14:textId="424811BF" w:rsidR="007E6AA4" w:rsidRPr="00972B06" w:rsidRDefault="007E6AA4" w:rsidP="007157C0">
            <w:pPr>
              <w:jc w:val="center"/>
              <w:rPr>
                <w:rFonts w:ascii="Arial Narrow" w:hAnsi="Arial Narrow"/>
                <w:sz w:val="20"/>
                <w:szCs w:val="20"/>
              </w:rPr>
            </w:pPr>
          </w:p>
        </w:tc>
        <w:tc>
          <w:tcPr>
            <w:tcW w:w="4314" w:type="pct"/>
            <w:gridSpan w:val="6"/>
          </w:tcPr>
          <w:p w14:paraId="19DD1DDF" w14:textId="77777777" w:rsidR="007E6AA4" w:rsidRPr="00972B06" w:rsidRDefault="007E6AA4" w:rsidP="007157C0">
            <w:pPr>
              <w:autoSpaceDE w:val="0"/>
              <w:autoSpaceDN w:val="0"/>
              <w:adjustRightInd w:val="0"/>
              <w:rPr>
                <w:rFonts w:ascii="Arial Narrow" w:eastAsia="Calibri" w:hAnsi="Arial Narrow"/>
                <w:b/>
                <w:bCs/>
                <w:sz w:val="20"/>
                <w:szCs w:val="20"/>
              </w:rPr>
            </w:pPr>
            <w:r w:rsidRPr="00972B06">
              <w:rPr>
                <w:rFonts w:ascii="Arial Narrow" w:eastAsia="Calibri" w:hAnsi="Arial Narrow"/>
                <w:b/>
                <w:bCs/>
                <w:sz w:val="20"/>
                <w:szCs w:val="20"/>
              </w:rPr>
              <w:t xml:space="preserve">Treatment criteria: </w:t>
            </w:r>
          </w:p>
        </w:tc>
      </w:tr>
      <w:tr w:rsidR="007E6AA4" w:rsidRPr="00972B06" w14:paraId="7916E5E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79AA712" w14:textId="728E4AE6" w:rsidR="007E6AA4" w:rsidRPr="00972B06" w:rsidRDefault="007E6AA4" w:rsidP="007157C0">
            <w:pPr>
              <w:jc w:val="center"/>
              <w:rPr>
                <w:rFonts w:ascii="Arial Narrow" w:hAnsi="Arial Narrow"/>
                <w:sz w:val="20"/>
                <w:szCs w:val="20"/>
              </w:rPr>
            </w:pPr>
          </w:p>
        </w:tc>
        <w:tc>
          <w:tcPr>
            <w:tcW w:w="4314" w:type="pct"/>
            <w:gridSpan w:val="6"/>
          </w:tcPr>
          <w:p w14:paraId="53081B94" w14:textId="77777777" w:rsidR="007E6AA4" w:rsidRPr="00972B06" w:rsidRDefault="007E6AA4" w:rsidP="007157C0">
            <w:pPr>
              <w:autoSpaceDE w:val="0"/>
              <w:autoSpaceDN w:val="0"/>
              <w:adjustRightInd w:val="0"/>
              <w:rPr>
                <w:rFonts w:ascii="Arial Narrow" w:eastAsia="Calibri" w:hAnsi="Arial Narrow"/>
                <w:sz w:val="20"/>
                <w:szCs w:val="20"/>
              </w:rPr>
            </w:pPr>
            <w:r w:rsidRPr="00972B06">
              <w:rPr>
                <w:rFonts w:ascii="Arial Narrow" w:eastAsia="Calibri" w:hAnsi="Arial Narrow"/>
                <w:sz w:val="20"/>
                <w:szCs w:val="20"/>
              </w:rPr>
              <w:t>Must be treated by a dermatologist; or</w:t>
            </w:r>
          </w:p>
        </w:tc>
      </w:tr>
      <w:tr w:rsidR="007E6AA4" w:rsidRPr="00972B06" w14:paraId="51DF2DCF"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E7E2F98" w14:textId="0B6EF15F" w:rsidR="007E6AA4" w:rsidRPr="00972B06" w:rsidRDefault="007E6AA4" w:rsidP="007157C0">
            <w:pPr>
              <w:jc w:val="center"/>
              <w:rPr>
                <w:rFonts w:ascii="Arial Narrow" w:hAnsi="Arial Narrow"/>
                <w:sz w:val="20"/>
                <w:szCs w:val="20"/>
              </w:rPr>
            </w:pPr>
          </w:p>
        </w:tc>
        <w:tc>
          <w:tcPr>
            <w:tcW w:w="4314" w:type="pct"/>
            <w:gridSpan w:val="6"/>
          </w:tcPr>
          <w:p w14:paraId="49F4DD6B" w14:textId="77777777" w:rsidR="007E6AA4" w:rsidRPr="00972B06" w:rsidRDefault="007E6AA4" w:rsidP="007157C0">
            <w:pPr>
              <w:autoSpaceDE w:val="0"/>
              <w:autoSpaceDN w:val="0"/>
              <w:adjustRightInd w:val="0"/>
              <w:rPr>
                <w:rFonts w:ascii="Arial Narrow" w:eastAsia="Calibri" w:hAnsi="Arial Narrow"/>
                <w:sz w:val="20"/>
                <w:szCs w:val="20"/>
              </w:rPr>
            </w:pPr>
            <w:r w:rsidRPr="00972B06">
              <w:rPr>
                <w:rFonts w:ascii="Arial Narrow" w:eastAsia="Calibri" w:hAnsi="Arial Narrow"/>
                <w:sz w:val="20"/>
                <w:szCs w:val="20"/>
              </w:rPr>
              <w:t>Must be treated by a clinical immunologist</w:t>
            </w:r>
          </w:p>
        </w:tc>
      </w:tr>
      <w:tr w:rsidR="007E6AA4" w:rsidRPr="00972B06" w14:paraId="3541818C"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D77A67C" w14:textId="643F31C9" w:rsidR="007E6AA4" w:rsidRPr="00972B06" w:rsidRDefault="007E6AA4" w:rsidP="007157C0">
            <w:pPr>
              <w:jc w:val="center"/>
              <w:rPr>
                <w:rFonts w:ascii="Arial Narrow" w:hAnsi="Arial Narrow"/>
                <w:color w:val="333333"/>
                <w:sz w:val="20"/>
                <w:szCs w:val="20"/>
              </w:rPr>
            </w:pPr>
          </w:p>
        </w:tc>
        <w:tc>
          <w:tcPr>
            <w:tcW w:w="4314" w:type="pct"/>
            <w:gridSpan w:val="6"/>
            <w:vAlign w:val="center"/>
            <w:hideMark/>
          </w:tcPr>
          <w:p w14:paraId="523ACFC4" w14:textId="77777777" w:rsidR="007E6AA4" w:rsidRPr="00972B06" w:rsidRDefault="007E6AA4" w:rsidP="007157C0">
            <w:pPr>
              <w:rPr>
                <w:rFonts w:ascii="Arial Narrow" w:hAnsi="Arial Narrow"/>
                <w:color w:val="333333"/>
                <w:sz w:val="20"/>
                <w:szCs w:val="20"/>
              </w:rPr>
            </w:pPr>
            <w:r w:rsidRPr="00972B06">
              <w:rPr>
                <w:rFonts w:ascii="Arial Narrow" w:hAnsi="Arial Narrow"/>
                <w:b/>
                <w:bCs/>
                <w:color w:val="333333"/>
                <w:sz w:val="20"/>
                <w:szCs w:val="20"/>
              </w:rPr>
              <w:t>Population criteria:</w:t>
            </w:r>
          </w:p>
        </w:tc>
      </w:tr>
      <w:tr w:rsidR="007E6AA4" w:rsidRPr="00972B06" w14:paraId="407BDA02"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2D13AE8E" w14:textId="2E08CF56" w:rsidR="007E6AA4" w:rsidRPr="00972B06" w:rsidRDefault="007E6AA4" w:rsidP="007157C0">
            <w:pPr>
              <w:jc w:val="center"/>
              <w:rPr>
                <w:rFonts w:ascii="Arial Narrow" w:hAnsi="Arial Narrow"/>
                <w:color w:val="333333"/>
                <w:sz w:val="20"/>
                <w:szCs w:val="20"/>
              </w:rPr>
            </w:pPr>
          </w:p>
        </w:tc>
        <w:tc>
          <w:tcPr>
            <w:tcW w:w="4314" w:type="pct"/>
            <w:gridSpan w:val="6"/>
            <w:vAlign w:val="center"/>
            <w:hideMark/>
          </w:tcPr>
          <w:p w14:paraId="671C3721" w14:textId="77777777" w:rsidR="007E6AA4" w:rsidRPr="00972B06" w:rsidRDefault="007E6AA4" w:rsidP="007157C0">
            <w:pPr>
              <w:rPr>
                <w:rFonts w:ascii="Arial Narrow" w:eastAsia="Calibri" w:hAnsi="Arial Narrow"/>
                <w:sz w:val="20"/>
                <w:szCs w:val="20"/>
              </w:rPr>
            </w:pPr>
            <w:r w:rsidRPr="00972B06">
              <w:rPr>
                <w:rFonts w:ascii="Arial Narrow" w:eastAsia="Calibri" w:hAnsi="Arial Narrow"/>
                <w:sz w:val="20"/>
                <w:szCs w:val="20"/>
              </w:rPr>
              <w:t>Patient must be 12 years of age or older</w:t>
            </w:r>
          </w:p>
        </w:tc>
      </w:tr>
      <w:tr w:rsidR="007E6AA4" w:rsidRPr="00972B06" w14:paraId="143F7C00"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A676394" w14:textId="5244B91A" w:rsidR="007E6AA4" w:rsidRPr="00972B06" w:rsidRDefault="007E6AA4" w:rsidP="007157C0">
            <w:pPr>
              <w:jc w:val="center"/>
              <w:rPr>
                <w:rFonts w:ascii="Arial Narrow" w:eastAsia="Calibri" w:hAnsi="Arial Narrow"/>
                <w:sz w:val="20"/>
                <w:szCs w:val="20"/>
              </w:rPr>
            </w:pPr>
          </w:p>
        </w:tc>
        <w:tc>
          <w:tcPr>
            <w:tcW w:w="4314" w:type="pct"/>
            <w:gridSpan w:val="6"/>
            <w:vAlign w:val="center"/>
          </w:tcPr>
          <w:p w14:paraId="1B641157" w14:textId="77777777" w:rsidR="007E6AA4" w:rsidRPr="00972B06" w:rsidRDefault="007E6AA4" w:rsidP="007157C0">
            <w:pPr>
              <w:rPr>
                <w:rFonts w:ascii="Arial Narrow" w:eastAsia="Calibri" w:hAnsi="Arial Narrow"/>
                <w:b/>
                <w:bCs/>
                <w:sz w:val="20"/>
                <w:szCs w:val="20"/>
              </w:rPr>
            </w:pPr>
            <w:r w:rsidRPr="00972B06">
              <w:rPr>
                <w:rFonts w:ascii="Arial Narrow" w:eastAsia="Calibri" w:hAnsi="Arial Narrow"/>
                <w:b/>
                <w:bCs/>
                <w:sz w:val="20"/>
                <w:szCs w:val="20"/>
              </w:rPr>
              <w:t>Prescribing Instructions:</w:t>
            </w:r>
          </w:p>
          <w:p w14:paraId="68F9F1A6" w14:textId="77777777" w:rsidR="007E6AA4" w:rsidRPr="00B80C0D" w:rsidRDefault="007E6AA4" w:rsidP="007157C0">
            <w:pPr>
              <w:rPr>
                <w:rFonts w:ascii="Arial Narrow" w:eastAsia="Calibri" w:hAnsi="Arial Narrow"/>
                <w:sz w:val="20"/>
                <w:szCs w:val="20"/>
              </w:rPr>
            </w:pPr>
            <w:r w:rsidRPr="00B80C0D">
              <w:rPr>
                <w:rFonts w:ascii="Arial Narrow" w:eastAsia="Calibri" w:hAnsi="Arial Narrow"/>
                <w:sz w:val="20"/>
                <w:szCs w:val="20"/>
              </w:rPr>
              <w:t>For the purposes of this restriction, an adequate response to treatment of the face/hands is defined as:</w:t>
            </w:r>
          </w:p>
          <w:p w14:paraId="57B84C3D" w14:textId="77777777" w:rsidR="007E6AA4" w:rsidRPr="00B80C0D" w:rsidRDefault="007E6AA4" w:rsidP="007157C0">
            <w:pPr>
              <w:rPr>
                <w:rFonts w:ascii="Arial Narrow" w:eastAsia="Calibri" w:hAnsi="Arial Narrow"/>
                <w:sz w:val="20"/>
                <w:szCs w:val="20"/>
              </w:rPr>
            </w:pPr>
            <w:r w:rsidRPr="00B80C0D">
              <w:rPr>
                <w:rFonts w:ascii="Arial Narrow" w:eastAsia="Calibri" w:hAnsi="Arial Narrow"/>
                <w:sz w:val="20"/>
                <w:szCs w:val="20"/>
              </w:rPr>
              <w:t xml:space="preserve">(a) (i) A rating of either mild (1) to none (0) on at least 3 of the assessments of erythema, oedema/papulation, excoriation and </w:t>
            </w:r>
            <w:proofErr w:type="spellStart"/>
            <w:r w:rsidRPr="00B80C0D">
              <w:rPr>
                <w:rFonts w:ascii="Arial Narrow" w:eastAsia="Calibri" w:hAnsi="Arial Narrow"/>
                <w:sz w:val="20"/>
                <w:szCs w:val="20"/>
              </w:rPr>
              <w:t>lichenification</w:t>
            </w:r>
            <w:proofErr w:type="spellEnd"/>
            <w:r w:rsidRPr="00B80C0D">
              <w:rPr>
                <w:rFonts w:ascii="Arial Narrow" w:eastAsia="Calibri" w:hAnsi="Arial Narrow"/>
                <w:sz w:val="20"/>
                <w:szCs w:val="20"/>
              </w:rPr>
              <w:t xml:space="preserve"> mentioned in the Eczema Area and Severity Index (EASI); or</w:t>
            </w:r>
          </w:p>
          <w:p w14:paraId="54519F51" w14:textId="77777777" w:rsidR="007E6AA4" w:rsidRPr="00B80C0D" w:rsidRDefault="007E6AA4" w:rsidP="007157C0">
            <w:pPr>
              <w:rPr>
                <w:rFonts w:ascii="Arial Narrow" w:eastAsia="Calibri" w:hAnsi="Arial Narrow"/>
                <w:sz w:val="20"/>
                <w:szCs w:val="20"/>
              </w:rPr>
            </w:pPr>
            <w:r w:rsidRPr="00B80C0D">
              <w:rPr>
                <w:rFonts w:ascii="Arial Narrow" w:eastAsia="Calibri" w:hAnsi="Arial Narrow"/>
                <w:sz w:val="20"/>
                <w:szCs w:val="20"/>
              </w:rPr>
              <w:t>(ii) At least a 75% reduction in the skin area affected by this condition compared to baseline; and</w:t>
            </w:r>
          </w:p>
          <w:p w14:paraId="5A59DA7D" w14:textId="77777777" w:rsidR="007E6AA4" w:rsidRPr="00B80C0D" w:rsidRDefault="007E6AA4" w:rsidP="007157C0">
            <w:pPr>
              <w:rPr>
                <w:rFonts w:ascii="Arial Narrow" w:eastAsia="Calibri" w:hAnsi="Arial Narrow"/>
                <w:sz w:val="20"/>
                <w:szCs w:val="20"/>
              </w:rPr>
            </w:pPr>
            <w:r w:rsidRPr="00B80C0D">
              <w:rPr>
                <w:rFonts w:ascii="Arial Narrow" w:eastAsia="Calibri" w:hAnsi="Arial Narrow"/>
                <w:sz w:val="20"/>
                <w:szCs w:val="20"/>
              </w:rPr>
              <w:t>(b) An improvement in Dermatology Life Quality Index (DLQI) score of at least 4 points compared to baseline</w:t>
            </w:r>
          </w:p>
          <w:p w14:paraId="441FD51C" w14:textId="77777777" w:rsidR="007E6AA4" w:rsidRPr="00972B06" w:rsidRDefault="007E6AA4" w:rsidP="007157C0">
            <w:pPr>
              <w:rPr>
                <w:rFonts w:ascii="Arial Narrow" w:eastAsia="Calibri" w:hAnsi="Arial Narrow"/>
                <w:sz w:val="20"/>
                <w:szCs w:val="20"/>
              </w:rPr>
            </w:pPr>
            <w:r w:rsidRPr="00B80C0D">
              <w:rPr>
                <w:rFonts w:ascii="Arial Narrow" w:eastAsia="Calibri" w:hAnsi="Arial Narrow"/>
                <w:sz w:val="20"/>
                <w:szCs w:val="20"/>
              </w:rPr>
              <w:t>Document each qualifying response measure in the patient's medical records for PBS compliance auditing purposes</w:t>
            </w:r>
          </w:p>
        </w:tc>
      </w:tr>
      <w:tr w:rsidR="007E6AA4" w:rsidRPr="00972B06" w14:paraId="36872446"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284C3E5" w14:textId="537B8EA1" w:rsidR="007E6AA4" w:rsidRPr="00F52FD6" w:rsidRDefault="007E6AA4" w:rsidP="007157C0">
            <w:pPr>
              <w:jc w:val="center"/>
              <w:rPr>
                <w:rFonts w:ascii="Arial Narrow" w:eastAsia="Calibri" w:hAnsi="Arial Narrow"/>
                <w:sz w:val="20"/>
                <w:szCs w:val="20"/>
              </w:rPr>
            </w:pPr>
          </w:p>
        </w:tc>
        <w:tc>
          <w:tcPr>
            <w:tcW w:w="4314" w:type="pct"/>
            <w:gridSpan w:val="6"/>
            <w:vAlign w:val="center"/>
          </w:tcPr>
          <w:p w14:paraId="1A5C155D" w14:textId="77777777" w:rsidR="007E6AA4" w:rsidRPr="00F52FD6" w:rsidRDefault="007E6AA4" w:rsidP="007157C0">
            <w:pPr>
              <w:rPr>
                <w:rFonts w:ascii="Arial Narrow" w:eastAsia="Calibri" w:hAnsi="Arial Narrow"/>
                <w:b/>
                <w:bCs/>
                <w:sz w:val="20"/>
                <w:szCs w:val="20"/>
              </w:rPr>
            </w:pPr>
            <w:r w:rsidRPr="00F52FD6">
              <w:rPr>
                <w:rFonts w:ascii="Arial Narrow" w:eastAsia="Calibri" w:hAnsi="Arial Narrow"/>
                <w:b/>
                <w:bCs/>
                <w:sz w:val="20"/>
                <w:szCs w:val="20"/>
              </w:rPr>
              <w:t>Prescribing Instructions:</w:t>
            </w:r>
          </w:p>
          <w:p w14:paraId="59AC5D36" w14:textId="77777777" w:rsidR="007E6AA4" w:rsidRPr="00F52FD6" w:rsidRDefault="007E6AA4" w:rsidP="007157C0">
            <w:pPr>
              <w:rPr>
                <w:rFonts w:ascii="Arial Narrow" w:eastAsia="Calibri" w:hAnsi="Arial Narrow"/>
                <w:sz w:val="20"/>
                <w:szCs w:val="20"/>
              </w:rPr>
            </w:pPr>
            <w:r w:rsidRPr="00F52FD6">
              <w:rPr>
                <w:rFonts w:ascii="Arial Narrow" w:eastAsia="Calibri" w:hAnsi="Arial Narrow"/>
                <w:sz w:val="20"/>
                <w:szCs w:val="20"/>
              </w:rPr>
              <w:t>For the purposes of this restriction, an adequate response to treatment of whole body is defined as:</w:t>
            </w:r>
          </w:p>
          <w:p w14:paraId="4480C4F2" w14:textId="77777777" w:rsidR="007E6AA4" w:rsidRPr="00F52FD6" w:rsidRDefault="007E6AA4" w:rsidP="007157C0">
            <w:pPr>
              <w:rPr>
                <w:rFonts w:ascii="Arial Narrow" w:eastAsia="Calibri" w:hAnsi="Arial Narrow"/>
                <w:sz w:val="20"/>
                <w:szCs w:val="20"/>
              </w:rPr>
            </w:pPr>
            <w:r w:rsidRPr="00F52FD6">
              <w:rPr>
                <w:rFonts w:ascii="Arial Narrow" w:eastAsia="Calibri" w:hAnsi="Arial Narrow"/>
                <w:sz w:val="20"/>
                <w:szCs w:val="20"/>
              </w:rPr>
              <w:t>(a) An improvement/maintenance in the Eczema Area and Severity Index (EASI) score of at least 50% compared to baseline; and</w:t>
            </w:r>
          </w:p>
          <w:p w14:paraId="1B105A13" w14:textId="77777777" w:rsidR="007E6AA4" w:rsidRPr="00F52FD6" w:rsidRDefault="007E6AA4" w:rsidP="007157C0">
            <w:pPr>
              <w:rPr>
                <w:rFonts w:ascii="Arial Narrow" w:eastAsia="Calibri" w:hAnsi="Arial Narrow"/>
                <w:sz w:val="20"/>
                <w:szCs w:val="20"/>
              </w:rPr>
            </w:pPr>
            <w:r w:rsidRPr="00F52FD6">
              <w:rPr>
                <w:rFonts w:ascii="Arial Narrow" w:eastAsia="Calibri" w:hAnsi="Arial Narrow"/>
                <w:sz w:val="20"/>
                <w:szCs w:val="20"/>
              </w:rPr>
              <w:t>(b) An improvement/maintenance in Dermatology Life Quality Index (DLQI) score of at least 4 points compared to baseline</w:t>
            </w:r>
          </w:p>
          <w:p w14:paraId="5D5C3C6E" w14:textId="77777777" w:rsidR="007E6AA4" w:rsidRPr="00972B06" w:rsidRDefault="007E6AA4" w:rsidP="007157C0">
            <w:pPr>
              <w:rPr>
                <w:rFonts w:ascii="Arial Narrow" w:eastAsia="Calibri" w:hAnsi="Arial Narrow"/>
                <w:b/>
                <w:bCs/>
                <w:sz w:val="20"/>
                <w:szCs w:val="20"/>
              </w:rPr>
            </w:pPr>
            <w:r w:rsidRPr="00F52FD6">
              <w:rPr>
                <w:rFonts w:ascii="Arial Narrow" w:eastAsia="Calibri" w:hAnsi="Arial Narrow"/>
                <w:sz w:val="20"/>
                <w:szCs w:val="20"/>
              </w:rPr>
              <w:t>State each of the current EASI and DLQI scores for this authority application.</w:t>
            </w:r>
          </w:p>
        </w:tc>
      </w:tr>
      <w:tr w:rsidR="007E6AA4" w:rsidRPr="00972B06" w14:paraId="3621E4FB"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98762E0" w14:textId="42CEBE3B" w:rsidR="007E6AA4" w:rsidRPr="00972B06" w:rsidRDefault="007E6AA4" w:rsidP="007157C0">
            <w:pPr>
              <w:jc w:val="center"/>
              <w:rPr>
                <w:rFonts w:ascii="Arial Narrow" w:eastAsia="Calibri" w:hAnsi="Arial Narrow"/>
                <w:sz w:val="20"/>
                <w:szCs w:val="20"/>
              </w:rPr>
            </w:pPr>
          </w:p>
        </w:tc>
        <w:tc>
          <w:tcPr>
            <w:tcW w:w="4314" w:type="pct"/>
            <w:gridSpan w:val="6"/>
            <w:vAlign w:val="center"/>
          </w:tcPr>
          <w:p w14:paraId="59E91639" w14:textId="77777777" w:rsidR="007E6AA4" w:rsidRPr="00CB6C58" w:rsidRDefault="007E6AA4" w:rsidP="007157C0">
            <w:pPr>
              <w:rPr>
                <w:rFonts w:ascii="Arial Narrow" w:eastAsia="Calibri" w:hAnsi="Arial Narrow"/>
                <w:b/>
                <w:bCs/>
                <w:sz w:val="20"/>
                <w:szCs w:val="20"/>
              </w:rPr>
            </w:pPr>
            <w:r w:rsidRPr="00CB6C58">
              <w:rPr>
                <w:rFonts w:ascii="Arial Narrow" w:eastAsia="Calibri" w:hAnsi="Arial Narrow"/>
                <w:b/>
                <w:bCs/>
                <w:sz w:val="20"/>
                <w:szCs w:val="20"/>
              </w:rPr>
              <w:t>Prescribing Instructions:</w:t>
            </w:r>
          </w:p>
          <w:p w14:paraId="5E066372" w14:textId="77777777" w:rsidR="007E6AA4" w:rsidRPr="00972B06" w:rsidRDefault="007E6AA4" w:rsidP="007157C0">
            <w:pPr>
              <w:rPr>
                <w:rFonts w:ascii="Arial Narrow" w:hAnsi="Arial Narrow"/>
                <w:b/>
                <w:bCs/>
                <w:color w:val="333333"/>
                <w:sz w:val="20"/>
                <w:szCs w:val="20"/>
              </w:rPr>
            </w:pPr>
            <w:r w:rsidRPr="00CB6C58">
              <w:rPr>
                <w:rFonts w:ascii="Arial Narrow" w:eastAsia="Calibri" w:hAnsi="Arial Narrow"/>
                <w:sz w:val="20"/>
                <w:szCs w:val="20"/>
              </w:rPr>
              <w:t>Prescriber must only apply for this treatment phase if the patient has had a partial response to treatment and the prescriber considers that further induction treatment (further 8 weeks of therapy) with this drug is likely to result in an adequate response.</w:t>
            </w:r>
          </w:p>
        </w:tc>
      </w:tr>
      <w:tr w:rsidR="007E6AA4" w:rsidRPr="00A57DC9" w14:paraId="0597237F"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D5A3F7C" w14:textId="093577F6" w:rsidR="007E6AA4" w:rsidRPr="00972B06" w:rsidRDefault="007E6AA4" w:rsidP="007157C0">
            <w:pPr>
              <w:jc w:val="center"/>
              <w:rPr>
                <w:rFonts w:ascii="Arial Narrow" w:eastAsia="Calibri" w:hAnsi="Arial Narrow"/>
                <w:sz w:val="20"/>
                <w:szCs w:val="20"/>
              </w:rPr>
            </w:pPr>
          </w:p>
        </w:tc>
        <w:tc>
          <w:tcPr>
            <w:tcW w:w="4314" w:type="pct"/>
            <w:gridSpan w:val="6"/>
            <w:vAlign w:val="center"/>
          </w:tcPr>
          <w:p w14:paraId="1A424AC5" w14:textId="77777777" w:rsidR="007E6AA4" w:rsidRPr="00A57DC9" w:rsidRDefault="007E6AA4" w:rsidP="007157C0">
            <w:pPr>
              <w:rPr>
                <w:rFonts w:ascii="Arial Narrow" w:eastAsia="Calibri" w:hAnsi="Arial Narrow"/>
                <w:b/>
                <w:bCs/>
                <w:sz w:val="20"/>
                <w:szCs w:val="20"/>
              </w:rPr>
            </w:pPr>
            <w:r w:rsidRPr="00A57DC9">
              <w:rPr>
                <w:rFonts w:ascii="Arial Narrow" w:eastAsia="Calibri" w:hAnsi="Arial Narrow"/>
                <w:b/>
                <w:bCs/>
                <w:sz w:val="20"/>
                <w:szCs w:val="20"/>
              </w:rPr>
              <w:t>Prescribing Instructions:</w:t>
            </w:r>
          </w:p>
          <w:p w14:paraId="7C3B2F6B" w14:textId="77777777" w:rsidR="007E6AA4" w:rsidRPr="00A57DC9" w:rsidRDefault="007E6AA4" w:rsidP="007157C0">
            <w:pPr>
              <w:rPr>
                <w:rFonts w:ascii="Arial Narrow" w:hAnsi="Arial Narrow"/>
                <w:color w:val="333333"/>
                <w:sz w:val="20"/>
                <w:szCs w:val="20"/>
              </w:rPr>
            </w:pPr>
            <w:r w:rsidRPr="00A57DC9">
              <w:rPr>
                <w:rFonts w:ascii="Arial Narrow" w:eastAsia="Calibri" w:hAnsi="Arial Narrow"/>
                <w:sz w:val="20"/>
                <w:szCs w:val="20"/>
              </w:rPr>
              <w:t>A second assessment of response must be conducted between 24 to 28 weeks from the first administered dose of this drug to determine the patient’s eligibility for continuing treatment. Where an assessment is not undertaken, the patient will not be eligible for ongoing treatment.</w:t>
            </w:r>
          </w:p>
        </w:tc>
      </w:tr>
    </w:tbl>
    <w:p w14:paraId="123969ED" w14:textId="77777777" w:rsidR="007E6AA4" w:rsidRPr="00A60D5A" w:rsidRDefault="007E6AA4" w:rsidP="007E6AA4"/>
    <w:p w14:paraId="3FA151B6" w14:textId="77777777" w:rsidR="007E6AA4" w:rsidRPr="007E6AA4" w:rsidRDefault="007E6AA4" w:rsidP="007E6AA4">
      <w:pPr>
        <w:rPr>
          <w:b/>
          <w:bCs/>
        </w:rPr>
      </w:pPr>
      <w:r w:rsidRPr="007E6AA4">
        <w:rPr>
          <w:b/>
          <w:bCs/>
        </w:rPr>
        <w:t xml:space="preserve">Continuing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Continuing"/>
      </w:tblPr>
      <w:tblGrid>
        <w:gridCol w:w="1270"/>
        <w:gridCol w:w="2669"/>
        <w:gridCol w:w="812"/>
        <w:gridCol w:w="812"/>
        <w:gridCol w:w="812"/>
        <w:gridCol w:w="812"/>
        <w:gridCol w:w="1830"/>
      </w:tblGrid>
      <w:tr w:rsidR="007E6AA4" w:rsidRPr="00446E53" w14:paraId="73A5CA91" w14:textId="77777777" w:rsidTr="00AF29CF">
        <w:trPr>
          <w:cantSplit/>
          <w:trHeight w:val="20"/>
        </w:trPr>
        <w:tc>
          <w:tcPr>
            <w:tcW w:w="2185" w:type="pct"/>
            <w:gridSpan w:val="2"/>
            <w:vAlign w:val="center"/>
          </w:tcPr>
          <w:p w14:paraId="2AC877D4" w14:textId="77777777" w:rsidR="007E6AA4" w:rsidRPr="00446E53" w:rsidRDefault="007E6AA4" w:rsidP="007157C0">
            <w:pPr>
              <w:keepLines/>
              <w:rPr>
                <w:rFonts w:ascii="Arial Narrow" w:hAnsi="Arial Narrow"/>
                <w:b/>
                <w:bCs/>
                <w:sz w:val="20"/>
                <w:szCs w:val="20"/>
              </w:rPr>
            </w:pPr>
            <w:r w:rsidRPr="00446E53">
              <w:rPr>
                <w:rFonts w:ascii="Arial Narrow" w:hAnsi="Arial Narrow"/>
                <w:b/>
                <w:bCs/>
                <w:sz w:val="20"/>
                <w:szCs w:val="20"/>
              </w:rPr>
              <w:t>MEDICINAL PRODUCT</w:t>
            </w:r>
          </w:p>
          <w:p w14:paraId="67A9C925" w14:textId="77777777" w:rsidR="007E6AA4" w:rsidRPr="00446E53" w:rsidRDefault="007E6AA4" w:rsidP="007157C0">
            <w:pPr>
              <w:keepLines/>
              <w:rPr>
                <w:rFonts w:ascii="Arial Narrow" w:hAnsi="Arial Narrow"/>
                <w:b/>
                <w:sz w:val="20"/>
                <w:szCs w:val="20"/>
              </w:rPr>
            </w:pPr>
            <w:r w:rsidRPr="00446E53">
              <w:rPr>
                <w:rFonts w:ascii="Arial Narrow" w:hAnsi="Arial Narrow"/>
                <w:b/>
                <w:bCs/>
                <w:sz w:val="20"/>
                <w:szCs w:val="20"/>
              </w:rPr>
              <w:t>medicinal product pack</w:t>
            </w:r>
          </w:p>
        </w:tc>
        <w:tc>
          <w:tcPr>
            <w:tcW w:w="450" w:type="pct"/>
            <w:vAlign w:val="center"/>
          </w:tcPr>
          <w:p w14:paraId="77967511"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PBS item code</w:t>
            </w:r>
          </w:p>
        </w:tc>
        <w:tc>
          <w:tcPr>
            <w:tcW w:w="450" w:type="pct"/>
            <w:vAlign w:val="center"/>
          </w:tcPr>
          <w:p w14:paraId="62160B34"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Max. qty packs</w:t>
            </w:r>
          </w:p>
        </w:tc>
        <w:tc>
          <w:tcPr>
            <w:tcW w:w="450" w:type="pct"/>
            <w:vAlign w:val="center"/>
          </w:tcPr>
          <w:p w14:paraId="02B8B7D1"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Max. qty units</w:t>
            </w:r>
          </w:p>
        </w:tc>
        <w:tc>
          <w:tcPr>
            <w:tcW w:w="450" w:type="pct"/>
            <w:vAlign w:val="center"/>
          </w:tcPr>
          <w:p w14:paraId="03706BF3"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№.of</w:t>
            </w:r>
          </w:p>
          <w:p w14:paraId="0AEA0467"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Rpts</w:t>
            </w:r>
          </w:p>
        </w:tc>
        <w:tc>
          <w:tcPr>
            <w:tcW w:w="1015" w:type="pct"/>
            <w:vAlign w:val="center"/>
          </w:tcPr>
          <w:p w14:paraId="4EB79396" w14:textId="77777777" w:rsidR="007E6AA4" w:rsidRPr="00446E53" w:rsidRDefault="007E6AA4" w:rsidP="007157C0">
            <w:pPr>
              <w:keepLines/>
              <w:rPr>
                <w:rFonts w:ascii="Arial Narrow" w:hAnsi="Arial Narrow"/>
                <w:b/>
                <w:sz w:val="20"/>
                <w:szCs w:val="20"/>
                <w:lang w:val="fr-FR"/>
              </w:rPr>
            </w:pPr>
            <w:r w:rsidRPr="00446E53">
              <w:rPr>
                <w:rFonts w:ascii="Arial Narrow" w:hAnsi="Arial Narrow"/>
                <w:b/>
                <w:sz w:val="20"/>
                <w:szCs w:val="20"/>
              </w:rPr>
              <w:t>Available brands</w:t>
            </w:r>
          </w:p>
        </w:tc>
      </w:tr>
      <w:tr w:rsidR="007E6AA4" w:rsidRPr="00446E53" w14:paraId="06DE1F1D" w14:textId="77777777" w:rsidTr="00AF29CF">
        <w:trPr>
          <w:cantSplit/>
          <w:trHeight w:val="20"/>
        </w:trPr>
        <w:tc>
          <w:tcPr>
            <w:tcW w:w="5000" w:type="pct"/>
            <w:gridSpan w:val="7"/>
            <w:vAlign w:val="center"/>
          </w:tcPr>
          <w:p w14:paraId="3A591742" w14:textId="77777777" w:rsidR="007E6AA4" w:rsidRPr="00446E53" w:rsidRDefault="007E6AA4" w:rsidP="007157C0">
            <w:pPr>
              <w:keepLines/>
              <w:rPr>
                <w:rFonts w:ascii="Arial Narrow" w:hAnsi="Arial Narrow"/>
                <w:sz w:val="20"/>
                <w:szCs w:val="20"/>
              </w:rPr>
            </w:pPr>
            <w:r>
              <w:rPr>
                <w:rFonts w:ascii="Arial Narrow" w:hAnsi="Arial Narrow"/>
                <w:sz w:val="20"/>
                <w:szCs w:val="20"/>
              </w:rPr>
              <w:lastRenderedPageBreak/>
              <w:t>NEMOLIZUMAB</w:t>
            </w:r>
          </w:p>
        </w:tc>
      </w:tr>
      <w:tr w:rsidR="007E6AA4" w:rsidRPr="00E168B8" w14:paraId="6226A2BC" w14:textId="77777777" w:rsidTr="00AF29CF">
        <w:trPr>
          <w:cantSplit/>
          <w:trHeight w:val="20"/>
        </w:trPr>
        <w:tc>
          <w:tcPr>
            <w:tcW w:w="2185" w:type="pct"/>
            <w:gridSpan w:val="2"/>
            <w:vAlign w:val="center"/>
          </w:tcPr>
          <w:p w14:paraId="125C50BD" w14:textId="77777777" w:rsidR="007E6AA4" w:rsidRPr="00813FFB" w:rsidRDefault="007E6AA4" w:rsidP="007157C0">
            <w:pPr>
              <w:keepLines/>
              <w:rPr>
                <w:rFonts w:ascii="Arial Narrow" w:hAnsi="Arial Narrow"/>
                <w:sz w:val="20"/>
                <w:szCs w:val="20"/>
              </w:rPr>
            </w:pPr>
            <w:r w:rsidRPr="00813FFB">
              <w:rPr>
                <w:rFonts w:ascii="Arial Narrow" w:hAnsi="Arial Narrow"/>
                <w:sz w:val="20"/>
                <w:szCs w:val="20"/>
              </w:rPr>
              <w:t xml:space="preserve">nemolizumab 30 mg injection [1 chamber] (&amp;) inert substance diluent [1 chamber], 1 dual chamber pen device </w:t>
            </w:r>
          </w:p>
        </w:tc>
        <w:tc>
          <w:tcPr>
            <w:tcW w:w="450" w:type="pct"/>
            <w:vAlign w:val="center"/>
          </w:tcPr>
          <w:p w14:paraId="7A9214C9" w14:textId="77777777" w:rsidR="007E6AA4" w:rsidRPr="00E168B8" w:rsidRDefault="007E6AA4" w:rsidP="007157C0">
            <w:pPr>
              <w:keepLines/>
              <w:jc w:val="center"/>
              <w:rPr>
                <w:rFonts w:ascii="Arial Narrow" w:hAnsi="Arial Narrow"/>
                <w:sz w:val="20"/>
                <w:szCs w:val="20"/>
              </w:rPr>
            </w:pPr>
            <w:r w:rsidRPr="00E168B8">
              <w:rPr>
                <w:rFonts w:ascii="Arial Narrow" w:hAnsi="Arial Narrow"/>
                <w:sz w:val="20"/>
                <w:szCs w:val="20"/>
              </w:rPr>
              <w:t>NEW</w:t>
            </w:r>
          </w:p>
        </w:tc>
        <w:tc>
          <w:tcPr>
            <w:tcW w:w="450" w:type="pct"/>
            <w:vAlign w:val="center"/>
          </w:tcPr>
          <w:p w14:paraId="513450B7" w14:textId="77777777" w:rsidR="007E6AA4" w:rsidRPr="00E168B8" w:rsidRDefault="007E6AA4" w:rsidP="007157C0">
            <w:pPr>
              <w:keepLines/>
              <w:jc w:val="center"/>
              <w:rPr>
                <w:rFonts w:ascii="Arial Narrow" w:hAnsi="Arial Narrow"/>
                <w:sz w:val="20"/>
                <w:szCs w:val="20"/>
              </w:rPr>
            </w:pPr>
            <w:r>
              <w:rPr>
                <w:rFonts w:ascii="Arial Narrow" w:hAnsi="Arial Narrow"/>
                <w:sz w:val="20"/>
                <w:szCs w:val="20"/>
              </w:rPr>
              <w:t>1</w:t>
            </w:r>
          </w:p>
        </w:tc>
        <w:tc>
          <w:tcPr>
            <w:tcW w:w="450" w:type="pct"/>
            <w:vAlign w:val="center"/>
          </w:tcPr>
          <w:p w14:paraId="5F095352" w14:textId="77777777" w:rsidR="007E6AA4" w:rsidRPr="00E168B8" w:rsidRDefault="007E6AA4" w:rsidP="007157C0">
            <w:pPr>
              <w:keepLines/>
              <w:jc w:val="center"/>
              <w:rPr>
                <w:rFonts w:ascii="Arial Narrow" w:hAnsi="Arial Narrow"/>
                <w:sz w:val="20"/>
                <w:szCs w:val="20"/>
              </w:rPr>
            </w:pPr>
            <w:r>
              <w:rPr>
                <w:rFonts w:ascii="Arial Narrow" w:hAnsi="Arial Narrow"/>
                <w:sz w:val="20"/>
                <w:szCs w:val="20"/>
              </w:rPr>
              <w:t>1</w:t>
            </w:r>
          </w:p>
        </w:tc>
        <w:tc>
          <w:tcPr>
            <w:tcW w:w="450" w:type="pct"/>
            <w:vAlign w:val="center"/>
          </w:tcPr>
          <w:p w14:paraId="03CE5EA3" w14:textId="77777777" w:rsidR="007E6AA4" w:rsidRPr="00E168B8" w:rsidRDefault="007E6AA4" w:rsidP="007157C0">
            <w:pPr>
              <w:keepLines/>
              <w:jc w:val="center"/>
              <w:rPr>
                <w:rFonts w:ascii="Arial Narrow" w:hAnsi="Arial Narrow"/>
                <w:sz w:val="20"/>
                <w:szCs w:val="20"/>
              </w:rPr>
            </w:pPr>
            <w:r w:rsidRPr="00E168B8">
              <w:rPr>
                <w:rFonts w:ascii="Arial Narrow" w:hAnsi="Arial Narrow"/>
                <w:sz w:val="20"/>
                <w:szCs w:val="20"/>
              </w:rPr>
              <w:t>2</w:t>
            </w:r>
          </w:p>
        </w:tc>
        <w:tc>
          <w:tcPr>
            <w:tcW w:w="1015" w:type="pct"/>
            <w:vAlign w:val="center"/>
          </w:tcPr>
          <w:p w14:paraId="1F1151A2" w14:textId="77777777" w:rsidR="007E6AA4" w:rsidRPr="00E168B8" w:rsidRDefault="007E6AA4" w:rsidP="007157C0">
            <w:pPr>
              <w:keepLines/>
              <w:jc w:val="center"/>
              <w:rPr>
                <w:rFonts w:ascii="Arial Narrow" w:hAnsi="Arial Narrow"/>
                <w:sz w:val="20"/>
                <w:szCs w:val="20"/>
              </w:rPr>
            </w:pPr>
          </w:p>
          <w:p w14:paraId="76757317" w14:textId="77777777" w:rsidR="007E6AA4" w:rsidRPr="00E168B8" w:rsidRDefault="007E6AA4" w:rsidP="007157C0">
            <w:pPr>
              <w:keepLines/>
              <w:jc w:val="center"/>
              <w:rPr>
                <w:rFonts w:ascii="Arial Narrow" w:hAnsi="Arial Narrow"/>
                <w:sz w:val="20"/>
                <w:szCs w:val="20"/>
              </w:rPr>
            </w:pPr>
            <w:r w:rsidRPr="00E168B8">
              <w:rPr>
                <w:rFonts w:ascii="Arial Narrow" w:hAnsi="Arial Narrow"/>
                <w:sz w:val="20"/>
                <w:szCs w:val="20"/>
              </w:rPr>
              <w:t>Nemluvio</w:t>
            </w:r>
          </w:p>
          <w:p w14:paraId="12CD1EE3" w14:textId="77777777" w:rsidR="007E6AA4" w:rsidRPr="00E168B8" w:rsidRDefault="007E6AA4" w:rsidP="007157C0">
            <w:pPr>
              <w:keepLines/>
              <w:rPr>
                <w:rFonts w:ascii="Arial Narrow" w:hAnsi="Arial Narrow"/>
                <w:sz w:val="20"/>
                <w:szCs w:val="20"/>
              </w:rPr>
            </w:pPr>
          </w:p>
        </w:tc>
      </w:tr>
      <w:tr w:rsidR="007E6AA4" w:rsidRPr="00E168B8" w14:paraId="062AF51A" w14:textId="77777777" w:rsidTr="00AF29CF">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7F3DEFF1" w14:textId="77777777" w:rsidR="007E6AA4" w:rsidRPr="00E168B8" w:rsidRDefault="007E6AA4" w:rsidP="007157C0">
            <w:pPr>
              <w:rPr>
                <w:rFonts w:ascii="Arial Narrow" w:hAnsi="Arial Narrow"/>
                <w:sz w:val="20"/>
                <w:szCs w:val="20"/>
              </w:rPr>
            </w:pPr>
          </w:p>
        </w:tc>
      </w:tr>
      <w:tr w:rsidR="00183E42" w:rsidRPr="00E168B8" w14:paraId="049D9EDF" w14:textId="77777777" w:rsidTr="00AF29CF">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3909A65C" w14:textId="77777777" w:rsidR="007E6AA4" w:rsidRPr="00446E53" w:rsidRDefault="007E6AA4" w:rsidP="007157C0">
            <w:pPr>
              <w:jc w:val="center"/>
              <w:rPr>
                <w:rFonts w:ascii="Arial Narrow" w:hAnsi="Arial Narrow"/>
                <w:sz w:val="20"/>
                <w:szCs w:val="20"/>
              </w:rPr>
            </w:pPr>
            <w:r w:rsidRPr="00446E53">
              <w:rPr>
                <w:rFonts w:ascii="Arial Narrow" w:hAnsi="Arial Narrow"/>
                <w:b/>
                <w:sz w:val="20"/>
                <w:szCs w:val="20"/>
              </w:rPr>
              <w:t>Concept ID</w:t>
            </w:r>
          </w:p>
          <w:p w14:paraId="423FEEF0" w14:textId="77777777" w:rsidR="007E6AA4" w:rsidRPr="00446E53" w:rsidRDefault="007E6AA4" w:rsidP="007157C0">
            <w:pPr>
              <w:jc w:val="center"/>
              <w:rPr>
                <w:rFonts w:ascii="Arial Narrow" w:hAnsi="Arial Narrow"/>
                <w:b/>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9BE4D06" w14:textId="77777777" w:rsidR="007E6AA4" w:rsidRPr="00E168B8" w:rsidRDefault="007E6AA4" w:rsidP="007157C0">
            <w:pPr>
              <w:keepLines/>
              <w:jc w:val="left"/>
              <w:rPr>
                <w:rFonts w:ascii="Arial Narrow" w:hAnsi="Arial Narrow"/>
                <w:sz w:val="20"/>
                <w:szCs w:val="20"/>
              </w:rPr>
            </w:pPr>
            <w:r w:rsidRPr="00E168B8">
              <w:rPr>
                <w:rFonts w:ascii="Arial Narrow" w:hAnsi="Arial Narrow"/>
                <w:b/>
                <w:sz w:val="20"/>
                <w:szCs w:val="20"/>
              </w:rPr>
              <w:t>Category / Program:</w:t>
            </w:r>
            <w:r w:rsidRPr="00E168B8">
              <w:rPr>
                <w:rFonts w:ascii="Arial Narrow" w:hAnsi="Arial Narrow"/>
                <w:sz w:val="20"/>
                <w:szCs w:val="20"/>
              </w:rPr>
              <w:t xml:space="preserv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 xml:space="preserve">GENERAL - General Schedule (Code GE) </w:t>
            </w:r>
          </w:p>
        </w:tc>
      </w:tr>
      <w:tr w:rsidR="00183E42" w:rsidRPr="00E168B8" w14:paraId="61E369EE" w14:textId="77777777" w:rsidTr="00AF29CF">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2DE493A0" w14:textId="77777777" w:rsidR="007E6AA4" w:rsidRPr="00446E53" w:rsidRDefault="007E6AA4" w:rsidP="007157C0">
            <w:pPr>
              <w:jc w:val="center"/>
              <w:rPr>
                <w:rFonts w:ascii="Arial Narrow" w:hAnsi="Arial Narrow"/>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350026F6" w14:textId="77777777" w:rsidR="007E6AA4" w:rsidRPr="00E168B8" w:rsidRDefault="007E6AA4" w:rsidP="007157C0">
            <w:pPr>
              <w:keepLines/>
              <w:jc w:val="left"/>
              <w:rPr>
                <w:rFonts w:ascii="Arial Narrow" w:hAnsi="Arial Narrow"/>
                <w:b/>
                <w:sz w:val="20"/>
                <w:szCs w:val="20"/>
              </w:rPr>
            </w:pPr>
            <w:r w:rsidRPr="00E168B8">
              <w:rPr>
                <w:rFonts w:ascii="Arial Narrow" w:hAnsi="Arial Narrow"/>
                <w:b/>
                <w:sz w:val="20"/>
                <w:szCs w:val="20"/>
              </w:rPr>
              <w:t xml:space="preserve">Prescriber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Medical Practitioners </w:t>
            </w:r>
          </w:p>
        </w:tc>
      </w:tr>
      <w:tr w:rsidR="00183E42" w:rsidRPr="00E168B8" w14:paraId="15DD33E8" w14:textId="77777777" w:rsidTr="00AF29CF">
        <w:tblPrEx>
          <w:tblCellMar>
            <w:top w:w="15" w:type="dxa"/>
            <w:bottom w:w="15" w:type="dxa"/>
          </w:tblCellMar>
          <w:tblLook w:val="04A0" w:firstRow="1" w:lastRow="0" w:firstColumn="1" w:lastColumn="0" w:noHBand="0" w:noVBand="1"/>
        </w:tblPrEx>
        <w:trPr>
          <w:trHeight w:val="20"/>
        </w:trPr>
        <w:tc>
          <w:tcPr>
            <w:tcW w:w="705" w:type="pct"/>
            <w:vMerge/>
            <w:tcBorders>
              <w:left w:val="single" w:sz="4" w:space="0" w:color="auto"/>
              <w:right w:val="single" w:sz="4" w:space="0" w:color="auto"/>
            </w:tcBorders>
          </w:tcPr>
          <w:p w14:paraId="6C63C2FF" w14:textId="77777777" w:rsidR="007E6AA4" w:rsidRPr="00446E53" w:rsidRDefault="007E6AA4" w:rsidP="007157C0">
            <w:pPr>
              <w:jc w:val="center"/>
              <w:rPr>
                <w:rFonts w:ascii="Arial Narrow" w:hAnsi="Arial Narrow"/>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4A3CB449" w14:textId="77777777" w:rsidR="007E6AA4" w:rsidRPr="00E168B8" w:rsidRDefault="007E6AA4" w:rsidP="007157C0">
            <w:pPr>
              <w:keepLines/>
              <w:jc w:val="left"/>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Telephone/Online PBS Authorities System) </w:t>
            </w:r>
          </w:p>
        </w:tc>
      </w:tr>
      <w:tr w:rsidR="007E6AA4" w:rsidRPr="00446E53" w14:paraId="099A3268" w14:textId="77777777" w:rsidTr="00AF29CF">
        <w:tblPrEx>
          <w:tblCellMar>
            <w:top w:w="15" w:type="dxa"/>
            <w:bottom w:w="15" w:type="dxa"/>
          </w:tblCellMar>
          <w:tblLook w:val="04A0" w:firstRow="1" w:lastRow="0" w:firstColumn="1" w:lastColumn="0" w:noHBand="0" w:noVBand="1"/>
        </w:tblPrEx>
        <w:trPr>
          <w:trHeight w:val="184"/>
        </w:trPr>
        <w:tc>
          <w:tcPr>
            <w:tcW w:w="705" w:type="pct"/>
            <w:tcBorders>
              <w:left w:val="single" w:sz="4" w:space="0" w:color="auto"/>
              <w:bottom w:val="single" w:sz="4" w:space="0" w:color="auto"/>
              <w:right w:val="single" w:sz="4" w:space="0" w:color="auto"/>
            </w:tcBorders>
          </w:tcPr>
          <w:p w14:paraId="621D0786" w14:textId="77777777" w:rsidR="007E6AA4" w:rsidRPr="00446E53" w:rsidRDefault="007E6AA4" w:rsidP="007157C0">
            <w:pPr>
              <w:jc w:val="center"/>
              <w:rPr>
                <w:rFonts w:ascii="Arial Narrow" w:hAnsi="Arial Narrow"/>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EB67B05" w14:textId="66E9489E" w:rsidR="007E6AA4" w:rsidRPr="00446E53" w:rsidRDefault="007E6AA4" w:rsidP="007157C0">
            <w:pPr>
              <w:pStyle w:val="pf0"/>
              <w:spacing w:before="0" w:beforeAutospacing="0" w:after="0" w:afterAutospacing="0"/>
              <w:rPr>
                <w:rFonts w:ascii="Arial Narrow" w:hAnsi="Arial Narrow" w:cs="Arial"/>
                <w:b/>
                <w:sz w:val="20"/>
                <w:szCs w:val="20"/>
              </w:rPr>
            </w:pPr>
            <w:r w:rsidRPr="00446E53">
              <w:rPr>
                <w:rFonts w:ascii="Arial Narrow" w:hAnsi="Arial Narrow" w:cs="Arial"/>
                <w:b/>
                <w:sz w:val="20"/>
                <w:szCs w:val="20"/>
              </w:rPr>
              <w:t>Prescribing rule level:</w:t>
            </w:r>
          </w:p>
        </w:tc>
      </w:tr>
      <w:tr w:rsidR="007E6AA4" w:rsidRPr="00446E53" w14:paraId="02EB5B44" w14:textId="77777777" w:rsidTr="00AF29CF">
        <w:tblPrEx>
          <w:tblCellMar>
            <w:top w:w="15" w:type="dxa"/>
            <w:bottom w:w="15" w:type="dxa"/>
          </w:tblCellMar>
          <w:tblLook w:val="04A0" w:firstRow="1" w:lastRow="0" w:firstColumn="1" w:lastColumn="0" w:noHBand="0" w:noVBand="1"/>
        </w:tblPrEx>
        <w:trPr>
          <w:trHeight w:val="184"/>
        </w:trPr>
        <w:tc>
          <w:tcPr>
            <w:tcW w:w="705" w:type="pct"/>
            <w:tcBorders>
              <w:left w:val="single" w:sz="4" w:space="0" w:color="auto"/>
              <w:bottom w:val="single" w:sz="4" w:space="0" w:color="auto"/>
              <w:right w:val="single" w:sz="4" w:space="0" w:color="auto"/>
            </w:tcBorders>
          </w:tcPr>
          <w:p w14:paraId="7B8C6D1C" w14:textId="13718FC2" w:rsidR="007E6AA4" w:rsidRPr="00446E53" w:rsidRDefault="007E6AA4" w:rsidP="007157C0">
            <w:pPr>
              <w:jc w:val="center"/>
              <w:rPr>
                <w:rFonts w:ascii="Arial Narrow" w:hAnsi="Arial Narrow"/>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5542C741" w14:textId="77777777" w:rsidR="007E6AA4"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7DE2DAA8" w14:textId="77777777" w:rsidR="007E6AA4" w:rsidRPr="00446E53" w:rsidRDefault="007E6AA4" w:rsidP="007157C0">
            <w:pPr>
              <w:pStyle w:val="pf0"/>
              <w:spacing w:before="0" w:beforeAutospacing="0" w:after="0" w:afterAutospacing="0"/>
              <w:rPr>
                <w:rFonts w:ascii="Arial Narrow" w:hAnsi="Arial Narrow" w:cs="Arial"/>
                <w:b/>
                <w:sz w:val="20"/>
                <w:szCs w:val="20"/>
              </w:rPr>
            </w:pPr>
            <w:r w:rsidRPr="008903D2">
              <w:rPr>
                <w:rFonts w:ascii="Arial Narrow" w:eastAsia="Calibri" w:hAnsi="Arial Narrow" w:cs="Arial"/>
                <w:sz w:val="20"/>
                <w:szCs w:val="20"/>
                <w14:ligatures w14:val="standardContextual"/>
              </w:rPr>
              <w:t>No increase in the maximum quantity or number of units may be authorised.</w:t>
            </w:r>
          </w:p>
        </w:tc>
      </w:tr>
      <w:tr w:rsidR="007E6AA4" w:rsidRPr="00E60AF3" w14:paraId="060CB4D5" w14:textId="77777777" w:rsidTr="00AF29CF">
        <w:tblPrEx>
          <w:tblCellMar>
            <w:top w:w="15" w:type="dxa"/>
            <w:bottom w:w="15" w:type="dxa"/>
          </w:tblCellMar>
          <w:tblLook w:val="04A0" w:firstRow="1" w:lastRow="0" w:firstColumn="1" w:lastColumn="0" w:noHBand="0" w:noVBand="1"/>
        </w:tblPrEx>
        <w:trPr>
          <w:trHeight w:val="184"/>
        </w:trPr>
        <w:tc>
          <w:tcPr>
            <w:tcW w:w="705" w:type="pct"/>
            <w:tcBorders>
              <w:left w:val="single" w:sz="4" w:space="0" w:color="auto"/>
              <w:bottom w:val="single" w:sz="4" w:space="0" w:color="auto"/>
              <w:right w:val="single" w:sz="4" w:space="0" w:color="auto"/>
            </w:tcBorders>
          </w:tcPr>
          <w:p w14:paraId="1A18F97A" w14:textId="21BC75A6" w:rsidR="007E6AA4" w:rsidRPr="00446E53" w:rsidRDefault="007E6AA4" w:rsidP="007157C0">
            <w:pPr>
              <w:jc w:val="center"/>
              <w:rPr>
                <w:rFonts w:ascii="Arial Narrow" w:hAnsi="Arial Narrow"/>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4B277285" w14:textId="77777777" w:rsidR="007E6AA4" w:rsidRPr="001D4E34" w:rsidRDefault="007E6AA4" w:rsidP="007157C0">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436147CF" w14:textId="77777777" w:rsidR="007E6AA4" w:rsidRPr="00E60AF3" w:rsidRDefault="007E6AA4" w:rsidP="007157C0">
            <w:pPr>
              <w:pStyle w:val="pf0"/>
              <w:spacing w:before="0" w:beforeAutospacing="0" w:after="0" w:afterAutospacing="0"/>
              <w:rPr>
                <w:rFonts w:ascii="Arial Narrow" w:eastAsia="Calibri" w:hAnsi="Arial Narrow" w:cs="Arial"/>
                <w:sz w:val="20"/>
                <w:szCs w:val="20"/>
                <w14:ligatures w14:val="standardContextual"/>
              </w:rPr>
            </w:pPr>
            <w:r w:rsidRPr="00E60AF3">
              <w:rPr>
                <w:rFonts w:ascii="Arial Narrow" w:eastAsia="Calibri" w:hAnsi="Arial Narrow" w:cs="Arial"/>
                <w:sz w:val="20"/>
                <w:szCs w:val="20"/>
                <w14:ligatures w14:val="standardContextual"/>
              </w:rPr>
              <w:t>No increase in the maximum number of repeats may be authorised.</w:t>
            </w:r>
          </w:p>
        </w:tc>
      </w:tr>
      <w:tr w:rsidR="007E6AA4" w:rsidRPr="001D4E34" w14:paraId="19CE4C00" w14:textId="77777777" w:rsidTr="00AF29CF">
        <w:tblPrEx>
          <w:tblCellMar>
            <w:top w:w="15" w:type="dxa"/>
            <w:bottom w:w="15" w:type="dxa"/>
          </w:tblCellMar>
          <w:tblLook w:val="04A0" w:firstRow="1" w:lastRow="0" w:firstColumn="1" w:lastColumn="0" w:noHBand="0" w:noVBand="1"/>
        </w:tblPrEx>
        <w:trPr>
          <w:trHeight w:val="184"/>
        </w:trPr>
        <w:tc>
          <w:tcPr>
            <w:tcW w:w="705" w:type="pct"/>
            <w:tcBorders>
              <w:left w:val="single" w:sz="4" w:space="0" w:color="auto"/>
              <w:bottom w:val="single" w:sz="4" w:space="0" w:color="auto"/>
              <w:right w:val="single" w:sz="4" w:space="0" w:color="auto"/>
            </w:tcBorders>
          </w:tcPr>
          <w:p w14:paraId="308200AF" w14:textId="129F70B6" w:rsidR="007E6AA4" w:rsidRPr="00446E53" w:rsidRDefault="007E6AA4" w:rsidP="007157C0">
            <w:pPr>
              <w:jc w:val="center"/>
              <w:rPr>
                <w:rFonts w:ascii="Arial Narrow" w:hAnsi="Arial Narrow"/>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66100FC" w14:textId="77777777" w:rsidR="007E6AA4" w:rsidRPr="001D4E34" w:rsidRDefault="007E6AA4" w:rsidP="007157C0">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526F7AFE" w14:textId="77777777" w:rsidR="007E6AA4" w:rsidRPr="001D4E34" w:rsidRDefault="007E6AA4" w:rsidP="007157C0">
            <w:pPr>
              <w:pStyle w:val="pf0"/>
              <w:spacing w:before="0" w:beforeAutospacing="0" w:after="0" w:afterAutospacing="0"/>
              <w:rPr>
                <w:rFonts w:ascii="Arial Narrow" w:eastAsia="Calibri" w:hAnsi="Arial Narrow" w:cs="Arial"/>
                <w:sz w:val="20"/>
                <w:szCs w:val="20"/>
                <w14:ligatures w14:val="standardContextual"/>
              </w:rPr>
            </w:pPr>
            <w:r w:rsidRPr="001D4E34">
              <w:rPr>
                <w:rFonts w:ascii="Arial Narrow" w:eastAsia="Calibri" w:hAnsi="Arial Narrow" w:cs="Arial"/>
                <w:sz w:val="20"/>
                <w:szCs w:val="20"/>
                <w14:ligatures w14:val="standardContextual"/>
              </w:rPr>
              <w:t>Special Pricing Arrangements apply.</w:t>
            </w:r>
          </w:p>
        </w:tc>
      </w:tr>
      <w:tr w:rsidR="007E6AA4" w:rsidRPr="00BA1A71" w14:paraId="060E97FA" w14:textId="77777777" w:rsidTr="00AF29CF">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bottom w:val="single" w:sz="4" w:space="0" w:color="auto"/>
              <w:right w:val="single" w:sz="4" w:space="0" w:color="auto"/>
            </w:tcBorders>
          </w:tcPr>
          <w:p w14:paraId="1A465ACB" w14:textId="599ADA9A" w:rsidR="007E6AA4" w:rsidRPr="00BA1A71" w:rsidRDefault="007E6AA4" w:rsidP="007157C0">
            <w:pPr>
              <w:jc w:val="center"/>
              <w:rPr>
                <w:rFonts w:ascii="Arial Narrow" w:hAnsi="Arial Narrow"/>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1815D977" w14:textId="77777777" w:rsidR="007E6AA4" w:rsidRPr="00BA1A71" w:rsidRDefault="007E6AA4" w:rsidP="007157C0">
            <w:pPr>
              <w:rPr>
                <w:rFonts w:ascii="Arial Narrow" w:hAnsi="Arial Narrow"/>
                <w:b/>
                <w:bCs/>
                <w:color w:val="333333"/>
                <w:sz w:val="20"/>
                <w:szCs w:val="20"/>
              </w:rPr>
            </w:pPr>
            <w:r w:rsidRPr="00BA1A71">
              <w:rPr>
                <w:rFonts w:ascii="Arial Narrow" w:hAnsi="Arial Narrow"/>
                <w:b/>
                <w:bCs/>
                <w:color w:val="333333"/>
                <w:sz w:val="20"/>
                <w:szCs w:val="20"/>
              </w:rPr>
              <w:t>Administrative Advice:</w:t>
            </w:r>
          </w:p>
          <w:p w14:paraId="19447B28" w14:textId="77777777" w:rsidR="007E6AA4" w:rsidRPr="00BA1A71" w:rsidRDefault="007E6AA4" w:rsidP="007157C0">
            <w:pPr>
              <w:pStyle w:val="TableCentre"/>
              <w:jc w:val="left"/>
              <w:rPr>
                <w:rFonts w:ascii="Arial Narrow" w:eastAsia="Calibri" w:hAnsi="Arial Narrow" w:cs="Arial"/>
                <w:sz w:val="20"/>
                <w:szCs w:val="20"/>
                <w:lang w:eastAsia="en-AU" w:bidi="ar-SA"/>
                <w14:ligatures w14:val="standardContextual"/>
              </w:rPr>
            </w:pPr>
            <w:r w:rsidRPr="00BA1A71">
              <w:rPr>
                <w:rFonts w:ascii="Arial Narrow" w:eastAsia="Calibri" w:hAnsi="Arial Narrow" w:cs="Arial"/>
                <w:sz w:val="20"/>
                <w:szCs w:val="20"/>
                <w:lang w:eastAsia="en-AU" w:bidi="ar-SA"/>
                <w14:ligatures w14:val="standardContextual"/>
              </w:rPr>
              <w:t>The Eczema Area and Severity Index (EASI) referenced in this restriction is that described in the following literature publications:</w:t>
            </w:r>
          </w:p>
          <w:p w14:paraId="73356799" w14:textId="77777777" w:rsidR="007E6AA4" w:rsidRPr="00BA1A71" w:rsidRDefault="007E6AA4" w:rsidP="007157C0">
            <w:pPr>
              <w:pStyle w:val="TableCentre"/>
              <w:jc w:val="left"/>
              <w:rPr>
                <w:rFonts w:ascii="Arial Narrow" w:eastAsia="Calibri" w:hAnsi="Arial Narrow" w:cs="Arial"/>
                <w:sz w:val="20"/>
                <w:szCs w:val="20"/>
                <w:lang w:eastAsia="en-AU" w:bidi="ar-SA"/>
                <w14:ligatures w14:val="standardContextual"/>
              </w:rPr>
            </w:pPr>
            <w:r w:rsidRPr="00BA1A71">
              <w:rPr>
                <w:rFonts w:ascii="Arial Narrow" w:eastAsia="Calibri" w:hAnsi="Arial Narrow" w:cs="Arial"/>
                <w:sz w:val="20"/>
                <w:szCs w:val="20"/>
                <w:lang w:eastAsia="en-AU" w:bidi="ar-SA"/>
                <w14:ligatures w14:val="standardContextual"/>
              </w:rPr>
              <w:t>Chalmers JR et al. Report from the third international consensus meeting to harmonise core outcome measures for atopic eczema/dermatitis clinical trials (HOME). </w:t>
            </w:r>
            <w:r w:rsidRPr="00BA1A71">
              <w:rPr>
                <w:rFonts w:ascii="Arial Narrow" w:eastAsia="Calibri" w:hAnsi="Arial Narrow" w:cs="Arial"/>
                <w:i/>
                <w:iCs/>
                <w:sz w:val="20"/>
                <w:szCs w:val="20"/>
                <w:lang w:eastAsia="en-AU" w:bidi="ar-SA"/>
                <w14:ligatures w14:val="standardContextual"/>
              </w:rPr>
              <w:t>British Journal of Dermatology</w:t>
            </w:r>
            <w:r w:rsidRPr="00BA1A71">
              <w:rPr>
                <w:rFonts w:ascii="Arial Narrow" w:eastAsia="Calibri" w:hAnsi="Arial Narrow" w:cs="Arial"/>
                <w:sz w:val="20"/>
                <w:szCs w:val="20"/>
                <w:lang w:eastAsia="en-AU" w:bidi="ar-SA"/>
                <w14:ligatures w14:val="standardContextual"/>
              </w:rPr>
              <w:t> 2014 December;171(6):1318-25.</w:t>
            </w:r>
          </w:p>
          <w:p w14:paraId="62D45004" w14:textId="77777777" w:rsidR="007E6AA4" w:rsidRPr="00BA1A71" w:rsidRDefault="007E6AA4" w:rsidP="007157C0">
            <w:pPr>
              <w:rPr>
                <w:rFonts w:ascii="Arial Narrow" w:hAnsi="Arial Narrow"/>
                <w:color w:val="333333"/>
                <w:sz w:val="20"/>
                <w:szCs w:val="20"/>
              </w:rPr>
            </w:pPr>
            <w:r w:rsidRPr="00BA1A71">
              <w:rPr>
                <w:rFonts w:ascii="Arial Narrow" w:eastAsia="Calibri" w:hAnsi="Arial Narrow"/>
                <w:sz w:val="20"/>
                <w:szCs w:val="20"/>
              </w:rPr>
              <w:t>Schmitt J et al. HOME initiative collaborators. The Harmonising Outcome Measures for Eczema (HOME) statement to assess clinical signs of atopic eczema in trials. </w:t>
            </w:r>
            <w:r w:rsidRPr="00BA1A71">
              <w:rPr>
                <w:rFonts w:ascii="Arial Narrow" w:eastAsia="Calibri" w:hAnsi="Arial Narrow"/>
                <w:i/>
                <w:iCs/>
                <w:sz w:val="20"/>
                <w:szCs w:val="20"/>
              </w:rPr>
              <w:t>The Journal of Allergy and Clinical Immunology</w:t>
            </w:r>
            <w:r w:rsidRPr="00BA1A71">
              <w:rPr>
                <w:rFonts w:ascii="Arial Narrow" w:eastAsia="Calibri" w:hAnsi="Arial Narrow"/>
                <w:sz w:val="20"/>
                <w:szCs w:val="20"/>
              </w:rPr>
              <w:t> 2014 October;134(4):800-7</w:t>
            </w:r>
          </w:p>
        </w:tc>
      </w:tr>
      <w:tr w:rsidR="007E6AA4" w:rsidRPr="00446E53" w14:paraId="254BBDA5" w14:textId="77777777" w:rsidTr="00AF29CF">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bottom w:val="single" w:sz="4" w:space="0" w:color="auto"/>
              <w:right w:val="single" w:sz="4" w:space="0" w:color="auto"/>
            </w:tcBorders>
          </w:tcPr>
          <w:p w14:paraId="78E90239" w14:textId="24D0A3AA" w:rsidR="007E6AA4" w:rsidRPr="00446E53" w:rsidRDefault="007E6AA4" w:rsidP="007157C0">
            <w:pPr>
              <w:jc w:val="center"/>
              <w:rPr>
                <w:rFonts w:ascii="Arial Narrow" w:hAnsi="Arial Narrow"/>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1E072B96" w14:textId="77777777" w:rsidR="007E6AA4" w:rsidRDefault="007E6AA4" w:rsidP="007157C0">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141FDC1B" w14:textId="14A4CE7E" w:rsidR="007E6AA4" w:rsidRPr="00446E53" w:rsidRDefault="007E6AA4" w:rsidP="007157C0">
            <w:pPr>
              <w:keepLines/>
              <w:rPr>
                <w:rFonts w:ascii="Arial Narrow" w:hAnsi="Arial Narrow"/>
                <w:b/>
                <w:sz w:val="20"/>
                <w:szCs w:val="20"/>
              </w:rPr>
            </w:pPr>
            <w:r w:rsidRPr="00D32CAA">
              <w:rPr>
                <w:rFonts w:ascii="Arial Narrow" w:eastAsia="Calibri" w:hAnsi="Arial Narrow"/>
                <w:sz w:val="20"/>
                <w:szCs w:val="20"/>
              </w:rPr>
              <w:t xml:space="preserve">Instructions on the use of the Dermatology Life Quality Index and copyright details can be found here: </w:t>
            </w:r>
            <w:hyperlink r:id="rId17" w:history="1">
              <w:r w:rsidRPr="00B74BAC">
                <w:rPr>
                  <w:rFonts w:ascii="Arial Narrow" w:eastAsia="Calibri" w:hAnsi="Arial Narrow"/>
                  <w:sz w:val="20"/>
                  <w:szCs w:val="20"/>
                </w:rPr>
                <w:t>https://www.cardiff.ac.uk/medicine/resources/quality-of-life-questionnaires/dermatology-life-quality-index</w:t>
              </w:r>
            </w:hyperlink>
            <w:r w:rsidR="00807021">
              <w:rPr>
                <w:rFonts w:ascii="Arial Narrow" w:hAnsi="Arial Narrow"/>
                <w:sz w:val="20"/>
                <w:szCs w:val="20"/>
              </w:rPr>
              <w:t xml:space="preserve"> </w:t>
            </w:r>
          </w:p>
        </w:tc>
      </w:tr>
      <w:tr w:rsidR="007E6AA4" w:rsidRPr="00BA1A71" w14:paraId="3F2AF838" w14:textId="77777777" w:rsidTr="00AF29CF">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bottom w:val="single" w:sz="4" w:space="0" w:color="auto"/>
              <w:right w:val="single" w:sz="4" w:space="0" w:color="auto"/>
            </w:tcBorders>
          </w:tcPr>
          <w:p w14:paraId="65B72181" w14:textId="46C6FBEC" w:rsidR="007E6AA4" w:rsidRPr="00BA1A71" w:rsidRDefault="007E6AA4" w:rsidP="007157C0">
            <w:pPr>
              <w:jc w:val="center"/>
              <w:rPr>
                <w:rFonts w:ascii="Arial Narrow" w:hAnsi="Arial Narrow"/>
                <w:color w:val="333333"/>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3D8D4567" w14:textId="77777777" w:rsidR="007E6AA4" w:rsidRPr="00BA1A71" w:rsidRDefault="007E6AA4" w:rsidP="007157C0">
            <w:pPr>
              <w:keepLines/>
              <w:rPr>
                <w:rFonts w:ascii="Arial Narrow" w:hAnsi="Arial Narrow"/>
                <w:b/>
                <w:bCs/>
                <w:color w:val="333333"/>
                <w:sz w:val="20"/>
                <w:szCs w:val="20"/>
              </w:rPr>
            </w:pPr>
            <w:r w:rsidRPr="00BA1A71">
              <w:rPr>
                <w:rFonts w:ascii="Arial Narrow" w:hAnsi="Arial Narrow"/>
                <w:b/>
                <w:bCs/>
                <w:color w:val="333333"/>
                <w:sz w:val="20"/>
                <w:szCs w:val="20"/>
              </w:rPr>
              <w:t>Administrative Advice:</w:t>
            </w:r>
          </w:p>
          <w:p w14:paraId="6FAC5DB3" w14:textId="77777777" w:rsidR="007E6AA4" w:rsidRPr="00BA1A71" w:rsidRDefault="007E6AA4" w:rsidP="007157C0">
            <w:pPr>
              <w:pStyle w:val="TableCentre"/>
              <w:jc w:val="left"/>
              <w:rPr>
                <w:rFonts w:ascii="Arial Narrow" w:eastAsia="Calibri" w:hAnsi="Arial Narrow" w:cs="Arial"/>
                <w:sz w:val="20"/>
                <w:szCs w:val="20"/>
                <w:lang w:eastAsia="en-AU" w:bidi="ar-SA"/>
                <w14:ligatures w14:val="standardContextual"/>
              </w:rPr>
            </w:pPr>
            <w:r w:rsidRPr="00BA1A71">
              <w:rPr>
                <w:rFonts w:ascii="Arial Narrow" w:eastAsia="Calibri" w:hAnsi="Arial Narrow" w:cs="Arial"/>
                <w:sz w:val="20"/>
                <w:szCs w:val="20"/>
                <w:lang w:eastAsia="en-AU" w:bidi="ar-SA"/>
                <w14:ligatures w14:val="standardContextual"/>
              </w:rPr>
              <w:t>The Physician's Global Assessment (5-point scale) referenced in this restriction is that described in the following literature publication:</w:t>
            </w:r>
          </w:p>
          <w:p w14:paraId="4293A1B3" w14:textId="77777777" w:rsidR="007E6AA4" w:rsidRPr="00BA1A71" w:rsidRDefault="007E6AA4" w:rsidP="007157C0">
            <w:pPr>
              <w:pStyle w:val="TableCentre"/>
              <w:jc w:val="left"/>
              <w:rPr>
                <w:rFonts w:ascii="Arial Narrow" w:eastAsia="Calibri" w:hAnsi="Arial Narrow" w:cs="Arial"/>
                <w:sz w:val="20"/>
                <w:szCs w:val="20"/>
                <w:lang w:eastAsia="en-AU" w:bidi="ar-SA"/>
                <w14:ligatures w14:val="standardContextual"/>
              </w:rPr>
            </w:pPr>
            <w:proofErr w:type="spellStart"/>
            <w:r w:rsidRPr="00BA1A71">
              <w:rPr>
                <w:rFonts w:ascii="Arial Narrow" w:eastAsia="Calibri" w:hAnsi="Arial Narrow" w:cs="Arial"/>
                <w:sz w:val="20"/>
                <w:szCs w:val="20"/>
                <w:lang w:eastAsia="en-AU" w:bidi="ar-SA"/>
                <w14:ligatures w14:val="standardContextual"/>
              </w:rPr>
              <w:t>Fatumura</w:t>
            </w:r>
            <w:proofErr w:type="spellEnd"/>
            <w:r w:rsidRPr="00BA1A71">
              <w:rPr>
                <w:rFonts w:ascii="Arial Narrow" w:eastAsia="Calibri" w:hAnsi="Arial Narrow" w:cs="Arial"/>
                <w:sz w:val="20"/>
                <w:szCs w:val="20"/>
                <w:lang w:eastAsia="en-AU" w:bidi="ar-SA"/>
                <w14:ligatures w14:val="standardContextual"/>
              </w:rPr>
              <w:t xml:space="preserve"> M et al. A systematic review of Investigator Global Assessment (IGA) in atopic dermatitis (AD) trials: Many options, no standards Journal of the American Academy of Dermatology 2016; 674(2): 288-94 </w:t>
            </w:r>
          </w:p>
          <w:p w14:paraId="34AF2BAA" w14:textId="77777777" w:rsidR="007E6AA4" w:rsidRPr="00BA1A71" w:rsidRDefault="007E6AA4" w:rsidP="007157C0">
            <w:pPr>
              <w:keepLines/>
              <w:rPr>
                <w:rFonts w:ascii="Arial Narrow" w:hAnsi="Arial Narrow"/>
                <w:b/>
                <w:bCs/>
                <w:color w:val="333333"/>
                <w:sz w:val="20"/>
                <w:szCs w:val="20"/>
              </w:rPr>
            </w:pPr>
            <w:r w:rsidRPr="00BA1A71">
              <w:rPr>
                <w:rFonts w:ascii="Arial Narrow" w:eastAsia="Calibri" w:hAnsi="Arial Narrow"/>
                <w:sz w:val="20"/>
                <w:szCs w:val="20"/>
              </w:rPr>
              <w:t>The overall appearance of dermatitis lesions is rated as 4 (severe) if the lesions are best described as featuring: deep/dark red erythema, with marked and extensive induration/papulation; excoriation and oozing/crusting are present.</w:t>
            </w:r>
          </w:p>
        </w:tc>
      </w:tr>
      <w:tr w:rsidR="007E6AA4" w:rsidRPr="00446E53" w14:paraId="62BF055B" w14:textId="77777777" w:rsidTr="00AF29CF">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bottom w:val="single" w:sz="4" w:space="0" w:color="auto"/>
              <w:right w:val="single" w:sz="4" w:space="0" w:color="auto"/>
            </w:tcBorders>
          </w:tcPr>
          <w:p w14:paraId="6E813F8D" w14:textId="7F28E21A" w:rsidR="007E6AA4" w:rsidRPr="00446E53" w:rsidRDefault="007E6AA4" w:rsidP="007157C0">
            <w:pPr>
              <w:jc w:val="center"/>
              <w:rPr>
                <w:rFonts w:ascii="Arial Narrow" w:hAnsi="Arial Narrow"/>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6F7001CD" w14:textId="77777777" w:rsidR="007E6AA4" w:rsidRDefault="007E6AA4" w:rsidP="007157C0">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3701FFCC" w14:textId="77777777" w:rsidR="007E6AA4" w:rsidRPr="00446E53" w:rsidRDefault="007E6AA4" w:rsidP="007157C0">
            <w:pPr>
              <w:keepLines/>
              <w:rPr>
                <w:rFonts w:ascii="Arial Narrow" w:hAnsi="Arial Narrow"/>
                <w:b/>
                <w:sz w:val="20"/>
                <w:szCs w:val="20"/>
              </w:rPr>
            </w:pPr>
            <w:r w:rsidRPr="003D23AA">
              <w:rPr>
                <w:rFonts w:ascii="Arial Narrow" w:eastAsia="Calibri" w:hAnsi="Arial Narrow"/>
                <w:sz w:val="20"/>
                <w:szCs w:val="20"/>
              </w:rPr>
              <w:t>Applications for authorisation under this restriction may be made in real time using the Online PBS Authorities system (see www.servicesaustralia.gov.au/HPOS) or by telephone by contacting Services Australia on 1800 888 333.</w:t>
            </w:r>
            <w:r>
              <w:rPr>
                <w:rFonts w:ascii="Arial Narrow" w:eastAsia="Calibri" w:hAnsi="Arial Narrow"/>
                <w:sz w:val="20"/>
                <w:szCs w:val="20"/>
              </w:rPr>
              <w:t xml:space="preserve"> </w:t>
            </w:r>
          </w:p>
        </w:tc>
      </w:tr>
      <w:tr w:rsidR="00183E42" w:rsidRPr="00AC5ED2" w14:paraId="17B74465" w14:textId="77777777" w:rsidTr="00AF29CF">
        <w:tblPrEx>
          <w:tblCellMar>
            <w:top w:w="15" w:type="dxa"/>
            <w:bottom w:w="15" w:type="dxa"/>
          </w:tblCellMar>
          <w:tblLook w:val="04A0" w:firstRow="1" w:lastRow="0" w:firstColumn="1" w:lastColumn="0" w:noHBand="0" w:noVBand="1"/>
        </w:tblPrEx>
        <w:trPr>
          <w:trHeight w:val="20"/>
        </w:trPr>
        <w:tc>
          <w:tcPr>
            <w:tcW w:w="705" w:type="pct"/>
            <w:tcBorders>
              <w:left w:val="single" w:sz="4" w:space="0" w:color="auto"/>
              <w:bottom w:val="single" w:sz="4" w:space="0" w:color="auto"/>
              <w:right w:val="single" w:sz="4" w:space="0" w:color="auto"/>
            </w:tcBorders>
            <w:shd w:val="clear" w:color="auto" w:fill="D9D9D9" w:themeFill="background1" w:themeFillShade="D9"/>
          </w:tcPr>
          <w:p w14:paraId="553D6280" w14:textId="77777777" w:rsidR="007E6AA4" w:rsidRPr="00446E53" w:rsidRDefault="007E6AA4" w:rsidP="007157C0">
            <w:pPr>
              <w:jc w:val="center"/>
              <w:rPr>
                <w:rFonts w:ascii="Arial Narrow" w:hAnsi="Arial Narrow"/>
                <w:color w:val="333333"/>
                <w:sz w:val="20"/>
                <w:szCs w:val="20"/>
              </w:rPr>
            </w:pPr>
          </w:p>
        </w:tc>
        <w:tc>
          <w:tcPr>
            <w:tcW w:w="429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8BEAA" w14:textId="77777777" w:rsidR="007E6AA4" w:rsidRPr="00AC5ED2" w:rsidRDefault="007E6AA4" w:rsidP="007157C0">
            <w:pPr>
              <w:keepLines/>
              <w:rPr>
                <w:rFonts w:ascii="Arial Narrow" w:hAnsi="Arial Narrow"/>
                <w:b/>
                <w:bCs/>
                <w:sz w:val="20"/>
                <w:szCs w:val="20"/>
              </w:rPr>
            </w:pPr>
            <w:r w:rsidRPr="00AC5ED2">
              <w:rPr>
                <w:rFonts w:ascii="Arial Narrow" w:hAnsi="Arial Narrow"/>
                <w:b/>
                <w:sz w:val="20"/>
                <w:szCs w:val="20"/>
              </w:rPr>
              <w:t>Restriction Summary [new</w:t>
            </w:r>
            <w:r>
              <w:rPr>
                <w:rFonts w:ascii="Arial Narrow" w:hAnsi="Arial Narrow"/>
                <w:b/>
                <w:sz w:val="20"/>
                <w:szCs w:val="20"/>
              </w:rPr>
              <w:t>4</w:t>
            </w:r>
            <w:r w:rsidRPr="00AC5ED2">
              <w:rPr>
                <w:rFonts w:ascii="Arial Narrow" w:hAnsi="Arial Narrow"/>
                <w:b/>
                <w:sz w:val="20"/>
                <w:szCs w:val="20"/>
              </w:rPr>
              <w:t>] / Treatment of Concept: [new</w:t>
            </w:r>
            <w:r>
              <w:rPr>
                <w:rFonts w:ascii="Arial Narrow" w:hAnsi="Arial Narrow"/>
                <w:b/>
                <w:sz w:val="20"/>
                <w:szCs w:val="20"/>
              </w:rPr>
              <w:t>4</w:t>
            </w:r>
            <w:r w:rsidRPr="00AC5ED2">
              <w:rPr>
                <w:rFonts w:ascii="Arial Narrow" w:hAnsi="Arial Narrow"/>
                <w:b/>
                <w:sz w:val="20"/>
                <w:szCs w:val="20"/>
              </w:rPr>
              <w:t>A]</w:t>
            </w:r>
          </w:p>
        </w:tc>
      </w:tr>
      <w:tr w:rsidR="007E6AA4" w:rsidRPr="0069367A" w14:paraId="6A7FDA5A" w14:textId="77777777" w:rsidTr="00AF29CF">
        <w:tblPrEx>
          <w:tblCellMar>
            <w:top w:w="15" w:type="dxa"/>
            <w:bottom w:w="15" w:type="dxa"/>
          </w:tblCellMar>
          <w:tblLook w:val="04A0" w:firstRow="1" w:lastRow="0" w:firstColumn="1" w:lastColumn="0" w:noHBand="0" w:noVBand="1"/>
        </w:tblPrEx>
        <w:trPr>
          <w:cantSplit/>
          <w:trHeight w:val="20"/>
        </w:trPr>
        <w:tc>
          <w:tcPr>
            <w:tcW w:w="705" w:type="pct"/>
            <w:hideMark/>
          </w:tcPr>
          <w:p w14:paraId="6CC798DA" w14:textId="745F22B3" w:rsidR="007E6AA4" w:rsidRPr="00446E53" w:rsidRDefault="007E6AA4" w:rsidP="007157C0">
            <w:pPr>
              <w:keepLines/>
              <w:jc w:val="center"/>
              <w:rPr>
                <w:rFonts w:ascii="Arial Narrow" w:hAnsi="Arial Narrow"/>
                <w:color w:val="333333"/>
                <w:sz w:val="20"/>
                <w:szCs w:val="20"/>
              </w:rPr>
            </w:pPr>
          </w:p>
        </w:tc>
        <w:tc>
          <w:tcPr>
            <w:tcW w:w="4295" w:type="pct"/>
            <w:gridSpan w:val="6"/>
            <w:vAlign w:val="center"/>
            <w:hideMark/>
          </w:tcPr>
          <w:p w14:paraId="403FCBF2" w14:textId="77777777" w:rsidR="007E6AA4" w:rsidRPr="0069367A" w:rsidRDefault="007E6AA4" w:rsidP="007157C0">
            <w:pPr>
              <w:keepLines/>
              <w:rPr>
                <w:rFonts w:ascii="Arial Narrow" w:hAnsi="Arial Narrow"/>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7E6AA4" w:rsidRPr="0069367A" w14:paraId="64AC4CE1" w14:textId="77777777" w:rsidTr="00AF29CF">
        <w:tblPrEx>
          <w:tblCellMar>
            <w:top w:w="15" w:type="dxa"/>
            <w:bottom w:w="15" w:type="dxa"/>
          </w:tblCellMar>
          <w:tblLook w:val="04A0" w:firstRow="1" w:lastRow="0" w:firstColumn="1" w:lastColumn="0" w:noHBand="0" w:noVBand="1"/>
        </w:tblPrEx>
        <w:trPr>
          <w:cantSplit/>
          <w:trHeight w:val="20"/>
        </w:trPr>
        <w:tc>
          <w:tcPr>
            <w:tcW w:w="705" w:type="pct"/>
            <w:hideMark/>
          </w:tcPr>
          <w:p w14:paraId="45E8ADEC" w14:textId="77777777" w:rsidR="007E6AA4" w:rsidRPr="00446E53" w:rsidRDefault="007E6AA4" w:rsidP="007157C0">
            <w:pPr>
              <w:jc w:val="center"/>
              <w:rPr>
                <w:rFonts w:ascii="Arial Narrow" w:hAnsi="Arial Narrow"/>
                <w:color w:val="333333"/>
                <w:sz w:val="20"/>
                <w:szCs w:val="20"/>
              </w:rPr>
            </w:pPr>
          </w:p>
        </w:tc>
        <w:tc>
          <w:tcPr>
            <w:tcW w:w="4295" w:type="pct"/>
            <w:gridSpan w:val="6"/>
            <w:vAlign w:val="center"/>
            <w:hideMark/>
          </w:tcPr>
          <w:p w14:paraId="0A6520E9" w14:textId="77777777" w:rsidR="007E6AA4" w:rsidRPr="0069367A" w:rsidRDefault="007E6AA4" w:rsidP="007157C0">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w:t>
            </w:r>
            <w:r>
              <w:rPr>
                <w:rFonts w:ascii="Arial Narrow" w:hAnsi="Arial Narrow"/>
                <w:sz w:val="20"/>
                <w:szCs w:val="20"/>
              </w:rPr>
              <w:t>Continuing or resuming</w:t>
            </w:r>
            <w:r w:rsidRPr="0069367A">
              <w:rPr>
                <w:rFonts w:ascii="Arial Narrow" w:hAnsi="Arial Narrow"/>
                <w:sz w:val="20"/>
                <w:szCs w:val="20"/>
              </w:rPr>
              <w:t xml:space="preserve"> treatment of the whole body </w:t>
            </w:r>
          </w:p>
        </w:tc>
      </w:tr>
      <w:tr w:rsidR="007E6AA4" w:rsidRPr="00446E53" w14:paraId="0F596227"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410E4375" w14:textId="381F13DA" w:rsidR="007E6AA4" w:rsidRPr="00446E53" w:rsidRDefault="007E6AA4" w:rsidP="007157C0">
            <w:pPr>
              <w:jc w:val="center"/>
              <w:rPr>
                <w:rFonts w:ascii="Arial Narrow" w:hAnsi="Arial Narrow"/>
                <w:color w:val="333333"/>
                <w:sz w:val="20"/>
                <w:szCs w:val="20"/>
              </w:rPr>
            </w:pPr>
          </w:p>
        </w:tc>
        <w:tc>
          <w:tcPr>
            <w:tcW w:w="4295" w:type="pct"/>
            <w:gridSpan w:val="6"/>
            <w:vAlign w:val="center"/>
            <w:hideMark/>
          </w:tcPr>
          <w:p w14:paraId="5B3EB2AC" w14:textId="77777777" w:rsidR="007E6AA4" w:rsidRPr="00446E53" w:rsidRDefault="007E6AA4" w:rsidP="007157C0">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7E6AA4" w:rsidRPr="00C630E3" w14:paraId="243127C7"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73173AB2" w14:textId="49098363" w:rsidR="007E6AA4" w:rsidRPr="00446E53" w:rsidRDefault="007E6AA4" w:rsidP="007157C0">
            <w:pPr>
              <w:jc w:val="center"/>
              <w:rPr>
                <w:rFonts w:ascii="Arial Narrow" w:hAnsi="Arial Narrow"/>
                <w:color w:val="333333"/>
                <w:sz w:val="20"/>
                <w:szCs w:val="20"/>
              </w:rPr>
            </w:pPr>
          </w:p>
        </w:tc>
        <w:tc>
          <w:tcPr>
            <w:tcW w:w="4295" w:type="pct"/>
            <w:gridSpan w:val="6"/>
            <w:hideMark/>
          </w:tcPr>
          <w:p w14:paraId="5D33B845" w14:textId="77777777" w:rsidR="007E6AA4" w:rsidRPr="00C630E3" w:rsidRDefault="007E6AA4" w:rsidP="007157C0">
            <w:pPr>
              <w:rPr>
                <w:rFonts w:ascii="Arial Narrow" w:hAnsi="Arial Narrow"/>
                <w:sz w:val="20"/>
                <w:szCs w:val="20"/>
              </w:rPr>
            </w:pPr>
            <w:r w:rsidRPr="00C630E3">
              <w:rPr>
                <w:rFonts w:ascii="Arial Narrow" w:hAnsi="Arial Narrow"/>
                <w:sz w:val="20"/>
                <w:szCs w:val="20"/>
              </w:rPr>
              <w:t>Patient must have received PBS-subsidised treatment with this biological medicine for the treatment of chronic severe atopic dermatitis affecting the whole body</w:t>
            </w:r>
          </w:p>
        </w:tc>
      </w:tr>
      <w:tr w:rsidR="007E6AA4" w:rsidRPr="00446E53" w14:paraId="6020BBAB" w14:textId="77777777" w:rsidTr="00AF29CF">
        <w:tblPrEx>
          <w:tblCellMar>
            <w:top w:w="15" w:type="dxa"/>
            <w:bottom w:w="15" w:type="dxa"/>
          </w:tblCellMar>
          <w:tblLook w:val="04A0" w:firstRow="1" w:lastRow="0" w:firstColumn="1" w:lastColumn="0" w:noHBand="0" w:noVBand="1"/>
        </w:tblPrEx>
        <w:trPr>
          <w:cantSplit/>
          <w:trHeight w:val="20"/>
        </w:trPr>
        <w:tc>
          <w:tcPr>
            <w:tcW w:w="705" w:type="pct"/>
            <w:hideMark/>
          </w:tcPr>
          <w:p w14:paraId="0CCFC8AD" w14:textId="77777777" w:rsidR="007E6AA4" w:rsidRPr="00446E53" w:rsidRDefault="007E6AA4" w:rsidP="007157C0">
            <w:pPr>
              <w:jc w:val="center"/>
              <w:rPr>
                <w:rFonts w:ascii="Arial Narrow" w:hAnsi="Arial Narrow"/>
                <w:color w:val="333333"/>
                <w:sz w:val="20"/>
                <w:szCs w:val="20"/>
              </w:rPr>
            </w:pPr>
          </w:p>
        </w:tc>
        <w:tc>
          <w:tcPr>
            <w:tcW w:w="4295" w:type="pct"/>
            <w:gridSpan w:val="6"/>
            <w:vAlign w:val="center"/>
            <w:hideMark/>
          </w:tcPr>
          <w:p w14:paraId="1A523DFC" w14:textId="77777777" w:rsidR="007E6AA4" w:rsidRPr="00446E53" w:rsidRDefault="007E6AA4" w:rsidP="007157C0">
            <w:pPr>
              <w:rPr>
                <w:rFonts w:ascii="Arial Narrow" w:hAnsi="Arial Narrow"/>
                <w:color w:val="333333"/>
                <w:sz w:val="20"/>
                <w:szCs w:val="20"/>
              </w:rPr>
            </w:pPr>
            <w:r w:rsidRPr="00446E53">
              <w:rPr>
                <w:rFonts w:ascii="Arial Narrow" w:hAnsi="Arial Narrow"/>
                <w:b/>
                <w:bCs/>
                <w:color w:val="333333"/>
                <w:sz w:val="20"/>
                <w:szCs w:val="20"/>
              </w:rPr>
              <w:t>AND</w:t>
            </w:r>
          </w:p>
        </w:tc>
      </w:tr>
      <w:tr w:rsidR="007E6AA4" w:rsidRPr="00446E53" w14:paraId="21C6A68A"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62CC8821" w14:textId="468E84E6" w:rsidR="007E6AA4" w:rsidRPr="00D801D8" w:rsidRDefault="007E6AA4" w:rsidP="007157C0">
            <w:pPr>
              <w:jc w:val="center"/>
              <w:rPr>
                <w:rFonts w:ascii="Arial Narrow" w:hAnsi="Arial Narrow"/>
                <w:sz w:val="20"/>
                <w:szCs w:val="20"/>
              </w:rPr>
            </w:pPr>
          </w:p>
        </w:tc>
        <w:tc>
          <w:tcPr>
            <w:tcW w:w="4295" w:type="pct"/>
            <w:gridSpan w:val="6"/>
            <w:vAlign w:val="center"/>
            <w:hideMark/>
          </w:tcPr>
          <w:p w14:paraId="5B8F413D" w14:textId="77777777" w:rsidR="007E6AA4" w:rsidRPr="00446E53" w:rsidRDefault="007E6AA4" w:rsidP="007157C0">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7E6AA4" w:rsidRPr="00820B98" w14:paraId="650E81D3"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5CEFCCC1" w14:textId="003D82A8" w:rsidR="007E6AA4" w:rsidRPr="00F00D7C" w:rsidRDefault="007E6AA4" w:rsidP="007157C0">
            <w:pPr>
              <w:jc w:val="center"/>
              <w:rPr>
                <w:rFonts w:ascii="Arial Narrow" w:hAnsi="Arial Narrow"/>
                <w:sz w:val="20"/>
                <w:szCs w:val="20"/>
              </w:rPr>
            </w:pPr>
          </w:p>
        </w:tc>
        <w:tc>
          <w:tcPr>
            <w:tcW w:w="4295" w:type="pct"/>
            <w:gridSpan w:val="6"/>
          </w:tcPr>
          <w:p w14:paraId="768EF308" w14:textId="1F3B1FE2" w:rsidR="007E6AA4" w:rsidRPr="00F00D7C" w:rsidRDefault="007E6AA4" w:rsidP="007157C0">
            <w:pPr>
              <w:rPr>
                <w:rFonts w:ascii="Arial Narrow" w:hAnsi="Arial Narrow"/>
                <w:sz w:val="20"/>
                <w:szCs w:val="20"/>
              </w:rPr>
            </w:pPr>
            <w:r w:rsidRPr="00F00D7C">
              <w:rPr>
                <w:rFonts w:ascii="Arial Narrow" w:hAnsi="Arial Narrow"/>
                <w:sz w:val="20"/>
                <w:szCs w:val="20"/>
              </w:rPr>
              <w:t xml:space="preserve">Patient must have achieved an adequate response </w:t>
            </w:r>
            <w:r w:rsidRPr="00EC0A25">
              <w:rPr>
                <w:rFonts w:ascii="Arial Narrow" w:hAnsi="Arial Narrow"/>
                <w:sz w:val="20"/>
                <w:szCs w:val="20"/>
              </w:rPr>
              <w:t xml:space="preserve">prior to this first continuing treatment authority application; </w:t>
            </w:r>
            <w:r w:rsidRPr="00F00D7C">
              <w:rPr>
                <w:rFonts w:ascii="Arial Narrow" w:hAnsi="Arial Narrow"/>
                <w:sz w:val="20"/>
                <w:szCs w:val="20"/>
              </w:rPr>
              <w:t>or</w:t>
            </w:r>
          </w:p>
        </w:tc>
      </w:tr>
      <w:tr w:rsidR="007E6AA4" w:rsidRPr="00C630E3" w14:paraId="443096F7"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789768AB" w14:textId="694FECBD" w:rsidR="007E6AA4" w:rsidRPr="00D801D8" w:rsidRDefault="007E6AA4" w:rsidP="007157C0">
            <w:pPr>
              <w:jc w:val="center"/>
              <w:rPr>
                <w:rFonts w:ascii="Arial Narrow" w:hAnsi="Arial Narrow"/>
                <w:sz w:val="20"/>
                <w:szCs w:val="20"/>
              </w:rPr>
            </w:pPr>
          </w:p>
        </w:tc>
        <w:tc>
          <w:tcPr>
            <w:tcW w:w="4295" w:type="pct"/>
            <w:gridSpan w:val="6"/>
          </w:tcPr>
          <w:p w14:paraId="63977356" w14:textId="77777777" w:rsidR="007E6AA4" w:rsidRPr="00C630E3" w:rsidRDefault="007E6AA4" w:rsidP="007157C0">
            <w:pPr>
              <w:rPr>
                <w:rFonts w:ascii="Arial Narrow" w:hAnsi="Arial Narrow"/>
                <w:sz w:val="20"/>
                <w:szCs w:val="20"/>
              </w:rPr>
            </w:pPr>
            <w:r w:rsidRPr="00C630E3">
              <w:rPr>
                <w:rFonts w:ascii="Arial Narrow" w:hAnsi="Arial Narrow"/>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tc>
      </w:tr>
      <w:tr w:rsidR="007E6AA4" w:rsidRPr="00C630E3" w14:paraId="2ABE2B1C"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171C4AB7" w14:textId="119B38B5" w:rsidR="007E6AA4" w:rsidRPr="00D801D8" w:rsidRDefault="007E6AA4" w:rsidP="007157C0">
            <w:pPr>
              <w:jc w:val="center"/>
              <w:rPr>
                <w:rFonts w:ascii="Arial Narrow" w:hAnsi="Arial Narrow"/>
                <w:sz w:val="20"/>
                <w:szCs w:val="20"/>
              </w:rPr>
            </w:pPr>
          </w:p>
        </w:tc>
        <w:tc>
          <w:tcPr>
            <w:tcW w:w="4295" w:type="pct"/>
            <w:gridSpan w:val="6"/>
          </w:tcPr>
          <w:p w14:paraId="336AFECF" w14:textId="77777777" w:rsidR="007E6AA4" w:rsidRPr="00C630E3" w:rsidRDefault="007E6AA4" w:rsidP="007157C0">
            <w:pPr>
              <w:rPr>
                <w:rFonts w:ascii="Arial Narrow" w:hAnsi="Arial Narrow"/>
                <w:sz w:val="20"/>
                <w:szCs w:val="20"/>
              </w:rPr>
            </w:pPr>
            <w:r w:rsidRPr="00C630E3">
              <w:rPr>
                <w:rFonts w:ascii="Arial Narrow" w:hAnsi="Arial Narrow"/>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7E6AA4" w:rsidRPr="00446E53" w14:paraId="43372538"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5C8897D4" w14:textId="77777777" w:rsidR="007E6AA4" w:rsidRPr="00446E53" w:rsidRDefault="007E6AA4" w:rsidP="007157C0">
            <w:pPr>
              <w:jc w:val="center"/>
              <w:rPr>
                <w:rFonts w:ascii="Arial Narrow" w:hAnsi="Arial Narrow"/>
                <w:color w:val="FF0000"/>
                <w:sz w:val="20"/>
                <w:szCs w:val="20"/>
              </w:rPr>
            </w:pPr>
          </w:p>
        </w:tc>
        <w:tc>
          <w:tcPr>
            <w:tcW w:w="4295" w:type="pct"/>
            <w:gridSpan w:val="6"/>
            <w:vAlign w:val="center"/>
          </w:tcPr>
          <w:p w14:paraId="7F3584DE" w14:textId="77777777" w:rsidR="007E6AA4" w:rsidRPr="00446E53" w:rsidRDefault="007E6AA4" w:rsidP="007157C0">
            <w:pPr>
              <w:autoSpaceDE w:val="0"/>
              <w:autoSpaceDN w:val="0"/>
              <w:adjustRightInd w:val="0"/>
              <w:rPr>
                <w:rFonts w:ascii="Arial Narrow" w:hAnsi="Arial Narrow" w:cs="Arial Narrow"/>
                <w:b/>
                <w:bCs/>
                <w:iCs/>
                <w:color w:val="FF0000"/>
                <w:sz w:val="20"/>
                <w:szCs w:val="20"/>
              </w:rPr>
            </w:pPr>
            <w:r w:rsidRPr="00446E53">
              <w:rPr>
                <w:rFonts w:ascii="Arial Narrow" w:hAnsi="Arial Narrow" w:cs="Arial Narrow"/>
                <w:b/>
                <w:bCs/>
                <w:iCs/>
                <w:sz w:val="20"/>
                <w:szCs w:val="20"/>
              </w:rPr>
              <w:t>AND</w:t>
            </w:r>
          </w:p>
        </w:tc>
      </w:tr>
      <w:tr w:rsidR="007E6AA4" w:rsidRPr="00446E53" w14:paraId="6C85FC9F"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359BB6D4" w14:textId="30E8B9C7" w:rsidR="007E6AA4" w:rsidRPr="00E60D92" w:rsidRDefault="007E6AA4" w:rsidP="007157C0">
            <w:pPr>
              <w:jc w:val="center"/>
              <w:rPr>
                <w:rFonts w:ascii="Arial Narrow" w:hAnsi="Arial Narrow"/>
                <w:sz w:val="20"/>
                <w:szCs w:val="20"/>
              </w:rPr>
            </w:pPr>
          </w:p>
        </w:tc>
        <w:tc>
          <w:tcPr>
            <w:tcW w:w="4295" w:type="pct"/>
            <w:gridSpan w:val="6"/>
            <w:vAlign w:val="center"/>
          </w:tcPr>
          <w:p w14:paraId="31C1A28E" w14:textId="77777777" w:rsidR="007E6AA4" w:rsidRPr="00446E53" w:rsidRDefault="007E6AA4" w:rsidP="007157C0">
            <w:pPr>
              <w:autoSpaceDE w:val="0"/>
              <w:autoSpaceDN w:val="0"/>
              <w:adjustRightInd w:val="0"/>
              <w:rPr>
                <w:rFonts w:ascii="Arial Narrow" w:hAnsi="Arial Narrow" w:cs="Arial Narrow"/>
                <w:iCs/>
                <w:color w:val="FF0000"/>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7E6AA4" w:rsidRPr="00ED1588" w14:paraId="2CDA0FCB"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6B395433" w14:textId="57661CF3" w:rsidR="007E6AA4" w:rsidRPr="00E60D92" w:rsidRDefault="007E6AA4" w:rsidP="007157C0">
            <w:pPr>
              <w:jc w:val="center"/>
              <w:rPr>
                <w:rFonts w:ascii="Arial Narrow" w:hAnsi="Arial Narrow"/>
                <w:sz w:val="20"/>
                <w:szCs w:val="20"/>
              </w:rPr>
            </w:pPr>
          </w:p>
        </w:tc>
        <w:tc>
          <w:tcPr>
            <w:tcW w:w="4295" w:type="pct"/>
            <w:gridSpan w:val="6"/>
          </w:tcPr>
          <w:p w14:paraId="11600CDC" w14:textId="77777777" w:rsidR="007E6AA4" w:rsidRPr="00ED1588" w:rsidRDefault="007E6AA4" w:rsidP="007157C0">
            <w:pPr>
              <w:autoSpaceDE w:val="0"/>
              <w:autoSpaceDN w:val="0"/>
              <w:adjustRightInd w:val="0"/>
              <w:rPr>
                <w:rFonts w:ascii="Arial Narrow" w:hAnsi="Arial Narrow"/>
                <w:sz w:val="20"/>
                <w:szCs w:val="20"/>
              </w:rPr>
            </w:pPr>
            <w:r w:rsidRPr="00ED1588">
              <w:rPr>
                <w:rFonts w:ascii="Arial Narrow" w:hAnsi="Arial Narrow"/>
                <w:sz w:val="20"/>
                <w:szCs w:val="20"/>
              </w:rPr>
              <w:t>The treatment must be the sole PBS-subsidised biological medicine for this PBS indication</w:t>
            </w:r>
          </w:p>
        </w:tc>
      </w:tr>
      <w:tr w:rsidR="007E6AA4" w:rsidRPr="00E62CC5" w14:paraId="5EAC274D"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449C973E" w14:textId="09470FCE" w:rsidR="007E6AA4" w:rsidRPr="00E60D92" w:rsidRDefault="007E6AA4" w:rsidP="007157C0">
            <w:pPr>
              <w:jc w:val="center"/>
              <w:rPr>
                <w:rFonts w:ascii="Arial Narrow" w:hAnsi="Arial Narrow"/>
                <w:sz w:val="20"/>
                <w:szCs w:val="20"/>
              </w:rPr>
            </w:pPr>
          </w:p>
        </w:tc>
        <w:tc>
          <w:tcPr>
            <w:tcW w:w="4295" w:type="pct"/>
            <w:gridSpan w:val="6"/>
          </w:tcPr>
          <w:p w14:paraId="4662FDB7" w14:textId="77777777" w:rsidR="007E6AA4" w:rsidRPr="00E62CC5" w:rsidRDefault="007E6AA4" w:rsidP="007157C0">
            <w:pPr>
              <w:autoSpaceDE w:val="0"/>
              <w:autoSpaceDN w:val="0"/>
              <w:adjustRightInd w:val="0"/>
              <w:rPr>
                <w:rFonts w:ascii="Arial Narrow" w:eastAsia="Calibri" w:hAnsi="Arial Narrow"/>
                <w:b/>
                <w:bCs/>
                <w:sz w:val="20"/>
                <w:szCs w:val="20"/>
              </w:rPr>
            </w:pPr>
            <w:r>
              <w:rPr>
                <w:rFonts w:ascii="Arial Narrow" w:eastAsia="Calibri" w:hAnsi="Arial Narrow"/>
                <w:b/>
                <w:bCs/>
                <w:sz w:val="20"/>
                <w:szCs w:val="20"/>
              </w:rPr>
              <w:t xml:space="preserve">Treatment criteria: </w:t>
            </w:r>
          </w:p>
        </w:tc>
      </w:tr>
      <w:tr w:rsidR="007E6AA4" w:rsidRPr="00E62CC5" w14:paraId="2C32B282"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0D6C9C4D" w14:textId="7513E391" w:rsidR="007E6AA4" w:rsidRPr="00E60D92" w:rsidRDefault="007E6AA4" w:rsidP="007157C0">
            <w:pPr>
              <w:jc w:val="center"/>
              <w:rPr>
                <w:rFonts w:ascii="Arial Narrow" w:hAnsi="Arial Narrow"/>
                <w:sz w:val="20"/>
                <w:szCs w:val="20"/>
              </w:rPr>
            </w:pPr>
          </w:p>
        </w:tc>
        <w:tc>
          <w:tcPr>
            <w:tcW w:w="4295" w:type="pct"/>
            <w:gridSpan w:val="6"/>
          </w:tcPr>
          <w:p w14:paraId="1AB4FBF5" w14:textId="77777777" w:rsidR="007E6AA4" w:rsidRPr="00E62CC5" w:rsidRDefault="007E6AA4" w:rsidP="007157C0">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dermatologist; or</w:t>
            </w:r>
          </w:p>
        </w:tc>
      </w:tr>
      <w:tr w:rsidR="007E6AA4" w:rsidRPr="00176579" w14:paraId="4D03F6BA"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2FF6EA29" w14:textId="339BB965" w:rsidR="007E6AA4" w:rsidRDefault="007E6AA4" w:rsidP="007157C0">
            <w:pPr>
              <w:jc w:val="center"/>
              <w:rPr>
                <w:rFonts w:ascii="Arial Narrow" w:hAnsi="Arial Narrow"/>
                <w:sz w:val="20"/>
                <w:szCs w:val="20"/>
              </w:rPr>
            </w:pPr>
          </w:p>
        </w:tc>
        <w:tc>
          <w:tcPr>
            <w:tcW w:w="4295" w:type="pct"/>
            <w:gridSpan w:val="6"/>
          </w:tcPr>
          <w:p w14:paraId="2E8204EE" w14:textId="77777777" w:rsidR="007E6AA4" w:rsidRPr="00176579" w:rsidRDefault="007E6AA4" w:rsidP="007157C0">
            <w:pPr>
              <w:autoSpaceDE w:val="0"/>
              <w:autoSpaceDN w:val="0"/>
              <w:adjustRightInd w:val="0"/>
              <w:rPr>
                <w:rFonts w:ascii="Arial Narrow" w:eastAsia="Calibri" w:hAnsi="Arial Narrow"/>
                <w:sz w:val="20"/>
                <w:szCs w:val="20"/>
              </w:rPr>
            </w:pPr>
            <w:r w:rsidRPr="00176579">
              <w:rPr>
                <w:rFonts w:ascii="Arial Narrow" w:eastAsia="Calibri" w:hAnsi="Arial Narrow"/>
                <w:sz w:val="20"/>
                <w:szCs w:val="20"/>
              </w:rPr>
              <w:t>Must be treated by a clinical immunologist</w:t>
            </w:r>
          </w:p>
        </w:tc>
      </w:tr>
      <w:tr w:rsidR="007E6AA4" w:rsidRPr="00867098" w14:paraId="46DF16EC"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2C1D165D" w14:textId="42B64132" w:rsidR="007E6AA4" w:rsidRPr="00827B6B" w:rsidRDefault="007E6AA4" w:rsidP="007157C0">
            <w:pPr>
              <w:jc w:val="center"/>
              <w:rPr>
                <w:rFonts w:ascii="Arial Narrow" w:eastAsia="Calibri" w:hAnsi="Arial Narrow"/>
                <w:sz w:val="20"/>
                <w:szCs w:val="20"/>
                <w:highlight w:val="yellow"/>
              </w:rPr>
            </w:pPr>
          </w:p>
        </w:tc>
        <w:tc>
          <w:tcPr>
            <w:tcW w:w="4295" w:type="pct"/>
            <w:gridSpan w:val="6"/>
            <w:vAlign w:val="center"/>
          </w:tcPr>
          <w:p w14:paraId="72EFAAA0" w14:textId="77777777" w:rsidR="007E6AA4" w:rsidRPr="00867098" w:rsidRDefault="007E6AA4" w:rsidP="007157C0">
            <w:pPr>
              <w:rPr>
                <w:rFonts w:ascii="Arial Narrow" w:eastAsia="Calibri" w:hAnsi="Arial Narrow"/>
                <w:sz w:val="20"/>
                <w:szCs w:val="20"/>
              </w:rPr>
            </w:pPr>
            <w:r w:rsidRPr="00867098">
              <w:rPr>
                <w:rFonts w:ascii="Arial Narrow" w:hAnsi="Arial Narrow"/>
                <w:b/>
                <w:bCs/>
                <w:color w:val="333333"/>
                <w:sz w:val="20"/>
                <w:szCs w:val="20"/>
              </w:rPr>
              <w:t>Prescribing Instructions:</w:t>
            </w:r>
          </w:p>
          <w:p w14:paraId="6F71A8D8" w14:textId="77777777" w:rsidR="007E6AA4" w:rsidRPr="00867098" w:rsidRDefault="007E6AA4" w:rsidP="007157C0">
            <w:pPr>
              <w:rPr>
                <w:rFonts w:ascii="Arial Narrow" w:eastAsia="Calibri" w:hAnsi="Arial Narrow"/>
                <w:sz w:val="20"/>
                <w:szCs w:val="20"/>
              </w:rPr>
            </w:pPr>
            <w:r w:rsidRPr="00867098">
              <w:rPr>
                <w:rFonts w:ascii="Arial Narrow" w:eastAsia="Calibri" w:hAnsi="Arial Narrow"/>
                <w:sz w:val="20"/>
                <w:szCs w:val="20"/>
              </w:rPr>
              <w:t>For the purposes of this restriction, an adequate response to treatment of the whole body is defined as:</w:t>
            </w:r>
          </w:p>
          <w:p w14:paraId="766755E2" w14:textId="77777777" w:rsidR="007E6AA4" w:rsidRPr="00867098" w:rsidRDefault="007E6AA4" w:rsidP="007157C0">
            <w:pPr>
              <w:rPr>
                <w:rFonts w:ascii="Arial Narrow" w:eastAsia="Calibri" w:hAnsi="Arial Narrow"/>
                <w:sz w:val="20"/>
                <w:szCs w:val="20"/>
              </w:rPr>
            </w:pPr>
            <w:r w:rsidRPr="00867098">
              <w:rPr>
                <w:rFonts w:ascii="Arial Narrow" w:eastAsia="Calibri" w:hAnsi="Arial Narrow"/>
                <w:sz w:val="20"/>
                <w:szCs w:val="20"/>
              </w:rPr>
              <w:t>(a) An improvement/maintenance in the Eczema Area and Severity Index (EASI) score of at least 50% compared to baseline; and</w:t>
            </w:r>
          </w:p>
          <w:p w14:paraId="7556C332" w14:textId="77777777" w:rsidR="007E6AA4" w:rsidRDefault="007E6AA4" w:rsidP="007157C0">
            <w:pPr>
              <w:rPr>
                <w:rFonts w:ascii="Arial Narrow" w:eastAsia="Calibri" w:hAnsi="Arial Narrow"/>
                <w:sz w:val="20"/>
                <w:szCs w:val="20"/>
              </w:rPr>
            </w:pPr>
            <w:r w:rsidRPr="00867098">
              <w:rPr>
                <w:rFonts w:ascii="Arial Narrow" w:eastAsia="Calibri" w:hAnsi="Arial Narrow"/>
                <w:sz w:val="20"/>
                <w:szCs w:val="20"/>
              </w:rPr>
              <w:t>(b) An improvement/maintenance in Dermatology Life Quality Index (DLQI) score of at least 4 points compared to baseline</w:t>
            </w:r>
          </w:p>
          <w:p w14:paraId="1C8B5E5C" w14:textId="77777777" w:rsidR="007E6AA4" w:rsidRDefault="007E6AA4" w:rsidP="007157C0">
            <w:pPr>
              <w:rPr>
                <w:rFonts w:ascii="Arial Narrow" w:eastAsia="Calibri" w:hAnsi="Arial Narrow"/>
                <w:sz w:val="20"/>
                <w:szCs w:val="20"/>
              </w:rPr>
            </w:pPr>
          </w:p>
          <w:p w14:paraId="29AFB961" w14:textId="77777777" w:rsidR="007E6AA4" w:rsidRPr="009C678F" w:rsidRDefault="007E6AA4" w:rsidP="007157C0">
            <w:pPr>
              <w:rPr>
                <w:rFonts w:ascii="Arial Narrow" w:eastAsia="Calibri" w:hAnsi="Arial Narrow"/>
                <w:sz w:val="20"/>
                <w:szCs w:val="20"/>
              </w:rPr>
            </w:pPr>
            <w:r w:rsidRPr="009C678F">
              <w:rPr>
                <w:rFonts w:ascii="Arial Narrow" w:eastAsia="Calibri" w:hAnsi="Arial Narrow"/>
                <w:sz w:val="20"/>
                <w:szCs w:val="20"/>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14:paraId="55677C6E" w14:textId="77777777" w:rsidR="007E6AA4" w:rsidRPr="00867098" w:rsidRDefault="007E6AA4" w:rsidP="007157C0">
            <w:pPr>
              <w:rPr>
                <w:rFonts w:ascii="Arial Narrow" w:eastAsia="Calibri" w:hAnsi="Arial Narrow"/>
                <w:sz w:val="20"/>
                <w:szCs w:val="20"/>
              </w:rPr>
            </w:pPr>
          </w:p>
          <w:p w14:paraId="7E1D58A8" w14:textId="77777777" w:rsidR="007E6AA4" w:rsidRPr="00867098" w:rsidRDefault="007E6AA4" w:rsidP="007157C0">
            <w:pPr>
              <w:rPr>
                <w:rFonts w:ascii="Arial Narrow" w:eastAsia="Calibri" w:hAnsi="Arial Narrow"/>
                <w:sz w:val="20"/>
                <w:szCs w:val="20"/>
              </w:rPr>
            </w:pPr>
            <w:r w:rsidRPr="00867098">
              <w:rPr>
                <w:rFonts w:ascii="Arial Narrow" w:eastAsia="Calibri" w:hAnsi="Arial Narrow"/>
                <w:sz w:val="20"/>
                <w:szCs w:val="20"/>
              </w:rPr>
              <w:t>State each of the current EASI and DLQI scores for this authority application.</w:t>
            </w:r>
          </w:p>
        </w:tc>
      </w:tr>
      <w:tr w:rsidR="007E6AA4" w:rsidRPr="00446E53" w14:paraId="1823FF32" w14:textId="77777777" w:rsidTr="00AF29CF">
        <w:tblPrEx>
          <w:tblCellMar>
            <w:top w:w="15" w:type="dxa"/>
            <w:bottom w:w="15" w:type="dxa"/>
          </w:tblCellMar>
          <w:tblLook w:val="04A0" w:firstRow="1" w:lastRow="0" w:firstColumn="1" w:lastColumn="0" w:noHBand="0" w:noVBand="1"/>
        </w:tblPrEx>
        <w:trPr>
          <w:cantSplit/>
          <w:trHeight w:val="20"/>
        </w:trPr>
        <w:tc>
          <w:tcPr>
            <w:tcW w:w="5000" w:type="pct"/>
            <w:gridSpan w:val="7"/>
          </w:tcPr>
          <w:p w14:paraId="777F392B" w14:textId="77777777" w:rsidR="007E6AA4" w:rsidRDefault="007E6AA4" w:rsidP="007157C0">
            <w:pPr>
              <w:jc w:val="center"/>
              <w:rPr>
                <w:rFonts w:ascii="Arial Narrow" w:eastAsia="Calibri" w:hAnsi="Arial Narrow"/>
                <w:sz w:val="20"/>
                <w:szCs w:val="20"/>
              </w:rPr>
            </w:pPr>
          </w:p>
          <w:p w14:paraId="66C113DD" w14:textId="77777777" w:rsidR="007E6AA4" w:rsidRPr="00446E53" w:rsidRDefault="007E6AA4" w:rsidP="007157C0">
            <w:pPr>
              <w:rPr>
                <w:rFonts w:ascii="Arial Narrow" w:hAnsi="Arial Narrow"/>
                <w:b/>
                <w:bCs/>
                <w:color w:val="333333"/>
                <w:sz w:val="20"/>
                <w:szCs w:val="20"/>
              </w:rPr>
            </w:pPr>
          </w:p>
        </w:tc>
      </w:tr>
      <w:tr w:rsidR="00183E42" w:rsidRPr="0069367A" w14:paraId="4027AE02" w14:textId="77777777" w:rsidTr="00AF29CF">
        <w:tblPrEx>
          <w:tblCellMar>
            <w:top w:w="15" w:type="dxa"/>
            <w:bottom w:w="15" w:type="dxa"/>
          </w:tblCellMar>
          <w:tblLook w:val="04A0" w:firstRow="1" w:lastRow="0" w:firstColumn="1" w:lastColumn="0" w:noHBand="0" w:noVBand="1"/>
        </w:tblPrEx>
        <w:trPr>
          <w:cantSplit/>
          <w:trHeight w:val="20"/>
        </w:trPr>
        <w:tc>
          <w:tcPr>
            <w:tcW w:w="705" w:type="pct"/>
            <w:shd w:val="clear" w:color="auto" w:fill="D9D9D9" w:themeFill="background1" w:themeFillShade="D9"/>
          </w:tcPr>
          <w:p w14:paraId="3801E8F2" w14:textId="77777777" w:rsidR="007E6AA4" w:rsidRPr="00446E53" w:rsidRDefault="007E6AA4" w:rsidP="007157C0">
            <w:pPr>
              <w:keepNext/>
              <w:keepLines/>
              <w:jc w:val="center"/>
              <w:rPr>
                <w:rFonts w:ascii="Arial Narrow" w:hAnsi="Arial Narrow"/>
                <w:b/>
                <w:bCs/>
                <w:color w:val="333333"/>
                <w:sz w:val="20"/>
                <w:szCs w:val="20"/>
              </w:rPr>
            </w:pPr>
          </w:p>
        </w:tc>
        <w:tc>
          <w:tcPr>
            <w:tcW w:w="4295" w:type="pct"/>
            <w:gridSpan w:val="6"/>
            <w:shd w:val="clear" w:color="auto" w:fill="D9D9D9" w:themeFill="background1" w:themeFillShade="D9"/>
            <w:vAlign w:val="center"/>
          </w:tcPr>
          <w:p w14:paraId="3C526634" w14:textId="77777777" w:rsidR="007E6AA4" w:rsidRPr="0069367A" w:rsidRDefault="007E6AA4" w:rsidP="007157C0">
            <w:pPr>
              <w:keepNext/>
              <w:keepLines/>
              <w:rPr>
                <w:rFonts w:ascii="Arial Narrow" w:hAnsi="Arial Narrow"/>
                <w:b/>
                <w:bCs/>
                <w:color w:val="FF0000"/>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5</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5A</w:t>
            </w:r>
            <w:r w:rsidRPr="00446E53">
              <w:rPr>
                <w:rFonts w:ascii="Arial Narrow" w:hAnsi="Arial Narrow"/>
                <w:b/>
                <w:bCs/>
                <w:color w:val="333333"/>
                <w:sz w:val="20"/>
                <w:szCs w:val="20"/>
              </w:rPr>
              <w:t>]</w:t>
            </w:r>
          </w:p>
        </w:tc>
      </w:tr>
      <w:tr w:rsidR="007E6AA4" w:rsidRPr="00446E53" w14:paraId="5EEF147A" w14:textId="77777777" w:rsidTr="00AF29CF">
        <w:tblPrEx>
          <w:tblCellMar>
            <w:top w:w="15" w:type="dxa"/>
            <w:bottom w:w="15" w:type="dxa"/>
          </w:tblCellMar>
          <w:tblLook w:val="04A0" w:firstRow="1" w:lastRow="0" w:firstColumn="1" w:lastColumn="0" w:noHBand="0" w:noVBand="1"/>
        </w:tblPrEx>
        <w:trPr>
          <w:cantSplit/>
          <w:trHeight w:val="20"/>
        </w:trPr>
        <w:tc>
          <w:tcPr>
            <w:tcW w:w="705" w:type="pct"/>
            <w:hideMark/>
          </w:tcPr>
          <w:p w14:paraId="4D4B69C1" w14:textId="799395C7" w:rsidR="007E6AA4" w:rsidRPr="00446E53" w:rsidRDefault="007E6AA4" w:rsidP="007157C0">
            <w:pPr>
              <w:jc w:val="center"/>
              <w:rPr>
                <w:rFonts w:ascii="Arial Narrow" w:hAnsi="Arial Narrow"/>
                <w:color w:val="333333"/>
                <w:sz w:val="20"/>
                <w:szCs w:val="20"/>
              </w:rPr>
            </w:pPr>
          </w:p>
        </w:tc>
        <w:tc>
          <w:tcPr>
            <w:tcW w:w="4295" w:type="pct"/>
            <w:gridSpan w:val="6"/>
            <w:vAlign w:val="center"/>
            <w:hideMark/>
          </w:tcPr>
          <w:p w14:paraId="6124E196" w14:textId="77777777" w:rsidR="007E6AA4" w:rsidRPr="00446E53" w:rsidRDefault="007E6AA4" w:rsidP="007157C0">
            <w:pPr>
              <w:rPr>
                <w:rFonts w:ascii="Arial Narrow" w:hAnsi="Arial Narrow"/>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7E6AA4" w:rsidRPr="00446E53" w14:paraId="45F722C7"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14F1761F" w14:textId="77777777" w:rsidR="007E6AA4" w:rsidRPr="00446E53" w:rsidRDefault="007E6AA4" w:rsidP="007157C0">
            <w:pPr>
              <w:jc w:val="center"/>
              <w:rPr>
                <w:rFonts w:ascii="Arial Narrow" w:hAnsi="Arial Narrow"/>
                <w:color w:val="333333"/>
                <w:sz w:val="20"/>
                <w:szCs w:val="20"/>
              </w:rPr>
            </w:pPr>
          </w:p>
        </w:tc>
        <w:tc>
          <w:tcPr>
            <w:tcW w:w="4295" w:type="pct"/>
            <w:gridSpan w:val="6"/>
            <w:vAlign w:val="center"/>
            <w:hideMark/>
          </w:tcPr>
          <w:p w14:paraId="0E4D4906" w14:textId="77777777" w:rsidR="007E6AA4" w:rsidRPr="00446E53" w:rsidRDefault="007E6AA4" w:rsidP="007157C0">
            <w:pPr>
              <w:rPr>
                <w:rFonts w:ascii="Arial Narrow" w:hAnsi="Arial Narrow"/>
                <w:sz w:val="20"/>
                <w:szCs w:val="20"/>
              </w:rPr>
            </w:pPr>
            <w:r w:rsidRPr="0069367A">
              <w:rPr>
                <w:rFonts w:ascii="Arial Narrow" w:hAnsi="Arial Narrow"/>
                <w:b/>
                <w:bCs/>
                <w:sz w:val="20"/>
                <w:szCs w:val="20"/>
              </w:rPr>
              <w:t>Treatment Phase:</w:t>
            </w:r>
            <w:r w:rsidRPr="0069367A">
              <w:rPr>
                <w:rFonts w:ascii="Arial Narrow" w:hAnsi="Arial Narrow"/>
                <w:sz w:val="20"/>
                <w:szCs w:val="20"/>
              </w:rPr>
              <w:t xml:space="preserve"> </w:t>
            </w:r>
            <w:r>
              <w:rPr>
                <w:rFonts w:ascii="Arial Narrow" w:hAnsi="Arial Narrow"/>
                <w:sz w:val="20"/>
                <w:szCs w:val="20"/>
              </w:rPr>
              <w:t>Continuing or resuming</w:t>
            </w:r>
            <w:r w:rsidRPr="0069367A">
              <w:rPr>
                <w:rFonts w:ascii="Arial Narrow" w:hAnsi="Arial Narrow"/>
                <w:sz w:val="20"/>
                <w:szCs w:val="20"/>
              </w:rPr>
              <w:t xml:space="preserve"> treatment of the </w:t>
            </w:r>
            <w:r>
              <w:rPr>
                <w:rFonts w:ascii="Arial Narrow" w:hAnsi="Arial Narrow"/>
                <w:sz w:val="20"/>
                <w:szCs w:val="20"/>
              </w:rPr>
              <w:t>face and/or hands</w:t>
            </w:r>
            <w:r w:rsidRPr="0069367A">
              <w:rPr>
                <w:rFonts w:ascii="Arial Narrow" w:hAnsi="Arial Narrow"/>
                <w:sz w:val="20"/>
                <w:szCs w:val="20"/>
              </w:rPr>
              <w:t xml:space="preserve"> </w:t>
            </w:r>
          </w:p>
        </w:tc>
      </w:tr>
      <w:tr w:rsidR="007E6AA4" w:rsidRPr="00446E53" w14:paraId="1DD15009"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34FDFD97" w14:textId="3CC52865" w:rsidR="007E6AA4" w:rsidRPr="00446E53" w:rsidRDefault="007E6AA4" w:rsidP="007157C0">
            <w:pPr>
              <w:jc w:val="center"/>
              <w:rPr>
                <w:rFonts w:ascii="Arial Narrow" w:hAnsi="Arial Narrow"/>
                <w:color w:val="333333"/>
                <w:sz w:val="20"/>
                <w:szCs w:val="20"/>
              </w:rPr>
            </w:pPr>
          </w:p>
        </w:tc>
        <w:tc>
          <w:tcPr>
            <w:tcW w:w="4295" w:type="pct"/>
            <w:gridSpan w:val="6"/>
            <w:vAlign w:val="center"/>
          </w:tcPr>
          <w:p w14:paraId="0EF666C5"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7E6AA4" w:rsidRPr="00CD7E60" w14:paraId="089ACF27"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01F83327" w14:textId="4963C1A9" w:rsidR="007E6AA4" w:rsidRPr="00446E53" w:rsidRDefault="007E6AA4" w:rsidP="007157C0">
            <w:pPr>
              <w:jc w:val="center"/>
              <w:rPr>
                <w:rFonts w:ascii="Arial Narrow" w:hAnsi="Arial Narrow"/>
                <w:color w:val="333333"/>
                <w:sz w:val="20"/>
                <w:szCs w:val="20"/>
              </w:rPr>
            </w:pPr>
          </w:p>
        </w:tc>
        <w:tc>
          <w:tcPr>
            <w:tcW w:w="4295" w:type="pct"/>
            <w:gridSpan w:val="6"/>
          </w:tcPr>
          <w:p w14:paraId="29CF1664" w14:textId="77777777" w:rsidR="007E6AA4" w:rsidRPr="00CD7E60" w:rsidRDefault="007E6AA4" w:rsidP="007157C0">
            <w:pPr>
              <w:rPr>
                <w:rFonts w:ascii="Arial Narrow" w:hAnsi="Arial Narrow"/>
                <w:color w:val="333333"/>
                <w:sz w:val="20"/>
                <w:szCs w:val="20"/>
              </w:rPr>
            </w:pPr>
            <w:r w:rsidRPr="00354B12">
              <w:rPr>
                <w:rFonts w:ascii="Arial Narrow" w:hAnsi="Arial Narrow"/>
                <w:sz w:val="20"/>
                <w:szCs w:val="20"/>
              </w:rPr>
              <w:t>Patient must have received PBS-subsidised treatment with this biological medicine for the treatment of chronic severe atopic dermatitis affecting the face/hands</w:t>
            </w:r>
          </w:p>
        </w:tc>
      </w:tr>
      <w:tr w:rsidR="007E6AA4" w:rsidRPr="00446E53" w14:paraId="3BDDF74A"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3609C6F6" w14:textId="77777777" w:rsidR="007E6AA4" w:rsidRPr="00446E53" w:rsidRDefault="007E6AA4" w:rsidP="007157C0">
            <w:pPr>
              <w:jc w:val="center"/>
              <w:rPr>
                <w:rFonts w:ascii="Arial Narrow" w:hAnsi="Arial Narrow"/>
                <w:color w:val="333333"/>
                <w:sz w:val="20"/>
                <w:szCs w:val="20"/>
              </w:rPr>
            </w:pPr>
          </w:p>
        </w:tc>
        <w:tc>
          <w:tcPr>
            <w:tcW w:w="4295" w:type="pct"/>
            <w:gridSpan w:val="6"/>
            <w:vAlign w:val="center"/>
          </w:tcPr>
          <w:p w14:paraId="3022A342"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7E6AA4" w:rsidRPr="00446E53" w14:paraId="69DFA25F"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4D64A354" w14:textId="65F07555" w:rsidR="007E6AA4" w:rsidRPr="00446E53" w:rsidRDefault="007E6AA4" w:rsidP="007157C0">
            <w:pPr>
              <w:jc w:val="center"/>
              <w:rPr>
                <w:rFonts w:ascii="Arial Narrow" w:hAnsi="Arial Narrow"/>
                <w:color w:val="333333"/>
                <w:sz w:val="20"/>
                <w:szCs w:val="20"/>
              </w:rPr>
            </w:pPr>
          </w:p>
        </w:tc>
        <w:tc>
          <w:tcPr>
            <w:tcW w:w="4295" w:type="pct"/>
            <w:gridSpan w:val="6"/>
            <w:vAlign w:val="center"/>
          </w:tcPr>
          <w:p w14:paraId="28DAB85D"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7E6AA4" w:rsidRPr="00653865" w14:paraId="75AB85C0"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43650781" w14:textId="04962EE7" w:rsidR="007E6AA4" w:rsidRPr="00653865" w:rsidRDefault="007E6AA4" w:rsidP="007157C0">
            <w:pPr>
              <w:jc w:val="center"/>
              <w:rPr>
                <w:rFonts w:ascii="Arial Narrow" w:hAnsi="Arial Narrow"/>
                <w:i/>
                <w:iCs/>
                <w:color w:val="333333"/>
                <w:sz w:val="20"/>
                <w:szCs w:val="20"/>
              </w:rPr>
            </w:pPr>
          </w:p>
        </w:tc>
        <w:tc>
          <w:tcPr>
            <w:tcW w:w="4295" w:type="pct"/>
            <w:gridSpan w:val="6"/>
          </w:tcPr>
          <w:p w14:paraId="15DDB669" w14:textId="455830C1" w:rsidR="007E6AA4" w:rsidRPr="00653865" w:rsidRDefault="007E6AA4" w:rsidP="007157C0">
            <w:pPr>
              <w:rPr>
                <w:rFonts w:ascii="Arial Narrow" w:hAnsi="Arial Narrow"/>
                <w:i/>
                <w:iCs/>
                <w:color w:val="333333"/>
                <w:sz w:val="20"/>
                <w:szCs w:val="20"/>
              </w:rPr>
            </w:pPr>
            <w:r w:rsidRPr="00F00D7C">
              <w:rPr>
                <w:rFonts w:ascii="Arial Narrow" w:hAnsi="Arial Narrow"/>
                <w:sz w:val="20"/>
                <w:szCs w:val="20"/>
              </w:rPr>
              <w:t xml:space="preserve">Patient must have achieved an adequate response </w:t>
            </w:r>
            <w:r w:rsidRPr="00EC0A25">
              <w:rPr>
                <w:rFonts w:ascii="Arial Narrow" w:hAnsi="Arial Narrow"/>
                <w:sz w:val="20"/>
                <w:szCs w:val="20"/>
              </w:rPr>
              <w:t>prior to this first continuing treatment authority application;</w:t>
            </w:r>
            <w:r>
              <w:rPr>
                <w:rFonts w:ascii="Arial Narrow" w:hAnsi="Arial Narrow"/>
                <w:sz w:val="20"/>
                <w:szCs w:val="20"/>
              </w:rPr>
              <w:t xml:space="preserve"> </w:t>
            </w:r>
            <w:r w:rsidRPr="00F00D7C">
              <w:rPr>
                <w:rFonts w:ascii="Arial Narrow" w:hAnsi="Arial Narrow"/>
                <w:sz w:val="20"/>
                <w:szCs w:val="20"/>
              </w:rPr>
              <w:t>or</w:t>
            </w:r>
          </w:p>
        </w:tc>
      </w:tr>
      <w:tr w:rsidR="007E6AA4" w:rsidRPr="00A80426" w14:paraId="7CEE3248"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50370C03" w14:textId="075FD01A" w:rsidR="007E6AA4" w:rsidRDefault="007E6AA4" w:rsidP="007157C0">
            <w:pPr>
              <w:jc w:val="center"/>
              <w:rPr>
                <w:rFonts w:ascii="Arial Narrow" w:hAnsi="Arial Narrow"/>
                <w:color w:val="333333"/>
                <w:sz w:val="20"/>
                <w:szCs w:val="20"/>
              </w:rPr>
            </w:pPr>
          </w:p>
        </w:tc>
        <w:tc>
          <w:tcPr>
            <w:tcW w:w="4295" w:type="pct"/>
            <w:gridSpan w:val="6"/>
          </w:tcPr>
          <w:p w14:paraId="6AD4B344" w14:textId="77777777" w:rsidR="007E6AA4" w:rsidRPr="00A80426" w:rsidRDefault="007E6AA4" w:rsidP="007157C0">
            <w:pPr>
              <w:rPr>
                <w:rFonts w:ascii="Arial Narrow" w:hAnsi="Arial Narrow"/>
                <w:sz w:val="20"/>
                <w:szCs w:val="20"/>
              </w:rPr>
            </w:pPr>
            <w:r w:rsidRPr="003D10E5">
              <w:rPr>
                <w:rFonts w:ascii="Arial Narrow" w:hAnsi="Arial Narrow"/>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tc>
      </w:tr>
      <w:tr w:rsidR="007E6AA4" w:rsidRPr="00A80426" w14:paraId="5F60F3CB"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590BFAA7" w14:textId="623B5AB1" w:rsidR="007E6AA4" w:rsidRDefault="007E6AA4" w:rsidP="007157C0">
            <w:pPr>
              <w:jc w:val="center"/>
              <w:rPr>
                <w:rFonts w:ascii="Arial Narrow" w:hAnsi="Arial Narrow"/>
                <w:color w:val="333333"/>
                <w:sz w:val="20"/>
                <w:szCs w:val="20"/>
              </w:rPr>
            </w:pPr>
          </w:p>
        </w:tc>
        <w:tc>
          <w:tcPr>
            <w:tcW w:w="4295" w:type="pct"/>
            <w:gridSpan w:val="6"/>
          </w:tcPr>
          <w:p w14:paraId="3B9BB44E" w14:textId="77777777" w:rsidR="007E6AA4" w:rsidRPr="00A80426" w:rsidRDefault="007E6AA4" w:rsidP="007157C0">
            <w:pPr>
              <w:rPr>
                <w:rFonts w:ascii="Arial Narrow" w:hAnsi="Arial Narrow"/>
                <w:sz w:val="20"/>
                <w:szCs w:val="20"/>
              </w:rPr>
            </w:pPr>
            <w:r w:rsidRPr="003D10E5">
              <w:rPr>
                <w:rFonts w:ascii="Arial Narrow" w:hAnsi="Arial Narrow"/>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7E6AA4" w:rsidRPr="000A7AD1" w14:paraId="4F9789B0"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25759C52" w14:textId="77777777" w:rsidR="007E6AA4" w:rsidRDefault="007E6AA4" w:rsidP="007157C0">
            <w:pPr>
              <w:jc w:val="center"/>
              <w:rPr>
                <w:rFonts w:ascii="Arial Narrow" w:hAnsi="Arial Narrow"/>
                <w:color w:val="333333"/>
                <w:sz w:val="20"/>
                <w:szCs w:val="20"/>
              </w:rPr>
            </w:pPr>
          </w:p>
        </w:tc>
        <w:tc>
          <w:tcPr>
            <w:tcW w:w="4295" w:type="pct"/>
            <w:gridSpan w:val="6"/>
            <w:vAlign w:val="center"/>
          </w:tcPr>
          <w:p w14:paraId="2BFACD02" w14:textId="77777777" w:rsidR="007E6AA4" w:rsidRPr="000A7AD1" w:rsidRDefault="007E6AA4" w:rsidP="007157C0">
            <w:pPr>
              <w:rPr>
                <w:rFonts w:ascii="Arial Narrow" w:hAnsi="Arial Narrow"/>
                <w:sz w:val="20"/>
                <w:szCs w:val="20"/>
              </w:rPr>
            </w:pPr>
            <w:r w:rsidRPr="00446E53">
              <w:rPr>
                <w:rFonts w:ascii="Arial Narrow" w:hAnsi="Arial Narrow" w:cs="Arial Narrow"/>
                <w:b/>
                <w:bCs/>
                <w:iCs/>
                <w:sz w:val="20"/>
                <w:szCs w:val="20"/>
              </w:rPr>
              <w:t>AND</w:t>
            </w:r>
          </w:p>
        </w:tc>
      </w:tr>
      <w:tr w:rsidR="007E6AA4" w:rsidRPr="000A7AD1" w14:paraId="66442639"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0389F51D" w14:textId="6F409745" w:rsidR="007E6AA4" w:rsidRDefault="007E6AA4" w:rsidP="007157C0">
            <w:pPr>
              <w:jc w:val="center"/>
              <w:rPr>
                <w:rFonts w:ascii="Arial Narrow" w:hAnsi="Arial Narrow"/>
                <w:color w:val="333333"/>
                <w:sz w:val="20"/>
                <w:szCs w:val="20"/>
              </w:rPr>
            </w:pPr>
          </w:p>
        </w:tc>
        <w:tc>
          <w:tcPr>
            <w:tcW w:w="4295" w:type="pct"/>
            <w:gridSpan w:val="6"/>
            <w:vAlign w:val="center"/>
          </w:tcPr>
          <w:p w14:paraId="5E8D1AA5" w14:textId="77777777" w:rsidR="007E6AA4" w:rsidRPr="000A7AD1" w:rsidRDefault="007E6AA4" w:rsidP="007157C0">
            <w:pPr>
              <w:rPr>
                <w:rFonts w:ascii="Arial Narrow" w:hAnsi="Arial Narrow"/>
                <w:sz w:val="20"/>
                <w:szCs w:val="20"/>
              </w:rPr>
            </w:pPr>
            <w:r>
              <w:rPr>
                <w:rFonts w:ascii="Arial Narrow" w:hAnsi="Arial Narrow"/>
                <w:b/>
                <w:bCs/>
                <w:color w:val="333333"/>
                <w:sz w:val="20"/>
                <w:szCs w:val="20"/>
              </w:rPr>
              <w:t xml:space="preserve">Clinical </w:t>
            </w:r>
            <w:r w:rsidRPr="00446E53">
              <w:rPr>
                <w:rFonts w:ascii="Arial Narrow" w:hAnsi="Arial Narrow"/>
                <w:b/>
                <w:bCs/>
                <w:color w:val="333333"/>
                <w:sz w:val="20"/>
                <w:szCs w:val="20"/>
              </w:rPr>
              <w:t>criteria:</w:t>
            </w:r>
          </w:p>
        </w:tc>
      </w:tr>
      <w:tr w:rsidR="007E6AA4" w:rsidRPr="000A7AD1" w14:paraId="31F1404E"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5F7B4354" w14:textId="6F269DCC" w:rsidR="007E6AA4" w:rsidRDefault="007E6AA4" w:rsidP="007157C0">
            <w:pPr>
              <w:jc w:val="center"/>
              <w:rPr>
                <w:rFonts w:ascii="Arial Narrow" w:hAnsi="Arial Narrow"/>
                <w:color w:val="333333"/>
                <w:sz w:val="20"/>
                <w:szCs w:val="20"/>
              </w:rPr>
            </w:pPr>
          </w:p>
        </w:tc>
        <w:tc>
          <w:tcPr>
            <w:tcW w:w="4295" w:type="pct"/>
            <w:gridSpan w:val="6"/>
          </w:tcPr>
          <w:p w14:paraId="16D2D991" w14:textId="77777777" w:rsidR="007E6AA4" w:rsidRPr="000A7AD1" w:rsidRDefault="007E6AA4" w:rsidP="007157C0">
            <w:pPr>
              <w:rPr>
                <w:rFonts w:ascii="Arial Narrow" w:hAnsi="Arial Narrow"/>
                <w:sz w:val="20"/>
                <w:szCs w:val="20"/>
              </w:rPr>
            </w:pPr>
            <w:r w:rsidRPr="00C14CB9">
              <w:rPr>
                <w:rFonts w:ascii="Arial Narrow" w:eastAsia="Calibri" w:hAnsi="Arial Narrow"/>
                <w:sz w:val="20"/>
                <w:szCs w:val="20"/>
              </w:rPr>
              <w:t>The treatment must be the sole PBS-subsidised biological medicine for this PBS indication</w:t>
            </w:r>
          </w:p>
        </w:tc>
      </w:tr>
      <w:tr w:rsidR="007E6AA4" w:rsidRPr="00446E53" w14:paraId="4523A10E"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1CD0DA85" w14:textId="4F12529F" w:rsidR="007E6AA4" w:rsidRPr="00446E53" w:rsidRDefault="007E6AA4" w:rsidP="007157C0">
            <w:pPr>
              <w:jc w:val="center"/>
              <w:rPr>
                <w:rFonts w:ascii="Arial Narrow" w:hAnsi="Arial Narrow"/>
                <w:color w:val="333333"/>
                <w:sz w:val="20"/>
                <w:szCs w:val="20"/>
              </w:rPr>
            </w:pPr>
          </w:p>
        </w:tc>
        <w:tc>
          <w:tcPr>
            <w:tcW w:w="4295" w:type="pct"/>
            <w:gridSpan w:val="6"/>
          </w:tcPr>
          <w:p w14:paraId="135BD5BE" w14:textId="77777777" w:rsidR="007E6AA4" w:rsidRPr="00446E53" w:rsidRDefault="007E6AA4" w:rsidP="007157C0">
            <w:pPr>
              <w:rPr>
                <w:rFonts w:ascii="Arial Narrow" w:hAnsi="Arial Narrow"/>
                <w:b/>
                <w:bCs/>
                <w:color w:val="333333"/>
                <w:sz w:val="20"/>
                <w:szCs w:val="20"/>
              </w:rPr>
            </w:pPr>
            <w:r>
              <w:rPr>
                <w:rFonts w:ascii="Arial Narrow" w:eastAsia="Calibri" w:hAnsi="Arial Narrow"/>
                <w:b/>
                <w:bCs/>
                <w:sz w:val="20"/>
                <w:szCs w:val="20"/>
              </w:rPr>
              <w:t xml:space="preserve">Treatment criteria: </w:t>
            </w:r>
          </w:p>
        </w:tc>
      </w:tr>
      <w:tr w:rsidR="007E6AA4" w:rsidRPr="00446E53" w14:paraId="73B8C406"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02E6776C" w14:textId="0CF8755B" w:rsidR="007E6AA4" w:rsidRPr="00446E53" w:rsidRDefault="007E6AA4" w:rsidP="007157C0">
            <w:pPr>
              <w:jc w:val="center"/>
              <w:rPr>
                <w:rFonts w:ascii="Arial Narrow" w:hAnsi="Arial Narrow"/>
                <w:color w:val="333333"/>
                <w:sz w:val="20"/>
                <w:szCs w:val="20"/>
              </w:rPr>
            </w:pPr>
          </w:p>
        </w:tc>
        <w:tc>
          <w:tcPr>
            <w:tcW w:w="4295" w:type="pct"/>
            <w:gridSpan w:val="6"/>
          </w:tcPr>
          <w:p w14:paraId="5E801BD6" w14:textId="77777777" w:rsidR="007E6AA4" w:rsidRPr="00446E53" w:rsidRDefault="007E6AA4" w:rsidP="007157C0">
            <w:pPr>
              <w:rPr>
                <w:rFonts w:ascii="Arial Narrow" w:hAnsi="Arial Narrow"/>
                <w:b/>
                <w:bCs/>
                <w:color w:val="333333"/>
                <w:sz w:val="20"/>
                <w:szCs w:val="20"/>
              </w:rPr>
            </w:pPr>
            <w:r w:rsidRPr="00176579">
              <w:rPr>
                <w:rFonts w:ascii="Arial Narrow" w:eastAsia="Calibri" w:hAnsi="Arial Narrow"/>
                <w:sz w:val="20"/>
                <w:szCs w:val="20"/>
              </w:rPr>
              <w:t>Must be treated by a dermatologist; or</w:t>
            </w:r>
          </w:p>
        </w:tc>
      </w:tr>
      <w:tr w:rsidR="007E6AA4" w:rsidRPr="00446E53" w14:paraId="0D5F9E5E"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1244FE83" w14:textId="77D0349B" w:rsidR="007E6AA4" w:rsidRPr="00446E53" w:rsidRDefault="007E6AA4" w:rsidP="007157C0">
            <w:pPr>
              <w:jc w:val="center"/>
              <w:rPr>
                <w:rFonts w:ascii="Arial Narrow" w:hAnsi="Arial Narrow"/>
                <w:color w:val="FF0000"/>
                <w:sz w:val="20"/>
                <w:szCs w:val="20"/>
              </w:rPr>
            </w:pPr>
          </w:p>
        </w:tc>
        <w:tc>
          <w:tcPr>
            <w:tcW w:w="4295" w:type="pct"/>
            <w:gridSpan w:val="6"/>
          </w:tcPr>
          <w:p w14:paraId="7BE4A374" w14:textId="77777777" w:rsidR="007E6AA4" w:rsidRPr="00446E53" w:rsidRDefault="007E6AA4" w:rsidP="007157C0">
            <w:pPr>
              <w:rPr>
                <w:rFonts w:ascii="Arial Narrow" w:hAnsi="Arial Narrow" w:cs="Arial Narrow"/>
                <w:iCs/>
                <w:color w:val="FF0000"/>
                <w:sz w:val="20"/>
                <w:szCs w:val="20"/>
              </w:rPr>
            </w:pPr>
            <w:r w:rsidRPr="00176579">
              <w:rPr>
                <w:rFonts w:ascii="Arial Narrow" w:eastAsia="Calibri" w:hAnsi="Arial Narrow"/>
                <w:sz w:val="20"/>
                <w:szCs w:val="20"/>
              </w:rPr>
              <w:t>Must be treated by a clinical immunologist</w:t>
            </w:r>
          </w:p>
        </w:tc>
      </w:tr>
      <w:tr w:rsidR="007E6AA4" w:rsidRPr="00744208" w14:paraId="58AE9F35" w14:textId="77777777" w:rsidTr="00AF29CF">
        <w:tblPrEx>
          <w:tblCellMar>
            <w:top w:w="15" w:type="dxa"/>
            <w:bottom w:w="15" w:type="dxa"/>
          </w:tblCellMar>
          <w:tblLook w:val="04A0" w:firstRow="1" w:lastRow="0" w:firstColumn="1" w:lastColumn="0" w:noHBand="0" w:noVBand="1"/>
        </w:tblPrEx>
        <w:trPr>
          <w:cantSplit/>
          <w:trHeight w:val="20"/>
        </w:trPr>
        <w:tc>
          <w:tcPr>
            <w:tcW w:w="705" w:type="pct"/>
          </w:tcPr>
          <w:p w14:paraId="284B2E21" w14:textId="6EB66F50" w:rsidR="007E6AA4" w:rsidRPr="00744208" w:rsidRDefault="007E6AA4" w:rsidP="007157C0">
            <w:pPr>
              <w:jc w:val="center"/>
              <w:rPr>
                <w:rFonts w:ascii="Arial Narrow" w:hAnsi="Arial Narrow"/>
                <w:color w:val="FF0000"/>
                <w:sz w:val="20"/>
                <w:szCs w:val="20"/>
                <w:highlight w:val="yellow"/>
              </w:rPr>
            </w:pPr>
          </w:p>
        </w:tc>
        <w:tc>
          <w:tcPr>
            <w:tcW w:w="4295" w:type="pct"/>
            <w:gridSpan w:val="6"/>
            <w:vAlign w:val="center"/>
          </w:tcPr>
          <w:p w14:paraId="67356162" w14:textId="77777777" w:rsidR="007E6AA4" w:rsidRPr="002D6D18" w:rsidRDefault="007E6AA4" w:rsidP="007157C0">
            <w:pPr>
              <w:rPr>
                <w:rFonts w:ascii="Arial Narrow" w:eastAsia="Calibri" w:hAnsi="Arial Narrow"/>
                <w:sz w:val="20"/>
                <w:szCs w:val="20"/>
              </w:rPr>
            </w:pPr>
            <w:r w:rsidRPr="002D6D18">
              <w:rPr>
                <w:rFonts w:ascii="Arial Narrow" w:hAnsi="Arial Narrow"/>
                <w:b/>
                <w:bCs/>
                <w:color w:val="333333"/>
                <w:sz w:val="20"/>
                <w:szCs w:val="20"/>
              </w:rPr>
              <w:t>Prescribing Instructions:</w:t>
            </w:r>
          </w:p>
          <w:p w14:paraId="05E5CBB0" w14:textId="77777777" w:rsidR="007E6AA4" w:rsidRPr="002D6D18" w:rsidRDefault="007E6AA4" w:rsidP="007157C0">
            <w:pPr>
              <w:rPr>
                <w:rFonts w:ascii="Arial Narrow" w:eastAsia="Calibri" w:hAnsi="Arial Narrow"/>
                <w:sz w:val="20"/>
                <w:szCs w:val="20"/>
              </w:rPr>
            </w:pPr>
            <w:r w:rsidRPr="002D6D18">
              <w:rPr>
                <w:rFonts w:ascii="Arial Narrow" w:eastAsia="Calibri" w:hAnsi="Arial Narrow"/>
                <w:sz w:val="20"/>
                <w:szCs w:val="20"/>
              </w:rPr>
              <w:t>For the purposes of this restriction, an adequate response to treatment of the face/hands is defined as:</w:t>
            </w:r>
          </w:p>
          <w:p w14:paraId="5BC3E5AB" w14:textId="77777777" w:rsidR="007E6AA4" w:rsidRPr="002D6D18" w:rsidRDefault="007E6AA4" w:rsidP="007157C0">
            <w:pPr>
              <w:rPr>
                <w:rFonts w:ascii="Arial Narrow" w:eastAsia="Calibri" w:hAnsi="Arial Narrow"/>
                <w:sz w:val="20"/>
                <w:szCs w:val="20"/>
              </w:rPr>
            </w:pPr>
            <w:r w:rsidRPr="002D6D18">
              <w:rPr>
                <w:rFonts w:ascii="Arial Narrow" w:eastAsia="Calibri" w:hAnsi="Arial Narrow"/>
                <w:sz w:val="20"/>
                <w:szCs w:val="20"/>
              </w:rPr>
              <w:t xml:space="preserve">(a) (i) A rating of either mild (1) to none (0) on at least 3 of the assessments of erythema, oedema/papulation, excoriation and </w:t>
            </w:r>
            <w:proofErr w:type="spellStart"/>
            <w:r w:rsidRPr="002D6D18">
              <w:rPr>
                <w:rFonts w:ascii="Arial Narrow" w:eastAsia="Calibri" w:hAnsi="Arial Narrow"/>
                <w:sz w:val="20"/>
                <w:szCs w:val="20"/>
              </w:rPr>
              <w:t>lichenification</w:t>
            </w:r>
            <w:proofErr w:type="spellEnd"/>
            <w:r w:rsidRPr="002D6D18">
              <w:rPr>
                <w:rFonts w:ascii="Arial Narrow" w:eastAsia="Calibri" w:hAnsi="Arial Narrow"/>
                <w:sz w:val="20"/>
                <w:szCs w:val="20"/>
              </w:rPr>
              <w:t xml:space="preserve"> mentioned in the Eczema Area and Severity Index (EASI); or</w:t>
            </w:r>
          </w:p>
          <w:p w14:paraId="054EBCF2" w14:textId="77777777" w:rsidR="007E6AA4" w:rsidRPr="002D6D18" w:rsidRDefault="007E6AA4" w:rsidP="007157C0">
            <w:pPr>
              <w:rPr>
                <w:rFonts w:ascii="Arial Narrow" w:eastAsia="Calibri" w:hAnsi="Arial Narrow"/>
                <w:sz w:val="20"/>
                <w:szCs w:val="20"/>
              </w:rPr>
            </w:pPr>
            <w:r w:rsidRPr="002D6D18">
              <w:rPr>
                <w:rFonts w:ascii="Arial Narrow" w:eastAsia="Calibri" w:hAnsi="Arial Narrow"/>
                <w:sz w:val="20"/>
                <w:szCs w:val="20"/>
              </w:rPr>
              <w:t>(ii) At least a 75% reduction in the skin area affected by this condition compared to baseline; and</w:t>
            </w:r>
          </w:p>
          <w:p w14:paraId="38B35200" w14:textId="77777777" w:rsidR="007E6AA4" w:rsidRDefault="007E6AA4" w:rsidP="007157C0">
            <w:pPr>
              <w:rPr>
                <w:rFonts w:ascii="Arial Narrow" w:eastAsia="Calibri" w:hAnsi="Arial Narrow"/>
                <w:sz w:val="20"/>
                <w:szCs w:val="20"/>
              </w:rPr>
            </w:pPr>
            <w:r w:rsidRPr="002D6D18">
              <w:rPr>
                <w:rFonts w:ascii="Arial Narrow" w:eastAsia="Calibri" w:hAnsi="Arial Narrow"/>
                <w:sz w:val="20"/>
                <w:szCs w:val="20"/>
              </w:rPr>
              <w:t>(b) An improvement in Dermatology Life Quality Index (DLQI) score of at least 4 points compared to baseline</w:t>
            </w:r>
            <w:r>
              <w:rPr>
                <w:rFonts w:ascii="Arial Narrow" w:eastAsia="Calibri" w:hAnsi="Arial Narrow"/>
                <w:sz w:val="20"/>
                <w:szCs w:val="20"/>
              </w:rPr>
              <w:t>.</w:t>
            </w:r>
          </w:p>
          <w:p w14:paraId="525DABC8" w14:textId="77777777" w:rsidR="007E6AA4" w:rsidRDefault="007E6AA4" w:rsidP="007157C0">
            <w:pPr>
              <w:rPr>
                <w:rFonts w:ascii="Arial Narrow" w:eastAsia="Calibri" w:hAnsi="Arial Narrow"/>
                <w:sz w:val="20"/>
                <w:szCs w:val="20"/>
              </w:rPr>
            </w:pPr>
          </w:p>
          <w:p w14:paraId="6E93F311" w14:textId="77777777" w:rsidR="007E6AA4" w:rsidRPr="00230EBF" w:rsidRDefault="007E6AA4" w:rsidP="007157C0">
            <w:pPr>
              <w:rPr>
                <w:rFonts w:ascii="Arial Narrow" w:eastAsia="Calibri" w:hAnsi="Arial Narrow"/>
                <w:sz w:val="20"/>
                <w:szCs w:val="20"/>
              </w:rPr>
            </w:pPr>
            <w:r w:rsidRPr="00230EBF">
              <w:rPr>
                <w:rFonts w:ascii="Arial Narrow" w:eastAsia="Calibri" w:hAnsi="Arial Narrow"/>
                <w:sz w:val="20"/>
                <w:szCs w:val="20"/>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14:paraId="3CE0C418" w14:textId="77777777" w:rsidR="007E6AA4" w:rsidRPr="002D6D18" w:rsidRDefault="007E6AA4" w:rsidP="007157C0">
            <w:pPr>
              <w:rPr>
                <w:rFonts w:ascii="Arial Narrow" w:eastAsia="Calibri" w:hAnsi="Arial Narrow"/>
                <w:sz w:val="20"/>
                <w:szCs w:val="20"/>
              </w:rPr>
            </w:pPr>
          </w:p>
          <w:p w14:paraId="15CF9C5F" w14:textId="77777777" w:rsidR="007E6AA4" w:rsidRPr="00744208" w:rsidRDefault="007E6AA4" w:rsidP="007157C0">
            <w:pPr>
              <w:rPr>
                <w:rFonts w:ascii="Arial Narrow" w:hAnsi="Arial Narrow" w:cs="Arial Narrow"/>
                <w:iCs/>
                <w:color w:val="FF0000"/>
                <w:sz w:val="20"/>
                <w:szCs w:val="20"/>
                <w:highlight w:val="yellow"/>
              </w:rPr>
            </w:pPr>
            <w:r w:rsidRPr="002D6D18">
              <w:rPr>
                <w:rFonts w:ascii="Arial Narrow" w:eastAsia="Calibri" w:hAnsi="Arial Narrow"/>
                <w:sz w:val="20"/>
                <w:szCs w:val="20"/>
              </w:rPr>
              <w:t>State the current EASI ratings or the percentage of face/hand surface area affected by the condition. Also state the</w:t>
            </w:r>
            <w:r>
              <w:rPr>
                <w:rFonts w:ascii="Arial Narrow" w:eastAsia="Calibri" w:hAnsi="Arial Narrow"/>
                <w:sz w:val="20"/>
                <w:szCs w:val="20"/>
              </w:rPr>
              <w:t xml:space="preserve"> current</w:t>
            </w:r>
            <w:r w:rsidRPr="002D6D18">
              <w:rPr>
                <w:rFonts w:ascii="Arial Narrow" w:eastAsia="Calibri" w:hAnsi="Arial Narrow"/>
                <w:sz w:val="20"/>
                <w:szCs w:val="20"/>
              </w:rPr>
              <w:t xml:space="preserve"> DLQI score for this authority application.</w:t>
            </w:r>
          </w:p>
        </w:tc>
      </w:tr>
    </w:tbl>
    <w:p w14:paraId="3E1EA505" w14:textId="77777777" w:rsidR="007E6AA4" w:rsidRDefault="007E6AA4" w:rsidP="007E6AA4"/>
    <w:p w14:paraId="38AD98D1" w14:textId="77777777" w:rsidR="007E6AA4" w:rsidRPr="007E6AA4" w:rsidRDefault="007E6AA4" w:rsidP="007E6AA4">
      <w:pPr>
        <w:rPr>
          <w:b/>
          <w:bCs/>
        </w:rPr>
      </w:pPr>
      <w:r w:rsidRPr="007E6AA4">
        <w:rPr>
          <w:b/>
          <w:bCs/>
        </w:rPr>
        <w:t>Grandfather treatment</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Grandfather treatment"/>
      </w:tblPr>
      <w:tblGrid>
        <w:gridCol w:w="1271"/>
        <w:gridCol w:w="2669"/>
        <w:gridCol w:w="812"/>
        <w:gridCol w:w="812"/>
        <w:gridCol w:w="812"/>
        <w:gridCol w:w="812"/>
        <w:gridCol w:w="2065"/>
      </w:tblGrid>
      <w:tr w:rsidR="007E6AA4" w:rsidRPr="00446E53" w14:paraId="2FD63EDF" w14:textId="77777777" w:rsidTr="00807021">
        <w:trPr>
          <w:cantSplit/>
          <w:trHeight w:val="20"/>
        </w:trPr>
        <w:tc>
          <w:tcPr>
            <w:tcW w:w="2128" w:type="pct"/>
            <w:gridSpan w:val="2"/>
            <w:vAlign w:val="center"/>
          </w:tcPr>
          <w:p w14:paraId="76CC6842" w14:textId="77777777" w:rsidR="007E6AA4" w:rsidRPr="00446E53" w:rsidRDefault="007E6AA4" w:rsidP="007157C0">
            <w:pPr>
              <w:keepLines/>
              <w:rPr>
                <w:rFonts w:ascii="Arial Narrow" w:hAnsi="Arial Narrow"/>
                <w:b/>
                <w:bCs/>
                <w:sz w:val="20"/>
                <w:szCs w:val="20"/>
              </w:rPr>
            </w:pPr>
            <w:r w:rsidRPr="00446E53">
              <w:rPr>
                <w:rFonts w:ascii="Arial Narrow" w:hAnsi="Arial Narrow"/>
                <w:b/>
                <w:bCs/>
                <w:sz w:val="20"/>
                <w:szCs w:val="20"/>
              </w:rPr>
              <w:t>MEDICINAL PRODUCT</w:t>
            </w:r>
          </w:p>
          <w:p w14:paraId="1AC8A01E" w14:textId="77777777" w:rsidR="007E6AA4" w:rsidRPr="00446E53" w:rsidRDefault="007E6AA4" w:rsidP="007157C0">
            <w:pPr>
              <w:keepLines/>
              <w:rPr>
                <w:rFonts w:ascii="Arial Narrow" w:hAnsi="Arial Narrow"/>
                <w:b/>
                <w:sz w:val="20"/>
                <w:szCs w:val="20"/>
              </w:rPr>
            </w:pPr>
            <w:r w:rsidRPr="00446E53">
              <w:rPr>
                <w:rFonts w:ascii="Arial Narrow" w:hAnsi="Arial Narrow"/>
                <w:b/>
                <w:bCs/>
                <w:sz w:val="20"/>
                <w:szCs w:val="20"/>
              </w:rPr>
              <w:t>medicinal product pack</w:t>
            </w:r>
          </w:p>
        </w:tc>
        <w:tc>
          <w:tcPr>
            <w:tcW w:w="439" w:type="pct"/>
            <w:vAlign w:val="center"/>
          </w:tcPr>
          <w:p w14:paraId="1DB3675B"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PBS item code</w:t>
            </w:r>
          </w:p>
        </w:tc>
        <w:tc>
          <w:tcPr>
            <w:tcW w:w="439" w:type="pct"/>
            <w:vAlign w:val="center"/>
          </w:tcPr>
          <w:p w14:paraId="0690DA57"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Max. qty packs</w:t>
            </w:r>
          </w:p>
        </w:tc>
        <w:tc>
          <w:tcPr>
            <w:tcW w:w="439" w:type="pct"/>
            <w:vAlign w:val="center"/>
          </w:tcPr>
          <w:p w14:paraId="7E14EBA2"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Max. qty units</w:t>
            </w:r>
          </w:p>
        </w:tc>
        <w:tc>
          <w:tcPr>
            <w:tcW w:w="439" w:type="pct"/>
            <w:vAlign w:val="center"/>
          </w:tcPr>
          <w:p w14:paraId="03A09041"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№.of</w:t>
            </w:r>
          </w:p>
          <w:p w14:paraId="41CABE64" w14:textId="77777777" w:rsidR="007E6AA4" w:rsidRPr="00446E53" w:rsidRDefault="007E6AA4" w:rsidP="007157C0">
            <w:pPr>
              <w:keepLines/>
              <w:jc w:val="center"/>
              <w:rPr>
                <w:rFonts w:ascii="Arial Narrow" w:hAnsi="Arial Narrow"/>
                <w:b/>
                <w:sz w:val="20"/>
                <w:szCs w:val="20"/>
              </w:rPr>
            </w:pPr>
            <w:r w:rsidRPr="00446E53">
              <w:rPr>
                <w:rFonts w:ascii="Arial Narrow" w:hAnsi="Arial Narrow"/>
                <w:b/>
                <w:sz w:val="20"/>
                <w:szCs w:val="20"/>
              </w:rPr>
              <w:t>Rpts</w:t>
            </w:r>
          </w:p>
        </w:tc>
        <w:tc>
          <w:tcPr>
            <w:tcW w:w="1116" w:type="pct"/>
            <w:vAlign w:val="center"/>
          </w:tcPr>
          <w:p w14:paraId="19F6E5B0" w14:textId="77777777" w:rsidR="007E6AA4" w:rsidRPr="00446E53" w:rsidRDefault="007E6AA4" w:rsidP="007157C0">
            <w:pPr>
              <w:keepLines/>
              <w:rPr>
                <w:rFonts w:ascii="Arial Narrow" w:hAnsi="Arial Narrow"/>
                <w:b/>
                <w:sz w:val="20"/>
                <w:szCs w:val="20"/>
                <w:lang w:val="fr-FR"/>
              </w:rPr>
            </w:pPr>
            <w:r w:rsidRPr="00446E53">
              <w:rPr>
                <w:rFonts w:ascii="Arial Narrow" w:hAnsi="Arial Narrow"/>
                <w:b/>
                <w:sz w:val="20"/>
                <w:szCs w:val="20"/>
              </w:rPr>
              <w:t>Available brands</w:t>
            </w:r>
          </w:p>
        </w:tc>
      </w:tr>
      <w:tr w:rsidR="007E6AA4" w:rsidRPr="00446E53" w14:paraId="524DEA31" w14:textId="77777777" w:rsidTr="00807021">
        <w:trPr>
          <w:cantSplit/>
          <w:trHeight w:val="20"/>
        </w:trPr>
        <w:tc>
          <w:tcPr>
            <w:tcW w:w="5000" w:type="pct"/>
            <w:gridSpan w:val="7"/>
            <w:vAlign w:val="center"/>
          </w:tcPr>
          <w:p w14:paraId="4936B1C0" w14:textId="77777777" w:rsidR="007E6AA4" w:rsidRPr="00446E53" w:rsidRDefault="007E6AA4" w:rsidP="007157C0">
            <w:pPr>
              <w:keepLines/>
              <w:rPr>
                <w:rFonts w:ascii="Arial Narrow" w:hAnsi="Arial Narrow"/>
                <w:sz w:val="20"/>
                <w:szCs w:val="20"/>
              </w:rPr>
            </w:pPr>
            <w:r>
              <w:rPr>
                <w:rFonts w:ascii="Arial Narrow" w:hAnsi="Arial Narrow"/>
                <w:sz w:val="20"/>
                <w:szCs w:val="20"/>
              </w:rPr>
              <w:t>NEMOLIZUMAB</w:t>
            </w:r>
          </w:p>
        </w:tc>
      </w:tr>
      <w:tr w:rsidR="007E6AA4" w:rsidRPr="00E168B8" w14:paraId="6888CA8F" w14:textId="77777777" w:rsidTr="00807021">
        <w:trPr>
          <w:cantSplit/>
          <w:trHeight w:val="20"/>
        </w:trPr>
        <w:tc>
          <w:tcPr>
            <w:tcW w:w="2128" w:type="pct"/>
            <w:gridSpan w:val="2"/>
            <w:vAlign w:val="center"/>
          </w:tcPr>
          <w:p w14:paraId="121E32AB" w14:textId="77777777" w:rsidR="007E6AA4" w:rsidRPr="00CA4390" w:rsidRDefault="007E6AA4" w:rsidP="007157C0">
            <w:pPr>
              <w:keepLines/>
              <w:rPr>
                <w:rFonts w:ascii="Arial Narrow" w:hAnsi="Arial Narrow"/>
                <w:sz w:val="20"/>
                <w:szCs w:val="20"/>
              </w:rPr>
            </w:pPr>
            <w:r w:rsidRPr="00CA4390">
              <w:rPr>
                <w:rFonts w:ascii="Arial Narrow" w:hAnsi="Arial Narrow"/>
                <w:sz w:val="20"/>
                <w:szCs w:val="20"/>
              </w:rPr>
              <w:t xml:space="preserve">nemolizumab 30 mg injection [1 chamber] (&amp;) inert substance diluent [1 chamber], 1 dual chamber pen device </w:t>
            </w:r>
          </w:p>
        </w:tc>
        <w:tc>
          <w:tcPr>
            <w:tcW w:w="439" w:type="pct"/>
            <w:vAlign w:val="center"/>
          </w:tcPr>
          <w:p w14:paraId="2B8A8DEF" w14:textId="77777777" w:rsidR="007E6AA4" w:rsidRPr="00E168B8" w:rsidRDefault="007E6AA4" w:rsidP="007157C0">
            <w:pPr>
              <w:keepLines/>
              <w:jc w:val="center"/>
              <w:rPr>
                <w:rFonts w:ascii="Arial Narrow" w:hAnsi="Arial Narrow"/>
                <w:sz w:val="20"/>
                <w:szCs w:val="20"/>
              </w:rPr>
            </w:pPr>
            <w:r w:rsidRPr="00E168B8">
              <w:rPr>
                <w:rFonts w:ascii="Arial Narrow" w:hAnsi="Arial Narrow"/>
                <w:sz w:val="20"/>
                <w:szCs w:val="20"/>
              </w:rPr>
              <w:t>NEW</w:t>
            </w:r>
          </w:p>
        </w:tc>
        <w:tc>
          <w:tcPr>
            <w:tcW w:w="439" w:type="pct"/>
            <w:vAlign w:val="center"/>
          </w:tcPr>
          <w:p w14:paraId="7D73CC0F" w14:textId="77777777" w:rsidR="007E6AA4" w:rsidRPr="00E168B8" w:rsidRDefault="007E6AA4" w:rsidP="007157C0">
            <w:pPr>
              <w:keepLines/>
              <w:jc w:val="center"/>
              <w:rPr>
                <w:rFonts w:ascii="Arial Narrow" w:hAnsi="Arial Narrow"/>
                <w:sz w:val="20"/>
                <w:szCs w:val="20"/>
              </w:rPr>
            </w:pPr>
            <w:r>
              <w:rPr>
                <w:rFonts w:ascii="Arial Narrow" w:hAnsi="Arial Narrow"/>
                <w:sz w:val="20"/>
                <w:szCs w:val="20"/>
              </w:rPr>
              <w:t>1</w:t>
            </w:r>
          </w:p>
        </w:tc>
        <w:tc>
          <w:tcPr>
            <w:tcW w:w="439" w:type="pct"/>
            <w:vAlign w:val="center"/>
          </w:tcPr>
          <w:p w14:paraId="5E684B2A" w14:textId="77777777" w:rsidR="007E6AA4" w:rsidRPr="00E168B8" w:rsidRDefault="007E6AA4" w:rsidP="007157C0">
            <w:pPr>
              <w:keepLines/>
              <w:jc w:val="center"/>
              <w:rPr>
                <w:rFonts w:ascii="Arial Narrow" w:hAnsi="Arial Narrow"/>
                <w:sz w:val="20"/>
                <w:szCs w:val="20"/>
              </w:rPr>
            </w:pPr>
            <w:r>
              <w:rPr>
                <w:rFonts w:ascii="Arial Narrow" w:hAnsi="Arial Narrow"/>
                <w:sz w:val="20"/>
                <w:szCs w:val="20"/>
              </w:rPr>
              <w:t>1</w:t>
            </w:r>
          </w:p>
        </w:tc>
        <w:tc>
          <w:tcPr>
            <w:tcW w:w="439" w:type="pct"/>
            <w:vAlign w:val="center"/>
          </w:tcPr>
          <w:p w14:paraId="621883DD" w14:textId="77777777" w:rsidR="007E6AA4" w:rsidRPr="00B94C67" w:rsidRDefault="007E6AA4" w:rsidP="007157C0">
            <w:pPr>
              <w:keepLines/>
              <w:jc w:val="center"/>
              <w:rPr>
                <w:rFonts w:ascii="Arial Narrow" w:hAnsi="Arial Narrow"/>
                <w:sz w:val="20"/>
                <w:szCs w:val="20"/>
              </w:rPr>
            </w:pPr>
            <w:r w:rsidRPr="001A50DF">
              <w:rPr>
                <w:rFonts w:ascii="Arial Narrow" w:hAnsi="Arial Narrow"/>
                <w:sz w:val="20"/>
                <w:szCs w:val="20"/>
              </w:rPr>
              <w:t>3</w:t>
            </w:r>
            <w:r>
              <w:rPr>
                <w:rFonts w:ascii="Arial Narrow" w:hAnsi="Arial Narrow"/>
                <w:sz w:val="20"/>
                <w:szCs w:val="20"/>
              </w:rPr>
              <w:t xml:space="preserve"> </w:t>
            </w:r>
          </w:p>
        </w:tc>
        <w:tc>
          <w:tcPr>
            <w:tcW w:w="1116" w:type="pct"/>
            <w:vAlign w:val="center"/>
          </w:tcPr>
          <w:p w14:paraId="6187ADEB" w14:textId="77777777" w:rsidR="007E6AA4" w:rsidRPr="00E168B8" w:rsidRDefault="007E6AA4" w:rsidP="007157C0">
            <w:pPr>
              <w:keepLines/>
              <w:jc w:val="center"/>
              <w:rPr>
                <w:rFonts w:ascii="Arial Narrow" w:hAnsi="Arial Narrow"/>
                <w:sz w:val="20"/>
                <w:szCs w:val="20"/>
              </w:rPr>
            </w:pPr>
          </w:p>
          <w:p w14:paraId="2D27FB25" w14:textId="77777777" w:rsidR="007E6AA4" w:rsidRPr="00E168B8" w:rsidRDefault="007E6AA4" w:rsidP="007157C0">
            <w:pPr>
              <w:keepLines/>
              <w:jc w:val="center"/>
              <w:rPr>
                <w:rFonts w:ascii="Arial Narrow" w:hAnsi="Arial Narrow"/>
                <w:sz w:val="20"/>
                <w:szCs w:val="20"/>
              </w:rPr>
            </w:pPr>
            <w:r w:rsidRPr="00E168B8">
              <w:rPr>
                <w:rFonts w:ascii="Arial Narrow" w:hAnsi="Arial Narrow"/>
                <w:sz w:val="20"/>
                <w:szCs w:val="20"/>
              </w:rPr>
              <w:t>Nemluvio</w:t>
            </w:r>
          </w:p>
          <w:p w14:paraId="71DA8E0F" w14:textId="77777777" w:rsidR="007E6AA4" w:rsidRPr="00E168B8" w:rsidRDefault="007E6AA4" w:rsidP="007157C0">
            <w:pPr>
              <w:keepLines/>
              <w:rPr>
                <w:rFonts w:ascii="Arial Narrow" w:hAnsi="Arial Narrow"/>
                <w:sz w:val="20"/>
                <w:szCs w:val="20"/>
              </w:rPr>
            </w:pPr>
          </w:p>
        </w:tc>
      </w:tr>
      <w:tr w:rsidR="007E6AA4" w:rsidRPr="00E168B8" w14:paraId="58E7400C" w14:textId="77777777" w:rsidTr="00807021">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62CFCC8E" w14:textId="77777777" w:rsidR="007E6AA4" w:rsidRPr="00E168B8" w:rsidRDefault="007E6AA4" w:rsidP="007157C0">
            <w:pPr>
              <w:rPr>
                <w:rFonts w:ascii="Arial Narrow" w:hAnsi="Arial Narrow"/>
                <w:sz w:val="20"/>
                <w:szCs w:val="20"/>
              </w:rPr>
            </w:pPr>
          </w:p>
        </w:tc>
      </w:tr>
      <w:tr w:rsidR="007E6AA4" w:rsidRPr="00E168B8" w14:paraId="42F1C19A" w14:textId="77777777" w:rsidTr="00807021">
        <w:tblPrEx>
          <w:tblCellMar>
            <w:top w:w="15" w:type="dxa"/>
            <w:bottom w:w="15" w:type="dxa"/>
          </w:tblCellMar>
          <w:tblLook w:val="04A0" w:firstRow="1" w:lastRow="0" w:firstColumn="1" w:lastColumn="0" w:noHBand="0" w:noVBand="1"/>
        </w:tblPrEx>
        <w:trPr>
          <w:trHeight w:val="20"/>
        </w:trPr>
        <w:tc>
          <w:tcPr>
            <w:tcW w:w="686" w:type="pct"/>
            <w:vMerge w:val="restart"/>
            <w:tcBorders>
              <w:top w:val="single" w:sz="4" w:space="0" w:color="auto"/>
              <w:left w:val="single" w:sz="4" w:space="0" w:color="auto"/>
              <w:right w:val="single" w:sz="4" w:space="0" w:color="auto"/>
            </w:tcBorders>
          </w:tcPr>
          <w:p w14:paraId="3A90EBBE" w14:textId="77777777" w:rsidR="007E6AA4" w:rsidRPr="00446E53" w:rsidRDefault="007E6AA4" w:rsidP="007157C0">
            <w:pPr>
              <w:jc w:val="center"/>
              <w:rPr>
                <w:rFonts w:ascii="Arial Narrow" w:hAnsi="Arial Narrow"/>
                <w:sz w:val="20"/>
                <w:szCs w:val="20"/>
              </w:rPr>
            </w:pPr>
            <w:r w:rsidRPr="00446E53">
              <w:rPr>
                <w:rFonts w:ascii="Arial Narrow" w:hAnsi="Arial Narrow"/>
                <w:b/>
                <w:sz w:val="20"/>
                <w:szCs w:val="20"/>
              </w:rPr>
              <w:t>Concept ID</w:t>
            </w:r>
          </w:p>
          <w:p w14:paraId="64B0BAA1" w14:textId="77777777" w:rsidR="007E6AA4" w:rsidRPr="00446E53" w:rsidRDefault="007E6AA4" w:rsidP="007157C0">
            <w:pPr>
              <w:jc w:val="center"/>
              <w:rPr>
                <w:rFonts w:ascii="Arial Narrow" w:hAnsi="Arial Narrow"/>
                <w:b/>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6AF48DD3" w14:textId="77777777" w:rsidR="007E6AA4" w:rsidRPr="00E168B8" w:rsidRDefault="007E6AA4" w:rsidP="007157C0">
            <w:pPr>
              <w:keepLines/>
              <w:jc w:val="left"/>
              <w:rPr>
                <w:rFonts w:ascii="Arial Narrow" w:hAnsi="Arial Narrow"/>
                <w:sz w:val="20"/>
                <w:szCs w:val="20"/>
              </w:rPr>
            </w:pPr>
            <w:r w:rsidRPr="00E168B8">
              <w:rPr>
                <w:rFonts w:ascii="Arial Narrow" w:hAnsi="Arial Narrow"/>
                <w:b/>
                <w:sz w:val="20"/>
                <w:szCs w:val="20"/>
              </w:rPr>
              <w:t>Category / Program:</w:t>
            </w:r>
            <w:r w:rsidRPr="00E168B8">
              <w:rPr>
                <w:rFonts w:ascii="Arial Narrow" w:hAnsi="Arial Narrow"/>
                <w:sz w:val="20"/>
                <w:szCs w:val="20"/>
              </w:rPr>
              <w:t xml:space="preserv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 xml:space="preserve">GENERAL - General Schedule (Code GE) </w:t>
            </w:r>
          </w:p>
        </w:tc>
      </w:tr>
      <w:tr w:rsidR="007E6AA4" w:rsidRPr="00E168B8" w14:paraId="4C0E5270" w14:textId="77777777" w:rsidTr="00807021">
        <w:tblPrEx>
          <w:tblCellMar>
            <w:top w:w="15" w:type="dxa"/>
            <w:bottom w:w="15" w:type="dxa"/>
          </w:tblCellMar>
          <w:tblLook w:val="04A0" w:firstRow="1" w:lastRow="0" w:firstColumn="1" w:lastColumn="0" w:noHBand="0" w:noVBand="1"/>
        </w:tblPrEx>
        <w:trPr>
          <w:trHeight w:val="20"/>
        </w:trPr>
        <w:tc>
          <w:tcPr>
            <w:tcW w:w="686" w:type="pct"/>
            <w:vMerge/>
            <w:tcBorders>
              <w:left w:val="single" w:sz="4" w:space="0" w:color="auto"/>
              <w:right w:val="single" w:sz="4" w:space="0" w:color="auto"/>
            </w:tcBorders>
          </w:tcPr>
          <w:p w14:paraId="4F9D04CA" w14:textId="77777777"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55CD9D09" w14:textId="77777777" w:rsidR="007E6AA4" w:rsidRPr="00E168B8" w:rsidRDefault="007E6AA4" w:rsidP="007157C0">
            <w:pPr>
              <w:keepLines/>
              <w:jc w:val="left"/>
              <w:rPr>
                <w:rFonts w:ascii="Arial Narrow" w:hAnsi="Arial Narrow"/>
                <w:b/>
                <w:sz w:val="20"/>
                <w:szCs w:val="20"/>
              </w:rPr>
            </w:pPr>
            <w:r w:rsidRPr="00E168B8">
              <w:rPr>
                <w:rFonts w:ascii="Arial Narrow" w:hAnsi="Arial Narrow"/>
                <w:b/>
                <w:sz w:val="20"/>
                <w:szCs w:val="20"/>
              </w:rPr>
              <w:t xml:space="preserve">Prescriber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Medical Practitioners </w:t>
            </w:r>
          </w:p>
        </w:tc>
      </w:tr>
      <w:tr w:rsidR="007E6AA4" w:rsidRPr="00E168B8" w14:paraId="2353A493" w14:textId="77777777" w:rsidTr="00807021">
        <w:tblPrEx>
          <w:tblCellMar>
            <w:top w:w="15" w:type="dxa"/>
            <w:bottom w:w="15" w:type="dxa"/>
          </w:tblCellMar>
          <w:tblLook w:val="04A0" w:firstRow="1" w:lastRow="0" w:firstColumn="1" w:lastColumn="0" w:noHBand="0" w:noVBand="1"/>
        </w:tblPrEx>
        <w:trPr>
          <w:trHeight w:val="20"/>
        </w:trPr>
        <w:tc>
          <w:tcPr>
            <w:tcW w:w="686" w:type="pct"/>
            <w:vMerge/>
            <w:tcBorders>
              <w:left w:val="single" w:sz="4" w:space="0" w:color="auto"/>
              <w:right w:val="single" w:sz="4" w:space="0" w:color="auto"/>
            </w:tcBorders>
          </w:tcPr>
          <w:p w14:paraId="5C7D694E" w14:textId="77777777"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523DAE46" w14:textId="77777777" w:rsidR="007E6AA4" w:rsidRPr="00E168B8" w:rsidRDefault="007E6AA4" w:rsidP="007157C0">
            <w:pPr>
              <w:keepLines/>
              <w:jc w:val="left"/>
              <w:rPr>
                <w:rFonts w:ascii="Arial Narrow" w:hAnsi="Arial Narrow"/>
                <w:sz w:val="20"/>
                <w:szCs w:val="20"/>
              </w:rPr>
            </w:pPr>
            <w:r w:rsidRPr="00E168B8">
              <w:rPr>
                <w:rFonts w:ascii="Arial Narrow" w:hAnsi="Arial Narrow"/>
                <w:b/>
                <w:sz w:val="20"/>
                <w:szCs w:val="20"/>
              </w:rPr>
              <w:t xml:space="preserve">Benefit type: </w:t>
            </w:r>
            <w:r w:rsidRPr="00E168B8">
              <w:rPr>
                <w:rFonts w:ascii="Arial Narrow" w:hAnsi="Arial Narrow"/>
                <w:sz w:val="20"/>
                <w:szCs w:val="20"/>
              </w:rPr>
              <w:fldChar w:fldCharType="begin">
                <w:ffData>
                  <w:name w:val=""/>
                  <w:enabled/>
                  <w:calcOnExit w:val="0"/>
                  <w:checkBox>
                    <w:sizeAuto/>
                    <w:default w:val="1"/>
                  </w:checkBox>
                </w:ffData>
              </w:fldChar>
            </w:r>
            <w:r w:rsidRPr="00E168B8">
              <w:rPr>
                <w:rFonts w:ascii="Arial Narrow" w:hAnsi="Arial Narrow"/>
                <w:sz w:val="20"/>
                <w:szCs w:val="20"/>
              </w:rPr>
              <w:instrText xml:space="preserve"> FORMCHECKBOX </w:instrText>
            </w:r>
            <w:r w:rsidRPr="00E168B8">
              <w:rPr>
                <w:rFonts w:ascii="Arial Narrow" w:hAnsi="Arial Narrow"/>
                <w:sz w:val="20"/>
                <w:szCs w:val="20"/>
              </w:rPr>
            </w:r>
            <w:r w:rsidRPr="00E168B8">
              <w:rPr>
                <w:rFonts w:ascii="Arial Narrow" w:hAnsi="Arial Narrow"/>
                <w:sz w:val="20"/>
                <w:szCs w:val="20"/>
              </w:rPr>
              <w:fldChar w:fldCharType="separate"/>
            </w:r>
            <w:r w:rsidRPr="00E168B8">
              <w:rPr>
                <w:rFonts w:ascii="Arial Narrow" w:hAnsi="Arial Narrow"/>
                <w:sz w:val="20"/>
                <w:szCs w:val="20"/>
              </w:rPr>
              <w:fldChar w:fldCharType="end"/>
            </w:r>
            <w:r w:rsidRPr="00E168B8">
              <w:rPr>
                <w:rFonts w:ascii="Arial Narrow" w:hAnsi="Arial Narrow"/>
                <w:sz w:val="20"/>
                <w:szCs w:val="20"/>
              </w:rPr>
              <w:t xml:space="preserve"> </w:t>
            </w:r>
            <w:r w:rsidRPr="00E168B8">
              <w:rPr>
                <w:rFonts w:ascii="Arial Narrow" w:eastAsia="Calibri" w:hAnsi="Arial Narrow"/>
                <w:sz w:val="20"/>
                <w:szCs w:val="20"/>
              </w:rPr>
              <w:t>Authority Required (</w:t>
            </w:r>
            <w:r>
              <w:rPr>
                <w:rFonts w:ascii="Arial Narrow" w:eastAsia="Calibri" w:hAnsi="Arial Narrow"/>
                <w:sz w:val="20"/>
                <w:szCs w:val="20"/>
              </w:rPr>
              <w:t xml:space="preserve">Telephone/Online PBS Authorities System) </w:t>
            </w:r>
          </w:p>
        </w:tc>
      </w:tr>
      <w:tr w:rsidR="007E6AA4" w:rsidRPr="00446E53" w14:paraId="7AC15501"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5ADD5984" w14:textId="77777777"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78C00D0B" w14:textId="55D082DE" w:rsidR="007E6AA4" w:rsidRPr="00446E53" w:rsidRDefault="007E6AA4" w:rsidP="007157C0">
            <w:pPr>
              <w:pStyle w:val="pf0"/>
              <w:spacing w:before="0" w:beforeAutospacing="0" w:after="0" w:afterAutospacing="0"/>
              <w:rPr>
                <w:rFonts w:ascii="Arial Narrow" w:hAnsi="Arial Narrow" w:cs="Arial"/>
                <w:b/>
                <w:sz w:val="20"/>
                <w:szCs w:val="20"/>
              </w:rPr>
            </w:pPr>
            <w:r w:rsidRPr="00446E53">
              <w:rPr>
                <w:rFonts w:ascii="Arial Narrow" w:hAnsi="Arial Narrow" w:cs="Arial"/>
                <w:b/>
                <w:sz w:val="20"/>
                <w:szCs w:val="20"/>
              </w:rPr>
              <w:t>Prescribing rule level:</w:t>
            </w:r>
          </w:p>
        </w:tc>
      </w:tr>
      <w:tr w:rsidR="007E6AA4" w:rsidRPr="00446E53" w14:paraId="5980DC65"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65E70ADC" w14:textId="17DD2441"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6B9891BB" w14:textId="77777777" w:rsidR="007E6AA4"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571B9DC8" w14:textId="77777777" w:rsidR="007E6AA4" w:rsidRPr="00446E53" w:rsidRDefault="007E6AA4" w:rsidP="007157C0">
            <w:pPr>
              <w:pStyle w:val="pf0"/>
              <w:spacing w:before="0" w:beforeAutospacing="0" w:after="0" w:afterAutospacing="0"/>
              <w:rPr>
                <w:rFonts w:ascii="Arial Narrow" w:hAnsi="Arial Narrow" w:cs="Arial"/>
                <w:b/>
                <w:sz w:val="20"/>
                <w:szCs w:val="20"/>
              </w:rPr>
            </w:pPr>
            <w:r w:rsidRPr="008903D2">
              <w:rPr>
                <w:rFonts w:ascii="Arial Narrow" w:eastAsia="Calibri" w:hAnsi="Arial Narrow" w:cs="Arial"/>
                <w:sz w:val="20"/>
                <w:szCs w:val="20"/>
                <w14:ligatures w14:val="standardContextual"/>
              </w:rPr>
              <w:t>No increase in the maximum quantity or number of units may be authorised.</w:t>
            </w:r>
          </w:p>
        </w:tc>
      </w:tr>
      <w:tr w:rsidR="007E6AA4" w:rsidRPr="00E60AF3" w14:paraId="71C1B2CF"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3F93E742" w14:textId="5D07DE9B"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281B9D47" w14:textId="77777777" w:rsidR="007E6AA4" w:rsidRPr="001D4E34" w:rsidRDefault="007E6AA4" w:rsidP="007157C0">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466D7F84" w14:textId="77777777" w:rsidR="007E6AA4" w:rsidRPr="00E60AF3" w:rsidRDefault="007E6AA4" w:rsidP="007157C0">
            <w:pPr>
              <w:pStyle w:val="pf0"/>
              <w:spacing w:before="0" w:beforeAutospacing="0" w:after="0" w:afterAutospacing="0"/>
              <w:rPr>
                <w:rFonts w:ascii="Arial Narrow" w:eastAsia="Calibri" w:hAnsi="Arial Narrow" w:cs="Arial"/>
                <w:sz w:val="20"/>
                <w:szCs w:val="20"/>
                <w14:ligatures w14:val="standardContextual"/>
              </w:rPr>
            </w:pPr>
            <w:r w:rsidRPr="00E60AF3">
              <w:rPr>
                <w:rFonts w:ascii="Arial Narrow" w:eastAsia="Calibri" w:hAnsi="Arial Narrow" w:cs="Arial"/>
                <w:sz w:val="20"/>
                <w:szCs w:val="20"/>
                <w14:ligatures w14:val="standardContextual"/>
              </w:rPr>
              <w:t>No increase in the maximum number of repeats may be authorised.</w:t>
            </w:r>
          </w:p>
        </w:tc>
      </w:tr>
      <w:tr w:rsidR="007E6AA4" w:rsidRPr="001D4E34" w14:paraId="225690A7" w14:textId="77777777" w:rsidTr="00807021">
        <w:tblPrEx>
          <w:tblCellMar>
            <w:top w:w="15" w:type="dxa"/>
            <w:bottom w:w="15" w:type="dxa"/>
          </w:tblCellMar>
          <w:tblLook w:val="04A0" w:firstRow="1" w:lastRow="0" w:firstColumn="1" w:lastColumn="0" w:noHBand="0" w:noVBand="1"/>
        </w:tblPrEx>
        <w:trPr>
          <w:trHeight w:val="184"/>
        </w:trPr>
        <w:tc>
          <w:tcPr>
            <w:tcW w:w="686" w:type="pct"/>
            <w:tcBorders>
              <w:left w:val="single" w:sz="4" w:space="0" w:color="auto"/>
              <w:bottom w:val="single" w:sz="4" w:space="0" w:color="auto"/>
              <w:right w:val="single" w:sz="4" w:space="0" w:color="auto"/>
            </w:tcBorders>
          </w:tcPr>
          <w:p w14:paraId="2EF59075" w14:textId="304B9EB6"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1DB3A9A7" w14:textId="77777777" w:rsidR="007E6AA4" w:rsidRPr="001D4E34" w:rsidRDefault="007E6AA4" w:rsidP="007157C0">
            <w:pPr>
              <w:rPr>
                <w:rFonts w:ascii="Arial Narrow" w:eastAsia="Calibri" w:hAnsi="Arial Narrow"/>
                <w:b/>
                <w:bCs/>
                <w:sz w:val="20"/>
                <w:szCs w:val="20"/>
              </w:rPr>
            </w:pPr>
            <w:r w:rsidRPr="001D4E34">
              <w:rPr>
                <w:rFonts w:ascii="Arial Narrow" w:eastAsia="Calibri" w:hAnsi="Arial Narrow"/>
                <w:b/>
                <w:bCs/>
                <w:sz w:val="20"/>
                <w:szCs w:val="20"/>
              </w:rPr>
              <w:t>Administrative Advice:</w:t>
            </w:r>
          </w:p>
          <w:p w14:paraId="10803AA5" w14:textId="77777777" w:rsidR="007E6AA4" w:rsidRPr="001D4E34" w:rsidRDefault="007E6AA4" w:rsidP="007157C0">
            <w:pPr>
              <w:pStyle w:val="pf0"/>
              <w:spacing w:before="0" w:beforeAutospacing="0" w:after="0" w:afterAutospacing="0"/>
              <w:rPr>
                <w:rFonts w:ascii="Arial Narrow" w:eastAsia="Calibri" w:hAnsi="Arial Narrow" w:cs="Arial"/>
                <w:sz w:val="20"/>
                <w:szCs w:val="20"/>
                <w14:ligatures w14:val="standardContextual"/>
              </w:rPr>
            </w:pPr>
            <w:r w:rsidRPr="001D4E34">
              <w:rPr>
                <w:rFonts w:ascii="Arial Narrow" w:eastAsia="Calibri" w:hAnsi="Arial Narrow" w:cs="Arial"/>
                <w:sz w:val="20"/>
                <w:szCs w:val="20"/>
                <w14:ligatures w14:val="standardContextual"/>
              </w:rPr>
              <w:t>Special Pricing Arrangements apply.</w:t>
            </w:r>
          </w:p>
        </w:tc>
      </w:tr>
      <w:tr w:rsidR="007E6AA4" w:rsidRPr="002A0B70" w14:paraId="5C545D6C"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6DF81FCC" w14:textId="33A840D2" w:rsidR="007E6AA4" w:rsidRPr="002A0B70"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62E8B9BC" w14:textId="77777777" w:rsidR="007E6AA4" w:rsidRPr="002A0B70" w:rsidRDefault="007E6AA4" w:rsidP="007157C0">
            <w:pPr>
              <w:rPr>
                <w:rFonts w:ascii="Arial Narrow" w:hAnsi="Arial Narrow"/>
                <w:b/>
                <w:bCs/>
                <w:color w:val="333333"/>
                <w:sz w:val="20"/>
                <w:szCs w:val="20"/>
              </w:rPr>
            </w:pPr>
            <w:r w:rsidRPr="002A0B70">
              <w:rPr>
                <w:rFonts w:ascii="Arial Narrow" w:hAnsi="Arial Narrow"/>
                <w:b/>
                <w:bCs/>
                <w:color w:val="333333"/>
                <w:sz w:val="20"/>
                <w:szCs w:val="20"/>
              </w:rPr>
              <w:t>Administrative Advice:</w:t>
            </w:r>
          </w:p>
          <w:p w14:paraId="152A5F67" w14:textId="77777777" w:rsidR="007E6AA4" w:rsidRPr="002A0B70" w:rsidRDefault="007E6AA4" w:rsidP="007157C0">
            <w:pPr>
              <w:pStyle w:val="TableCentre"/>
              <w:jc w:val="left"/>
              <w:rPr>
                <w:rFonts w:ascii="Arial Narrow" w:eastAsia="Calibri" w:hAnsi="Arial Narrow" w:cs="Arial"/>
                <w:sz w:val="20"/>
                <w:szCs w:val="20"/>
                <w:lang w:eastAsia="en-AU" w:bidi="ar-SA"/>
                <w14:ligatures w14:val="standardContextual"/>
              </w:rPr>
            </w:pPr>
            <w:r w:rsidRPr="002A0B70">
              <w:rPr>
                <w:rFonts w:ascii="Arial Narrow" w:eastAsia="Calibri" w:hAnsi="Arial Narrow" w:cs="Arial"/>
                <w:sz w:val="20"/>
                <w:szCs w:val="20"/>
                <w:lang w:eastAsia="en-AU" w:bidi="ar-SA"/>
                <w14:ligatures w14:val="standardContextual"/>
              </w:rPr>
              <w:t>The Eczema Area and Severity Index (EASI) referenced in this restriction is that described in the following literature publications:</w:t>
            </w:r>
          </w:p>
          <w:p w14:paraId="159AC0CC" w14:textId="77777777" w:rsidR="007E6AA4" w:rsidRPr="002A0B70" w:rsidRDefault="007E6AA4" w:rsidP="007157C0">
            <w:pPr>
              <w:pStyle w:val="TableCentre"/>
              <w:jc w:val="left"/>
              <w:rPr>
                <w:rFonts w:ascii="Arial Narrow" w:eastAsia="Calibri" w:hAnsi="Arial Narrow" w:cs="Arial"/>
                <w:sz w:val="20"/>
                <w:szCs w:val="20"/>
                <w:lang w:eastAsia="en-AU" w:bidi="ar-SA"/>
                <w14:ligatures w14:val="standardContextual"/>
              </w:rPr>
            </w:pPr>
            <w:r w:rsidRPr="002A0B70">
              <w:rPr>
                <w:rFonts w:ascii="Arial Narrow" w:eastAsia="Calibri" w:hAnsi="Arial Narrow" w:cs="Arial"/>
                <w:sz w:val="20"/>
                <w:szCs w:val="20"/>
                <w:lang w:eastAsia="en-AU" w:bidi="ar-SA"/>
                <w14:ligatures w14:val="standardContextual"/>
              </w:rPr>
              <w:t>Chalmers JR et al. Report from the third international consensus meeting to harmonise core outcome measures for atopic eczema/dermatitis clinical trials (HOME). </w:t>
            </w:r>
            <w:r w:rsidRPr="002A0B70">
              <w:rPr>
                <w:rFonts w:ascii="Arial Narrow" w:eastAsia="Calibri" w:hAnsi="Arial Narrow" w:cs="Arial"/>
                <w:i/>
                <w:iCs/>
                <w:sz w:val="20"/>
                <w:szCs w:val="20"/>
                <w:lang w:eastAsia="en-AU" w:bidi="ar-SA"/>
                <w14:ligatures w14:val="standardContextual"/>
              </w:rPr>
              <w:t>British Journal of Dermatology</w:t>
            </w:r>
            <w:r w:rsidRPr="002A0B70">
              <w:rPr>
                <w:rFonts w:ascii="Arial Narrow" w:eastAsia="Calibri" w:hAnsi="Arial Narrow" w:cs="Arial"/>
                <w:sz w:val="20"/>
                <w:szCs w:val="20"/>
                <w:lang w:eastAsia="en-AU" w:bidi="ar-SA"/>
                <w14:ligatures w14:val="standardContextual"/>
              </w:rPr>
              <w:t> 2014 December;171(6):1318-25.</w:t>
            </w:r>
          </w:p>
          <w:p w14:paraId="6CE3056F" w14:textId="77777777" w:rsidR="007E6AA4" w:rsidRPr="002A0B70" w:rsidRDefault="007E6AA4" w:rsidP="007157C0">
            <w:pPr>
              <w:rPr>
                <w:rFonts w:ascii="Arial Narrow" w:hAnsi="Arial Narrow"/>
                <w:color w:val="333333"/>
                <w:sz w:val="20"/>
                <w:szCs w:val="20"/>
              </w:rPr>
            </w:pPr>
            <w:r w:rsidRPr="002A0B70">
              <w:rPr>
                <w:rFonts w:ascii="Arial Narrow" w:eastAsia="Calibri" w:hAnsi="Arial Narrow"/>
                <w:sz w:val="20"/>
                <w:szCs w:val="20"/>
              </w:rPr>
              <w:t>Schmitt J et al. HOME initiative collaborators. The Harmonising Outcome Measures for Eczema (HOME) statement to assess clinical signs of atopic eczema in trials. </w:t>
            </w:r>
            <w:r w:rsidRPr="002A0B70">
              <w:rPr>
                <w:rFonts w:ascii="Arial Narrow" w:eastAsia="Calibri" w:hAnsi="Arial Narrow"/>
                <w:i/>
                <w:iCs/>
                <w:sz w:val="20"/>
                <w:szCs w:val="20"/>
              </w:rPr>
              <w:t>The Journal of Allergy and Clinical Immunology</w:t>
            </w:r>
            <w:r w:rsidRPr="002A0B70">
              <w:rPr>
                <w:rFonts w:ascii="Arial Narrow" w:eastAsia="Calibri" w:hAnsi="Arial Narrow"/>
                <w:sz w:val="20"/>
                <w:szCs w:val="20"/>
              </w:rPr>
              <w:t> 2014 October;134(4):800-7</w:t>
            </w:r>
          </w:p>
        </w:tc>
      </w:tr>
      <w:tr w:rsidR="007E6AA4" w:rsidRPr="00446E53" w14:paraId="34C9C323"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2B90D9DE" w14:textId="179B4FEB"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6F02E71F" w14:textId="77777777" w:rsidR="007E6AA4" w:rsidRDefault="007E6AA4" w:rsidP="007157C0">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5D69896B" w14:textId="0C393C1C" w:rsidR="007E6AA4" w:rsidRPr="00446E53" w:rsidRDefault="007E6AA4" w:rsidP="007157C0">
            <w:pPr>
              <w:keepLines/>
              <w:rPr>
                <w:rFonts w:ascii="Arial Narrow" w:hAnsi="Arial Narrow"/>
                <w:b/>
                <w:sz w:val="20"/>
                <w:szCs w:val="20"/>
              </w:rPr>
            </w:pPr>
            <w:r w:rsidRPr="00D32CAA">
              <w:rPr>
                <w:rFonts w:ascii="Arial Narrow" w:eastAsia="Calibri" w:hAnsi="Arial Narrow"/>
                <w:sz w:val="20"/>
                <w:szCs w:val="20"/>
              </w:rPr>
              <w:t xml:space="preserve">Instructions on the use of the Dermatology Life Quality Index and copyright details can be found here: </w:t>
            </w:r>
            <w:hyperlink r:id="rId18" w:history="1">
              <w:r w:rsidRPr="00B74BAC">
                <w:rPr>
                  <w:rFonts w:ascii="Arial Narrow" w:eastAsia="Calibri" w:hAnsi="Arial Narrow"/>
                  <w:sz w:val="20"/>
                  <w:szCs w:val="20"/>
                </w:rPr>
                <w:t>https://www.cardiff.ac.uk/medicine/resources/quality-of-life-questionnaires/dermatology-life-quality-index</w:t>
              </w:r>
            </w:hyperlink>
          </w:p>
        </w:tc>
      </w:tr>
      <w:tr w:rsidR="007E6AA4" w:rsidRPr="002C1179" w14:paraId="4EB8CDC3"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3B4FD375" w14:textId="156269CF" w:rsidR="007E6AA4" w:rsidRPr="002C1179" w:rsidRDefault="007E6AA4" w:rsidP="007157C0">
            <w:pPr>
              <w:jc w:val="center"/>
              <w:rPr>
                <w:rFonts w:ascii="Arial Narrow" w:hAnsi="Arial Narrow"/>
                <w:color w:val="333333"/>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006FFCC2" w14:textId="77777777" w:rsidR="007E6AA4" w:rsidRPr="002C1179" w:rsidRDefault="007E6AA4" w:rsidP="007157C0">
            <w:pPr>
              <w:keepLines/>
              <w:rPr>
                <w:rFonts w:ascii="Arial Narrow" w:hAnsi="Arial Narrow"/>
                <w:b/>
                <w:bCs/>
                <w:color w:val="333333"/>
                <w:sz w:val="20"/>
                <w:szCs w:val="20"/>
              </w:rPr>
            </w:pPr>
            <w:r w:rsidRPr="002C1179">
              <w:rPr>
                <w:rFonts w:ascii="Arial Narrow" w:hAnsi="Arial Narrow"/>
                <w:b/>
                <w:bCs/>
                <w:color w:val="333333"/>
                <w:sz w:val="20"/>
                <w:szCs w:val="20"/>
              </w:rPr>
              <w:t>Administrative Advice:</w:t>
            </w:r>
          </w:p>
          <w:p w14:paraId="63405C5E" w14:textId="77777777" w:rsidR="007E6AA4" w:rsidRPr="002C1179" w:rsidRDefault="007E6AA4" w:rsidP="007157C0">
            <w:pPr>
              <w:pStyle w:val="TableCentre"/>
              <w:jc w:val="left"/>
              <w:rPr>
                <w:rFonts w:ascii="Arial Narrow" w:eastAsia="Calibri" w:hAnsi="Arial Narrow" w:cs="Arial"/>
                <w:sz w:val="20"/>
                <w:szCs w:val="20"/>
                <w:lang w:eastAsia="en-AU" w:bidi="ar-SA"/>
                <w14:ligatures w14:val="standardContextual"/>
              </w:rPr>
            </w:pPr>
            <w:r w:rsidRPr="002C1179">
              <w:rPr>
                <w:rFonts w:ascii="Arial Narrow" w:eastAsia="Calibri" w:hAnsi="Arial Narrow" w:cs="Arial"/>
                <w:sz w:val="20"/>
                <w:szCs w:val="20"/>
                <w:lang w:eastAsia="en-AU" w:bidi="ar-SA"/>
                <w14:ligatures w14:val="standardContextual"/>
              </w:rPr>
              <w:lastRenderedPageBreak/>
              <w:t>The Physician's Global Assessment (5-point scale) referenced in this restriction is that described in the following literature publication:</w:t>
            </w:r>
          </w:p>
          <w:p w14:paraId="37245D57" w14:textId="77777777" w:rsidR="007E6AA4" w:rsidRPr="002C1179" w:rsidRDefault="007E6AA4" w:rsidP="007157C0">
            <w:pPr>
              <w:pStyle w:val="TableCentre"/>
              <w:jc w:val="left"/>
              <w:rPr>
                <w:rFonts w:ascii="Arial Narrow" w:eastAsia="Calibri" w:hAnsi="Arial Narrow" w:cs="Arial"/>
                <w:sz w:val="20"/>
                <w:szCs w:val="20"/>
                <w:lang w:eastAsia="en-AU" w:bidi="ar-SA"/>
                <w14:ligatures w14:val="standardContextual"/>
              </w:rPr>
            </w:pPr>
            <w:proofErr w:type="spellStart"/>
            <w:r w:rsidRPr="002C1179">
              <w:rPr>
                <w:rFonts w:ascii="Arial Narrow" w:eastAsia="Calibri" w:hAnsi="Arial Narrow" w:cs="Arial"/>
                <w:sz w:val="20"/>
                <w:szCs w:val="20"/>
                <w:lang w:eastAsia="en-AU" w:bidi="ar-SA"/>
                <w14:ligatures w14:val="standardContextual"/>
              </w:rPr>
              <w:t>Fatumura</w:t>
            </w:r>
            <w:proofErr w:type="spellEnd"/>
            <w:r w:rsidRPr="002C1179">
              <w:rPr>
                <w:rFonts w:ascii="Arial Narrow" w:eastAsia="Calibri" w:hAnsi="Arial Narrow" w:cs="Arial"/>
                <w:sz w:val="20"/>
                <w:szCs w:val="20"/>
                <w:lang w:eastAsia="en-AU" w:bidi="ar-SA"/>
                <w14:ligatures w14:val="standardContextual"/>
              </w:rPr>
              <w:t xml:space="preserve"> M et al. A systematic review of Investigator Global Assessment (IGA) in atopic dermatitis (AD) trials: Many options, no standards Journal of the American Academy of Dermatology 2016; 674(2): 288-94 </w:t>
            </w:r>
          </w:p>
          <w:p w14:paraId="091D93B9" w14:textId="77777777" w:rsidR="007E6AA4" w:rsidRPr="002C1179" w:rsidRDefault="007E6AA4" w:rsidP="007157C0">
            <w:pPr>
              <w:keepLines/>
              <w:rPr>
                <w:rFonts w:ascii="Arial Narrow" w:hAnsi="Arial Narrow"/>
                <w:b/>
                <w:bCs/>
                <w:color w:val="333333"/>
                <w:sz w:val="20"/>
                <w:szCs w:val="20"/>
              </w:rPr>
            </w:pPr>
            <w:r w:rsidRPr="002C1179">
              <w:rPr>
                <w:rFonts w:ascii="Arial Narrow" w:eastAsia="Calibri" w:hAnsi="Arial Narrow"/>
                <w:sz w:val="20"/>
                <w:szCs w:val="20"/>
              </w:rPr>
              <w:t>The overall appearance of dermatitis lesions is rated as 4 (severe) if the lesions are best described as featuring: deep/dark red erythema, with marked and extensive induration/papulation; excoriation and oozing/crusting are present.</w:t>
            </w:r>
          </w:p>
        </w:tc>
      </w:tr>
      <w:tr w:rsidR="007E6AA4" w:rsidRPr="00446E53" w14:paraId="6C22137E" w14:textId="77777777" w:rsidTr="00807021">
        <w:tblPrEx>
          <w:tblCellMar>
            <w:top w:w="15" w:type="dxa"/>
            <w:bottom w:w="15" w:type="dxa"/>
          </w:tblCellMar>
          <w:tblLook w:val="04A0" w:firstRow="1" w:lastRow="0" w:firstColumn="1" w:lastColumn="0" w:noHBand="0" w:noVBand="1"/>
        </w:tblPrEx>
        <w:trPr>
          <w:trHeight w:val="20"/>
        </w:trPr>
        <w:tc>
          <w:tcPr>
            <w:tcW w:w="686" w:type="pct"/>
            <w:tcBorders>
              <w:left w:val="single" w:sz="4" w:space="0" w:color="auto"/>
              <w:bottom w:val="single" w:sz="4" w:space="0" w:color="auto"/>
              <w:right w:val="single" w:sz="4" w:space="0" w:color="auto"/>
            </w:tcBorders>
          </w:tcPr>
          <w:p w14:paraId="22BA9C77" w14:textId="551C5C30" w:rsidR="007E6AA4" w:rsidRPr="00446E53" w:rsidRDefault="007E6AA4" w:rsidP="007157C0">
            <w:pPr>
              <w:jc w:val="center"/>
              <w:rPr>
                <w:rFonts w:ascii="Arial Narrow" w:hAnsi="Arial Narrow"/>
                <w:sz w:val="20"/>
                <w:szCs w:val="20"/>
              </w:rPr>
            </w:pPr>
          </w:p>
        </w:tc>
        <w:tc>
          <w:tcPr>
            <w:tcW w:w="4314" w:type="pct"/>
            <w:gridSpan w:val="6"/>
            <w:tcBorders>
              <w:top w:val="single" w:sz="4" w:space="0" w:color="auto"/>
              <w:left w:val="single" w:sz="4" w:space="0" w:color="auto"/>
              <w:bottom w:val="single" w:sz="4" w:space="0" w:color="auto"/>
              <w:right w:val="single" w:sz="4" w:space="0" w:color="auto"/>
            </w:tcBorders>
            <w:vAlign w:val="center"/>
          </w:tcPr>
          <w:p w14:paraId="6C1146E9" w14:textId="77777777" w:rsidR="007E6AA4" w:rsidRDefault="007E6AA4" w:rsidP="007157C0">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6DDA55FF" w14:textId="77777777" w:rsidR="007E6AA4" w:rsidRPr="00446E53" w:rsidRDefault="007E6AA4" w:rsidP="007157C0">
            <w:pPr>
              <w:keepLines/>
              <w:rPr>
                <w:rFonts w:ascii="Arial Narrow" w:hAnsi="Arial Narrow"/>
                <w:b/>
                <w:sz w:val="20"/>
                <w:szCs w:val="20"/>
              </w:rPr>
            </w:pPr>
            <w:r w:rsidRPr="003D23AA">
              <w:rPr>
                <w:rFonts w:ascii="Arial Narrow" w:eastAsia="Calibri" w:hAnsi="Arial Narrow"/>
                <w:sz w:val="20"/>
                <w:szCs w:val="20"/>
              </w:rPr>
              <w:t>Applications for authorisation under this restriction may be made in real time using the Online PBS Authorities system (see www.servicesaustralia.gov.au/HPOS) or by telephone by contacting Services Australia on 1800 888 333.</w:t>
            </w:r>
            <w:r>
              <w:rPr>
                <w:rFonts w:ascii="Arial Narrow" w:eastAsia="Calibri" w:hAnsi="Arial Narrow"/>
                <w:sz w:val="20"/>
                <w:szCs w:val="20"/>
              </w:rPr>
              <w:t xml:space="preserve"> </w:t>
            </w:r>
          </w:p>
        </w:tc>
      </w:tr>
      <w:tr w:rsidR="007E6AA4" w:rsidRPr="00446E53" w14:paraId="7EABC8DF" w14:textId="77777777" w:rsidTr="00807021">
        <w:tblPrEx>
          <w:tblCellMar>
            <w:top w:w="15" w:type="dxa"/>
            <w:bottom w:w="15" w:type="dxa"/>
          </w:tblCellMar>
          <w:tblLook w:val="04A0" w:firstRow="1" w:lastRow="0" w:firstColumn="1" w:lastColumn="0" w:noHBand="0" w:noVBand="1"/>
        </w:tblPrEx>
        <w:trPr>
          <w:cantSplit/>
          <w:trHeight w:val="20"/>
        </w:trPr>
        <w:tc>
          <w:tcPr>
            <w:tcW w:w="686" w:type="pct"/>
            <w:shd w:val="clear" w:color="auto" w:fill="D9D9D9" w:themeFill="background1" w:themeFillShade="D9"/>
          </w:tcPr>
          <w:p w14:paraId="7252AC5A" w14:textId="77777777" w:rsidR="007E6AA4" w:rsidRDefault="007E6AA4" w:rsidP="007157C0">
            <w:pPr>
              <w:jc w:val="center"/>
              <w:rPr>
                <w:rFonts w:ascii="Arial Narrow" w:eastAsia="Calibri" w:hAnsi="Arial Narrow"/>
                <w:sz w:val="20"/>
                <w:szCs w:val="20"/>
              </w:rPr>
            </w:pPr>
          </w:p>
        </w:tc>
        <w:tc>
          <w:tcPr>
            <w:tcW w:w="4314" w:type="pct"/>
            <w:gridSpan w:val="6"/>
            <w:shd w:val="clear" w:color="auto" w:fill="D9D9D9" w:themeFill="background1" w:themeFillShade="D9"/>
            <w:vAlign w:val="center"/>
          </w:tcPr>
          <w:p w14:paraId="68AAE1F8"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6</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6A</w:t>
            </w:r>
            <w:r w:rsidRPr="00446E53">
              <w:rPr>
                <w:rFonts w:ascii="Arial Narrow" w:hAnsi="Arial Narrow"/>
                <w:b/>
                <w:bCs/>
                <w:color w:val="333333"/>
                <w:sz w:val="20"/>
                <w:szCs w:val="20"/>
              </w:rPr>
              <w:t>]</w:t>
            </w:r>
          </w:p>
        </w:tc>
      </w:tr>
      <w:tr w:rsidR="007E6AA4" w:rsidRPr="00446E53" w14:paraId="14D8EDC4"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F4614CA" w14:textId="47857B2C" w:rsidR="007E6AA4" w:rsidRDefault="007E6AA4" w:rsidP="007157C0">
            <w:pPr>
              <w:jc w:val="center"/>
              <w:rPr>
                <w:rFonts w:ascii="Arial Narrow" w:eastAsia="Calibri" w:hAnsi="Arial Narrow"/>
                <w:sz w:val="20"/>
                <w:szCs w:val="20"/>
              </w:rPr>
            </w:pPr>
          </w:p>
        </w:tc>
        <w:tc>
          <w:tcPr>
            <w:tcW w:w="4314" w:type="pct"/>
            <w:gridSpan w:val="6"/>
            <w:vAlign w:val="center"/>
          </w:tcPr>
          <w:p w14:paraId="5E9853EF" w14:textId="77777777" w:rsidR="007E6AA4" w:rsidRPr="00446E53" w:rsidRDefault="007E6AA4" w:rsidP="007157C0">
            <w:pPr>
              <w:rPr>
                <w:rFonts w:ascii="Arial Narrow" w:hAnsi="Arial Narrow"/>
                <w:b/>
                <w:bCs/>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7E6AA4" w:rsidRPr="00446E53" w14:paraId="3E1D9FF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12627EE" w14:textId="77777777" w:rsidR="007E6AA4" w:rsidRPr="009122C5" w:rsidRDefault="007E6AA4" w:rsidP="007157C0">
            <w:pPr>
              <w:jc w:val="center"/>
              <w:rPr>
                <w:rFonts w:ascii="Arial Narrow" w:eastAsia="Calibri" w:hAnsi="Arial Narrow"/>
                <w:sz w:val="20"/>
                <w:szCs w:val="20"/>
              </w:rPr>
            </w:pPr>
          </w:p>
        </w:tc>
        <w:tc>
          <w:tcPr>
            <w:tcW w:w="4314" w:type="pct"/>
            <w:gridSpan w:val="6"/>
            <w:vAlign w:val="center"/>
          </w:tcPr>
          <w:p w14:paraId="0FD6CA5A" w14:textId="53D7F817" w:rsidR="007E6AA4" w:rsidRPr="009122C5" w:rsidRDefault="007E6AA4" w:rsidP="007157C0">
            <w:pPr>
              <w:rPr>
                <w:rFonts w:ascii="Arial Narrow" w:hAnsi="Arial Narrow"/>
                <w:b/>
                <w:bCs/>
                <w:color w:val="333333"/>
                <w:sz w:val="20"/>
                <w:szCs w:val="20"/>
              </w:rPr>
            </w:pPr>
            <w:r w:rsidRPr="009122C5">
              <w:rPr>
                <w:rFonts w:ascii="Arial Narrow" w:hAnsi="Arial Narrow"/>
                <w:b/>
                <w:bCs/>
                <w:sz w:val="20"/>
                <w:szCs w:val="20"/>
              </w:rPr>
              <w:t>Treatment Phase:</w:t>
            </w:r>
            <w:r w:rsidRPr="009122C5">
              <w:rPr>
                <w:rFonts w:ascii="Arial Narrow" w:hAnsi="Arial Narrow"/>
                <w:sz w:val="20"/>
                <w:szCs w:val="20"/>
              </w:rPr>
              <w:t xml:space="preserve"> Transitioning from non-PBS to PBS-subsidised </w:t>
            </w:r>
            <w:r w:rsidRPr="00EC0A25">
              <w:rPr>
                <w:rFonts w:ascii="Arial Narrow" w:hAnsi="Arial Narrow"/>
                <w:sz w:val="20"/>
                <w:szCs w:val="20"/>
              </w:rPr>
              <w:t>treatment</w:t>
            </w:r>
            <w:r w:rsidRPr="009122C5">
              <w:rPr>
                <w:rFonts w:ascii="Arial Narrow" w:hAnsi="Arial Narrow"/>
                <w:i/>
                <w:iCs/>
                <w:sz w:val="20"/>
                <w:szCs w:val="20"/>
              </w:rPr>
              <w:t xml:space="preserve"> </w:t>
            </w:r>
            <w:r w:rsidRPr="009122C5">
              <w:rPr>
                <w:rFonts w:ascii="Arial Narrow" w:hAnsi="Arial Narrow"/>
                <w:sz w:val="20"/>
                <w:szCs w:val="20"/>
              </w:rPr>
              <w:t>– ‘Grandfather’</w:t>
            </w:r>
            <w:r w:rsidRPr="009122C5">
              <w:rPr>
                <w:rFonts w:ascii="Arial Narrow" w:hAnsi="Arial Narrow"/>
                <w:i/>
                <w:iCs/>
                <w:sz w:val="20"/>
                <w:szCs w:val="20"/>
              </w:rPr>
              <w:t xml:space="preserve"> </w:t>
            </w:r>
            <w:r w:rsidRPr="009122C5">
              <w:rPr>
                <w:rFonts w:ascii="Arial Narrow" w:hAnsi="Arial Narrow"/>
                <w:sz w:val="20"/>
                <w:szCs w:val="20"/>
              </w:rPr>
              <w:t>arrangements</w:t>
            </w:r>
            <w:r w:rsidRPr="009122C5">
              <w:rPr>
                <w:rFonts w:ascii="Arial Narrow" w:hAnsi="Arial Narrow"/>
                <w:i/>
                <w:iCs/>
                <w:sz w:val="20"/>
                <w:szCs w:val="20"/>
              </w:rPr>
              <w:t xml:space="preserve"> </w:t>
            </w:r>
            <w:r w:rsidRPr="00EC0A25">
              <w:rPr>
                <w:rFonts w:ascii="Arial Narrow" w:hAnsi="Arial Narrow"/>
                <w:sz w:val="20"/>
                <w:szCs w:val="20"/>
              </w:rPr>
              <w:t>(whole body)</w:t>
            </w:r>
            <w:r w:rsidRPr="009122C5">
              <w:rPr>
                <w:rFonts w:ascii="Arial Narrow" w:hAnsi="Arial Narrow"/>
                <w:i/>
                <w:iCs/>
                <w:sz w:val="20"/>
                <w:szCs w:val="20"/>
              </w:rPr>
              <w:t xml:space="preserve"> </w:t>
            </w:r>
          </w:p>
        </w:tc>
      </w:tr>
      <w:tr w:rsidR="007E6AA4" w:rsidRPr="00446E53" w14:paraId="10111BC6"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18E5BDD" w14:textId="78428851" w:rsidR="007E6AA4" w:rsidRDefault="007E6AA4" w:rsidP="007157C0">
            <w:pPr>
              <w:jc w:val="center"/>
              <w:rPr>
                <w:rFonts w:ascii="Arial Narrow" w:eastAsia="Calibri" w:hAnsi="Arial Narrow"/>
                <w:sz w:val="20"/>
                <w:szCs w:val="20"/>
              </w:rPr>
            </w:pPr>
          </w:p>
        </w:tc>
        <w:tc>
          <w:tcPr>
            <w:tcW w:w="4314" w:type="pct"/>
            <w:gridSpan w:val="6"/>
            <w:vAlign w:val="center"/>
          </w:tcPr>
          <w:p w14:paraId="1D66E94E"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7E6AA4" w:rsidRPr="00446E53" w14:paraId="3B402B1D"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B632483" w14:textId="0AF37D8C" w:rsidR="007E6AA4" w:rsidRDefault="007E6AA4" w:rsidP="007157C0">
            <w:pPr>
              <w:jc w:val="center"/>
              <w:rPr>
                <w:rFonts w:ascii="Arial Narrow" w:eastAsia="Calibri" w:hAnsi="Arial Narrow"/>
                <w:sz w:val="20"/>
                <w:szCs w:val="20"/>
              </w:rPr>
            </w:pPr>
          </w:p>
        </w:tc>
        <w:tc>
          <w:tcPr>
            <w:tcW w:w="4314" w:type="pct"/>
            <w:gridSpan w:val="6"/>
          </w:tcPr>
          <w:p w14:paraId="257CAE87" w14:textId="77777777" w:rsidR="007E6AA4" w:rsidRPr="00E23E54" w:rsidRDefault="007E6AA4" w:rsidP="007157C0">
            <w:pPr>
              <w:rPr>
                <w:rFonts w:ascii="Arial Narrow" w:hAnsi="Arial Narrow"/>
                <w:b/>
                <w:bCs/>
                <w:color w:val="333333"/>
                <w:sz w:val="20"/>
                <w:szCs w:val="20"/>
              </w:rPr>
            </w:pPr>
            <w:r w:rsidRPr="00E23E54">
              <w:rPr>
                <w:rFonts w:ascii="Arial Narrow" w:hAnsi="Arial Narrow" w:cs="Segoe UI"/>
                <w:sz w:val="20"/>
                <w:szCs w:val="20"/>
              </w:rPr>
              <w:t>Patient must have been receiving non-PBS-subsidised treatment with this drug for this condition prior to [date of listing]</w:t>
            </w:r>
          </w:p>
        </w:tc>
      </w:tr>
      <w:tr w:rsidR="007E6AA4" w:rsidRPr="00446E53" w14:paraId="12D06C0B"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27C2C89C"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7696D0AD"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7E6AA4" w:rsidRPr="00446E53" w14:paraId="56FDB6D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0CDAAC0" w14:textId="676CF698" w:rsidR="007E6AA4" w:rsidRDefault="007E6AA4" w:rsidP="007157C0">
            <w:pPr>
              <w:jc w:val="center"/>
              <w:rPr>
                <w:rFonts w:ascii="Arial Narrow" w:eastAsia="Calibri" w:hAnsi="Arial Narrow"/>
                <w:sz w:val="20"/>
                <w:szCs w:val="20"/>
              </w:rPr>
            </w:pPr>
          </w:p>
        </w:tc>
        <w:tc>
          <w:tcPr>
            <w:tcW w:w="4314" w:type="pct"/>
            <w:gridSpan w:val="6"/>
            <w:vAlign w:val="center"/>
          </w:tcPr>
          <w:p w14:paraId="4D1C6FE6"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7E6AA4" w:rsidRPr="00446E53" w14:paraId="18246B7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E5BA88C" w14:textId="72EAB5D4" w:rsidR="007E6AA4" w:rsidRDefault="007E6AA4" w:rsidP="007157C0">
            <w:pPr>
              <w:jc w:val="center"/>
              <w:rPr>
                <w:rFonts w:ascii="Arial Narrow" w:eastAsia="Calibri" w:hAnsi="Arial Narrow"/>
                <w:sz w:val="20"/>
                <w:szCs w:val="20"/>
              </w:rPr>
            </w:pPr>
          </w:p>
        </w:tc>
        <w:tc>
          <w:tcPr>
            <w:tcW w:w="4314" w:type="pct"/>
            <w:gridSpan w:val="6"/>
          </w:tcPr>
          <w:p w14:paraId="7D5DF246" w14:textId="77777777" w:rsidR="007E6AA4" w:rsidRPr="00446E53" w:rsidRDefault="007E6AA4" w:rsidP="007157C0">
            <w:pPr>
              <w:rPr>
                <w:rFonts w:ascii="Arial Narrow" w:hAnsi="Arial Narrow"/>
                <w:b/>
                <w:bCs/>
                <w:color w:val="333333"/>
                <w:sz w:val="20"/>
                <w:szCs w:val="20"/>
              </w:rPr>
            </w:pPr>
            <w:r w:rsidRPr="00EC4F5F">
              <w:rPr>
                <w:rFonts w:ascii="Arial Narrow" w:hAnsi="Arial Narrow"/>
                <w:sz w:val="20"/>
                <w:szCs w:val="20"/>
              </w:rPr>
              <w:t>Patient must have</w:t>
            </w:r>
            <w:r>
              <w:rPr>
                <w:rFonts w:ascii="Arial Narrow" w:hAnsi="Arial Narrow"/>
                <w:sz w:val="20"/>
                <w:szCs w:val="20"/>
              </w:rPr>
              <w:t xml:space="preserve"> </w:t>
            </w:r>
            <w:r w:rsidRPr="00E23E54">
              <w:rPr>
                <w:rFonts w:ascii="Arial Narrow" w:hAnsi="Arial Narrow"/>
                <w:sz w:val="20"/>
                <w:szCs w:val="20"/>
              </w:rPr>
              <w:t>had</w:t>
            </w:r>
            <w:r w:rsidRPr="00EC4F5F">
              <w:rPr>
                <w:rFonts w:ascii="Arial Narrow" w:hAnsi="Arial Narrow"/>
                <w:sz w:val="20"/>
                <w:szCs w:val="20"/>
              </w:rPr>
              <w:t xml:space="preserve"> an Eczema Area and Severity Index (EASI) baseline score of at least 20 despite treatment with daily topical therapy (corticosteroid of medium to high potency/calcineurin inhibitor), for at least 28 days prior to commencing non-PBS-subsidised therapy with this biological medicine</w:t>
            </w:r>
          </w:p>
        </w:tc>
      </w:tr>
      <w:tr w:rsidR="007E6AA4" w:rsidRPr="00446E53" w14:paraId="47209FE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83B1D14"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1ED75D3D"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7E6AA4" w:rsidRPr="00446E53" w14:paraId="20AD94C2"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9A2A02E" w14:textId="46CA58E7" w:rsidR="007E6AA4" w:rsidRDefault="007E6AA4" w:rsidP="007157C0">
            <w:pPr>
              <w:jc w:val="center"/>
              <w:rPr>
                <w:rFonts w:ascii="Arial Narrow" w:eastAsia="Calibri" w:hAnsi="Arial Narrow"/>
                <w:sz w:val="20"/>
                <w:szCs w:val="20"/>
              </w:rPr>
            </w:pPr>
          </w:p>
        </w:tc>
        <w:tc>
          <w:tcPr>
            <w:tcW w:w="4314" w:type="pct"/>
            <w:gridSpan w:val="6"/>
            <w:vAlign w:val="center"/>
          </w:tcPr>
          <w:p w14:paraId="7EE7E0F2"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7E6AA4" w:rsidRPr="00446E53" w14:paraId="06F37A67"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3E309F3B" w14:textId="38E6284B" w:rsidR="007E6AA4" w:rsidRDefault="007E6AA4" w:rsidP="007157C0">
            <w:pPr>
              <w:jc w:val="center"/>
              <w:rPr>
                <w:rFonts w:ascii="Arial Narrow" w:eastAsia="Calibri" w:hAnsi="Arial Narrow"/>
                <w:sz w:val="20"/>
                <w:szCs w:val="20"/>
              </w:rPr>
            </w:pPr>
          </w:p>
        </w:tc>
        <w:tc>
          <w:tcPr>
            <w:tcW w:w="4314" w:type="pct"/>
            <w:gridSpan w:val="6"/>
          </w:tcPr>
          <w:p w14:paraId="6A598295" w14:textId="77777777" w:rsidR="007E6AA4" w:rsidRPr="00446E53" w:rsidRDefault="007E6AA4" w:rsidP="007157C0">
            <w:pPr>
              <w:rPr>
                <w:rFonts w:ascii="Arial Narrow" w:hAnsi="Arial Narrow"/>
                <w:b/>
                <w:bCs/>
                <w:color w:val="333333"/>
                <w:sz w:val="20"/>
                <w:szCs w:val="20"/>
              </w:rPr>
            </w:pPr>
            <w:r w:rsidRPr="00BB6A18">
              <w:rPr>
                <w:rFonts w:ascii="Arial Narrow" w:hAnsi="Arial Narrow"/>
                <w:sz w:val="20"/>
                <w:szCs w:val="20"/>
              </w:rPr>
              <w:t>Patient must have had a Physicians Global Assessment (PGA) baseline score of at least 4 as evidence of severe disease despite treatment with daily topical therapy (corticosteroid of medium to high potency/calcineurin inhibitor), for at least 28 days prior to commencing non-PBS-subsidised therapy with this biological medicine</w:t>
            </w:r>
          </w:p>
        </w:tc>
      </w:tr>
      <w:tr w:rsidR="007E6AA4" w:rsidRPr="00446E53" w14:paraId="1EE51554"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5AB86F4"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606507B2"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7E6AA4" w:rsidRPr="00446E53" w14:paraId="07DA5577"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56FECF0" w14:textId="6DEAF169" w:rsidR="007E6AA4" w:rsidRDefault="007E6AA4" w:rsidP="007157C0">
            <w:pPr>
              <w:jc w:val="center"/>
              <w:rPr>
                <w:rFonts w:ascii="Arial Narrow" w:eastAsia="Calibri" w:hAnsi="Arial Narrow"/>
                <w:sz w:val="20"/>
                <w:szCs w:val="20"/>
              </w:rPr>
            </w:pPr>
          </w:p>
        </w:tc>
        <w:tc>
          <w:tcPr>
            <w:tcW w:w="4314" w:type="pct"/>
            <w:gridSpan w:val="6"/>
            <w:vAlign w:val="center"/>
          </w:tcPr>
          <w:p w14:paraId="41E1A095"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7E6AA4" w:rsidRPr="00446E53" w14:paraId="3791D5B9"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E0D67D5" w14:textId="44AB02E9" w:rsidR="007E6AA4" w:rsidRDefault="007E6AA4" w:rsidP="007157C0">
            <w:pPr>
              <w:jc w:val="center"/>
              <w:rPr>
                <w:rFonts w:ascii="Arial Narrow" w:eastAsia="Calibri" w:hAnsi="Arial Narrow"/>
                <w:sz w:val="20"/>
                <w:szCs w:val="20"/>
              </w:rPr>
            </w:pPr>
          </w:p>
        </w:tc>
        <w:tc>
          <w:tcPr>
            <w:tcW w:w="4314" w:type="pct"/>
            <w:gridSpan w:val="6"/>
          </w:tcPr>
          <w:p w14:paraId="435539A9" w14:textId="77777777" w:rsidR="007E6AA4" w:rsidRPr="00446E53" w:rsidRDefault="007E6AA4" w:rsidP="007157C0">
            <w:pPr>
              <w:rPr>
                <w:rFonts w:ascii="Arial Narrow" w:hAnsi="Arial Narrow"/>
                <w:b/>
                <w:bCs/>
                <w:color w:val="333333"/>
                <w:sz w:val="20"/>
                <w:szCs w:val="20"/>
              </w:rPr>
            </w:pPr>
            <w:r w:rsidRPr="008030E1">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w:t>
            </w:r>
            <w:r>
              <w:rPr>
                <w:rFonts w:ascii="Arial Narrow" w:hAnsi="Arial Narrow"/>
                <w:i/>
                <w:iCs/>
                <w:sz w:val="20"/>
                <w:szCs w:val="20"/>
              </w:rPr>
              <w:t>,</w:t>
            </w:r>
            <w:r w:rsidRPr="008030E1">
              <w:rPr>
                <w:rFonts w:ascii="Arial Narrow" w:hAnsi="Arial Narrow"/>
                <w:sz w:val="20"/>
                <w:szCs w:val="20"/>
              </w:rPr>
              <w:t xml:space="preserve"> prior to </w:t>
            </w:r>
            <w:r w:rsidRPr="00F3158B">
              <w:rPr>
                <w:rFonts w:ascii="Arial Narrow" w:hAnsi="Arial Narrow"/>
                <w:sz w:val="20"/>
                <w:szCs w:val="20"/>
              </w:rPr>
              <w:t>having commence</w:t>
            </w:r>
            <w:r>
              <w:rPr>
                <w:rFonts w:ascii="Arial Narrow" w:hAnsi="Arial Narrow"/>
                <w:sz w:val="20"/>
                <w:szCs w:val="20"/>
              </w:rPr>
              <w:t>d</w:t>
            </w:r>
            <w:r w:rsidRPr="008030E1">
              <w:rPr>
                <w:rFonts w:ascii="Arial Narrow" w:hAnsi="Arial Narrow"/>
                <w:sz w:val="20"/>
                <w:szCs w:val="20"/>
              </w:rPr>
              <w:t xml:space="preserve"> non-PBS-subsidised therapy with this biological medicine; or </w:t>
            </w:r>
          </w:p>
        </w:tc>
      </w:tr>
      <w:tr w:rsidR="007E6AA4" w:rsidRPr="00446E53" w14:paraId="05713510"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0C0DF10" w14:textId="30F1A549" w:rsidR="007E6AA4" w:rsidRDefault="007E6AA4" w:rsidP="007157C0">
            <w:pPr>
              <w:jc w:val="center"/>
              <w:rPr>
                <w:rFonts w:ascii="Arial Narrow" w:eastAsia="Calibri" w:hAnsi="Arial Narrow"/>
                <w:sz w:val="20"/>
                <w:szCs w:val="20"/>
              </w:rPr>
            </w:pPr>
          </w:p>
        </w:tc>
        <w:tc>
          <w:tcPr>
            <w:tcW w:w="4314" w:type="pct"/>
            <w:gridSpan w:val="6"/>
            <w:vAlign w:val="center"/>
          </w:tcPr>
          <w:p w14:paraId="323A663E" w14:textId="77777777" w:rsidR="007E6AA4" w:rsidRPr="00446E53" w:rsidRDefault="007E6AA4" w:rsidP="007157C0">
            <w:pPr>
              <w:rPr>
                <w:rFonts w:ascii="Arial Narrow" w:hAnsi="Arial Narrow"/>
                <w:b/>
                <w:bCs/>
                <w:color w:val="333333"/>
                <w:sz w:val="20"/>
                <w:szCs w:val="20"/>
              </w:rPr>
            </w:pPr>
            <w:r w:rsidRPr="008030E1">
              <w:rPr>
                <w:rFonts w:ascii="Arial Narrow" w:hAnsi="Arial Narrow"/>
                <w:sz w:val="20"/>
                <w:szCs w:val="20"/>
              </w:rPr>
              <w:t>Patient must have, where the above baseline DLQI was not recorded in the patient's medical records, a current age-appropriate DLQI score (of any value) measured</w:t>
            </w:r>
          </w:p>
        </w:tc>
      </w:tr>
      <w:tr w:rsidR="007E6AA4" w:rsidRPr="00446E53" w14:paraId="361E26B8"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30D66CD"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142DA4F6"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7E6AA4" w:rsidRPr="00446E53" w14:paraId="420888E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3DC020E8" w14:textId="7594AE48" w:rsidR="007E6AA4" w:rsidRDefault="007E6AA4" w:rsidP="007157C0">
            <w:pPr>
              <w:jc w:val="center"/>
              <w:rPr>
                <w:rFonts w:ascii="Arial Narrow" w:eastAsia="Calibri" w:hAnsi="Arial Narrow"/>
                <w:sz w:val="20"/>
                <w:szCs w:val="20"/>
              </w:rPr>
            </w:pPr>
          </w:p>
        </w:tc>
        <w:tc>
          <w:tcPr>
            <w:tcW w:w="4314" w:type="pct"/>
            <w:gridSpan w:val="6"/>
            <w:vAlign w:val="center"/>
          </w:tcPr>
          <w:p w14:paraId="0EBB49BD"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7E6AA4" w:rsidRPr="00446E53" w14:paraId="3BF2E534"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C785344" w14:textId="4D8EF809" w:rsidR="007E6AA4" w:rsidRDefault="007E6AA4" w:rsidP="007157C0">
            <w:pPr>
              <w:jc w:val="center"/>
              <w:rPr>
                <w:rFonts w:ascii="Arial Narrow" w:eastAsia="Calibri" w:hAnsi="Arial Narrow"/>
                <w:sz w:val="20"/>
                <w:szCs w:val="20"/>
              </w:rPr>
            </w:pPr>
          </w:p>
        </w:tc>
        <w:tc>
          <w:tcPr>
            <w:tcW w:w="4314" w:type="pct"/>
            <w:gridSpan w:val="6"/>
            <w:vAlign w:val="center"/>
          </w:tcPr>
          <w:p w14:paraId="0F1F39A3" w14:textId="77777777" w:rsidR="007E6AA4" w:rsidRPr="00446E53" w:rsidRDefault="007E6AA4" w:rsidP="007157C0">
            <w:pPr>
              <w:rPr>
                <w:rFonts w:ascii="Arial Narrow" w:hAnsi="Arial Narrow"/>
                <w:b/>
                <w:bCs/>
                <w:color w:val="333333"/>
                <w:sz w:val="20"/>
                <w:szCs w:val="20"/>
              </w:rPr>
            </w:pPr>
            <w:r w:rsidRPr="00B60F96">
              <w:rPr>
                <w:rFonts w:ascii="Arial Narrow" w:hAnsi="Arial Narrow"/>
                <w:sz w:val="20"/>
                <w:szCs w:val="20"/>
              </w:rPr>
              <w:t>The condition must have had lesions for at least 6 months from the time of the initial diagnosis of chronic severe atopic dermatitis affecting either of: (i) the whole body, (ii) face/ha</w:t>
            </w:r>
            <w:r w:rsidRPr="00B862AD">
              <w:rPr>
                <w:rFonts w:ascii="Arial Narrow" w:hAnsi="Arial Narrow"/>
                <w:sz w:val="20"/>
                <w:szCs w:val="20"/>
              </w:rPr>
              <w:t>nds, prior to commencing non-PBS-subsidised therapy with this biological medicine</w:t>
            </w:r>
          </w:p>
        </w:tc>
      </w:tr>
      <w:tr w:rsidR="007E6AA4" w:rsidRPr="00446E53" w14:paraId="50758A07"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04FBE33"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3E40A137"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7E6AA4" w:rsidRPr="00446E53" w14:paraId="6AE61680"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83D2095" w14:textId="79EE6EBB" w:rsidR="007E6AA4" w:rsidRPr="0053667F" w:rsidRDefault="007E6AA4" w:rsidP="007157C0">
            <w:pPr>
              <w:jc w:val="center"/>
              <w:rPr>
                <w:rFonts w:ascii="Arial Narrow" w:eastAsia="Calibri" w:hAnsi="Arial Narrow"/>
                <w:sz w:val="20"/>
                <w:szCs w:val="20"/>
              </w:rPr>
            </w:pPr>
          </w:p>
        </w:tc>
        <w:tc>
          <w:tcPr>
            <w:tcW w:w="4314" w:type="pct"/>
            <w:gridSpan w:val="6"/>
            <w:vAlign w:val="center"/>
          </w:tcPr>
          <w:p w14:paraId="6C17DF80"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7E6AA4" w:rsidRPr="00446E53" w14:paraId="7DA9FA61"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7FA2703" w14:textId="5BD438E2" w:rsidR="007E6AA4" w:rsidRPr="0053667F" w:rsidRDefault="007E6AA4" w:rsidP="007157C0">
            <w:pPr>
              <w:jc w:val="center"/>
              <w:rPr>
                <w:rFonts w:ascii="Arial Narrow" w:eastAsia="Calibri" w:hAnsi="Arial Narrow"/>
                <w:sz w:val="20"/>
                <w:szCs w:val="20"/>
              </w:rPr>
            </w:pPr>
          </w:p>
        </w:tc>
        <w:tc>
          <w:tcPr>
            <w:tcW w:w="4314" w:type="pct"/>
            <w:gridSpan w:val="6"/>
          </w:tcPr>
          <w:p w14:paraId="72B750F7" w14:textId="76DE5D63" w:rsidR="007E6AA4" w:rsidRPr="00EC0A25" w:rsidRDefault="007E6AA4" w:rsidP="007157C0">
            <w:pPr>
              <w:rPr>
                <w:rFonts w:ascii="Arial Narrow" w:hAnsi="Arial Narrow"/>
                <w:b/>
                <w:bCs/>
                <w:color w:val="333333"/>
                <w:sz w:val="20"/>
                <w:szCs w:val="20"/>
              </w:rPr>
            </w:pPr>
            <w:r w:rsidRPr="00EC0A25">
              <w:rPr>
                <w:rFonts w:ascii="Arial Narrow" w:hAnsi="Arial Narrow"/>
                <w:sz w:val="20"/>
                <w:szCs w:val="20"/>
              </w:rPr>
              <w:t>Patient must have achieved an adequate response to current non-PBS-subsidised therapy with this biological medicine, if they have received at least</w:t>
            </w:r>
            <w:r w:rsidR="00FD5BBC">
              <w:rPr>
                <w:rFonts w:ascii="Arial Narrow" w:hAnsi="Arial Narrow"/>
                <w:sz w:val="20"/>
                <w:szCs w:val="20"/>
              </w:rPr>
              <w:t xml:space="preserve"> </w:t>
            </w:r>
            <w:r w:rsidRPr="00EC0A25">
              <w:rPr>
                <w:rFonts w:ascii="Arial Narrow" w:hAnsi="Arial Narrow"/>
                <w:sz w:val="20"/>
                <w:szCs w:val="20"/>
              </w:rPr>
              <w:t>16 weeks of therapy (or 24 weeks of therapy in the case of slow responders).</w:t>
            </w:r>
          </w:p>
        </w:tc>
      </w:tr>
      <w:tr w:rsidR="007E6AA4" w:rsidRPr="00446E53" w14:paraId="43F835DA"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CF755BE"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37A159A1" w14:textId="77777777" w:rsidR="007E6AA4" w:rsidRPr="00446E53" w:rsidRDefault="007E6AA4" w:rsidP="007157C0">
            <w:pPr>
              <w:rPr>
                <w:rFonts w:ascii="Arial Narrow" w:hAnsi="Arial Narrow"/>
                <w:b/>
                <w:bCs/>
                <w:color w:val="333333"/>
                <w:sz w:val="20"/>
                <w:szCs w:val="20"/>
              </w:rPr>
            </w:pPr>
            <w:r w:rsidRPr="00446E53">
              <w:rPr>
                <w:rFonts w:ascii="Arial Narrow" w:hAnsi="Arial Narrow" w:cs="Arial Narrow"/>
                <w:b/>
                <w:bCs/>
                <w:iCs/>
                <w:sz w:val="20"/>
                <w:szCs w:val="20"/>
              </w:rPr>
              <w:t>AND</w:t>
            </w:r>
          </w:p>
        </w:tc>
      </w:tr>
      <w:tr w:rsidR="007E6AA4" w:rsidRPr="00446E53" w14:paraId="18E1E34E"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2436C729" w14:textId="2989B16E" w:rsidR="007E6AA4" w:rsidRDefault="007E6AA4" w:rsidP="007157C0">
            <w:pPr>
              <w:jc w:val="center"/>
              <w:rPr>
                <w:rFonts w:ascii="Arial Narrow" w:eastAsia="Calibri" w:hAnsi="Arial Narrow"/>
                <w:sz w:val="20"/>
                <w:szCs w:val="20"/>
              </w:rPr>
            </w:pPr>
          </w:p>
        </w:tc>
        <w:tc>
          <w:tcPr>
            <w:tcW w:w="4314" w:type="pct"/>
            <w:gridSpan w:val="6"/>
          </w:tcPr>
          <w:p w14:paraId="64833700" w14:textId="77777777" w:rsidR="007E6AA4" w:rsidRPr="00446E53" w:rsidRDefault="007E6AA4" w:rsidP="007157C0">
            <w:pPr>
              <w:rPr>
                <w:rFonts w:ascii="Arial Narrow" w:hAnsi="Arial Narrow"/>
                <w:b/>
                <w:bCs/>
                <w:color w:val="333333"/>
                <w:sz w:val="20"/>
                <w:szCs w:val="20"/>
              </w:rPr>
            </w:pPr>
            <w:r w:rsidRPr="00ED50DE">
              <w:rPr>
                <w:rFonts w:ascii="Arial Narrow" w:eastAsia="Calibri" w:hAnsi="Arial Narrow"/>
                <w:b/>
                <w:bCs/>
                <w:sz w:val="20"/>
                <w:szCs w:val="20"/>
              </w:rPr>
              <w:t xml:space="preserve">Clinical </w:t>
            </w:r>
            <w:r>
              <w:rPr>
                <w:rFonts w:ascii="Arial Narrow" w:eastAsia="Calibri" w:hAnsi="Arial Narrow"/>
                <w:b/>
                <w:bCs/>
                <w:sz w:val="20"/>
                <w:szCs w:val="20"/>
              </w:rPr>
              <w:t xml:space="preserve">criteria: </w:t>
            </w:r>
          </w:p>
        </w:tc>
      </w:tr>
      <w:tr w:rsidR="007E6AA4" w:rsidRPr="00446E53" w14:paraId="3E9BD2EF"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2CD9D4D2" w14:textId="15936F3D" w:rsidR="007E6AA4" w:rsidRDefault="007E6AA4" w:rsidP="007157C0">
            <w:pPr>
              <w:jc w:val="center"/>
              <w:rPr>
                <w:rFonts w:ascii="Arial Narrow" w:eastAsia="Calibri" w:hAnsi="Arial Narrow"/>
                <w:sz w:val="20"/>
                <w:szCs w:val="20"/>
              </w:rPr>
            </w:pPr>
          </w:p>
        </w:tc>
        <w:tc>
          <w:tcPr>
            <w:tcW w:w="4314" w:type="pct"/>
            <w:gridSpan w:val="6"/>
          </w:tcPr>
          <w:p w14:paraId="3BC63995" w14:textId="77777777" w:rsidR="007E6AA4" w:rsidRPr="00446E53" w:rsidRDefault="007E6AA4" w:rsidP="007157C0">
            <w:pPr>
              <w:rPr>
                <w:rFonts w:ascii="Arial Narrow" w:hAnsi="Arial Narrow"/>
                <w:b/>
                <w:bCs/>
                <w:color w:val="333333"/>
                <w:sz w:val="20"/>
                <w:szCs w:val="20"/>
              </w:rPr>
            </w:pPr>
            <w:r w:rsidRPr="00A14516">
              <w:rPr>
                <w:rFonts w:ascii="Arial Narrow" w:eastAsia="Calibri" w:hAnsi="Arial Narrow"/>
                <w:sz w:val="20"/>
                <w:szCs w:val="20"/>
              </w:rPr>
              <w:t>The treatment must be the sole PBS-subsidised biological medicine for this PBS indication</w:t>
            </w:r>
          </w:p>
        </w:tc>
      </w:tr>
      <w:tr w:rsidR="007E6AA4" w:rsidRPr="00A14516" w14:paraId="49275F20"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AF7F170" w14:textId="178A1C2B" w:rsidR="007E6AA4" w:rsidRDefault="007E6AA4" w:rsidP="007157C0">
            <w:pPr>
              <w:jc w:val="center"/>
              <w:rPr>
                <w:rFonts w:ascii="Arial Narrow" w:hAnsi="Arial Narrow"/>
                <w:color w:val="333333"/>
                <w:sz w:val="20"/>
                <w:szCs w:val="20"/>
              </w:rPr>
            </w:pPr>
          </w:p>
        </w:tc>
        <w:tc>
          <w:tcPr>
            <w:tcW w:w="4314" w:type="pct"/>
            <w:gridSpan w:val="6"/>
          </w:tcPr>
          <w:p w14:paraId="14F654FE" w14:textId="77777777" w:rsidR="007E6AA4" w:rsidRPr="00A14516" w:rsidRDefault="007E6AA4" w:rsidP="007157C0">
            <w:pPr>
              <w:rPr>
                <w:rFonts w:ascii="Arial Narrow" w:eastAsia="Calibri" w:hAnsi="Arial Narrow"/>
                <w:sz w:val="20"/>
                <w:szCs w:val="20"/>
              </w:rPr>
            </w:pPr>
            <w:r>
              <w:rPr>
                <w:rFonts w:ascii="Arial Narrow" w:eastAsia="Calibri" w:hAnsi="Arial Narrow"/>
                <w:b/>
                <w:bCs/>
                <w:sz w:val="20"/>
                <w:szCs w:val="20"/>
              </w:rPr>
              <w:t xml:space="preserve">Treatment criteria: </w:t>
            </w:r>
          </w:p>
        </w:tc>
      </w:tr>
      <w:tr w:rsidR="007E6AA4" w:rsidRPr="00A14516" w14:paraId="1C41619E"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6793A13" w14:textId="4BF84780" w:rsidR="007E6AA4" w:rsidRDefault="007E6AA4" w:rsidP="007157C0">
            <w:pPr>
              <w:jc w:val="center"/>
              <w:rPr>
                <w:rFonts w:ascii="Arial Narrow" w:hAnsi="Arial Narrow"/>
                <w:color w:val="333333"/>
                <w:sz w:val="20"/>
                <w:szCs w:val="20"/>
              </w:rPr>
            </w:pPr>
          </w:p>
        </w:tc>
        <w:tc>
          <w:tcPr>
            <w:tcW w:w="4314" w:type="pct"/>
            <w:gridSpan w:val="6"/>
          </w:tcPr>
          <w:p w14:paraId="73B5B082" w14:textId="77777777" w:rsidR="007E6AA4" w:rsidRPr="00A14516" w:rsidRDefault="007E6AA4" w:rsidP="007157C0">
            <w:pPr>
              <w:rPr>
                <w:rFonts w:ascii="Arial Narrow" w:eastAsia="Calibri" w:hAnsi="Arial Narrow"/>
                <w:sz w:val="20"/>
                <w:szCs w:val="20"/>
              </w:rPr>
            </w:pPr>
            <w:r w:rsidRPr="00176579">
              <w:rPr>
                <w:rFonts w:ascii="Arial Narrow" w:eastAsia="Calibri" w:hAnsi="Arial Narrow"/>
                <w:sz w:val="20"/>
                <w:szCs w:val="20"/>
              </w:rPr>
              <w:t>Must be treated by a dermatologist; or</w:t>
            </w:r>
          </w:p>
        </w:tc>
      </w:tr>
      <w:tr w:rsidR="007E6AA4" w:rsidRPr="00A14516" w14:paraId="02FF3A31"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34A9D94" w14:textId="366ABB85" w:rsidR="007E6AA4" w:rsidRDefault="007E6AA4" w:rsidP="007157C0">
            <w:pPr>
              <w:jc w:val="center"/>
              <w:rPr>
                <w:rFonts w:ascii="Arial Narrow" w:hAnsi="Arial Narrow"/>
                <w:color w:val="333333"/>
                <w:sz w:val="20"/>
                <w:szCs w:val="20"/>
              </w:rPr>
            </w:pPr>
          </w:p>
        </w:tc>
        <w:tc>
          <w:tcPr>
            <w:tcW w:w="4314" w:type="pct"/>
            <w:gridSpan w:val="6"/>
          </w:tcPr>
          <w:p w14:paraId="308BEC91" w14:textId="77777777" w:rsidR="007E6AA4" w:rsidRPr="00A14516" w:rsidRDefault="007E6AA4" w:rsidP="007157C0">
            <w:pPr>
              <w:rPr>
                <w:rFonts w:ascii="Arial Narrow" w:eastAsia="Calibri" w:hAnsi="Arial Narrow"/>
                <w:sz w:val="20"/>
                <w:szCs w:val="20"/>
              </w:rPr>
            </w:pPr>
            <w:r w:rsidRPr="00176579">
              <w:rPr>
                <w:rFonts w:ascii="Arial Narrow" w:eastAsia="Calibri" w:hAnsi="Arial Narrow"/>
                <w:sz w:val="20"/>
                <w:szCs w:val="20"/>
              </w:rPr>
              <w:t>Must be treated by a clinical immunologist</w:t>
            </w:r>
          </w:p>
        </w:tc>
      </w:tr>
      <w:tr w:rsidR="007E6AA4" w:rsidRPr="00A14516" w14:paraId="1207A8C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468102B" w14:textId="400E6DD1" w:rsidR="007E6AA4" w:rsidRDefault="007E6AA4" w:rsidP="007157C0">
            <w:pPr>
              <w:jc w:val="center"/>
              <w:rPr>
                <w:rFonts w:ascii="Arial Narrow" w:hAnsi="Arial Narrow"/>
                <w:color w:val="333333"/>
                <w:sz w:val="20"/>
                <w:szCs w:val="20"/>
              </w:rPr>
            </w:pPr>
          </w:p>
        </w:tc>
        <w:tc>
          <w:tcPr>
            <w:tcW w:w="4314" w:type="pct"/>
            <w:gridSpan w:val="6"/>
            <w:vAlign w:val="center"/>
          </w:tcPr>
          <w:p w14:paraId="7740F519" w14:textId="77777777" w:rsidR="007E6AA4" w:rsidRPr="00A14516" w:rsidRDefault="007E6AA4" w:rsidP="007157C0">
            <w:pPr>
              <w:rPr>
                <w:rFonts w:ascii="Arial Narrow" w:eastAsia="Calibri" w:hAnsi="Arial Narrow"/>
                <w:sz w:val="20"/>
                <w:szCs w:val="20"/>
              </w:rPr>
            </w:pPr>
            <w:r w:rsidRPr="00446E53">
              <w:rPr>
                <w:rFonts w:ascii="Arial Narrow" w:hAnsi="Arial Narrow"/>
                <w:b/>
                <w:bCs/>
                <w:color w:val="333333"/>
                <w:sz w:val="20"/>
                <w:szCs w:val="20"/>
              </w:rPr>
              <w:t>Population criteria:</w:t>
            </w:r>
          </w:p>
        </w:tc>
      </w:tr>
      <w:tr w:rsidR="007E6AA4" w:rsidRPr="00C05175" w14:paraId="09640F40"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AE1EAE0" w14:textId="13815027" w:rsidR="007E6AA4" w:rsidRDefault="007E6AA4" w:rsidP="007157C0">
            <w:pPr>
              <w:jc w:val="center"/>
              <w:rPr>
                <w:rFonts w:ascii="Arial Narrow" w:eastAsia="Calibri" w:hAnsi="Arial Narrow"/>
                <w:sz w:val="20"/>
                <w:szCs w:val="20"/>
              </w:rPr>
            </w:pPr>
          </w:p>
        </w:tc>
        <w:tc>
          <w:tcPr>
            <w:tcW w:w="4314" w:type="pct"/>
            <w:gridSpan w:val="6"/>
            <w:vAlign w:val="center"/>
          </w:tcPr>
          <w:p w14:paraId="57FC6964" w14:textId="77777777" w:rsidR="007E6AA4" w:rsidRPr="00C05175" w:rsidRDefault="007E6AA4" w:rsidP="007157C0">
            <w:pPr>
              <w:rPr>
                <w:rFonts w:ascii="Arial Narrow" w:eastAsia="Calibri" w:hAnsi="Arial Narrow"/>
                <w:sz w:val="20"/>
                <w:szCs w:val="20"/>
              </w:rPr>
            </w:pPr>
            <w:r w:rsidRPr="00C05175">
              <w:rPr>
                <w:rFonts w:ascii="Arial Narrow" w:eastAsia="Calibri" w:hAnsi="Arial Narrow"/>
                <w:sz w:val="20"/>
                <w:szCs w:val="20"/>
              </w:rPr>
              <w:t>Patient must be 12 years of age or older</w:t>
            </w:r>
          </w:p>
        </w:tc>
      </w:tr>
      <w:tr w:rsidR="007E6AA4" w:rsidRPr="00AA6EA8" w14:paraId="68A71ABD"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EA9CFA2" w14:textId="04E90739" w:rsidR="007E6AA4" w:rsidRPr="00ED50DE" w:rsidRDefault="007E6AA4" w:rsidP="007157C0">
            <w:pPr>
              <w:jc w:val="center"/>
              <w:rPr>
                <w:rFonts w:ascii="Arial Narrow" w:hAnsi="Arial Narrow"/>
                <w:color w:val="333333"/>
                <w:sz w:val="20"/>
                <w:szCs w:val="20"/>
              </w:rPr>
            </w:pPr>
          </w:p>
        </w:tc>
        <w:tc>
          <w:tcPr>
            <w:tcW w:w="4314" w:type="pct"/>
            <w:gridSpan w:val="6"/>
            <w:vAlign w:val="center"/>
          </w:tcPr>
          <w:p w14:paraId="338F5B56" w14:textId="77777777" w:rsidR="007E6AA4" w:rsidRPr="00ED50DE" w:rsidRDefault="007E6AA4" w:rsidP="007157C0">
            <w:pPr>
              <w:rPr>
                <w:rFonts w:ascii="Arial Narrow" w:eastAsia="Calibri" w:hAnsi="Arial Narrow"/>
                <w:sz w:val="20"/>
                <w:szCs w:val="20"/>
              </w:rPr>
            </w:pPr>
            <w:r w:rsidRPr="00ED50DE">
              <w:rPr>
                <w:rFonts w:ascii="Arial Narrow" w:eastAsia="Calibri" w:hAnsi="Arial Narrow"/>
                <w:b/>
                <w:bCs/>
                <w:sz w:val="20"/>
                <w:szCs w:val="20"/>
              </w:rPr>
              <w:t>Prescribing Instructions:</w:t>
            </w:r>
          </w:p>
          <w:p w14:paraId="1DAFB1C9" w14:textId="77777777" w:rsidR="007E6AA4" w:rsidRPr="00ED50DE" w:rsidRDefault="007E6AA4" w:rsidP="007157C0">
            <w:pPr>
              <w:rPr>
                <w:rFonts w:ascii="Arial Narrow" w:eastAsia="Calibri" w:hAnsi="Arial Narrow"/>
                <w:sz w:val="20"/>
                <w:szCs w:val="20"/>
              </w:rPr>
            </w:pPr>
            <w:r w:rsidRPr="00ED50DE">
              <w:rPr>
                <w:rFonts w:ascii="Arial Narrow" w:eastAsia="Calibri" w:hAnsi="Arial Narrow"/>
                <w:sz w:val="20"/>
                <w:szCs w:val="20"/>
              </w:rPr>
              <w:t>State each of the qualifying PGA, EASI and DLQI scores in the authority application. The name/s of the medium to high potency topical corticosteroids trialled prior to commencing treatment with this biological medicine must be documented in the patient's medical records.</w:t>
            </w:r>
          </w:p>
          <w:p w14:paraId="784420B1" w14:textId="77777777" w:rsidR="007E6AA4" w:rsidRPr="00ED50DE" w:rsidRDefault="007E6AA4" w:rsidP="007157C0">
            <w:pPr>
              <w:rPr>
                <w:rFonts w:ascii="Arial Narrow" w:eastAsia="Calibri" w:hAnsi="Arial Narrow"/>
                <w:strike/>
                <w:sz w:val="20"/>
                <w:szCs w:val="20"/>
              </w:rPr>
            </w:pPr>
            <w:r w:rsidRPr="00ED50DE">
              <w:rPr>
                <w:rFonts w:ascii="Arial Narrow" w:eastAsia="Calibri" w:hAnsi="Arial Narrow"/>
                <w:sz w:val="20"/>
                <w:szCs w:val="20"/>
              </w:rPr>
              <w:t>The EASI and DLQI baseline measurements are to form the basis of determining if an adequate response to treatment has been achieved under the Continuing treatment restriction.</w:t>
            </w:r>
            <w:r>
              <w:rPr>
                <w:rFonts w:ascii="Arial Narrow" w:eastAsia="Calibri" w:hAnsi="Arial Narrow"/>
                <w:sz w:val="20"/>
                <w:szCs w:val="20"/>
              </w:rPr>
              <w:t xml:space="preserve"> </w:t>
            </w:r>
            <w:r w:rsidRPr="00C81532">
              <w:rPr>
                <w:rFonts w:ascii="Arial Narrow" w:eastAsia="Calibri" w:hAnsi="Arial Narrow"/>
                <w:sz w:val="20"/>
                <w:szCs w:val="20"/>
              </w:rPr>
              <w:t>In addition to stating them in this authority application, document them in the patient’s medical records.</w:t>
            </w:r>
          </w:p>
        </w:tc>
      </w:tr>
      <w:tr w:rsidR="007E6AA4" w:rsidRPr="00AA6EA8" w14:paraId="1C1EE8E4"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DB9A8FD" w14:textId="788B14E5" w:rsidR="007E6AA4" w:rsidRPr="00C81532" w:rsidRDefault="007E6AA4" w:rsidP="007157C0">
            <w:pPr>
              <w:jc w:val="center"/>
              <w:rPr>
                <w:rFonts w:ascii="Arial Narrow" w:hAnsi="Arial Narrow"/>
                <w:color w:val="333333"/>
                <w:sz w:val="20"/>
                <w:szCs w:val="20"/>
              </w:rPr>
            </w:pPr>
          </w:p>
        </w:tc>
        <w:tc>
          <w:tcPr>
            <w:tcW w:w="4314" w:type="pct"/>
            <w:gridSpan w:val="6"/>
            <w:vAlign w:val="center"/>
          </w:tcPr>
          <w:p w14:paraId="0694D412" w14:textId="77777777" w:rsidR="007E6AA4" w:rsidRPr="00C81532" w:rsidRDefault="007E6AA4" w:rsidP="007157C0">
            <w:pPr>
              <w:rPr>
                <w:rFonts w:ascii="Arial Narrow" w:eastAsia="Calibri" w:hAnsi="Arial Narrow"/>
                <w:sz w:val="20"/>
                <w:szCs w:val="20"/>
              </w:rPr>
            </w:pPr>
            <w:r w:rsidRPr="00C81532">
              <w:rPr>
                <w:rFonts w:ascii="Arial Narrow" w:hAnsi="Arial Narrow"/>
                <w:b/>
                <w:bCs/>
                <w:color w:val="333333"/>
                <w:sz w:val="20"/>
                <w:szCs w:val="20"/>
              </w:rPr>
              <w:t>Prescribing Instructions:</w:t>
            </w:r>
          </w:p>
          <w:p w14:paraId="16986838" w14:textId="3E4D311A" w:rsidR="007E6AA4" w:rsidRPr="00CD7B74" w:rsidRDefault="007E6AA4" w:rsidP="007157C0">
            <w:pPr>
              <w:rPr>
                <w:rFonts w:ascii="Arial Narrow" w:hAnsi="Arial Narrow"/>
                <w:strike/>
                <w:sz w:val="20"/>
                <w:szCs w:val="20"/>
              </w:rPr>
            </w:pPr>
            <w:r w:rsidRPr="00C81532">
              <w:rPr>
                <w:rFonts w:ascii="Arial Narrow" w:hAnsi="Arial Narrow"/>
                <w:sz w:val="20"/>
                <w:szCs w:val="20"/>
              </w:rPr>
              <w:t xml:space="preserve">A patient may qualify for PBS-subsidised treatment under this restriction once only. For continuing PBS-subsidised treatment, a Grandfathered patient must qualify under </w:t>
            </w:r>
            <w:r>
              <w:rPr>
                <w:rFonts w:ascii="Arial Narrow" w:hAnsi="Arial Narrow"/>
                <w:sz w:val="20"/>
                <w:szCs w:val="20"/>
              </w:rPr>
              <w:t>o</w:t>
            </w:r>
            <w:r w:rsidRPr="004F0420">
              <w:rPr>
                <w:rFonts w:ascii="Arial Narrow" w:hAnsi="Arial Narrow"/>
                <w:sz w:val="20"/>
                <w:szCs w:val="20"/>
              </w:rPr>
              <w:t xml:space="preserve">ne of the </w:t>
            </w:r>
            <w:r w:rsidRPr="00CD7B74">
              <w:rPr>
                <w:rFonts w:ascii="Arial Narrow" w:hAnsi="Arial Narrow"/>
                <w:sz w:val="20"/>
                <w:szCs w:val="20"/>
              </w:rPr>
              <w:t>following:</w:t>
            </w:r>
            <w:r w:rsidRPr="00CD7B74">
              <w:rPr>
                <w:rFonts w:ascii="Arial Narrow" w:hAnsi="Arial Narrow"/>
                <w:strike/>
                <w:sz w:val="20"/>
                <w:szCs w:val="20"/>
              </w:rPr>
              <w:t xml:space="preserve"> </w:t>
            </w:r>
          </w:p>
          <w:p w14:paraId="6FE2F03A" w14:textId="77777777" w:rsidR="007E6AA4" w:rsidRDefault="007E6AA4" w:rsidP="005C4F91">
            <w:pPr>
              <w:pStyle w:val="ListParagraph"/>
              <w:numPr>
                <w:ilvl w:val="0"/>
                <w:numId w:val="14"/>
              </w:numPr>
              <w:spacing w:after="0"/>
              <w:contextualSpacing/>
              <w:jc w:val="both"/>
              <w:rPr>
                <w:rFonts w:ascii="Arial Narrow" w:hAnsi="Arial Narrow"/>
                <w:sz w:val="20"/>
                <w:szCs w:val="20"/>
              </w:rPr>
            </w:pPr>
            <w:r w:rsidRPr="00CD7B74">
              <w:rPr>
                <w:rFonts w:ascii="Arial Narrow" w:hAnsi="Arial Narrow"/>
                <w:sz w:val="20"/>
                <w:szCs w:val="20"/>
              </w:rPr>
              <w:t xml:space="preserve">Continuing treatment, where there has been an adequate response to treatment </w:t>
            </w:r>
          </w:p>
          <w:p w14:paraId="7026D0A3" w14:textId="014A42B6" w:rsidR="00CD7B74" w:rsidRPr="00CD7B74" w:rsidRDefault="007E6AA4" w:rsidP="005C4F91">
            <w:pPr>
              <w:pStyle w:val="ListParagraph"/>
              <w:numPr>
                <w:ilvl w:val="0"/>
                <w:numId w:val="14"/>
              </w:numPr>
              <w:spacing w:after="0"/>
              <w:contextualSpacing/>
              <w:jc w:val="both"/>
              <w:rPr>
                <w:rFonts w:ascii="Arial Narrow" w:hAnsi="Arial Narrow"/>
                <w:i/>
                <w:iCs/>
                <w:sz w:val="20"/>
                <w:szCs w:val="20"/>
              </w:rPr>
            </w:pPr>
            <w:r w:rsidRPr="00CD7B74">
              <w:rPr>
                <w:rFonts w:ascii="Arial Narrow" w:eastAsia="Calibri" w:hAnsi="Arial Narrow"/>
                <w:sz w:val="20"/>
                <w:szCs w:val="20"/>
              </w:rPr>
              <w:t>Extended induction treatment (up to a further 8 weeks of therapy), where the patient has received 16 weeks of therapy, achieved a partial response and the prescriber considers that extended induction doses could result in achieving adequate response.</w:t>
            </w:r>
          </w:p>
        </w:tc>
      </w:tr>
      <w:tr w:rsidR="007E6AA4" w:rsidRPr="00AA6EA8" w14:paraId="639D0D39"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8D9270D" w14:textId="012F6DFA" w:rsidR="007E6AA4" w:rsidRDefault="007E6AA4" w:rsidP="007157C0">
            <w:pPr>
              <w:jc w:val="center"/>
              <w:rPr>
                <w:rFonts w:ascii="Arial Narrow" w:hAnsi="Arial Narrow"/>
                <w:color w:val="333333"/>
                <w:sz w:val="20"/>
                <w:szCs w:val="20"/>
              </w:rPr>
            </w:pPr>
          </w:p>
        </w:tc>
        <w:tc>
          <w:tcPr>
            <w:tcW w:w="4314" w:type="pct"/>
            <w:gridSpan w:val="6"/>
            <w:vAlign w:val="center"/>
          </w:tcPr>
          <w:p w14:paraId="6DBC0EB6" w14:textId="77777777" w:rsidR="007E6AA4" w:rsidRPr="00C81532" w:rsidRDefault="007E6AA4" w:rsidP="007157C0">
            <w:pPr>
              <w:rPr>
                <w:rFonts w:ascii="Arial Narrow" w:eastAsia="Calibri" w:hAnsi="Arial Narrow"/>
                <w:sz w:val="20"/>
                <w:szCs w:val="20"/>
              </w:rPr>
            </w:pPr>
            <w:r w:rsidRPr="00C81532">
              <w:rPr>
                <w:rFonts w:ascii="Arial Narrow" w:hAnsi="Arial Narrow"/>
                <w:b/>
                <w:bCs/>
                <w:color w:val="333333"/>
                <w:sz w:val="20"/>
                <w:szCs w:val="20"/>
              </w:rPr>
              <w:t>Prescribing Instructions:</w:t>
            </w:r>
          </w:p>
          <w:p w14:paraId="628D5905" w14:textId="77777777" w:rsidR="007E6AA4" w:rsidRPr="00C81532" w:rsidRDefault="007E6AA4" w:rsidP="007157C0">
            <w:pPr>
              <w:rPr>
                <w:rFonts w:ascii="Arial Narrow" w:eastAsia="Calibri" w:hAnsi="Arial Narrow"/>
                <w:strike/>
                <w:sz w:val="20"/>
                <w:szCs w:val="20"/>
              </w:rPr>
            </w:pPr>
            <w:r w:rsidRPr="00C81532">
              <w:rPr>
                <w:rFonts w:ascii="Arial Narrow" w:eastAsia="Calibri" w:hAnsi="Arial Narrow"/>
                <w:sz w:val="20"/>
                <w:szCs w:val="20"/>
              </w:rPr>
              <w:t>This grandfather restriction will cease to operate from 12 months after the date specified in the clinical criteria.</w:t>
            </w:r>
          </w:p>
        </w:tc>
      </w:tr>
      <w:tr w:rsidR="007E6AA4" w:rsidRPr="00446E53" w14:paraId="38C8F79C" w14:textId="77777777" w:rsidTr="00807021">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1B113FF1" w14:textId="77777777" w:rsidR="007E6AA4" w:rsidRDefault="007E6AA4" w:rsidP="007157C0">
            <w:pPr>
              <w:rPr>
                <w:rFonts w:ascii="Arial Narrow" w:hAnsi="Arial Narrow"/>
                <w:bCs/>
                <w:color w:val="FF0000"/>
                <w:sz w:val="20"/>
                <w:szCs w:val="20"/>
              </w:rPr>
            </w:pPr>
          </w:p>
          <w:p w14:paraId="7FCEBA2B" w14:textId="77777777" w:rsidR="007E6AA4" w:rsidRPr="00446E53" w:rsidRDefault="007E6AA4" w:rsidP="007157C0">
            <w:pPr>
              <w:rPr>
                <w:rFonts w:ascii="Arial Narrow" w:hAnsi="Arial Narrow"/>
                <w:bCs/>
                <w:color w:val="FF0000"/>
                <w:sz w:val="20"/>
                <w:szCs w:val="20"/>
              </w:rPr>
            </w:pPr>
          </w:p>
        </w:tc>
      </w:tr>
      <w:tr w:rsidR="007E6AA4" w:rsidRPr="00446E53" w14:paraId="6E6915AB" w14:textId="77777777" w:rsidTr="00807021">
        <w:tblPrEx>
          <w:tblCellMar>
            <w:top w:w="15" w:type="dxa"/>
            <w:bottom w:w="15" w:type="dxa"/>
          </w:tblCellMar>
          <w:tblLook w:val="04A0" w:firstRow="1" w:lastRow="0" w:firstColumn="1" w:lastColumn="0" w:noHBand="0" w:noVBand="1"/>
        </w:tblPrEx>
        <w:trPr>
          <w:cantSplit/>
          <w:trHeight w:val="20"/>
        </w:trPr>
        <w:tc>
          <w:tcPr>
            <w:tcW w:w="686" w:type="pct"/>
            <w:shd w:val="clear" w:color="auto" w:fill="D9D9D9" w:themeFill="background1" w:themeFillShade="D9"/>
          </w:tcPr>
          <w:p w14:paraId="10CFFC68" w14:textId="77777777" w:rsidR="007E6AA4" w:rsidRDefault="007E6AA4" w:rsidP="007157C0">
            <w:pPr>
              <w:jc w:val="center"/>
              <w:rPr>
                <w:rFonts w:ascii="Arial Narrow" w:eastAsia="Calibri" w:hAnsi="Arial Narrow"/>
                <w:sz w:val="20"/>
                <w:szCs w:val="20"/>
              </w:rPr>
            </w:pPr>
          </w:p>
        </w:tc>
        <w:tc>
          <w:tcPr>
            <w:tcW w:w="4314" w:type="pct"/>
            <w:gridSpan w:val="6"/>
            <w:shd w:val="clear" w:color="auto" w:fill="D9D9D9" w:themeFill="background1" w:themeFillShade="D9"/>
            <w:vAlign w:val="center"/>
          </w:tcPr>
          <w:p w14:paraId="1612E85E"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7</w:t>
            </w:r>
            <w:r w:rsidRPr="00446E53">
              <w:rPr>
                <w:rFonts w:ascii="Arial Narrow" w:hAnsi="Arial Narrow"/>
                <w:b/>
                <w:bCs/>
                <w:color w:val="333333"/>
                <w:sz w:val="20"/>
                <w:szCs w:val="20"/>
              </w:rPr>
              <w:t>]</w:t>
            </w:r>
            <w:r w:rsidRPr="00446E53">
              <w:rPr>
                <w:rFonts w:ascii="Arial Narrow" w:hAnsi="Arial Narrow"/>
                <w:b/>
                <w:bCs/>
                <w:color w:val="FF0000"/>
                <w:sz w:val="20"/>
                <w:szCs w:val="20"/>
              </w:rPr>
              <w:t xml:space="preserve"> </w:t>
            </w:r>
            <w:r w:rsidRPr="00446E53">
              <w:rPr>
                <w:rFonts w:ascii="Arial Narrow" w:hAnsi="Arial Narrow"/>
                <w:b/>
                <w:bCs/>
                <w:color w:val="333333"/>
                <w:sz w:val="20"/>
                <w:szCs w:val="20"/>
              </w:rPr>
              <w:t>/ Treatment of Concept: [new</w:t>
            </w:r>
            <w:r>
              <w:rPr>
                <w:rFonts w:ascii="Arial Narrow" w:hAnsi="Arial Narrow"/>
                <w:b/>
                <w:bCs/>
                <w:color w:val="333333"/>
                <w:sz w:val="20"/>
                <w:szCs w:val="20"/>
              </w:rPr>
              <w:t>7A</w:t>
            </w:r>
            <w:r w:rsidRPr="00446E53">
              <w:rPr>
                <w:rFonts w:ascii="Arial Narrow" w:hAnsi="Arial Narrow"/>
                <w:b/>
                <w:bCs/>
                <w:color w:val="333333"/>
                <w:sz w:val="20"/>
                <w:szCs w:val="20"/>
              </w:rPr>
              <w:t>]</w:t>
            </w:r>
          </w:p>
        </w:tc>
      </w:tr>
      <w:tr w:rsidR="007E6AA4" w:rsidRPr="00446E53" w14:paraId="4CF87EAD"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07131D0" w14:textId="0C043ECE" w:rsidR="007E6AA4" w:rsidRDefault="007E6AA4" w:rsidP="007157C0">
            <w:pPr>
              <w:jc w:val="center"/>
              <w:rPr>
                <w:rFonts w:ascii="Arial Narrow" w:eastAsia="Calibri" w:hAnsi="Arial Narrow"/>
                <w:sz w:val="20"/>
                <w:szCs w:val="20"/>
              </w:rPr>
            </w:pPr>
          </w:p>
        </w:tc>
        <w:tc>
          <w:tcPr>
            <w:tcW w:w="4314" w:type="pct"/>
            <w:gridSpan w:val="6"/>
            <w:vAlign w:val="center"/>
          </w:tcPr>
          <w:p w14:paraId="2190D999" w14:textId="77777777" w:rsidR="007E6AA4" w:rsidRPr="00446E53" w:rsidRDefault="007E6AA4" w:rsidP="007157C0">
            <w:pPr>
              <w:rPr>
                <w:rFonts w:ascii="Arial Narrow" w:hAnsi="Arial Narrow"/>
                <w:b/>
                <w:bCs/>
                <w:color w:val="333333"/>
                <w:sz w:val="20"/>
                <w:szCs w:val="20"/>
              </w:rPr>
            </w:pPr>
            <w:r w:rsidRPr="0069367A">
              <w:rPr>
                <w:rFonts w:ascii="Arial Narrow" w:hAnsi="Arial Narrow"/>
                <w:b/>
                <w:bCs/>
                <w:sz w:val="20"/>
                <w:szCs w:val="20"/>
              </w:rPr>
              <w:t>Indication:</w:t>
            </w:r>
            <w:r w:rsidRPr="0069367A">
              <w:rPr>
                <w:rFonts w:ascii="Arial Narrow" w:hAnsi="Arial Narrow"/>
                <w:sz w:val="20"/>
                <w:szCs w:val="20"/>
              </w:rPr>
              <w:t xml:space="preserve"> Chronic severe atopic dermatitis </w:t>
            </w:r>
          </w:p>
        </w:tc>
      </w:tr>
      <w:tr w:rsidR="007E6AA4" w:rsidRPr="00446E53" w14:paraId="70E8493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420803F"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1DE4E314" w14:textId="77893FDF" w:rsidR="007E6AA4" w:rsidRPr="00446E53" w:rsidRDefault="007E6AA4" w:rsidP="007157C0">
            <w:pPr>
              <w:rPr>
                <w:rFonts w:ascii="Arial Narrow" w:hAnsi="Arial Narrow"/>
                <w:b/>
                <w:bCs/>
                <w:color w:val="333333"/>
                <w:sz w:val="20"/>
                <w:szCs w:val="20"/>
              </w:rPr>
            </w:pPr>
            <w:r w:rsidRPr="009122C5">
              <w:rPr>
                <w:rFonts w:ascii="Arial Narrow" w:hAnsi="Arial Narrow"/>
                <w:b/>
                <w:bCs/>
                <w:sz w:val="20"/>
                <w:szCs w:val="20"/>
              </w:rPr>
              <w:t>Treatment Phase:</w:t>
            </w:r>
            <w:r w:rsidRPr="009122C5">
              <w:rPr>
                <w:rFonts w:ascii="Arial Narrow" w:hAnsi="Arial Narrow"/>
                <w:sz w:val="20"/>
                <w:szCs w:val="20"/>
              </w:rPr>
              <w:t xml:space="preserve"> Transitioning from non-PBS to PBS-subsidised </w:t>
            </w:r>
            <w:r w:rsidRPr="00CD7B74">
              <w:rPr>
                <w:rFonts w:ascii="Arial Narrow" w:hAnsi="Arial Narrow"/>
                <w:sz w:val="20"/>
                <w:szCs w:val="20"/>
              </w:rPr>
              <w:t>treatment</w:t>
            </w:r>
            <w:r w:rsidRPr="009122C5">
              <w:rPr>
                <w:rFonts w:ascii="Arial Narrow" w:hAnsi="Arial Narrow"/>
                <w:i/>
                <w:iCs/>
                <w:sz w:val="20"/>
                <w:szCs w:val="20"/>
              </w:rPr>
              <w:t xml:space="preserve"> </w:t>
            </w:r>
            <w:r w:rsidRPr="009122C5">
              <w:rPr>
                <w:rFonts w:ascii="Arial Narrow" w:hAnsi="Arial Narrow"/>
                <w:sz w:val="20"/>
                <w:szCs w:val="20"/>
              </w:rPr>
              <w:t>– ‘Grandfather’</w:t>
            </w:r>
            <w:r w:rsidRPr="009122C5">
              <w:rPr>
                <w:rFonts w:ascii="Arial Narrow" w:hAnsi="Arial Narrow"/>
                <w:i/>
                <w:iCs/>
                <w:sz w:val="20"/>
                <w:szCs w:val="20"/>
              </w:rPr>
              <w:t xml:space="preserve"> </w:t>
            </w:r>
            <w:r w:rsidRPr="009122C5">
              <w:rPr>
                <w:rFonts w:ascii="Arial Narrow" w:hAnsi="Arial Narrow"/>
                <w:sz w:val="20"/>
                <w:szCs w:val="20"/>
              </w:rPr>
              <w:t>arrangements</w:t>
            </w:r>
            <w:r w:rsidRPr="009122C5">
              <w:rPr>
                <w:rFonts w:ascii="Arial Narrow" w:hAnsi="Arial Narrow"/>
                <w:i/>
                <w:iCs/>
                <w:sz w:val="20"/>
                <w:szCs w:val="20"/>
              </w:rPr>
              <w:t xml:space="preserve"> </w:t>
            </w:r>
            <w:r w:rsidRPr="00CD7B74">
              <w:rPr>
                <w:rFonts w:ascii="Arial Narrow" w:hAnsi="Arial Narrow"/>
                <w:sz w:val="20"/>
                <w:szCs w:val="20"/>
              </w:rPr>
              <w:t xml:space="preserve">(face and/or hands) </w:t>
            </w:r>
          </w:p>
        </w:tc>
      </w:tr>
      <w:tr w:rsidR="007E6AA4" w:rsidRPr="00446E53" w14:paraId="2425D137"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A4D7962" w14:textId="29B2F38D" w:rsidR="007E6AA4" w:rsidRDefault="007E6AA4" w:rsidP="007157C0">
            <w:pPr>
              <w:jc w:val="center"/>
              <w:rPr>
                <w:rFonts w:ascii="Arial Narrow" w:eastAsia="Calibri" w:hAnsi="Arial Narrow"/>
                <w:sz w:val="20"/>
                <w:szCs w:val="20"/>
              </w:rPr>
            </w:pPr>
          </w:p>
        </w:tc>
        <w:tc>
          <w:tcPr>
            <w:tcW w:w="4314" w:type="pct"/>
            <w:gridSpan w:val="6"/>
            <w:vAlign w:val="center"/>
          </w:tcPr>
          <w:p w14:paraId="29365349" w14:textId="77777777" w:rsidR="007E6AA4" w:rsidRPr="002229D5" w:rsidRDefault="007E6AA4" w:rsidP="007157C0">
            <w:pPr>
              <w:rPr>
                <w:rFonts w:ascii="Arial Narrow" w:hAnsi="Arial Narrow"/>
                <w:b/>
                <w:bCs/>
                <w:color w:val="333333"/>
                <w:sz w:val="20"/>
                <w:szCs w:val="20"/>
              </w:rPr>
            </w:pPr>
            <w:r w:rsidRPr="002229D5">
              <w:rPr>
                <w:rFonts w:ascii="Arial Narrow" w:hAnsi="Arial Narrow"/>
                <w:b/>
                <w:bCs/>
                <w:color w:val="333333"/>
                <w:sz w:val="20"/>
                <w:szCs w:val="20"/>
              </w:rPr>
              <w:t xml:space="preserve">Clinical criteria: </w:t>
            </w:r>
          </w:p>
        </w:tc>
      </w:tr>
      <w:tr w:rsidR="007E6AA4" w:rsidRPr="00446E53" w14:paraId="676C6B68"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9D7FF93" w14:textId="761923D2" w:rsidR="007E6AA4" w:rsidRDefault="007E6AA4" w:rsidP="007157C0">
            <w:pPr>
              <w:jc w:val="center"/>
              <w:rPr>
                <w:rFonts w:ascii="Arial Narrow" w:eastAsia="Calibri" w:hAnsi="Arial Narrow"/>
                <w:sz w:val="20"/>
                <w:szCs w:val="20"/>
              </w:rPr>
            </w:pPr>
          </w:p>
        </w:tc>
        <w:tc>
          <w:tcPr>
            <w:tcW w:w="4314" w:type="pct"/>
            <w:gridSpan w:val="6"/>
          </w:tcPr>
          <w:p w14:paraId="4E748703" w14:textId="77777777" w:rsidR="007E6AA4" w:rsidRPr="002229D5" w:rsidRDefault="007E6AA4" w:rsidP="007157C0">
            <w:pPr>
              <w:rPr>
                <w:rFonts w:ascii="Arial Narrow" w:hAnsi="Arial Narrow"/>
                <w:b/>
                <w:bCs/>
                <w:color w:val="333333"/>
                <w:sz w:val="20"/>
                <w:szCs w:val="20"/>
              </w:rPr>
            </w:pPr>
            <w:r w:rsidRPr="002229D5">
              <w:rPr>
                <w:rFonts w:ascii="Arial Narrow" w:hAnsi="Arial Narrow" w:cs="Segoe UI"/>
                <w:sz w:val="20"/>
                <w:szCs w:val="20"/>
              </w:rPr>
              <w:t>Patient must have been receiving non-PBS-subsidised treatment with this drug for this condition prior to [date of listing]</w:t>
            </w:r>
          </w:p>
        </w:tc>
      </w:tr>
      <w:tr w:rsidR="007E6AA4" w:rsidRPr="00446E53" w14:paraId="7AA857F7"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5617582"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46E5D850"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7E6AA4" w:rsidRPr="00446E53" w14:paraId="2495068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274395F1" w14:textId="754348F3" w:rsidR="007E6AA4" w:rsidRDefault="007E6AA4" w:rsidP="007157C0">
            <w:pPr>
              <w:jc w:val="center"/>
              <w:rPr>
                <w:rFonts w:ascii="Arial Narrow" w:eastAsia="Calibri" w:hAnsi="Arial Narrow"/>
                <w:sz w:val="20"/>
                <w:szCs w:val="20"/>
              </w:rPr>
            </w:pPr>
          </w:p>
        </w:tc>
        <w:tc>
          <w:tcPr>
            <w:tcW w:w="4314" w:type="pct"/>
            <w:gridSpan w:val="6"/>
            <w:vAlign w:val="center"/>
          </w:tcPr>
          <w:p w14:paraId="66DC1817"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7E6AA4" w:rsidRPr="00446E53" w14:paraId="2BD116DD"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427DFD5" w14:textId="7365D38F" w:rsidR="007E6AA4" w:rsidRDefault="007E6AA4" w:rsidP="007157C0">
            <w:pPr>
              <w:jc w:val="center"/>
              <w:rPr>
                <w:rFonts w:ascii="Arial Narrow" w:eastAsia="Calibri" w:hAnsi="Arial Narrow"/>
                <w:sz w:val="20"/>
                <w:szCs w:val="20"/>
              </w:rPr>
            </w:pPr>
          </w:p>
        </w:tc>
        <w:tc>
          <w:tcPr>
            <w:tcW w:w="4314" w:type="pct"/>
            <w:gridSpan w:val="6"/>
            <w:vAlign w:val="center"/>
          </w:tcPr>
          <w:p w14:paraId="08C294BF" w14:textId="77777777" w:rsidR="007E6AA4" w:rsidRPr="00446E53" w:rsidRDefault="007E6AA4" w:rsidP="007157C0">
            <w:pPr>
              <w:rPr>
                <w:rFonts w:ascii="Arial Narrow" w:hAnsi="Arial Narrow"/>
                <w:b/>
                <w:bCs/>
                <w:color w:val="333333"/>
                <w:sz w:val="20"/>
                <w:szCs w:val="20"/>
              </w:rPr>
            </w:pPr>
            <w:r w:rsidRPr="00724459">
              <w:rPr>
                <w:rFonts w:ascii="Arial Narrow" w:hAnsi="Arial Narrow"/>
                <w:sz w:val="20"/>
                <w:szCs w:val="20"/>
              </w:rPr>
              <w:t xml:space="preserve">The condition must have had at least 2 of the following Eczema Area and Severity Index (EASI) symptom sub-scores for erythema, oedema/papulation, excoriation, </w:t>
            </w:r>
            <w:proofErr w:type="spellStart"/>
            <w:r w:rsidRPr="00724459">
              <w:rPr>
                <w:rFonts w:ascii="Arial Narrow" w:hAnsi="Arial Narrow"/>
                <w:sz w:val="20"/>
                <w:szCs w:val="20"/>
              </w:rPr>
              <w:t>lichenification</w:t>
            </w:r>
            <w:proofErr w:type="spellEnd"/>
            <w:r w:rsidRPr="00724459">
              <w:rPr>
                <w:rFonts w:ascii="Arial Narrow" w:hAnsi="Arial Narrow"/>
                <w:sz w:val="20"/>
                <w:szCs w:val="20"/>
              </w:rPr>
              <w:t xml:space="preserve"> rated as severe despite treatment with daily topical therapy (corticosteroid of medium to high potency/calcineurin inhibitor), for at least 28 days, prior to commencing non-PBS-subsidised therapy with this biological medicine; or</w:t>
            </w:r>
          </w:p>
        </w:tc>
      </w:tr>
      <w:tr w:rsidR="007E6AA4" w:rsidRPr="00446E53" w14:paraId="3F4655EB"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F66EDF6" w14:textId="4F0EF833" w:rsidR="007E6AA4" w:rsidRDefault="007E6AA4" w:rsidP="007157C0">
            <w:pPr>
              <w:jc w:val="center"/>
              <w:rPr>
                <w:rFonts w:ascii="Arial Narrow" w:eastAsia="Calibri" w:hAnsi="Arial Narrow"/>
                <w:sz w:val="20"/>
                <w:szCs w:val="20"/>
              </w:rPr>
            </w:pPr>
          </w:p>
        </w:tc>
        <w:tc>
          <w:tcPr>
            <w:tcW w:w="4314" w:type="pct"/>
            <w:gridSpan w:val="6"/>
            <w:vAlign w:val="center"/>
          </w:tcPr>
          <w:p w14:paraId="7AC3A964" w14:textId="77777777" w:rsidR="007E6AA4" w:rsidRPr="00446E53" w:rsidRDefault="007E6AA4" w:rsidP="007157C0">
            <w:pPr>
              <w:rPr>
                <w:rFonts w:ascii="Arial Narrow" w:hAnsi="Arial Narrow"/>
                <w:b/>
                <w:bCs/>
                <w:color w:val="333333"/>
                <w:sz w:val="20"/>
                <w:szCs w:val="20"/>
              </w:rPr>
            </w:pPr>
            <w:r w:rsidRPr="006F61A4">
              <w:rPr>
                <w:rFonts w:ascii="Arial Narrow" w:hAnsi="Arial Narrow"/>
                <w:sz w:val="20"/>
                <w:szCs w:val="20"/>
              </w:rPr>
              <w:t>The condition must have affected at least 30% of the face/hands surface area despite treatment with daily topical therapy (corticosteroid of medium to high potency/calcineurin inhibitor), for at least 28 days, prior to commencing non-PBS-subsidised therapy with this biological medicine</w:t>
            </w:r>
          </w:p>
        </w:tc>
      </w:tr>
      <w:tr w:rsidR="007E6AA4" w:rsidRPr="00446E53" w14:paraId="52A2D3D4"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85AE421"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21EE6B9B"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7E6AA4" w:rsidRPr="00446E53" w14:paraId="0F08B697"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BA54089" w14:textId="295B4326" w:rsidR="007E6AA4" w:rsidRDefault="007E6AA4" w:rsidP="007157C0">
            <w:pPr>
              <w:jc w:val="center"/>
              <w:rPr>
                <w:rFonts w:ascii="Arial Narrow" w:eastAsia="Calibri" w:hAnsi="Arial Narrow"/>
                <w:sz w:val="20"/>
                <w:szCs w:val="20"/>
              </w:rPr>
            </w:pPr>
          </w:p>
        </w:tc>
        <w:tc>
          <w:tcPr>
            <w:tcW w:w="4314" w:type="pct"/>
            <w:gridSpan w:val="6"/>
            <w:vAlign w:val="center"/>
          </w:tcPr>
          <w:p w14:paraId="1DA99D6A"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7E6AA4" w:rsidRPr="00446E53" w14:paraId="4627E66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C51727B" w14:textId="5B832A1A" w:rsidR="007E6AA4" w:rsidRDefault="007E6AA4" w:rsidP="007157C0">
            <w:pPr>
              <w:jc w:val="center"/>
              <w:rPr>
                <w:rFonts w:ascii="Arial Narrow" w:eastAsia="Calibri" w:hAnsi="Arial Narrow"/>
                <w:sz w:val="20"/>
                <w:szCs w:val="20"/>
              </w:rPr>
            </w:pPr>
          </w:p>
        </w:tc>
        <w:tc>
          <w:tcPr>
            <w:tcW w:w="4314" w:type="pct"/>
            <w:gridSpan w:val="6"/>
            <w:vAlign w:val="center"/>
          </w:tcPr>
          <w:p w14:paraId="3BA1B84B" w14:textId="77777777" w:rsidR="007E6AA4" w:rsidRPr="00446E53" w:rsidRDefault="007E6AA4" w:rsidP="007157C0">
            <w:pPr>
              <w:rPr>
                <w:rFonts w:ascii="Arial Narrow" w:hAnsi="Arial Narrow"/>
                <w:b/>
                <w:bCs/>
                <w:color w:val="333333"/>
                <w:sz w:val="20"/>
                <w:szCs w:val="20"/>
              </w:rPr>
            </w:pPr>
            <w:r w:rsidRPr="00E47F3C">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 prior to commencing non-PBS-subsidised therapy with this biological medicine; or</w:t>
            </w:r>
          </w:p>
        </w:tc>
      </w:tr>
      <w:tr w:rsidR="007E6AA4" w:rsidRPr="00446E53" w14:paraId="004BBF8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3BE7FAB" w14:textId="1B8414A8" w:rsidR="007E6AA4" w:rsidRDefault="007E6AA4" w:rsidP="007157C0">
            <w:pPr>
              <w:jc w:val="center"/>
              <w:rPr>
                <w:rFonts w:ascii="Arial Narrow" w:eastAsia="Calibri" w:hAnsi="Arial Narrow"/>
                <w:sz w:val="20"/>
                <w:szCs w:val="20"/>
              </w:rPr>
            </w:pPr>
          </w:p>
        </w:tc>
        <w:tc>
          <w:tcPr>
            <w:tcW w:w="4314" w:type="pct"/>
            <w:gridSpan w:val="6"/>
            <w:vAlign w:val="center"/>
          </w:tcPr>
          <w:p w14:paraId="3E3487D5" w14:textId="77777777" w:rsidR="007E6AA4" w:rsidRPr="00446E53" w:rsidRDefault="007E6AA4" w:rsidP="007157C0">
            <w:pPr>
              <w:rPr>
                <w:rFonts w:ascii="Arial Narrow" w:hAnsi="Arial Narrow"/>
                <w:b/>
                <w:bCs/>
                <w:color w:val="333333"/>
                <w:sz w:val="20"/>
                <w:szCs w:val="20"/>
              </w:rPr>
            </w:pPr>
            <w:r w:rsidRPr="00E47F3C">
              <w:rPr>
                <w:rFonts w:ascii="Arial Narrow" w:hAnsi="Arial Narrow"/>
                <w:sz w:val="20"/>
                <w:szCs w:val="20"/>
              </w:rPr>
              <w:t>Patient must have, where the above baseline DLQI was not recorded in the patient's medical records, a current age-appropriate DLQI score (of any value) measured</w:t>
            </w:r>
          </w:p>
        </w:tc>
      </w:tr>
      <w:tr w:rsidR="007E6AA4" w:rsidRPr="00446E53" w14:paraId="71023DDC"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4FEC2DA"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6C862339"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7E6AA4" w:rsidRPr="00446E53" w14:paraId="49F1EC0A"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7E0C205F" w14:textId="07D613BD" w:rsidR="007E6AA4" w:rsidRDefault="007E6AA4" w:rsidP="007157C0">
            <w:pPr>
              <w:jc w:val="center"/>
              <w:rPr>
                <w:rFonts w:ascii="Arial Narrow" w:eastAsia="Calibri" w:hAnsi="Arial Narrow"/>
                <w:sz w:val="20"/>
                <w:szCs w:val="20"/>
              </w:rPr>
            </w:pPr>
          </w:p>
        </w:tc>
        <w:tc>
          <w:tcPr>
            <w:tcW w:w="4314" w:type="pct"/>
            <w:gridSpan w:val="6"/>
            <w:vAlign w:val="center"/>
          </w:tcPr>
          <w:p w14:paraId="3242DBAB"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7E6AA4" w:rsidRPr="00446E53" w14:paraId="5098AA2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0F908F5" w14:textId="48FA6F1D" w:rsidR="007E6AA4" w:rsidRDefault="007E6AA4" w:rsidP="007157C0">
            <w:pPr>
              <w:jc w:val="center"/>
              <w:rPr>
                <w:rFonts w:ascii="Arial Narrow" w:eastAsia="Calibri" w:hAnsi="Arial Narrow"/>
                <w:sz w:val="20"/>
                <w:szCs w:val="20"/>
              </w:rPr>
            </w:pPr>
          </w:p>
        </w:tc>
        <w:tc>
          <w:tcPr>
            <w:tcW w:w="4314" w:type="pct"/>
            <w:gridSpan w:val="6"/>
            <w:vAlign w:val="center"/>
          </w:tcPr>
          <w:p w14:paraId="4CD98A3A" w14:textId="77777777" w:rsidR="007E6AA4" w:rsidRPr="00446E53" w:rsidRDefault="007E6AA4" w:rsidP="007157C0">
            <w:pPr>
              <w:rPr>
                <w:rFonts w:ascii="Arial Narrow" w:hAnsi="Arial Narrow"/>
                <w:b/>
                <w:bCs/>
                <w:color w:val="333333"/>
                <w:sz w:val="20"/>
                <w:szCs w:val="20"/>
              </w:rPr>
            </w:pPr>
            <w:r w:rsidRPr="00766355">
              <w:rPr>
                <w:rFonts w:ascii="Arial Narrow" w:hAnsi="Arial Narrow"/>
                <w:sz w:val="20"/>
                <w:szCs w:val="20"/>
              </w:rPr>
              <w:t>The condition must have had lesions for at least 6 months from the time of the initial diagnosis of chronic severe atopic dermatitis affecting either of: (i) the whole body, (ii) face/</w:t>
            </w:r>
            <w:r w:rsidRPr="008D5966">
              <w:rPr>
                <w:rFonts w:ascii="Arial Narrow" w:hAnsi="Arial Narrow"/>
                <w:sz w:val="20"/>
                <w:szCs w:val="20"/>
              </w:rPr>
              <w:t>hands, prior to commencing non-PBS-subsidised therapy with this biological medicine</w:t>
            </w:r>
          </w:p>
        </w:tc>
      </w:tr>
      <w:tr w:rsidR="007E6AA4" w:rsidRPr="00446E53" w14:paraId="26420CA7"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BC3DD1B"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740606DC"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7E6AA4" w:rsidRPr="00446E53" w14:paraId="3C8CDF2D"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EEC1758" w14:textId="718A4B79" w:rsidR="007E6AA4" w:rsidRDefault="007E6AA4" w:rsidP="007157C0">
            <w:pPr>
              <w:jc w:val="center"/>
              <w:rPr>
                <w:rFonts w:ascii="Arial Narrow" w:eastAsia="Calibri" w:hAnsi="Arial Narrow"/>
                <w:sz w:val="20"/>
                <w:szCs w:val="20"/>
              </w:rPr>
            </w:pPr>
          </w:p>
        </w:tc>
        <w:tc>
          <w:tcPr>
            <w:tcW w:w="4314" w:type="pct"/>
            <w:gridSpan w:val="6"/>
            <w:vAlign w:val="center"/>
          </w:tcPr>
          <w:p w14:paraId="5248590B"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7E6AA4" w:rsidRPr="00446E53" w14:paraId="46B9CFC3"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35A9592" w14:textId="161F59AA" w:rsidR="007E6AA4" w:rsidRDefault="007E6AA4" w:rsidP="007157C0">
            <w:pPr>
              <w:jc w:val="center"/>
              <w:rPr>
                <w:rFonts w:ascii="Arial Narrow" w:eastAsia="Calibri" w:hAnsi="Arial Narrow"/>
                <w:sz w:val="20"/>
                <w:szCs w:val="20"/>
              </w:rPr>
            </w:pPr>
          </w:p>
        </w:tc>
        <w:tc>
          <w:tcPr>
            <w:tcW w:w="4314" w:type="pct"/>
            <w:gridSpan w:val="6"/>
          </w:tcPr>
          <w:p w14:paraId="4528BBCF" w14:textId="77777777" w:rsidR="007E6AA4" w:rsidRPr="00446E53" w:rsidRDefault="007E6AA4" w:rsidP="007157C0">
            <w:pPr>
              <w:rPr>
                <w:rFonts w:ascii="Arial Narrow" w:hAnsi="Arial Narrow"/>
                <w:b/>
                <w:bCs/>
                <w:color w:val="333333"/>
                <w:sz w:val="20"/>
                <w:szCs w:val="20"/>
              </w:rPr>
            </w:pPr>
            <w:r w:rsidRPr="00B02B1D">
              <w:rPr>
                <w:rFonts w:ascii="Arial Narrow" w:hAnsi="Arial Narrow"/>
                <w:sz w:val="20"/>
                <w:szCs w:val="20"/>
              </w:rPr>
              <w:t>The treatment must be the sole PBS-subsidised biological medicine for this PBS indication</w:t>
            </w:r>
          </w:p>
        </w:tc>
      </w:tr>
      <w:tr w:rsidR="007E6AA4" w:rsidRPr="00446E53" w14:paraId="76DF4675"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1644454" w14:textId="77777777" w:rsidR="007E6AA4" w:rsidRDefault="007E6AA4" w:rsidP="007157C0">
            <w:pPr>
              <w:jc w:val="center"/>
              <w:rPr>
                <w:rFonts w:ascii="Arial Narrow" w:eastAsia="Calibri" w:hAnsi="Arial Narrow"/>
                <w:sz w:val="20"/>
                <w:szCs w:val="20"/>
              </w:rPr>
            </w:pPr>
          </w:p>
        </w:tc>
        <w:tc>
          <w:tcPr>
            <w:tcW w:w="4314" w:type="pct"/>
            <w:gridSpan w:val="6"/>
            <w:vAlign w:val="center"/>
          </w:tcPr>
          <w:p w14:paraId="5E9E3836"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AND</w:t>
            </w:r>
          </w:p>
        </w:tc>
      </w:tr>
      <w:tr w:rsidR="007E6AA4" w:rsidRPr="00446E53" w14:paraId="1D754A98"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6E9EE459" w14:textId="26BC0DD3" w:rsidR="007E6AA4" w:rsidRPr="0053667F" w:rsidRDefault="007E6AA4" w:rsidP="007157C0">
            <w:pPr>
              <w:jc w:val="center"/>
              <w:rPr>
                <w:rFonts w:ascii="Arial Narrow" w:eastAsia="Calibri" w:hAnsi="Arial Narrow"/>
                <w:sz w:val="20"/>
                <w:szCs w:val="20"/>
              </w:rPr>
            </w:pPr>
          </w:p>
        </w:tc>
        <w:tc>
          <w:tcPr>
            <w:tcW w:w="4314" w:type="pct"/>
            <w:gridSpan w:val="6"/>
            <w:vAlign w:val="center"/>
          </w:tcPr>
          <w:p w14:paraId="60AB0F42"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 xml:space="preserve">Clinical criteria: </w:t>
            </w:r>
          </w:p>
        </w:tc>
      </w:tr>
      <w:tr w:rsidR="007E6AA4" w:rsidRPr="00446E53" w14:paraId="6E693D6E"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37BB671C" w14:textId="29A94560" w:rsidR="007E6AA4" w:rsidRPr="0053667F" w:rsidRDefault="007E6AA4" w:rsidP="007157C0">
            <w:pPr>
              <w:jc w:val="center"/>
              <w:rPr>
                <w:rFonts w:ascii="Arial Narrow" w:eastAsia="Calibri" w:hAnsi="Arial Narrow"/>
                <w:sz w:val="20"/>
                <w:szCs w:val="20"/>
              </w:rPr>
            </w:pPr>
          </w:p>
        </w:tc>
        <w:tc>
          <w:tcPr>
            <w:tcW w:w="4314" w:type="pct"/>
            <w:gridSpan w:val="6"/>
          </w:tcPr>
          <w:p w14:paraId="2B6F785C" w14:textId="637ECEC3" w:rsidR="007E6AA4" w:rsidRPr="00CD7B74" w:rsidRDefault="007E6AA4" w:rsidP="007157C0">
            <w:pPr>
              <w:rPr>
                <w:rFonts w:ascii="Arial Narrow" w:hAnsi="Arial Narrow"/>
                <w:b/>
                <w:bCs/>
                <w:color w:val="333333"/>
                <w:sz w:val="20"/>
                <w:szCs w:val="20"/>
              </w:rPr>
            </w:pPr>
            <w:r w:rsidRPr="00CD7B74">
              <w:rPr>
                <w:rFonts w:ascii="Arial Narrow" w:hAnsi="Arial Narrow"/>
                <w:sz w:val="20"/>
                <w:szCs w:val="20"/>
              </w:rPr>
              <w:t>Patient must have achieved an adequate response to current non-PBS-subsidised therapy with this biological medicine, if they have received at least</w:t>
            </w:r>
            <w:r w:rsidR="00FD5BBC">
              <w:rPr>
                <w:rFonts w:ascii="Arial Narrow" w:hAnsi="Arial Narrow"/>
                <w:sz w:val="20"/>
                <w:szCs w:val="20"/>
              </w:rPr>
              <w:t xml:space="preserve"> </w:t>
            </w:r>
            <w:r w:rsidRPr="00CD7B74">
              <w:rPr>
                <w:rFonts w:ascii="Arial Narrow" w:hAnsi="Arial Narrow"/>
                <w:sz w:val="20"/>
                <w:szCs w:val="20"/>
              </w:rPr>
              <w:t>16 weeks of therapy (or 24 weeks of therapy in the case of slow responder).</w:t>
            </w:r>
          </w:p>
        </w:tc>
      </w:tr>
      <w:tr w:rsidR="007E6AA4" w:rsidRPr="001E6462" w14:paraId="1068B1AA"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5666A743" w14:textId="0D8D5432" w:rsidR="007E6AA4" w:rsidRDefault="007E6AA4" w:rsidP="007157C0">
            <w:pPr>
              <w:jc w:val="center"/>
              <w:rPr>
                <w:rFonts w:ascii="Arial Narrow" w:eastAsia="Calibri" w:hAnsi="Arial Narrow"/>
                <w:sz w:val="20"/>
                <w:szCs w:val="20"/>
              </w:rPr>
            </w:pPr>
          </w:p>
        </w:tc>
        <w:tc>
          <w:tcPr>
            <w:tcW w:w="4314" w:type="pct"/>
            <w:gridSpan w:val="6"/>
          </w:tcPr>
          <w:p w14:paraId="3B2B8A62" w14:textId="77777777" w:rsidR="007E6AA4" w:rsidRPr="001E6462" w:rsidRDefault="007E6AA4" w:rsidP="007157C0">
            <w:pPr>
              <w:rPr>
                <w:rFonts w:ascii="Arial Narrow" w:hAnsi="Arial Narrow"/>
                <w:sz w:val="20"/>
                <w:szCs w:val="20"/>
              </w:rPr>
            </w:pPr>
            <w:r>
              <w:rPr>
                <w:rFonts w:ascii="Arial Narrow" w:eastAsia="Calibri" w:hAnsi="Arial Narrow"/>
                <w:b/>
                <w:bCs/>
                <w:sz w:val="20"/>
                <w:szCs w:val="20"/>
              </w:rPr>
              <w:t xml:space="preserve">Treatment criteria: </w:t>
            </w:r>
          </w:p>
        </w:tc>
      </w:tr>
      <w:tr w:rsidR="007E6AA4" w:rsidRPr="001E6462" w14:paraId="1A09DDA4"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1B7474FE" w14:textId="50D2447B" w:rsidR="007E6AA4" w:rsidRDefault="007E6AA4" w:rsidP="007157C0">
            <w:pPr>
              <w:jc w:val="center"/>
              <w:rPr>
                <w:rFonts w:ascii="Arial Narrow" w:eastAsia="Calibri" w:hAnsi="Arial Narrow"/>
                <w:sz w:val="20"/>
                <w:szCs w:val="20"/>
              </w:rPr>
            </w:pPr>
          </w:p>
        </w:tc>
        <w:tc>
          <w:tcPr>
            <w:tcW w:w="4314" w:type="pct"/>
            <w:gridSpan w:val="6"/>
          </w:tcPr>
          <w:p w14:paraId="5DB8EA85" w14:textId="77777777" w:rsidR="007E6AA4" w:rsidRPr="001E6462" w:rsidRDefault="007E6AA4" w:rsidP="007157C0">
            <w:pPr>
              <w:rPr>
                <w:rFonts w:ascii="Arial Narrow" w:hAnsi="Arial Narrow"/>
                <w:sz w:val="20"/>
                <w:szCs w:val="20"/>
              </w:rPr>
            </w:pPr>
            <w:r w:rsidRPr="00176579">
              <w:rPr>
                <w:rFonts w:ascii="Arial Narrow" w:eastAsia="Calibri" w:hAnsi="Arial Narrow"/>
                <w:sz w:val="20"/>
                <w:szCs w:val="20"/>
              </w:rPr>
              <w:t>Must be treated by a dermatologist; or</w:t>
            </w:r>
          </w:p>
        </w:tc>
      </w:tr>
      <w:tr w:rsidR="007E6AA4" w:rsidRPr="001E6462" w14:paraId="56C6E319"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7889095" w14:textId="728870D4" w:rsidR="007E6AA4" w:rsidRDefault="007E6AA4" w:rsidP="007157C0">
            <w:pPr>
              <w:jc w:val="center"/>
              <w:rPr>
                <w:rFonts w:ascii="Arial Narrow" w:eastAsia="Calibri" w:hAnsi="Arial Narrow"/>
                <w:sz w:val="20"/>
                <w:szCs w:val="20"/>
              </w:rPr>
            </w:pPr>
          </w:p>
        </w:tc>
        <w:tc>
          <w:tcPr>
            <w:tcW w:w="4314" w:type="pct"/>
            <w:gridSpan w:val="6"/>
          </w:tcPr>
          <w:p w14:paraId="1D1F59DB" w14:textId="77777777" w:rsidR="007E6AA4" w:rsidRPr="001E6462" w:rsidRDefault="007E6AA4" w:rsidP="007157C0">
            <w:pPr>
              <w:rPr>
                <w:rFonts w:ascii="Arial Narrow" w:hAnsi="Arial Narrow"/>
                <w:sz w:val="20"/>
                <w:szCs w:val="20"/>
              </w:rPr>
            </w:pPr>
            <w:r w:rsidRPr="00176579">
              <w:rPr>
                <w:rFonts w:ascii="Arial Narrow" w:eastAsia="Calibri" w:hAnsi="Arial Narrow"/>
                <w:sz w:val="20"/>
                <w:szCs w:val="20"/>
              </w:rPr>
              <w:t>Must be treated by a clinical immunologist</w:t>
            </w:r>
          </w:p>
        </w:tc>
      </w:tr>
      <w:tr w:rsidR="007E6AA4" w:rsidRPr="00446E53" w14:paraId="12E36E50"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27032D4B" w14:textId="449AC372" w:rsidR="007E6AA4" w:rsidRDefault="007E6AA4" w:rsidP="007157C0">
            <w:pPr>
              <w:jc w:val="center"/>
              <w:rPr>
                <w:rFonts w:ascii="Arial Narrow" w:eastAsia="Calibri" w:hAnsi="Arial Narrow"/>
                <w:sz w:val="20"/>
                <w:szCs w:val="20"/>
              </w:rPr>
            </w:pPr>
          </w:p>
        </w:tc>
        <w:tc>
          <w:tcPr>
            <w:tcW w:w="4314" w:type="pct"/>
            <w:gridSpan w:val="6"/>
            <w:vAlign w:val="center"/>
          </w:tcPr>
          <w:p w14:paraId="3FED6FB6" w14:textId="77777777" w:rsidR="007E6AA4" w:rsidRPr="00446E53" w:rsidRDefault="007E6AA4" w:rsidP="007157C0">
            <w:pPr>
              <w:rPr>
                <w:rFonts w:ascii="Arial Narrow" w:hAnsi="Arial Narrow"/>
                <w:b/>
                <w:bCs/>
                <w:color w:val="333333"/>
                <w:sz w:val="20"/>
                <w:szCs w:val="20"/>
              </w:rPr>
            </w:pPr>
            <w:r w:rsidRPr="00446E53">
              <w:rPr>
                <w:rFonts w:ascii="Arial Narrow" w:hAnsi="Arial Narrow"/>
                <w:b/>
                <w:bCs/>
                <w:color w:val="333333"/>
                <w:sz w:val="20"/>
                <w:szCs w:val="20"/>
              </w:rPr>
              <w:t>Population criteria:</w:t>
            </w:r>
          </w:p>
        </w:tc>
      </w:tr>
      <w:tr w:rsidR="007E6AA4" w:rsidRPr="00446E53" w14:paraId="55E175D0"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3A0BBAB2" w14:textId="0048B420" w:rsidR="007E6AA4" w:rsidRDefault="007E6AA4" w:rsidP="007157C0">
            <w:pPr>
              <w:jc w:val="center"/>
              <w:rPr>
                <w:rFonts w:ascii="Arial Narrow" w:eastAsia="Calibri" w:hAnsi="Arial Narrow"/>
                <w:sz w:val="20"/>
                <w:szCs w:val="20"/>
              </w:rPr>
            </w:pPr>
          </w:p>
        </w:tc>
        <w:tc>
          <w:tcPr>
            <w:tcW w:w="4314" w:type="pct"/>
            <w:gridSpan w:val="6"/>
            <w:vAlign w:val="center"/>
          </w:tcPr>
          <w:p w14:paraId="6F060B03" w14:textId="77777777" w:rsidR="007E6AA4" w:rsidRPr="007D3865" w:rsidRDefault="007E6AA4" w:rsidP="007157C0">
            <w:pPr>
              <w:rPr>
                <w:rFonts w:ascii="Arial Narrow" w:hAnsi="Arial Narrow"/>
                <w:b/>
                <w:bCs/>
                <w:color w:val="333333"/>
                <w:sz w:val="20"/>
                <w:szCs w:val="20"/>
              </w:rPr>
            </w:pPr>
            <w:r w:rsidRPr="007D3865">
              <w:rPr>
                <w:rFonts w:ascii="Arial Narrow" w:eastAsia="Calibri" w:hAnsi="Arial Narrow"/>
                <w:sz w:val="20"/>
                <w:szCs w:val="20"/>
              </w:rPr>
              <w:t xml:space="preserve">Patient must be at least 12 years of age. </w:t>
            </w:r>
          </w:p>
        </w:tc>
      </w:tr>
      <w:tr w:rsidR="007E6AA4" w:rsidRPr="00446E53" w14:paraId="5E3DF241"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457192FD" w14:textId="76A404A8" w:rsidR="007E6AA4" w:rsidRPr="007D3865" w:rsidRDefault="007E6AA4" w:rsidP="007157C0">
            <w:pPr>
              <w:jc w:val="center"/>
              <w:rPr>
                <w:rFonts w:ascii="Arial Narrow" w:eastAsia="Calibri" w:hAnsi="Arial Narrow"/>
                <w:sz w:val="20"/>
                <w:szCs w:val="20"/>
              </w:rPr>
            </w:pPr>
          </w:p>
        </w:tc>
        <w:tc>
          <w:tcPr>
            <w:tcW w:w="4314" w:type="pct"/>
            <w:gridSpan w:val="6"/>
            <w:vAlign w:val="center"/>
          </w:tcPr>
          <w:p w14:paraId="3120D95D" w14:textId="77777777" w:rsidR="007E6AA4" w:rsidRPr="007D3865" w:rsidRDefault="007E6AA4" w:rsidP="007157C0">
            <w:pPr>
              <w:rPr>
                <w:rFonts w:ascii="Arial Narrow" w:hAnsi="Arial Narrow"/>
                <w:b/>
                <w:bCs/>
                <w:sz w:val="20"/>
                <w:szCs w:val="20"/>
              </w:rPr>
            </w:pPr>
            <w:r w:rsidRPr="007D3865">
              <w:rPr>
                <w:rFonts w:ascii="Arial Narrow" w:hAnsi="Arial Narrow"/>
                <w:b/>
                <w:bCs/>
                <w:sz w:val="20"/>
                <w:szCs w:val="20"/>
              </w:rPr>
              <w:t>Prescribing Instructions:</w:t>
            </w:r>
          </w:p>
          <w:p w14:paraId="543F9C60" w14:textId="77777777" w:rsidR="007E6AA4" w:rsidRDefault="007E6AA4" w:rsidP="007157C0">
            <w:pPr>
              <w:rPr>
                <w:rFonts w:ascii="Arial Narrow" w:hAnsi="Arial Narrow"/>
                <w:sz w:val="20"/>
                <w:szCs w:val="20"/>
              </w:rPr>
            </w:pPr>
            <w:r w:rsidRPr="007D3865">
              <w:rPr>
                <w:rFonts w:ascii="Arial Narrow" w:hAnsi="Arial Narrow"/>
                <w:sz w:val="20"/>
                <w:szCs w:val="20"/>
              </w:rPr>
              <w:t xml:space="preserve">State each of the 4 Eczema Area and Severity Index (EASI) symptom sub-score ratings for erythema, oedema/papulation, excoriation, </w:t>
            </w:r>
            <w:proofErr w:type="spellStart"/>
            <w:r w:rsidRPr="007D3865">
              <w:rPr>
                <w:rFonts w:ascii="Arial Narrow" w:hAnsi="Arial Narrow"/>
                <w:sz w:val="20"/>
                <w:szCs w:val="20"/>
              </w:rPr>
              <w:t>lichenification</w:t>
            </w:r>
            <w:proofErr w:type="spellEnd"/>
            <w:r w:rsidRPr="007D3865">
              <w:rPr>
                <w:rFonts w:ascii="Arial Narrow" w:hAnsi="Arial Narrow"/>
                <w:sz w:val="20"/>
                <w:szCs w:val="20"/>
              </w:rPr>
              <w:t xml:space="preserve"> that were present prior to having commenced non-PBS-subsidised therapy, in the authority application. The name/s of the medium to high potency topical corticosteroids trialled prior to commencing treatment with this biological medicine is/are to be documented in the patient's medical records.</w:t>
            </w:r>
          </w:p>
          <w:p w14:paraId="275EF5AE" w14:textId="77777777" w:rsidR="007E6AA4" w:rsidRPr="00F63328" w:rsidRDefault="007E6AA4" w:rsidP="007157C0">
            <w:pPr>
              <w:rPr>
                <w:rFonts w:ascii="Arial Narrow" w:hAnsi="Arial Narrow"/>
                <w:sz w:val="20"/>
                <w:szCs w:val="20"/>
              </w:rPr>
            </w:pPr>
            <w:r w:rsidRPr="00F63328">
              <w:rPr>
                <w:rFonts w:ascii="Arial Narrow" w:hAnsi="Arial Narrow"/>
                <w:sz w:val="20"/>
                <w:szCs w:val="20"/>
              </w:rPr>
              <w:t>Alternatively, state the percentage of face/hand surface area affected by the condition (must be at least 30%) where EASI symptom sub-scores are not provided. This percentage surface area can also be stated in addition to the EASI symptom sub-scores.</w:t>
            </w:r>
          </w:p>
          <w:p w14:paraId="0103CFC8" w14:textId="77777777" w:rsidR="007E6AA4" w:rsidRPr="00F63328" w:rsidRDefault="007E6AA4" w:rsidP="007157C0">
            <w:pPr>
              <w:rPr>
                <w:rFonts w:ascii="Arial Narrow" w:hAnsi="Arial Narrow"/>
                <w:sz w:val="20"/>
                <w:szCs w:val="20"/>
              </w:rPr>
            </w:pPr>
          </w:p>
          <w:p w14:paraId="0A46EEA5" w14:textId="77777777" w:rsidR="007E6AA4" w:rsidRPr="00F63328" w:rsidRDefault="007E6AA4" w:rsidP="007157C0">
            <w:pPr>
              <w:rPr>
                <w:rFonts w:asciiTheme="minorHAnsi" w:hAnsiTheme="minorHAnsi" w:cstheme="minorHAnsi"/>
                <w:sz w:val="18"/>
                <w:szCs w:val="18"/>
              </w:rPr>
            </w:pPr>
            <w:r w:rsidRPr="00F63328">
              <w:rPr>
                <w:rFonts w:ascii="Arial Narrow" w:hAnsi="Arial Narrow"/>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tc>
      </w:tr>
      <w:tr w:rsidR="007E6AA4" w:rsidRPr="00446E53" w14:paraId="2B497EBC"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09838371" w14:textId="27339AA0" w:rsidR="007E6AA4" w:rsidRPr="007D3865" w:rsidRDefault="007E6AA4" w:rsidP="007157C0">
            <w:pPr>
              <w:jc w:val="center"/>
              <w:rPr>
                <w:rFonts w:ascii="Arial Narrow" w:eastAsia="Calibri" w:hAnsi="Arial Narrow"/>
                <w:sz w:val="20"/>
                <w:szCs w:val="20"/>
              </w:rPr>
            </w:pPr>
          </w:p>
        </w:tc>
        <w:tc>
          <w:tcPr>
            <w:tcW w:w="4314" w:type="pct"/>
            <w:gridSpan w:val="6"/>
            <w:vAlign w:val="center"/>
          </w:tcPr>
          <w:p w14:paraId="15563D5A" w14:textId="77777777" w:rsidR="007E6AA4" w:rsidRPr="007D3865" w:rsidRDefault="007E6AA4" w:rsidP="007157C0">
            <w:pPr>
              <w:rPr>
                <w:rFonts w:ascii="Arial Narrow" w:eastAsia="Calibri" w:hAnsi="Arial Narrow"/>
                <w:sz w:val="20"/>
                <w:szCs w:val="20"/>
              </w:rPr>
            </w:pPr>
            <w:r w:rsidRPr="007D3865">
              <w:rPr>
                <w:rFonts w:ascii="Arial Narrow" w:hAnsi="Arial Narrow"/>
                <w:b/>
                <w:bCs/>
                <w:sz w:val="20"/>
                <w:szCs w:val="20"/>
              </w:rPr>
              <w:t>Prescribing Instructions:</w:t>
            </w:r>
          </w:p>
          <w:p w14:paraId="287C5B1F" w14:textId="1BE81187" w:rsidR="007E6AA4" w:rsidRDefault="007E6AA4" w:rsidP="007157C0">
            <w:pPr>
              <w:rPr>
                <w:rFonts w:ascii="Arial Narrow" w:hAnsi="Arial Narrow"/>
                <w:sz w:val="20"/>
                <w:szCs w:val="20"/>
              </w:rPr>
            </w:pPr>
            <w:r w:rsidRPr="007D3865">
              <w:rPr>
                <w:rFonts w:ascii="Arial Narrow" w:hAnsi="Arial Narrow"/>
                <w:sz w:val="20"/>
                <w:szCs w:val="20"/>
              </w:rPr>
              <w:t xml:space="preserve">A patient may qualify for PBS-subsidised treatment under this restriction once only. For continuing PBS-subsidised treatment, a Grandfathered patient must qualify under </w:t>
            </w:r>
            <w:r>
              <w:rPr>
                <w:rFonts w:ascii="Arial Narrow" w:hAnsi="Arial Narrow"/>
                <w:sz w:val="20"/>
                <w:szCs w:val="20"/>
              </w:rPr>
              <w:t>one of the following:</w:t>
            </w:r>
          </w:p>
          <w:p w14:paraId="45C07B4B" w14:textId="77777777" w:rsidR="007E6AA4" w:rsidRPr="00CD7B74" w:rsidRDefault="007E6AA4" w:rsidP="005C4F91">
            <w:pPr>
              <w:pStyle w:val="ListParagraph"/>
              <w:numPr>
                <w:ilvl w:val="0"/>
                <w:numId w:val="15"/>
              </w:numPr>
              <w:spacing w:after="0"/>
              <w:contextualSpacing/>
              <w:jc w:val="both"/>
              <w:rPr>
                <w:rFonts w:ascii="Arial Narrow" w:hAnsi="Arial Narrow"/>
                <w:sz w:val="20"/>
                <w:szCs w:val="20"/>
              </w:rPr>
            </w:pPr>
            <w:r w:rsidRPr="00CD7B74">
              <w:rPr>
                <w:rFonts w:ascii="Arial Narrow" w:hAnsi="Arial Narrow"/>
                <w:sz w:val="20"/>
                <w:szCs w:val="20"/>
              </w:rPr>
              <w:t xml:space="preserve">Continuing treatment, where there has been an adequate response to treatment </w:t>
            </w:r>
          </w:p>
          <w:p w14:paraId="0446CD95" w14:textId="77777777" w:rsidR="007E6AA4" w:rsidRPr="004F0420" w:rsidRDefault="007E6AA4" w:rsidP="005C4F91">
            <w:pPr>
              <w:pStyle w:val="ListParagraph"/>
              <w:numPr>
                <w:ilvl w:val="0"/>
                <w:numId w:val="15"/>
              </w:numPr>
              <w:spacing w:after="0"/>
              <w:contextualSpacing/>
              <w:jc w:val="both"/>
              <w:rPr>
                <w:rFonts w:ascii="Arial Narrow" w:hAnsi="Arial Narrow"/>
                <w:sz w:val="20"/>
                <w:szCs w:val="20"/>
              </w:rPr>
            </w:pPr>
            <w:r w:rsidRPr="00CD7B74">
              <w:rPr>
                <w:rFonts w:ascii="Arial Narrow" w:eastAsia="Calibri" w:hAnsi="Arial Narrow"/>
                <w:sz w:val="20"/>
                <w:szCs w:val="20"/>
              </w:rPr>
              <w:t>Extended induction treatment (up to a further 8 weeks of therapy), where the patient has received 16 weeks of therapy, achieved a partial response and the prescriber considers that extended induction doses could result in achieving adequate response.</w:t>
            </w:r>
          </w:p>
        </w:tc>
      </w:tr>
      <w:tr w:rsidR="007E6AA4" w:rsidRPr="00446E53" w14:paraId="4D3FA204" w14:textId="77777777" w:rsidTr="00807021">
        <w:tblPrEx>
          <w:tblCellMar>
            <w:top w:w="15" w:type="dxa"/>
            <w:bottom w:w="15" w:type="dxa"/>
          </w:tblCellMar>
          <w:tblLook w:val="04A0" w:firstRow="1" w:lastRow="0" w:firstColumn="1" w:lastColumn="0" w:noHBand="0" w:noVBand="1"/>
        </w:tblPrEx>
        <w:trPr>
          <w:cantSplit/>
          <w:trHeight w:val="20"/>
        </w:trPr>
        <w:tc>
          <w:tcPr>
            <w:tcW w:w="686" w:type="pct"/>
          </w:tcPr>
          <w:p w14:paraId="3D8FAF37" w14:textId="0470D7B3" w:rsidR="007E6AA4" w:rsidRPr="007D3865" w:rsidRDefault="007E6AA4" w:rsidP="007157C0">
            <w:pPr>
              <w:jc w:val="center"/>
              <w:rPr>
                <w:rFonts w:ascii="Arial Narrow" w:eastAsia="Calibri" w:hAnsi="Arial Narrow"/>
                <w:sz w:val="20"/>
                <w:szCs w:val="20"/>
              </w:rPr>
            </w:pPr>
          </w:p>
        </w:tc>
        <w:tc>
          <w:tcPr>
            <w:tcW w:w="4314" w:type="pct"/>
            <w:gridSpan w:val="6"/>
            <w:vAlign w:val="center"/>
          </w:tcPr>
          <w:p w14:paraId="4C419E4E" w14:textId="77777777" w:rsidR="007E6AA4" w:rsidRPr="007D3865" w:rsidRDefault="007E6AA4" w:rsidP="007157C0">
            <w:pPr>
              <w:rPr>
                <w:rFonts w:ascii="Arial Narrow" w:eastAsia="Calibri" w:hAnsi="Arial Narrow"/>
                <w:sz w:val="20"/>
                <w:szCs w:val="20"/>
              </w:rPr>
            </w:pPr>
            <w:r w:rsidRPr="007D3865">
              <w:rPr>
                <w:rFonts w:ascii="Arial Narrow" w:hAnsi="Arial Narrow"/>
                <w:b/>
                <w:bCs/>
                <w:sz w:val="20"/>
                <w:szCs w:val="20"/>
              </w:rPr>
              <w:t>Prescribing Instructions:</w:t>
            </w:r>
          </w:p>
          <w:p w14:paraId="0C630190" w14:textId="77777777" w:rsidR="007E6AA4" w:rsidRPr="007D3865" w:rsidRDefault="007E6AA4" w:rsidP="007157C0">
            <w:pPr>
              <w:rPr>
                <w:rFonts w:ascii="Arial Narrow" w:hAnsi="Arial Narrow"/>
                <w:b/>
                <w:bCs/>
                <w:sz w:val="20"/>
                <w:szCs w:val="20"/>
              </w:rPr>
            </w:pPr>
            <w:r w:rsidRPr="007D3865">
              <w:rPr>
                <w:rFonts w:ascii="Arial Narrow" w:eastAsia="Calibri" w:hAnsi="Arial Narrow"/>
                <w:sz w:val="20"/>
                <w:szCs w:val="20"/>
              </w:rPr>
              <w:t>This grandfather restriction will cease to operate from 12 months after the date specified in the clinical criteria.</w:t>
            </w:r>
          </w:p>
        </w:tc>
      </w:tr>
    </w:tbl>
    <w:p w14:paraId="46EF28A2" w14:textId="2B99F2D9" w:rsidR="00753B29" w:rsidRDefault="001E7689" w:rsidP="006B3FE8">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Start w:id="79" w:name="_Overarching_administrative_advice"/>
      <w:bookmarkEnd w:id="76"/>
      <w:bookmarkEnd w:id="77"/>
      <w:bookmarkEnd w:id="79"/>
    </w:p>
    <w:p w14:paraId="269B1E39" w14:textId="4B6D7B13" w:rsidR="00943DD9" w:rsidRPr="00943DD9" w:rsidRDefault="00943DD9" w:rsidP="00943DD9">
      <w:pPr>
        <w:keepNext/>
        <w:spacing w:before="240" w:after="120"/>
        <w:ind w:left="720" w:hanging="720"/>
        <w:jc w:val="left"/>
        <w:outlineLvl w:val="0"/>
        <w:rPr>
          <w:rFonts w:asciiTheme="minorHAnsi" w:eastAsia="Times New Roman" w:hAnsiTheme="minorHAnsi"/>
          <w:b/>
          <w:snapToGrid w:val="0"/>
          <w:sz w:val="32"/>
          <w:szCs w:val="32"/>
          <w:lang w:val="en-GB" w:eastAsia="en-US"/>
        </w:rPr>
      </w:pPr>
      <w:r>
        <w:rPr>
          <w:rFonts w:asciiTheme="minorHAnsi" w:eastAsia="Times New Roman" w:hAnsiTheme="minorHAnsi"/>
          <w:b/>
          <w:snapToGrid w:val="0"/>
          <w:sz w:val="32"/>
          <w:szCs w:val="32"/>
          <w:lang w:eastAsia="en-US"/>
        </w:rPr>
        <w:t>9</w:t>
      </w:r>
      <w:r w:rsidRPr="00943DD9">
        <w:rPr>
          <w:rFonts w:asciiTheme="minorHAnsi" w:eastAsia="Times New Roman" w:hAnsiTheme="minorHAnsi"/>
          <w:b/>
          <w:snapToGrid w:val="0"/>
          <w:sz w:val="32"/>
          <w:szCs w:val="32"/>
          <w:lang w:eastAsia="en-US"/>
        </w:rPr>
        <w:tab/>
        <w:t>Context for Decision</w:t>
      </w:r>
    </w:p>
    <w:p w14:paraId="27E33D6F" w14:textId="77777777" w:rsidR="00943DD9" w:rsidRPr="00943DD9" w:rsidRDefault="00943DD9" w:rsidP="00943DD9">
      <w:pPr>
        <w:spacing w:after="120"/>
        <w:ind w:left="720"/>
        <w:rPr>
          <w:rFonts w:eastAsia="Times New Roman" w:cs="Calibri"/>
          <w:bCs/>
          <w:szCs w:val="22"/>
          <w:lang w:val="en-GB"/>
        </w:rPr>
      </w:pPr>
      <w:r w:rsidRPr="00943DD9">
        <w:rPr>
          <w:rFonts w:eastAsia="Times New Roman" w:cs="Calibri"/>
          <w:bCs/>
          <w:szCs w:val="22"/>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943DD9">
        <w:rPr>
          <w:rFonts w:eastAsia="Times New Roman" w:cs="Calibri"/>
          <w:bCs/>
          <w:szCs w:val="22"/>
          <w:lang w:val="en-GB"/>
        </w:rPr>
        <w:lastRenderedPageBreak/>
        <w:t>merits of the medicine or the circumstances in which it should be made available through the PBS. The PBAC welcomes applications containing new information at any time.</w:t>
      </w:r>
    </w:p>
    <w:p w14:paraId="6DA50DED" w14:textId="5690AB8A" w:rsidR="00943DD9" w:rsidRPr="00C05C8E" w:rsidRDefault="00943DD9" w:rsidP="00C05C8E">
      <w:pPr>
        <w:keepNext/>
        <w:spacing w:before="240" w:after="120"/>
        <w:ind w:left="720" w:hanging="720"/>
        <w:jc w:val="left"/>
        <w:outlineLvl w:val="0"/>
        <w:rPr>
          <w:rFonts w:asciiTheme="minorHAnsi" w:eastAsia="Times New Roman" w:hAnsiTheme="minorHAnsi"/>
          <w:b/>
          <w:snapToGrid w:val="0"/>
          <w:sz w:val="32"/>
          <w:szCs w:val="32"/>
          <w:lang w:eastAsia="en-US"/>
        </w:rPr>
      </w:pPr>
      <w:r>
        <w:rPr>
          <w:rFonts w:asciiTheme="minorHAnsi" w:eastAsia="Times New Roman" w:hAnsiTheme="minorHAnsi"/>
          <w:b/>
          <w:snapToGrid w:val="0"/>
          <w:sz w:val="32"/>
          <w:szCs w:val="32"/>
          <w:lang w:eastAsia="en-US"/>
        </w:rPr>
        <w:t>10</w:t>
      </w:r>
      <w:r w:rsidRPr="00943DD9">
        <w:rPr>
          <w:rFonts w:asciiTheme="minorHAnsi" w:eastAsia="Times New Roman" w:hAnsiTheme="minorHAnsi"/>
          <w:b/>
          <w:snapToGrid w:val="0"/>
          <w:sz w:val="32"/>
          <w:szCs w:val="32"/>
          <w:lang w:eastAsia="en-US"/>
        </w:rPr>
        <w:tab/>
        <w:t>Sponsor’s Comment</w:t>
      </w:r>
    </w:p>
    <w:p w14:paraId="31E08758" w14:textId="70143CD9" w:rsidR="00943DD9" w:rsidRPr="00B07B9F" w:rsidRDefault="00943DD9" w:rsidP="00943DD9">
      <w:pPr>
        <w:spacing w:before="120"/>
        <w:ind w:firstLine="720"/>
        <w:rPr>
          <w:rFonts w:asciiTheme="minorHAnsi" w:hAnsiTheme="minorHAnsi"/>
          <w:b/>
          <w:snapToGrid w:val="0"/>
          <w:sz w:val="32"/>
          <w:szCs w:val="32"/>
        </w:rPr>
      </w:pPr>
      <w:r w:rsidRPr="00943DD9">
        <w:rPr>
          <w:rFonts w:eastAsia="Times New Roman" w:cs="Calibri"/>
          <w:bCs/>
          <w:szCs w:val="22"/>
          <w:lang w:eastAsia="en-US"/>
        </w:rPr>
        <w:t>The sponsor had no comment.</w:t>
      </w:r>
    </w:p>
    <w:sectPr w:rsidR="00943DD9" w:rsidRPr="00B07B9F" w:rsidSect="00251006">
      <w:headerReference w:type="even" r:id="rId19"/>
      <w:headerReference w:type="default" r:id="rId20"/>
      <w:footerReference w:type="even" r:id="rId21"/>
      <w:footerReference w:type="default" r:id="rId22"/>
      <w:headerReference w:type="first" r:id="rId23"/>
      <w:footerReference w:type="first" r:id="rId2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2E31" w14:textId="77777777" w:rsidR="00055E0F" w:rsidRDefault="00055E0F" w:rsidP="00124A51">
      <w:r>
        <w:separator/>
      </w:r>
    </w:p>
    <w:p w14:paraId="0B9EEA91" w14:textId="77777777" w:rsidR="00055E0F" w:rsidRDefault="00055E0F"/>
  </w:endnote>
  <w:endnote w:type="continuationSeparator" w:id="0">
    <w:p w14:paraId="1AB2A261" w14:textId="77777777" w:rsidR="00055E0F" w:rsidRDefault="00055E0F" w:rsidP="00124A51">
      <w:r>
        <w:continuationSeparator/>
      </w:r>
    </w:p>
    <w:p w14:paraId="520C19B6" w14:textId="77777777" w:rsidR="00055E0F" w:rsidRDefault="00055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5046" w14:textId="330986AA" w:rsidR="0045153C" w:rsidRDefault="001A2A62">
    <w:pPr>
      <w:pStyle w:val="Footer"/>
    </w:pPr>
    <w:r>
      <w:rPr>
        <w:noProof/>
      </w:rPr>
      <mc:AlternateContent>
        <mc:Choice Requires="wps">
          <w:drawing>
            <wp:anchor distT="0" distB="0" distL="0" distR="0" simplePos="0" relativeHeight="251663364" behindDoc="0" locked="0" layoutInCell="1" allowOverlap="1" wp14:anchorId="0F7FFE9A" wp14:editId="7B8D015D">
              <wp:simplePos x="635" y="635"/>
              <wp:positionH relativeFrom="page">
                <wp:align>center</wp:align>
              </wp:positionH>
              <wp:positionV relativeFrom="page">
                <wp:align>bottom</wp:align>
              </wp:positionV>
              <wp:extent cx="622300" cy="376555"/>
              <wp:effectExtent l="0" t="0" r="6350" b="0"/>
              <wp:wrapNone/>
              <wp:docPr id="6306583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AA3760" w14:textId="1E1B437B"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FFE9A"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5AA3760" w14:textId="1E1B437B"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668F" w14:textId="4CC8E497" w:rsidR="00B10BD6" w:rsidRDefault="001A2A62">
    <w:pPr>
      <w:pStyle w:val="Footer"/>
      <w:jc w:val="center"/>
    </w:pPr>
    <w:r>
      <w:rPr>
        <w:noProof/>
      </w:rPr>
      <mc:AlternateContent>
        <mc:Choice Requires="wps">
          <w:drawing>
            <wp:anchor distT="0" distB="0" distL="0" distR="0" simplePos="0" relativeHeight="251664388" behindDoc="0" locked="0" layoutInCell="1" allowOverlap="1" wp14:anchorId="51F64B66" wp14:editId="43699FF4">
              <wp:simplePos x="635" y="635"/>
              <wp:positionH relativeFrom="page">
                <wp:align>center</wp:align>
              </wp:positionH>
              <wp:positionV relativeFrom="page">
                <wp:align>bottom</wp:align>
              </wp:positionV>
              <wp:extent cx="622300" cy="376555"/>
              <wp:effectExtent l="0" t="0" r="6350" b="0"/>
              <wp:wrapNone/>
              <wp:docPr id="13380030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100C3C" w14:textId="5FB207A7"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F64B66"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1100C3C" w14:textId="5FB207A7"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v:textbox>
              <w10:wrap anchorx="page" anchory="page"/>
            </v:shape>
          </w:pict>
        </mc:Fallback>
      </mc:AlternateContent>
    </w:r>
  </w:p>
  <w:sdt>
    <w:sdtPr>
      <w:id w:val="-1358492686"/>
      <w:docPartObj>
        <w:docPartGallery w:val="Page Numbers (Bottom of Page)"/>
        <w:docPartUnique/>
      </w:docPartObj>
    </w:sdtPr>
    <w:sdtContent>
      <w:p w14:paraId="1E26CCC2" w14:textId="5B640965" w:rsidR="0045153C" w:rsidRDefault="00B10BD6" w:rsidP="00A379FD">
        <w:pPr>
          <w:pStyle w:val="Footer"/>
          <w:jc w:val="center"/>
        </w:pPr>
        <w:r w:rsidRPr="00A2255A">
          <w:rPr>
            <w:b/>
            <w:bCs/>
          </w:rPr>
          <w:fldChar w:fldCharType="begin"/>
        </w:r>
        <w:r w:rsidRPr="00A2255A">
          <w:rPr>
            <w:b/>
            <w:bCs/>
          </w:rPr>
          <w:instrText>PAGE   \* MERGEFORMAT</w:instrText>
        </w:r>
        <w:r w:rsidRPr="00A2255A">
          <w:rPr>
            <w:b/>
            <w:bCs/>
          </w:rPr>
          <w:fldChar w:fldCharType="separate"/>
        </w:r>
        <w:r w:rsidRPr="00A2255A">
          <w:rPr>
            <w:b/>
            <w:bCs/>
            <w:lang w:val="en-GB"/>
          </w:rPr>
          <w:t>2</w:t>
        </w:r>
        <w:r w:rsidRPr="00A2255A">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E0BD" w14:textId="54BFDFAF" w:rsidR="0045153C" w:rsidRDefault="001A2A62">
    <w:pPr>
      <w:pStyle w:val="Footer"/>
    </w:pPr>
    <w:r>
      <w:rPr>
        <w:noProof/>
      </w:rPr>
      <mc:AlternateContent>
        <mc:Choice Requires="wps">
          <w:drawing>
            <wp:anchor distT="0" distB="0" distL="0" distR="0" simplePos="0" relativeHeight="251662340" behindDoc="0" locked="0" layoutInCell="1" allowOverlap="1" wp14:anchorId="5FF52F70" wp14:editId="3D8CD497">
              <wp:simplePos x="635" y="635"/>
              <wp:positionH relativeFrom="page">
                <wp:align>center</wp:align>
              </wp:positionH>
              <wp:positionV relativeFrom="page">
                <wp:align>bottom</wp:align>
              </wp:positionV>
              <wp:extent cx="622300" cy="376555"/>
              <wp:effectExtent l="0" t="0" r="6350" b="0"/>
              <wp:wrapNone/>
              <wp:docPr id="16753551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C38F95" w14:textId="6E681F64"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52F70"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9C38F95" w14:textId="6E681F64"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0658" w14:textId="77777777" w:rsidR="00055E0F" w:rsidRDefault="00055E0F">
      <w:r>
        <w:separator/>
      </w:r>
    </w:p>
  </w:footnote>
  <w:footnote w:type="continuationSeparator" w:id="0">
    <w:p w14:paraId="44EC07AC" w14:textId="77777777" w:rsidR="00055E0F" w:rsidRDefault="00055E0F" w:rsidP="00124A51">
      <w:r>
        <w:continuationSeparator/>
      </w:r>
    </w:p>
    <w:p w14:paraId="2DEF1EE3" w14:textId="77777777" w:rsidR="00055E0F" w:rsidRDefault="00055E0F"/>
  </w:footnote>
  <w:footnote w:id="1">
    <w:p w14:paraId="7A2C7C31" w14:textId="1BC4D58A" w:rsidR="00546DBD" w:rsidRPr="00531B7C" w:rsidRDefault="00546DBD" w:rsidP="00546DBD">
      <w:pPr>
        <w:pStyle w:val="FootnoteText"/>
        <w:rPr>
          <w:sz w:val="18"/>
          <w:szCs w:val="18"/>
        </w:rPr>
      </w:pPr>
      <w:r w:rsidRPr="00531B7C">
        <w:rPr>
          <w:rStyle w:val="FootnoteReference"/>
          <w:sz w:val="18"/>
          <w:szCs w:val="18"/>
        </w:rPr>
        <w:footnoteRef/>
      </w:r>
      <w:r w:rsidRPr="00531B7C">
        <w:rPr>
          <w:sz w:val="18"/>
          <w:szCs w:val="18"/>
        </w:rPr>
        <w:t xml:space="preserve">Allergy &amp; Anaphylaxis Australia. Eczema (atopic dermatitis). URL: </w:t>
      </w:r>
      <w:hyperlink r:id="rId1" w:history="1">
        <w:r w:rsidRPr="00531B7C">
          <w:rPr>
            <w:rStyle w:val="Hyperlink"/>
            <w:sz w:val="18"/>
            <w:szCs w:val="18"/>
          </w:rPr>
          <w:t>https://allergyfacts.org.au /__interest/eczema/</w:t>
        </w:r>
      </w:hyperlink>
    </w:p>
  </w:footnote>
  <w:footnote w:id="2">
    <w:p w14:paraId="17A55A91" w14:textId="77777777" w:rsidR="00546DBD" w:rsidRDefault="00546DBD" w:rsidP="00546DBD">
      <w:pPr>
        <w:pStyle w:val="FootnoteText"/>
      </w:pPr>
      <w:r>
        <w:rPr>
          <w:rStyle w:val="FootnoteReference"/>
        </w:rPr>
        <w:footnoteRef/>
      </w:r>
      <w:r>
        <w:t xml:space="preserve"> </w:t>
      </w:r>
      <w:proofErr w:type="spellStart"/>
      <w:r w:rsidRPr="001E39FA">
        <w:t>Eichenfield</w:t>
      </w:r>
      <w:proofErr w:type="spellEnd"/>
      <w:r>
        <w:t xml:space="preserve"> LF et al.</w:t>
      </w:r>
      <w:r w:rsidRPr="001E39FA">
        <w:t xml:space="preserve"> Guidelines of care for the management of atopic dermatitis: section 1. Diagnosis and assessment of atopic dermatitis. </w:t>
      </w:r>
      <w:r w:rsidRPr="00E069C7">
        <w:rPr>
          <w:i/>
          <w:iCs/>
        </w:rPr>
        <w:t>Journal of the American Academy of Dermatology</w:t>
      </w:r>
      <w:r>
        <w:t>.</w:t>
      </w:r>
      <w:r w:rsidRPr="001E39FA">
        <w:t xml:space="preserve"> </w:t>
      </w:r>
      <w:r>
        <w:t xml:space="preserve">2014; </w:t>
      </w:r>
      <w:r w:rsidRPr="001E39FA">
        <w:t>70(2): 338-351</w:t>
      </w:r>
      <w:r>
        <w:t>.</w:t>
      </w:r>
    </w:p>
  </w:footnote>
  <w:footnote w:id="3">
    <w:p w14:paraId="3D901C68" w14:textId="77777777" w:rsidR="00546DBD" w:rsidRPr="00531B7C" w:rsidRDefault="00546DBD" w:rsidP="00546DBD">
      <w:pPr>
        <w:pStyle w:val="FootnoteText"/>
        <w:rPr>
          <w:sz w:val="18"/>
          <w:szCs w:val="18"/>
        </w:rPr>
      </w:pPr>
      <w:r w:rsidRPr="00531B7C">
        <w:rPr>
          <w:rStyle w:val="FootnoteReference"/>
          <w:sz w:val="18"/>
          <w:szCs w:val="18"/>
        </w:rPr>
        <w:footnoteRef/>
      </w:r>
      <w:r w:rsidRPr="00531B7C">
        <w:rPr>
          <w:sz w:val="18"/>
          <w:szCs w:val="18"/>
        </w:rPr>
        <w:t xml:space="preserve"> Berke R, Singh A &amp; Guralnick M. Atopic dermatitis: </w:t>
      </w:r>
      <w:proofErr w:type="spellStart"/>
      <w:r w:rsidRPr="00531B7C">
        <w:rPr>
          <w:sz w:val="18"/>
          <w:szCs w:val="18"/>
        </w:rPr>
        <w:t>a</w:t>
      </w:r>
      <w:proofErr w:type="spellEnd"/>
      <w:r w:rsidRPr="00531B7C">
        <w:rPr>
          <w:sz w:val="18"/>
          <w:szCs w:val="18"/>
        </w:rPr>
        <w:t xml:space="preserve"> overview. </w:t>
      </w:r>
      <w:r w:rsidRPr="00531B7C">
        <w:rPr>
          <w:i/>
          <w:iCs/>
          <w:sz w:val="18"/>
          <w:szCs w:val="18"/>
        </w:rPr>
        <w:t>American Family Physician</w:t>
      </w:r>
      <w:r w:rsidRPr="00531B7C">
        <w:rPr>
          <w:sz w:val="18"/>
          <w:szCs w:val="18"/>
        </w:rPr>
        <w:t>. 2012; 86(1): 35-42.</w:t>
      </w:r>
    </w:p>
  </w:footnote>
  <w:footnote w:id="4">
    <w:p w14:paraId="5C9E904E" w14:textId="77777777" w:rsidR="00546DBD" w:rsidRPr="00531B7C" w:rsidRDefault="00546DBD" w:rsidP="00546DBD">
      <w:pPr>
        <w:pStyle w:val="FootnoteText"/>
        <w:rPr>
          <w:sz w:val="18"/>
          <w:szCs w:val="18"/>
        </w:rPr>
      </w:pPr>
      <w:r w:rsidRPr="00531B7C">
        <w:rPr>
          <w:rStyle w:val="FootnoteReference"/>
          <w:sz w:val="18"/>
          <w:szCs w:val="18"/>
        </w:rPr>
        <w:footnoteRef/>
      </w:r>
      <w:r w:rsidRPr="00531B7C">
        <w:rPr>
          <w:sz w:val="18"/>
          <w:szCs w:val="18"/>
        </w:rPr>
        <w:t xml:space="preserve"> Drucker AM et al. The Burden of Atopic Dermatitis: Summary of a Report for the National Eczema Association. </w:t>
      </w:r>
      <w:r w:rsidRPr="00531B7C">
        <w:rPr>
          <w:i/>
          <w:iCs/>
          <w:sz w:val="18"/>
          <w:szCs w:val="18"/>
        </w:rPr>
        <w:t>Journal of Investigative Dermatology</w:t>
      </w:r>
      <w:r w:rsidRPr="00531B7C">
        <w:rPr>
          <w:sz w:val="18"/>
          <w:szCs w:val="18"/>
        </w:rPr>
        <w:t>. 2017; 137(1): 26-30.</w:t>
      </w:r>
    </w:p>
  </w:footnote>
  <w:footnote w:id="5">
    <w:p w14:paraId="4A12E7F6" w14:textId="77777777" w:rsidR="00546DBD" w:rsidRPr="00531B7C" w:rsidRDefault="00546DBD" w:rsidP="00546DBD">
      <w:pPr>
        <w:pStyle w:val="FootnoteText"/>
        <w:rPr>
          <w:sz w:val="18"/>
          <w:szCs w:val="18"/>
        </w:rPr>
      </w:pPr>
      <w:r w:rsidRPr="00531B7C">
        <w:rPr>
          <w:rStyle w:val="FootnoteReference"/>
          <w:sz w:val="18"/>
          <w:szCs w:val="18"/>
        </w:rPr>
        <w:footnoteRef/>
      </w:r>
      <w:r w:rsidRPr="00531B7C">
        <w:rPr>
          <w:sz w:val="18"/>
          <w:szCs w:val="18"/>
        </w:rPr>
        <w:t xml:space="preserve"> Bawany F et al. Sleep Disturbances and Atopic Dermatitis: Relationships, Methods for Assessment, and Therapies. </w:t>
      </w:r>
      <w:r w:rsidRPr="00531B7C">
        <w:rPr>
          <w:i/>
          <w:iCs/>
          <w:sz w:val="18"/>
          <w:szCs w:val="18"/>
        </w:rPr>
        <w:t>The Journal of Allergy and Clinical Immunology</w:t>
      </w:r>
      <w:r w:rsidRPr="00531B7C">
        <w:rPr>
          <w:sz w:val="18"/>
          <w:szCs w:val="18"/>
        </w:rPr>
        <w:t>: In Practice. 2021; 9(4): 1488-1500.</w:t>
      </w:r>
    </w:p>
  </w:footnote>
  <w:footnote w:id="6">
    <w:p w14:paraId="5259AA39" w14:textId="77777777" w:rsidR="00546DBD" w:rsidRPr="00531B7C" w:rsidRDefault="00546DBD" w:rsidP="00546DBD">
      <w:pPr>
        <w:pStyle w:val="FootnoteText"/>
        <w:rPr>
          <w:sz w:val="18"/>
          <w:szCs w:val="18"/>
        </w:rPr>
      </w:pPr>
      <w:r w:rsidRPr="00531B7C">
        <w:rPr>
          <w:rStyle w:val="FootnoteReference"/>
          <w:sz w:val="18"/>
          <w:szCs w:val="18"/>
        </w:rPr>
        <w:footnoteRef/>
      </w:r>
      <w:r w:rsidRPr="00531B7C">
        <w:rPr>
          <w:sz w:val="18"/>
          <w:szCs w:val="18"/>
        </w:rPr>
        <w:t xml:space="preserve"> Dubin C, Del Duca E &amp; Guttman-Yassky E. The IL-4, IL-13 and IL-31 pathways in atopic dermatitis. </w:t>
      </w:r>
      <w:r w:rsidRPr="00531B7C">
        <w:rPr>
          <w:i/>
          <w:iCs/>
          <w:sz w:val="18"/>
          <w:szCs w:val="18"/>
        </w:rPr>
        <w:t>Expert Review of Clinical Immunology</w:t>
      </w:r>
      <w:r w:rsidRPr="00531B7C">
        <w:rPr>
          <w:sz w:val="18"/>
          <w:szCs w:val="18"/>
        </w:rPr>
        <w:t>. 2021; 17(8): 835-852.</w:t>
      </w:r>
    </w:p>
  </w:footnote>
  <w:footnote w:id="7">
    <w:p w14:paraId="54E42F16" w14:textId="77777777" w:rsidR="00546DBD" w:rsidRPr="00531B7C" w:rsidRDefault="00546DBD" w:rsidP="00546DBD">
      <w:pPr>
        <w:pStyle w:val="FootnoteText"/>
        <w:rPr>
          <w:sz w:val="18"/>
          <w:szCs w:val="18"/>
        </w:rPr>
      </w:pPr>
      <w:r w:rsidRPr="00531B7C">
        <w:rPr>
          <w:rStyle w:val="FootnoteReference"/>
          <w:sz w:val="18"/>
          <w:szCs w:val="18"/>
        </w:rPr>
        <w:footnoteRef/>
      </w:r>
      <w:r w:rsidRPr="00531B7C">
        <w:rPr>
          <w:sz w:val="18"/>
          <w:szCs w:val="18"/>
        </w:rPr>
        <w:t xml:space="preserve"> Smith S et al. Atopic dermatitis in adults: An Australian management consensus. </w:t>
      </w:r>
      <w:r w:rsidRPr="00531B7C">
        <w:rPr>
          <w:i/>
          <w:iCs/>
          <w:sz w:val="18"/>
          <w:szCs w:val="18"/>
        </w:rPr>
        <w:t>Australasian Journal of Dermatology</w:t>
      </w:r>
      <w:r w:rsidRPr="00531B7C">
        <w:rPr>
          <w:sz w:val="18"/>
          <w:szCs w:val="18"/>
        </w:rPr>
        <w:t>. 2020; 61(1): 23-32.</w:t>
      </w:r>
    </w:p>
  </w:footnote>
  <w:footnote w:id="8">
    <w:p w14:paraId="50EF4BCA" w14:textId="77777777" w:rsidR="00546DBD" w:rsidRPr="00531B7C" w:rsidRDefault="00546DBD" w:rsidP="00546DBD">
      <w:pPr>
        <w:pStyle w:val="FootnoteText"/>
        <w:rPr>
          <w:sz w:val="18"/>
          <w:szCs w:val="18"/>
        </w:rPr>
      </w:pPr>
      <w:r w:rsidRPr="00531B7C">
        <w:rPr>
          <w:rStyle w:val="FootnoteReference"/>
          <w:sz w:val="18"/>
          <w:szCs w:val="18"/>
        </w:rPr>
        <w:footnoteRef/>
      </w:r>
      <w:r w:rsidRPr="00531B7C">
        <w:rPr>
          <w:sz w:val="18"/>
          <w:szCs w:val="18"/>
        </w:rPr>
        <w:t xml:space="preserve"> Wollenberg A et al. European guideline (</w:t>
      </w:r>
      <w:proofErr w:type="spellStart"/>
      <w:r w:rsidRPr="00531B7C">
        <w:rPr>
          <w:sz w:val="18"/>
          <w:szCs w:val="18"/>
        </w:rPr>
        <w:t>EuroGuiDerm</w:t>
      </w:r>
      <w:proofErr w:type="spellEnd"/>
      <w:r w:rsidRPr="00531B7C">
        <w:rPr>
          <w:sz w:val="18"/>
          <w:szCs w:val="18"/>
        </w:rPr>
        <w:t>) on atopic eczema: part I - systemic therapy</w:t>
      </w:r>
      <w:r w:rsidRPr="00531B7C">
        <w:rPr>
          <w:i/>
          <w:iCs/>
          <w:sz w:val="18"/>
          <w:szCs w:val="18"/>
        </w:rPr>
        <w:t>. Journal of the European Academy of Dermatology and Venereology</w:t>
      </w:r>
      <w:r w:rsidRPr="00531B7C">
        <w:rPr>
          <w:sz w:val="18"/>
          <w:szCs w:val="18"/>
        </w:rPr>
        <w:t>. 2022; 36(9): 1409-1431.</w:t>
      </w:r>
    </w:p>
  </w:footnote>
  <w:footnote w:id="9">
    <w:p w14:paraId="073B5456" w14:textId="77777777" w:rsidR="00546DBD" w:rsidRDefault="00546DBD" w:rsidP="00546DBD">
      <w:pPr>
        <w:pStyle w:val="FootnoteText"/>
      </w:pPr>
      <w:r w:rsidRPr="00531B7C">
        <w:rPr>
          <w:rStyle w:val="FootnoteReference"/>
          <w:sz w:val="18"/>
          <w:szCs w:val="18"/>
        </w:rPr>
        <w:footnoteRef/>
      </w:r>
      <w:r w:rsidRPr="00531B7C">
        <w:rPr>
          <w:sz w:val="18"/>
          <w:szCs w:val="18"/>
        </w:rPr>
        <w:t xml:space="preserve"> Refers to a state in which symptoms are absent or mild without daily activities being disturbed by AD (Smith et al. 2020)</w:t>
      </w:r>
    </w:p>
  </w:footnote>
  <w:footnote w:id="10">
    <w:p w14:paraId="129F55C8" w14:textId="76BF1193" w:rsidR="004F6D7F" w:rsidRDefault="004F6D7F" w:rsidP="00DE1C25">
      <w:pPr>
        <w:pStyle w:val="FootnoteText"/>
      </w:pPr>
      <w:r>
        <w:rPr>
          <w:rStyle w:val="FootnoteReference"/>
        </w:rPr>
        <w:footnoteRef/>
      </w:r>
      <w:r>
        <w:t xml:space="preserve"> </w:t>
      </w:r>
      <w:r w:rsidR="00DE1C25" w:rsidRPr="00DE1C25">
        <w:t>Kamata M, Tada Y. A Literature Review of Real-World Effec</w:t>
      </w:r>
      <w:r w:rsidR="00DE1C25">
        <w:t>ti</w:t>
      </w:r>
      <w:r w:rsidR="00DE1C25" w:rsidRPr="00DE1C25">
        <w:t>veness and Safety of Dupilumab for Atopic Derma</w:t>
      </w:r>
      <w:r w:rsidR="00DE1C25">
        <w:t>titis</w:t>
      </w:r>
      <w:r w:rsidR="00DE1C25" w:rsidRPr="00DE1C25">
        <w:t xml:space="preserve">. </w:t>
      </w:r>
      <w:r w:rsidR="00DE1C25" w:rsidRPr="00DE1C25">
        <w:rPr>
          <w:i/>
          <w:iCs/>
        </w:rPr>
        <w:t>JID</w:t>
      </w:r>
      <w:r w:rsidR="00DE1C25">
        <w:rPr>
          <w:i/>
          <w:iCs/>
        </w:rPr>
        <w:t xml:space="preserve"> </w:t>
      </w:r>
      <w:proofErr w:type="spellStart"/>
      <w:r w:rsidR="00DE1C25" w:rsidRPr="00DE1C25">
        <w:rPr>
          <w:i/>
          <w:iCs/>
        </w:rPr>
        <w:t>Innov</w:t>
      </w:r>
      <w:proofErr w:type="spellEnd"/>
      <w:r w:rsidR="00DE1C25" w:rsidRPr="00DE1C25">
        <w:t>. 2021;1(3):100042. Published 2021 Jul 30. doi:10.1016/j.xjidi.2021.100042</w:t>
      </w:r>
    </w:p>
  </w:footnote>
  <w:footnote w:id="11">
    <w:p w14:paraId="1A8F85D4" w14:textId="46C93748" w:rsidR="00A9403C" w:rsidRPr="00792534" w:rsidRDefault="00A9403C">
      <w:pPr>
        <w:pStyle w:val="FootnoteText"/>
        <w:rPr>
          <w:sz w:val="18"/>
          <w:szCs w:val="18"/>
        </w:rPr>
      </w:pPr>
      <w:r w:rsidRPr="00792534">
        <w:rPr>
          <w:rStyle w:val="FootnoteReference"/>
          <w:sz w:val="18"/>
          <w:szCs w:val="18"/>
        </w:rPr>
        <w:footnoteRef/>
      </w:r>
      <w:r w:rsidRPr="00792534">
        <w:rPr>
          <w:sz w:val="18"/>
          <w:szCs w:val="18"/>
        </w:rPr>
        <w:t xml:space="preserve"> The EASI score is a composite score ranging from 0–72. The severity of erythema (E), induration/papulation (I), excoriation (Ex), and </w:t>
      </w:r>
      <w:proofErr w:type="spellStart"/>
      <w:r w:rsidRPr="00792534">
        <w:rPr>
          <w:sz w:val="18"/>
          <w:szCs w:val="18"/>
        </w:rPr>
        <w:t>lichenification</w:t>
      </w:r>
      <w:proofErr w:type="spellEnd"/>
      <w:r w:rsidRPr="00792534">
        <w:rPr>
          <w:sz w:val="18"/>
          <w:szCs w:val="18"/>
        </w:rPr>
        <w:t xml:space="preserve"> (L) based on Investigator or trained designee on a scale of 0 (absent) to 3 (severe) for each of the four body areas: head/neck, trunk, upper limbs, and lower limbs, with half points allowed</w:t>
      </w:r>
    </w:p>
  </w:footnote>
  <w:footnote w:id="12">
    <w:p w14:paraId="3BC5533B" w14:textId="77777777" w:rsidR="00980935" w:rsidRPr="00792534" w:rsidRDefault="00A9403C">
      <w:pPr>
        <w:pStyle w:val="FootnoteText"/>
        <w:rPr>
          <w:sz w:val="18"/>
          <w:szCs w:val="18"/>
        </w:rPr>
      </w:pPr>
      <w:r w:rsidRPr="00792534">
        <w:rPr>
          <w:rStyle w:val="FootnoteReference"/>
          <w:sz w:val="18"/>
          <w:szCs w:val="18"/>
        </w:rPr>
        <w:footnoteRef/>
      </w:r>
      <w:r w:rsidRPr="00792534">
        <w:rPr>
          <w:sz w:val="18"/>
          <w:szCs w:val="18"/>
        </w:rPr>
        <w:t xml:space="preserve"> The IGA is a 5-point scale used by the Investigator or trained designee to evaluate the global severity of AD and the clinical response to treatment. The </w:t>
      </w:r>
      <w:r w:rsidR="00980935" w:rsidRPr="00792534">
        <w:rPr>
          <w:sz w:val="18"/>
          <w:szCs w:val="18"/>
        </w:rPr>
        <w:t>levels are:</w:t>
      </w:r>
      <w:r w:rsidRPr="00792534">
        <w:rPr>
          <w:sz w:val="18"/>
          <w:szCs w:val="18"/>
        </w:rPr>
        <w:t xml:space="preserve"> </w:t>
      </w:r>
    </w:p>
    <w:p w14:paraId="309DF7CC" w14:textId="77777777" w:rsidR="00980935" w:rsidRPr="00792534" w:rsidRDefault="00A9403C" w:rsidP="005C4F91">
      <w:pPr>
        <w:pStyle w:val="FootnoteText"/>
        <w:numPr>
          <w:ilvl w:val="0"/>
          <w:numId w:val="9"/>
        </w:numPr>
        <w:rPr>
          <w:sz w:val="18"/>
          <w:szCs w:val="18"/>
        </w:rPr>
      </w:pPr>
      <w:r w:rsidRPr="00792534">
        <w:rPr>
          <w:sz w:val="18"/>
          <w:szCs w:val="18"/>
        </w:rPr>
        <w:t xml:space="preserve">0 (clear – minor, residual hypopigmentation/hyperpigmentation, no erythema or induration/papulation, no oozing/crusting), </w:t>
      </w:r>
    </w:p>
    <w:p w14:paraId="7BA63EB6" w14:textId="77777777" w:rsidR="00980935" w:rsidRPr="00792534" w:rsidRDefault="00A9403C" w:rsidP="005C4F91">
      <w:pPr>
        <w:pStyle w:val="FootnoteText"/>
        <w:numPr>
          <w:ilvl w:val="0"/>
          <w:numId w:val="9"/>
        </w:numPr>
        <w:rPr>
          <w:sz w:val="18"/>
          <w:szCs w:val="18"/>
        </w:rPr>
      </w:pPr>
      <w:r w:rsidRPr="00792534">
        <w:rPr>
          <w:sz w:val="18"/>
          <w:szCs w:val="18"/>
        </w:rPr>
        <w:t xml:space="preserve">1 (almost clear – trace faint pink erythema, with barely perceptible induration/papulation and no oozing/crusting), </w:t>
      </w:r>
    </w:p>
    <w:p w14:paraId="055D03B2" w14:textId="77777777" w:rsidR="00980935" w:rsidRPr="00792534" w:rsidRDefault="00A9403C" w:rsidP="005C4F91">
      <w:pPr>
        <w:pStyle w:val="FootnoteText"/>
        <w:numPr>
          <w:ilvl w:val="0"/>
          <w:numId w:val="9"/>
        </w:numPr>
        <w:rPr>
          <w:sz w:val="18"/>
          <w:szCs w:val="18"/>
        </w:rPr>
      </w:pPr>
      <w:r w:rsidRPr="00792534">
        <w:rPr>
          <w:sz w:val="18"/>
          <w:szCs w:val="18"/>
        </w:rPr>
        <w:t xml:space="preserve">2 (mild – faint pink erythema with mild induration/papulation and no oozing/crusting), </w:t>
      </w:r>
    </w:p>
    <w:p w14:paraId="75111061" w14:textId="77777777" w:rsidR="00980935" w:rsidRPr="00792534" w:rsidRDefault="00A9403C" w:rsidP="005C4F91">
      <w:pPr>
        <w:pStyle w:val="FootnoteText"/>
        <w:numPr>
          <w:ilvl w:val="0"/>
          <w:numId w:val="9"/>
        </w:numPr>
        <w:rPr>
          <w:sz w:val="18"/>
          <w:szCs w:val="18"/>
        </w:rPr>
      </w:pPr>
      <w:r w:rsidRPr="00792534">
        <w:rPr>
          <w:sz w:val="18"/>
          <w:szCs w:val="18"/>
        </w:rPr>
        <w:t xml:space="preserve">3 (moderate – pink-red erythema with moderate induration/papulation with or without oozing/crusting), </w:t>
      </w:r>
    </w:p>
    <w:p w14:paraId="3BA1082D" w14:textId="7FB59B3B" w:rsidR="00A9403C" w:rsidRDefault="00A9403C" w:rsidP="005C4F91">
      <w:pPr>
        <w:pStyle w:val="FootnoteText"/>
        <w:numPr>
          <w:ilvl w:val="0"/>
          <w:numId w:val="9"/>
        </w:numPr>
      </w:pPr>
      <w:r w:rsidRPr="00792534">
        <w:rPr>
          <w:sz w:val="18"/>
          <w:szCs w:val="18"/>
        </w:rPr>
        <w:t>4 (severe – deep or bright red erythema with severe induration/papulation with oozing/crusting)</w:t>
      </w:r>
    </w:p>
  </w:footnote>
  <w:footnote w:id="13">
    <w:p w14:paraId="6C198EB9" w14:textId="77777777" w:rsidR="009D1706" w:rsidRPr="007D4B4B" w:rsidRDefault="009D1706" w:rsidP="009D1706">
      <w:pPr>
        <w:rPr>
          <w:sz w:val="18"/>
          <w:szCs w:val="18"/>
        </w:rPr>
      </w:pPr>
      <w:r w:rsidRPr="007D4B4B">
        <w:rPr>
          <w:rStyle w:val="FootnoteReference"/>
          <w:sz w:val="18"/>
          <w:szCs w:val="18"/>
        </w:rPr>
        <w:footnoteRef/>
      </w:r>
      <w:r w:rsidRPr="007D4B4B">
        <w:rPr>
          <w:sz w:val="18"/>
          <w:szCs w:val="18"/>
        </w:rPr>
        <w:t xml:space="preserve"> The DLQI is a 10-item questionnaire for patients aged &gt; 16 years covering domains, including symptoms/feelings, daily activities, leisure, work/school, personal relationships, and treatment. The patient rated each question ranging from 0 (not at all) to 3 (very much). The DLQI total score was calculated by summing each questionnaire. The total score had a maximum score of 30 and a minimum of 0; a higher total score indicated a poorer QoL</w:t>
      </w:r>
    </w:p>
    <w:p w14:paraId="7ABE2B37" w14:textId="2B852F0B" w:rsidR="009D1706" w:rsidRDefault="009D1706">
      <w:pPr>
        <w:pStyle w:val="FootnoteText"/>
      </w:pPr>
    </w:p>
  </w:footnote>
  <w:footnote w:id="14">
    <w:p w14:paraId="6B22B020" w14:textId="3FF4C756" w:rsidR="00E34DA4" w:rsidRDefault="00E34DA4">
      <w:pPr>
        <w:pStyle w:val="FootnoteText"/>
      </w:pPr>
      <w:r>
        <w:rPr>
          <w:rStyle w:val="FootnoteReference"/>
        </w:rPr>
        <w:footnoteRef/>
      </w:r>
      <w:r>
        <w:t xml:space="preserve"> </w:t>
      </w:r>
      <w:hyperlink r:id="rId2" w:history="1">
        <w:r w:rsidR="001C20C7" w:rsidRPr="001C20C7">
          <w:rPr>
            <w:rStyle w:val="Hyperlink"/>
          </w:rPr>
          <w:t>lebrikizumab-psd-march-2024.pdf</w:t>
        </w:r>
      </w:hyperlink>
    </w:p>
  </w:footnote>
  <w:footnote w:id="15">
    <w:p w14:paraId="574278E4" w14:textId="2214F6F2" w:rsidR="00C21462" w:rsidRPr="000E4C06" w:rsidRDefault="00C21462">
      <w:pPr>
        <w:pStyle w:val="FootnoteText"/>
        <w:rPr>
          <w:sz w:val="18"/>
          <w:szCs w:val="18"/>
        </w:rPr>
      </w:pPr>
      <w:r w:rsidRPr="000E4C06">
        <w:rPr>
          <w:rStyle w:val="FootnoteReference"/>
          <w:sz w:val="18"/>
          <w:szCs w:val="18"/>
        </w:rPr>
        <w:footnoteRef/>
      </w:r>
      <w:r w:rsidRPr="000E4C06">
        <w:rPr>
          <w:sz w:val="18"/>
          <w:szCs w:val="18"/>
        </w:rPr>
        <w:t xml:space="preserve"> = </w:t>
      </w:r>
      <w:r w:rsidR="0064429C">
        <w:rPr>
          <w:sz w:val="18"/>
          <w:szCs w:val="18"/>
        </w:rPr>
        <w:t>77.5</w:t>
      </w:r>
      <w:r w:rsidRPr="000E4C06">
        <w:rPr>
          <w:sz w:val="18"/>
          <w:szCs w:val="18"/>
        </w:rPr>
        <w:t xml:space="preserve">% x 330 – 164, where </w:t>
      </w:r>
      <w:r w:rsidR="0064429C">
        <w:rPr>
          <w:sz w:val="18"/>
          <w:szCs w:val="18"/>
        </w:rPr>
        <w:t>77.5</w:t>
      </w:r>
      <w:r w:rsidRPr="000E4C06">
        <w:rPr>
          <w:sz w:val="18"/>
          <w:szCs w:val="18"/>
        </w:rPr>
        <w:t xml:space="preserve">% is the response rate in the severe population at Week 24 in the EASI-50, NEMO </w:t>
      </w:r>
      <w:r w:rsidR="0064429C">
        <w:rPr>
          <w:sz w:val="18"/>
          <w:szCs w:val="18"/>
        </w:rPr>
        <w:t>best</w:t>
      </w:r>
      <w:r w:rsidR="0064429C" w:rsidRPr="000E4C06">
        <w:rPr>
          <w:sz w:val="18"/>
          <w:szCs w:val="18"/>
        </w:rPr>
        <w:t xml:space="preserve"> </w:t>
      </w:r>
      <w:r w:rsidRPr="000E4C06">
        <w:rPr>
          <w:sz w:val="18"/>
          <w:szCs w:val="18"/>
        </w:rPr>
        <w:t>case scenario, 330 is the number of patients with severe AD at baseline, and 164 is the number of responders at Week 16 (</w:t>
      </w:r>
      <w:r w:rsidRPr="000E4C06">
        <w:rPr>
          <w:sz w:val="18"/>
          <w:szCs w:val="18"/>
        </w:rPr>
        <w:fldChar w:fldCharType="begin"/>
      </w:r>
      <w:r w:rsidRPr="000E4C06">
        <w:rPr>
          <w:sz w:val="18"/>
          <w:szCs w:val="18"/>
        </w:rPr>
        <w:instrText xml:space="preserve"> REF _Ref215845185 \h </w:instrText>
      </w:r>
      <w:r w:rsidR="000E4C06">
        <w:rPr>
          <w:sz w:val="18"/>
          <w:szCs w:val="18"/>
        </w:rPr>
        <w:instrText xml:space="preserve"> \* MERGEFORMAT </w:instrText>
      </w:r>
      <w:r w:rsidRPr="000E4C06">
        <w:rPr>
          <w:sz w:val="18"/>
          <w:szCs w:val="18"/>
        </w:rPr>
      </w:r>
      <w:r w:rsidRPr="000E4C06">
        <w:rPr>
          <w:sz w:val="18"/>
          <w:szCs w:val="18"/>
        </w:rPr>
        <w:fldChar w:fldCharType="separate"/>
      </w:r>
      <w:r w:rsidRPr="000E4C06">
        <w:rPr>
          <w:sz w:val="18"/>
          <w:szCs w:val="18"/>
        </w:rPr>
        <w:t xml:space="preserve">Table </w:t>
      </w:r>
      <w:r w:rsidRPr="000E4C06">
        <w:rPr>
          <w:noProof/>
          <w:sz w:val="18"/>
          <w:szCs w:val="18"/>
        </w:rPr>
        <w:t>8</w:t>
      </w:r>
      <w:r w:rsidRPr="000E4C06">
        <w:rPr>
          <w:sz w:val="18"/>
          <w:szCs w:val="18"/>
        </w:rPr>
        <w:fldChar w:fldCharType="end"/>
      </w:r>
      <w:r w:rsidRPr="000E4C06">
        <w:rPr>
          <w:sz w:val="18"/>
          <w:szCs w:val="18"/>
        </w:rPr>
        <w:t xml:space="preserve"> and </w:t>
      </w:r>
      <w:r w:rsidRPr="000E4C06">
        <w:rPr>
          <w:sz w:val="18"/>
          <w:szCs w:val="18"/>
        </w:rPr>
        <w:fldChar w:fldCharType="begin"/>
      </w:r>
      <w:r w:rsidRPr="000E4C06">
        <w:rPr>
          <w:sz w:val="18"/>
          <w:szCs w:val="18"/>
        </w:rPr>
        <w:instrText xml:space="preserve"> REF _Ref216350850 \h </w:instrText>
      </w:r>
      <w:r w:rsidR="000E4C06">
        <w:rPr>
          <w:sz w:val="18"/>
          <w:szCs w:val="18"/>
        </w:rPr>
        <w:instrText xml:space="preserve"> \* MERGEFORMAT </w:instrText>
      </w:r>
      <w:r w:rsidRPr="000E4C06">
        <w:rPr>
          <w:sz w:val="18"/>
          <w:szCs w:val="18"/>
        </w:rPr>
      </w:r>
      <w:r w:rsidRPr="000E4C06">
        <w:rPr>
          <w:sz w:val="18"/>
          <w:szCs w:val="18"/>
        </w:rPr>
        <w:fldChar w:fldCharType="separate"/>
      </w:r>
      <w:r w:rsidRPr="000E4C06">
        <w:rPr>
          <w:sz w:val="18"/>
          <w:szCs w:val="18"/>
        </w:rPr>
        <w:t xml:space="preserve">Table </w:t>
      </w:r>
      <w:r w:rsidRPr="000E4C06">
        <w:rPr>
          <w:noProof/>
          <w:sz w:val="18"/>
          <w:szCs w:val="18"/>
        </w:rPr>
        <w:t>9</w:t>
      </w:r>
      <w:r w:rsidRPr="000E4C06">
        <w:rPr>
          <w:sz w:val="18"/>
          <w:szCs w:val="18"/>
        </w:rPr>
        <w:fldChar w:fldCharType="end"/>
      </w:r>
      <w:r w:rsidRPr="000E4C06">
        <w:rPr>
          <w:sz w:val="18"/>
          <w:szCs w:val="18"/>
        </w:rPr>
        <w:t>).</w:t>
      </w:r>
    </w:p>
  </w:footnote>
  <w:footnote w:id="16">
    <w:p w14:paraId="4319F631" w14:textId="195260C8" w:rsidR="00C21462" w:rsidRDefault="00C21462">
      <w:pPr>
        <w:pStyle w:val="FootnoteText"/>
      </w:pPr>
      <w:r w:rsidRPr="000E4C06">
        <w:rPr>
          <w:rStyle w:val="FootnoteReference"/>
          <w:sz w:val="18"/>
          <w:szCs w:val="18"/>
        </w:rPr>
        <w:footnoteRef/>
      </w:r>
      <w:r w:rsidRPr="000E4C06">
        <w:rPr>
          <w:sz w:val="18"/>
          <w:szCs w:val="18"/>
        </w:rPr>
        <w:t xml:space="preserve"> = </w:t>
      </w:r>
      <w:r w:rsidR="00BE4566">
        <w:rPr>
          <w:sz w:val="18"/>
          <w:szCs w:val="18"/>
        </w:rPr>
        <w:t>77.5</w:t>
      </w:r>
      <w:r w:rsidRPr="000E4C06">
        <w:rPr>
          <w:sz w:val="18"/>
          <w:szCs w:val="18"/>
        </w:rPr>
        <w:t>% x 330</w:t>
      </w:r>
    </w:p>
  </w:footnote>
  <w:footnote w:id="17">
    <w:p w14:paraId="212E89AC" w14:textId="77777777" w:rsidR="00364D5B" w:rsidRPr="000E4C06" w:rsidRDefault="00364D5B" w:rsidP="00364D5B">
      <w:pPr>
        <w:pStyle w:val="FootnoteText"/>
        <w:rPr>
          <w:sz w:val="18"/>
          <w:szCs w:val="18"/>
          <w:lang w:val="en-US"/>
        </w:rPr>
      </w:pPr>
      <w:r w:rsidRPr="000E4C06">
        <w:rPr>
          <w:rStyle w:val="FootnoteReference"/>
          <w:sz w:val="18"/>
          <w:szCs w:val="18"/>
        </w:rPr>
        <w:footnoteRef/>
      </w:r>
      <w:r w:rsidRPr="000E4C06">
        <w:rPr>
          <w:sz w:val="18"/>
          <w:szCs w:val="18"/>
        </w:rPr>
        <w:t xml:space="preserve"> </w:t>
      </w:r>
      <w:r w:rsidRPr="000E4C06">
        <w:rPr>
          <w:sz w:val="18"/>
          <w:szCs w:val="18"/>
          <w:lang w:val="en-US"/>
        </w:rPr>
        <w:t>While lebrikizumab has received a positive PBAC recommendation, it has not progressed to listing on the PBS and therefore has not been included.</w:t>
      </w:r>
    </w:p>
  </w:footnote>
  <w:footnote w:id="18">
    <w:p w14:paraId="116444CF" w14:textId="77777777" w:rsidR="00364D5B" w:rsidRPr="000E4C06" w:rsidRDefault="00364D5B" w:rsidP="00364D5B">
      <w:pPr>
        <w:pStyle w:val="FootnoteText"/>
        <w:rPr>
          <w:sz w:val="18"/>
          <w:szCs w:val="18"/>
          <w:lang w:val="en-US"/>
        </w:rPr>
      </w:pPr>
      <w:r w:rsidRPr="000E4C06">
        <w:rPr>
          <w:rStyle w:val="FootnoteReference"/>
          <w:sz w:val="18"/>
          <w:szCs w:val="18"/>
        </w:rPr>
        <w:footnoteRef/>
      </w:r>
      <w:r w:rsidRPr="000E4C06">
        <w:rPr>
          <w:sz w:val="18"/>
          <w:szCs w:val="18"/>
        </w:rPr>
        <w:t xml:space="preserve"> </w:t>
      </w:r>
      <w:r w:rsidRPr="000E4C06">
        <w:rPr>
          <w:sz w:val="18"/>
          <w:szCs w:val="18"/>
          <w:lang w:val="en-US"/>
        </w:rPr>
        <w:t>The duration of the CMA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6808" w14:textId="74FCFD6F" w:rsidR="0045153C" w:rsidRDefault="001A2A62">
    <w:pPr>
      <w:pStyle w:val="Header"/>
    </w:pPr>
    <w:r>
      <w:rPr>
        <w:noProof/>
      </w:rPr>
      <mc:AlternateContent>
        <mc:Choice Requires="wps">
          <w:drawing>
            <wp:anchor distT="0" distB="0" distL="0" distR="0" simplePos="0" relativeHeight="251660292" behindDoc="0" locked="0" layoutInCell="1" allowOverlap="1" wp14:anchorId="28938D1A" wp14:editId="3D166394">
              <wp:simplePos x="635" y="635"/>
              <wp:positionH relativeFrom="page">
                <wp:align>center</wp:align>
              </wp:positionH>
              <wp:positionV relativeFrom="page">
                <wp:align>top</wp:align>
              </wp:positionV>
              <wp:extent cx="622300" cy="376555"/>
              <wp:effectExtent l="0" t="0" r="6350" b="4445"/>
              <wp:wrapNone/>
              <wp:docPr id="3456157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2F7492" w14:textId="7F98017E"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38D1A"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82F7492" w14:textId="7F98017E"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F8AD" w14:textId="64997430" w:rsidR="0045153C" w:rsidRDefault="001A2A62">
    <w:pPr>
      <w:pStyle w:val="Header"/>
    </w:pPr>
    <w:r>
      <w:rPr>
        <w:noProof/>
      </w:rPr>
      <mc:AlternateContent>
        <mc:Choice Requires="wps">
          <w:drawing>
            <wp:anchor distT="0" distB="0" distL="0" distR="0" simplePos="0" relativeHeight="251661316" behindDoc="0" locked="0" layoutInCell="1" allowOverlap="1" wp14:anchorId="33B1C42E" wp14:editId="4061A3E2">
              <wp:simplePos x="635" y="635"/>
              <wp:positionH relativeFrom="page">
                <wp:align>center</wp:align>
              </wp:positionH>
              <wp:positionV relativeFrom="page">
                <wp:align>top</wp:align>
              </wp:positionV>
              <wp:extent cx="622300" cy="376555"/>
              <wp:effectExtent l="0" t="0" r="6350" b="4445"/>
              <wp:wrapNone/>
              <wp:docPr id="10053681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58ED72" w14:textId="649A2493"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B1C42E"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E58ED72" w14:textId="649A2493"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v:textbox>
              <w10:wrap anchorx="page" anchory="page"/>
            </v:shape>
          </w:pict>
        </mc:Fallback>
      </mc:AlternateContent>
    </w:r>
    <w:r w:rsidR="004565FF">
      <w:t>Public Summary Document</w:t>
    </w:r>
    <w:r w:rsidR="00F67F81">
      <w:t xml:space="preserve"> – March 2026 PBAC Meeting</w:t>
    </w:r>
  </w:p>
  <w:p w14:paraId="1751F62D" w14:textId="0CC3F139" w:rsidR="00B10BD6" w:rsidRDefault="00B10BD6">
    <w:pPr>
      <w:pStyle w:val="Header"/>
    </w:pPr>
  </w:p>
  <w:p w14:paraId="71A7532D" w14:textId="77777777" w:rsidR="00B10BD6" w:rsidRDefault="00B10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88A3" w14:textId="306EE0FD" w:rsidR="0045153C" w:rsidRDefault="001A2A62">
    <w:pPr>
      <w:pStyle w:val="Header"/>
    </w:pPr>
    <w:r>
      <w:rPr>
        <w:noProof/>
      </w:rPr>
      <mc:AlternateContent>
        <mc:Choice Requires="wps">
          <w:drawing>
            <wp:anchor distT="0" distB="0" distL="0" distR="0" simplePos="0" relativeHeight="251659268" behindDoc="0" locked="0" layoutInCell="1" allowOverlap="1" wp14:anchorId="28BA1776" wp14:editId="24F3355A">
              <wp:simplePos x="635" y="635"/>
              <wp:positionH relativeFrom="page">
                <wp:align>center</wp:align>
              </wp:positionH>
              <wp:positionV relativeFrom="page">
                <wp:align>top</wp:align>
              </wp:positionV>
              <wp:extent cx="622300" cy="376555"/>
              <wp:effectExtent l="0" t="0" r="6350" b="4445"/>
              <wp:wrapNone/>
              <wp:docPr id="8462608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83888F" w14:textId="681A8D18"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A1776"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383888F" w14:textId="681A8D18" w:rsidR="001A2A62" w:rsidRPr="001A2A62" w:rsidRDefault="001A2A62" w:rsidP="001A2A62">
                    <w:pPr>
                      <w:rPr>
                        <w:rFonts w:ascii="Aptos" w:eastAsia="Aptos" w:hAnsi="Aptos" w:cs="Aptos"/>
                        <w:noProof/>
                        <w:color w:val="FF0000"/>
                      </w:rPr>
                    </w:pPr>
                    <w:r w:rsidRPr="001A2A62">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219F8"/>
    <w:multiLevelType w:val="hybridMultilevel"/>
    <w:tmpl w:val="6CA0CEB4"/>
    <w:lvl w:ilvl="0" w:tplc="4F38898A">
      <w:start w:val="1"/>
      <w:numFmt w:val="bullet"/>
      <w:pStyle w:val="COMESmainissues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844058C"/>
    <w:multiLevelType w:val="hybridMultilevel"/>
    <w:tmpl w:val="22EE6F2A"/>
    <w:lvl w:ilvl="0" w:tplc="FFFFFFFF">
      <w:start w:val="1"/>
      <w:numFmt w:val="lowerRoman"/>
      <w:lvlText w:val="(%1)"/>
      <w:lvlJc w:val="left"/>
      <w:pPr>
        <w:ind w:left="1080" w:hanging="720"/>
      </w:pPr>
      <w:rPr>
        <w:rFonts w:eastAsia="Calibri"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346AD7"/>
    <w:multiLevelType w:val="hybridMultilevel"/>
    <w:tmpl w:val="71A65F8E"/>
    <w:lvl w:ilvl="0" w:tplc="CFBE442A">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31B4B45"/>
    <w:multiLevelType w:val="hybridMultilevel"/>
    <w:tmpl w:val="FE64C87A"/>
    <w:lvl w:ilvl="0" w:tplc="7DB86012">
      <w:start w:val="1"/>
      <w:numFmt w:val="lowerRoman"/>
      <w:lvlText w:val="(%1)"/>
      <w:lvlJc w:val="left"/>
      <w:pPr>
        <w:ind w:left="1080" w:hanging="720"/>
      </w:pPr>
      <w:rPr>
        <w:rFonts w:eastAsia="Calibri" w:hint="default"/>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20B6ECC"/>
    <w:multiLevelType w:val="hybridMultilevel"/>
    <w:tmpl w:val="C23E7B90"/>
    <w:lvl w:ilvl="0" w:tplc="ED1E5F1E">
      <w:start w:val="1"/>
      <w:numFmt w:val="bullet"/>
      <w:pStyle w:val="NormalBullets"/>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cs="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D3B65"/>
    <w:multiLevelType w:val="hybridMultilevel"/>
    <w:tmpl w:val="63AC1200"/>
    <w:lvl w:ilvl="0" w:tplc="1076D224">
      <w:start w:val="1"/>
      <w:numFmt w:val="lowerRoman"/>
      <w:lvlText w:val="(%1)"/>
      <w:lvlJc w:val="left"/>
      <w:pPr>
        <w:ind w:left="1080" w:hanging="720"/>
      </w:pPr>
      <w:rPr>
        <w:rFonts w:eastAsia="Calibri" w:hint="default"/>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E402B1"/>
    <w:multiLevelType w:val="hybridMultilevel"/>
    <w:tmpl w:val="D28824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10619E3"/>
    <w:multiLevelType w:val="hybridMultilevel"/>
    <w:tmpl w:val="8F845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6787731C"/>
    <w:multiLevelType w:val="multilevel"/>
    <w:tmpl w:val="2B6C3142"/>
    <w:lvl w:ilvl="0">
      <w:start w:val="1"/>
      <w:numFmt w:val="bullet"/>
      <w:lvlText w:val=""/>
      <w:lvlJc w:val="left"/>
      <w:pPr>
        <w:ind w:left="1440" w:hanging="720"/>
      </w:pPr>
      <w:rPr>
        <w:rFonts w:ascii="Symbol" w:hAnsi="Symbol" w:hint="default"/>
        <w:b/>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69884BFE"/>
    <w:multiLevelType w:val="hybridMultilevel"/>
    <w:tmpl w:val="42E6BC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C402041"/>
    <w:multiLevelType w:val="hybridMultilevel"/>
    <w:tmpl w:val="22EE6F2A"/>
    <w:lvl w:ilvl="0" w:tplc="FFFFFFFF">
      <w:start w:val="1"/>
      <w:numFmt w:val="lowerRoman"/>
      <w:lvlText w:val="(%1)"/>
      <w:lvlJc w:val="left"/>
      <w:pPr>
        <w:ind w:left="1080" w:hanging="720"/>
      </w:pPr>
      <w:rPr>
        <w:rFonts w:eastAsia="Calibri"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00662B"/>
    <w:multiLevelType w:val="hybridMultilevel"/>
    <w:tmpl w:val="BA141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94726E3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17793048">
    <w:abstractNumId w:val="6"/>
  </w:num>
  <w:num w:numId="2" w16cid:durableId="263461728">
    <w:abstractNumId w:val="0"/>
  </w:num>
  <w:num w:numId="3" w16cid:durableId="220360847">
    <w:abstractNumId w:val="10"/>
  </w:num>
  <w:num w:numId="4" w16cid:durableId="268196418">
    <w:abstractNumId w:val="3"/>
  </w:num>
  <w:num w:numId="5" w16cid:durableId="1048839230">
    <w:abstractNumId w:val="15"/>
  </w:num>
  <w:num w:numId="6" w16cid:durableId="817767037">
    <w:abstractNumId w:val="9"/>
  </w:num>
  <w:num w:numId="7" w16cid:durableId="1096899493">
    <w:abstractNumId w:val="11"/>
  </w:num>
  <w:num w:numId="8" w16cid:durableId="541865302">
    <w:abstractNumId w:val="8"/>
  </w:num>
  <w:num w:numId="9" w16cid:durableId="699670866">
    <w:abstractNumId w:val="14"/>
  </w:num>
  <w:num w:numId="10" w16cid:durableId="1072002178">
    <w:abstractNumId w:val="5"/>
  </w:num>
  <w:num w:numId="11" w16cid:durableId="1805807961">
    <w:abstractNumId w:val="2"/>
  </w:num>
  <w:num w:numId="12" w16cid:durableId="441346890">
    <w:abstractNumId w:val="13"/>
  </w:num>
  <w:num w:numId="13" w16cid:durableId="1681078653">
    <w:abstractNumId w:val="1"/>
  </w:num>
  <w:num w:numId="14" w16cid:durableId="1867939192">
    <w:abstractNumId w:val="4"/>
  </w:num>
  <w:num w:numId="15" w16cid:durableId="574751668">
    <w:abstractNumId w:val="7"/>
  </w:num>
  <w:num w:numId="16" w16cid:durableId="115560678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286C"/>
    <w:rsid w:val="00002E56"/>
    <w:rsid w:val="00003499"/>
    <w:rsid w:val="00003717"/>
    <w:rsid w:val="000039B7"/>
    <w:rsid w:val="00004170"/>
    <w:rsid w:val="00004289"/>
    <w:rsid w:val="000056B9"/>
    <w:rsid w:val="00005973"/>
    <w:rsid w:val="00005BAA"/>
    <w:rsid w:val="00006269"/>
    <w:rsid w:val="0000639A"/>
    <w:rsid w:val="0000640A"/>
    <w:rsid w:val="00007A79"/>
    <w:rsid w:val="00011B94"/>
    <w:rsid w:val="0001308A"/>
    <w:rsid w:val="00013247"/>
    <w:rsid w:val="00014A86"/>
    <w:rsid w:val="00015886"/>
    <w:rsid w:val="000162EF"/>
    <w:rsid w:val="000164E1"/>
    <w:rsid w:val="000207C9"/>
    <w:rsid w:val="000208E7"/>
    <w:rsid w:val="00020D40"/>
    <w:rsid w:val="0002225F"/>
    <w:rsid w:val="00022460"/>
    <w:rsid w:val="00022AEF"/>
    <w:rsid w:val="00022B47"/>
    <w:rsid w:val="00022B91"/>
    <w:rsid w:val="00023763"/>
    <w:rsid w:val="00024541"/>
    <w:rsid w:val="00024EB5"/>
    <w:rsid w:val="000254D8"/>
    <w:rsid w:val="00025553"/>
    <w:rsid w:val="0002628E"/>
    <w:rsid w:val="000274B8"/>
    <w:rsid w:val="000276AF"/>
    <w:rsid w:val="00027931"/>
    <w:rsid w:val="00030BF1"/>
    <w:rsid w:val="0003157F"/>
    <w:rsid w:val="0003165D"/>
    <w:rsid w:val="00032BE8"/>
    <w:rsid w:val="00033863"/>
    <w:rsid w:val="000339F6"/>
    <w:rsid w:val="000339FA"/>
    <w:rsid w:val="00033B05"/>
    <w:rsid w:val="00033CF7"/>
    <w:rsid w:val="0003505A"/>
    <w:rsid w:val="000359F9"/>
    <w:rsid w:val="00035DC0"/>
    <w:rsid w:val="00036829"/>
    <w:rsid w:val="000375A5"/>
    <w:rsid w:val="000403BB"/>
    <w:rsid w:val="00040895"/>
    <w:rsid w:val="000410A0"/>
    <w:rsid w:val="00041288"/>
    <w:rsid w:val="000414EC"/>
    <w:rsid w:val="00041C43"/>
    <w:rsid w:val="00042C6B"/>
    <w:rsid w:val="000435EE"/>
    <w:rsid w:val="00043C37"/>
    <w:rsid w:val="00044E54"/>
    <w:rsid w:val="00045017"/>
    <w:rsid w:val="000451ED"/>
    <w:rsid w:val="00045368"/>
    <w:rsid w:val="00045A2B"/>
    <w:rsid w:val="0004698F"/>
    <w:rsid w:val="00046D64"/>
    <w:rsid w:val="00047159"/>
    <w:rsid w:val="000474A0"/>
    <w:rsid w:val="0005059D"/>
    <w:rsid w:val="000508C2"/>
    <w:rsid w:val="000519CF"/>
    <w:rsid w:val="00053896"/>
    <w:rsid w:val="000539D0"/>
    <w:rsid w:val="00053A11"/>
    <w:rsid w:val="00054621"/>
    <w:rsid w:val="000546D7"/>
    <w:rsid w:val="00054A8D"/>
    <w:rsid w:val="000550DD"/>
    <w:rsid w:val="00055598"/>
    <w:rsid w:val="0005559F"/>
    <w:rsid w:val="00055E0F"/>
    <w:rsid w:val="000566AB"/>
    <w:rsid w:val="00056ECF"/>
    <w:rsid w:val="00057FED"/>
    <w:rsid w:val="000604DF"/>
    <w:rsid w:val="00062324"/>
    <w:rsid w:val="0006282A"/>
    <w:rsid w:val="000633C7"/>
    <w:rsid w:val="0006352E"/>
    <w:rsid w:val="00063C6A"/>
    <w:rsid w:val="000646EC"/>
    <w:rsid w:val="000653B5"/>
    <w:rsid w:val="00065EDF"/>
    <w:rsid w:val="00066360"/>
    <w:rsid w:val="00066409"/>
    <w:rsid w:val="00066753"/>
    <w:rsid w:val="00066AEB"/>
    <w:rsid w:val="00066AF8"/>
    <w:rsid w:val="000677EC"/>
    <w:rsid w:val="00067E67"/>
    <w:rsid w:val="00070163"/>
    <w:rsid w:val="00071248"/>
    <w:rsid w:val="00071A4C"/>
    <w:rsid w:val="00072073"/>
    <w:rsid w:val="000720B9"/>
    <w:rsid w:val="000737F7"/>
    <w:rsid w:val="00074056"/>
    <w:rsid w:val="00074F4E"/>
    <w:rsid w:val="00075260"/>
    <w:rsid w:val="000757E3"/>
    <w:rsid w:val="000763E2"/>
    <w:rsid w:val="0007672F"/>
    <w:rsid w:val="00076B54"/>
    <w:rsid w:val="000774F0"/>
    <w:rsid w:val="000775AE"/>
    <w:rsid w:val="00077B7C"/>
    <w:rsid w:val="000806AC"/>
    <w:rsid w:val="00080909"/>
    <w:rsid w:val="000812CA"/>
    <w:rsid w:val="00081E63"/>
    <w:rsid w:val="0008258D"/>
    <w:rsid w:val="00082784"/>
    <w:rsid w:val="00082B88"/>
    <w:rsid w:val="00083E4A"/>
    <w:rsid w:val="00083E99"/>
    <w:rsid w:val="00084C57"/>
    <w:rsid w:val="00084FA8"/>
    <w:rsid w:val="000856C5"/>
    <w:rsid w:val="000859FA"/>
    <w:rsid w:val="00085C31"/>
    <w:rsid w:val="00086166"/>
    <w:rsid w:val="00087150"/>
    <w:rsid w:val="000873D9"/>
    <w:rsid w:val="000878B9"/>
    <w:rsid w:val="00087BB5"/>
    <w:rsid w:val="000902D9"/>
    <w:rsid w:val="00090989"/>
    <w:rsid w:val="00090C7E"/>
    <w:rsid w:val="000911AC"/>
    <w:rsid w:val="00092600"/>
    <w:rsid w:val="0009262B"/>
    <w:rsid w:val="00092D8F"/>
    <w:rsid w:val="00093310"/>
    <w:rsid w:val="0009426F"/>
    <w:rsid w:val="000942F1"/>
    <w:rsid w:val="0009445C"/>
    <w:rsid w:val="00094AD3"/>
    <w:rsid w:val="00094E10"/>
    <w:rsid w:val="00095200"/>
    <w:rsid w:val="00095894"/>
    <w:rsid w:val="00095FE5"/>
    <w:rsid w:val="00096284"/>
    <w:rsid w:val="000969CE"/>
    <w:rsid w:val="00097FA5"/>
    <w:rsid w:val="000A06B1"/>
    <w:rsid w:val="000A07DB"/>
    <w:rsid w:val="000A1269"/>
    <w:rsid w:val="000A1BC0"/>
    <w:rsid w:val="000A2239"/>
    <w:rsid w:val="000A2793"/>
    <w:rsid w:val="000A2F9E"/>
    <w:rsid w:val="000A3C69"/>
    <w:rsid w:val="000A3E47"/>
    <w:rsid w:val="000A4AD4"/>
    <w:rsid w:val="000A522B"/>
    <w:rsid w:val="000A5F88"/>
    <w:rsid w:val="000A6039"/>
    <w:rsid w:val="000A61D0"/>
    <w:rsid w:val="000A65C3"/>
    <w:rsid w:val="000A6DA5"/>
    <w:rsid w:val="000A734A"/>
    <w:rsid w:val="000A7453"/>
    <w:rsid w:val="000A7C1D"/>
    <w:rsid w:val="000A7D08"/>
    <w:rsid w:val="000A7F5F"/>
    <w:rsid w:val="000A7F79"/>
    <w:rsid w:val="000B0121"/>
    <w:rsid w:val="000B03C6"/>
    <w:rsid w:val="000B03D7"/>
    <w:rsid w:val="000B056E"/>
    <w:rsid w:val="000B0670"/>
    <w:rsid w:val="000B0BBA"/>
    <w:rsid w:val="000B0E75"/>
    <w:rsid w:val="000B13E2"/>
    <w:rsid w:val="000B2DCB"/>
    <w:rsid w:val="000B3283"/>
    <w:rsid w:val="000B3C2E"/>
    <w:rsid w:val="000B446A"/>
    <w:rsid w:val="000B4C80"/>
    <w:rsid w:val="000B5CE0"/>
    <w:rsid w:val="000B6CAC"/>
    <w:rsid w:val="000B6F0F"/>
    <w:rsid w:val="000B7612"/>
    <w:rsid w:val="000B78AE"/>
    <w:rsid w:val="000B7B6B"/>
    <w:rsid w:val="000B7E1A"/>
    <w:rsid w:val="000B7FB1"/>
    <w:rsid w:val="000C062A"/>
    <w:rsid w:val="000C0B12"/>
    <w:rsid w:val="000C1521"/>
    <w:rsid w:val="000C1C3C"/>
    <w:rsid w:val="000C2147"/>
    <w:rsid w:val="000C22C5"/>
    <w:rsid w:val="000C34CD"/>
    <w:rsid w:val="000C379B"/>
    <w:rsid w:val="000C3BF2"/>
    <w:rsid w:val="000C3C63"/>
    <w:rsid w:val="000C3CC5"/>
    <w:rsid w:val="000C3DF9"/>
    <w:rsid w:val="000C4685"/>
    <w:rsid w:val="000C4CF2"/>
    <w:rsid w:val="000C5FBA"/>
    <w:rsid w:val="000C6259"/>
    <w:rsid w:val="000C6713"/>
    <w:rsid w:val="000C702F"/>
    <w:rsid w:val="000D0885"/>
    <w:rsid w:val="000D1B7C"/>
    <w:rsid w:val="000D1BFC"/>
    <w:rsid w:val="000D1D5D"/>
    <w:rsid w:val="000D281A"/>
    <w:rsid w:val="000D2848"/>
    <w:rsid w:val="000D326A"/>
    <w:rsid w:val="000D3B1C"/>
    <w:rsid w:val="000D3C2F"/>
    <w:rsid w:val="000D420E"/>
    <w:rsid w:val="000D47DA"/>
    <w:rsid w:val="000D51FB"/>
    <w:rsid w:val="000D58AB"/>
    <w:rsid w:val="000E0640"/>
    <w:rsid w:val="000E0C37"/>
    <w:rsid w:val="000E0E85"/>
    <w:rsid w:val="000E135D"/>
    <w:rsid w:val="000E24D0"/>
    <w:rsid w:val="000E2A8F"/>
    <w:rsid w:val="000E2D36"/>
    <w:rsid w:val="000E2E5B"/>
    <w:rsid w:val="000E3AF4"/>
    <w:rsid w:val="000E3DD9"/>
    <w:rsid w:val="000E4C06"/>
    <w:rsid w:val="000E4C47"/>
    <w:rsid w:val="000E5BF0"/>
    <w:rsid w:val="000E5C22"/>
    <w:rsid w:val="000E6FDA"/>
    <w:rsid w:val="000E7FAE"/>
    <w:rsid w:val="000F00BA"/>
    <w:rsid w:val="000F045F"/>
    <w:rsid w:val="000F0D7A"/>
    <w:rsid w:val="000F0F8B"/>
    <w:rsid w:val="000F2A2D"/>
    <w:rsid w:val="000F2F3C"/>
    <w:rsid w:val="000F316A"/>
    <w:rsid w:val="000F322E"/>
    <w:rsid w:val="000F32D5"/>
    <w:rsid w:val="000F33B9"/>
    <w:rsid w:val="000F3C74"/>
    <w:rsid w:val="000F437F"/>
    <w:rsid w:val="000F467B"/>
    <w:rsid w:val="000F4BB8"/>
    <w:rsid w:val="000F4F17"/>
    <w:rsid w:val="000F4FA9"/>
    <w:rsid w:val="000F51A0"/>
    <w:rsid w:val="000F53FB"/>
    <w:rsid w:val="000F592E"/>
    <w:rsid w:val="000F6500"/>
    <w:rsid w:val="000F6651"/>
    <w:rsid w:val="000F6C88"/>
    <w:rsid w:val="000F7127"/>
    <w:rsid w:val="000F76D9"/>
    <w:rsid w:val="000F7B54"/>
    <w:rsid w:val="001000B3"/>
    <w:rsid w:val="001001C8"/>
    <w:rsid w:val="00100F8A"/>
    <w:rsid w:val="0010130E"/>
    <w:rsid w:val="00101807"/>
    <w:rsid w:val="001019E1"/>
    <w:rsid w:val="00102C81"/>
    <w:rsid w:val="0010317A"/>
    <w:rsid w:val="0010333E"/>
    <w:rsid w:val="00103CA6"/>
    <w:rsid w:val="00103E48"/>
    <w:rsid w:val="0010452E"/>
    <w:rsid w:val="00104E74"/>
    <w:rsid w:val="00105685"/>
    <w:rsid w:val="00105AE2"/>
    <w:rsid w:val="00105D9C"/>
    <w:rsid w:val="001060C6"/>
    <w:rsid w:val="00106B80"/>
    <w:rsid w:val="0011032E"/>
    <w:rsid w:val="00110CD2"/>
    <w:rsid w:val="001113E7"/>
    <w:rsid w:val="00111987"/>
    <w:rsid w:val="001124AE"/>
    <w:rsid w:val="00112529"/>
    <w:rsid w:val="0011348B"/>
    <w:rsid w:val="00115982"/>
    <w:rsid w:val="00115BCC"/>
    <w:rsid w:val="0011692A"/>
    <w:rsid w:val="00116C53"/>
    <w:rsid w:val="00117345"/>
    <w:rsid w:val="001177BB"/>
    <w:rsid w:val="00121799"/>
    <w:rsid w:val="00121BF9"/>
    <w:rsid w:val="001222FC"/>
    <w:rsid w:val="001223A5"/>
    <w:rsid w:val="00123902"/>
    <w:rsid w:val="00124A51"/>
    <w:rsid w:val="00126621"/>
    <w:rsid w:val="001267A8"/>
    <w:rsid w:val="00126844"/>
    <w:rsid w:val="00126B1D"/>
    <w:rsid w:val="001301E9"/>
    <w:rsid w:val="00130247"/>
    <w:rsid w:val="00130BB8"/>
    <w:rsid w:val="00131D82"/>
    <w:rsid w:val="001329B1"/>
    <w:rsid w:val="00132A76"/>
    <w:rsid w:val="00132B22"/>
    <w:rsid w:val="00132BA2"/>
    <w:rsid w:val="001337AC"/>
    <w:rsid w:val="00133D36"/>
    <w:rsid w:val="0013491F"/>
    <w:rsid w:val="00134F2C"/>
    <w:rsid w:val="0013552B"/>
    <w:rsid w:val="001367F6"/>
    <w:rsid w:val="001368E5"/>
    <w:rsid w:val="00136CDC"/>
    <w:rsid w:val="00136F23"/>
    <w:rsid w:val="00137645"/>
    <w:rsid w:val="0014015A"/>
    <w:rsid w:val="00140E99"/>
    <w:rsid w:val="00141FA5"/>
    <w:rsid w:val="001438C9"/>
    <w:rsid w:val="00143993"/>
    <w:rsid w:val="00143F67"/>
    <w:rsid w:val="00145234"/>
    <w:rsid w:val="00145540"/>
    <w:rsid w:val="001456B0"/>
    <w:rsid w:val="00145E06"/>
    <w:rsid w:val="00145E6B"/>
    <w:rsid w:val="001460BE"/>
    <w:rsid w:val="001468B7"/>
    <w:rsid w:val="001469A4"/>
    <w:rsid w:val="00147331"/>
    <w:rsid w:val="0015016F"/>
    <w:rsid w:val="00150189"/>
    <w:rsid w:val="001504C8"/>
    <w:rsid w:val="00150DDE"/>
    <w:rsid w:val="00152058"/>
    <w:rsid w:val="00152810"/>
    <w:rsid w:val="0015440B"/>
    <w:rsid w:val="001547A5"/>
    <w:rsid w:val="001547AB"/>
    <w:rsid w:val="00154997"/>
    <w:rsid w:val="001551E9"/>
    <w:rsid w:val="00155D2B"/>
    <w:rsid w:val="00156762"/>
    <w:rsid w:val="00156846"/>
    <w:rsid w:val="00156F8F"/>
    <w:rsid w:val="00157130"/>
    <w:rsid w:val="00157350"/>
    <w:rsid w:val="001576B1"/>
    <w:rsid w:val="001578BD"/>
    <w:rsid w:val="00160371"/>
    <w:rsid w:val="0016047B"/>
    <w:rsid w:val="00160A4C"/>
    <w:rsid w:val="0016264A"/>
    <w:rsid w:val="00162772"/>
    <w:rsid w:val="00162913"/>
    <w:rsid w:val="00162968"/>
    <w:rsid w:val="0016367A"/>
    <w:rsid w:val="00163EFF"/>
    <w:rsid w:val="00163F66"/>
    <w:rsid w:val="00164330"/>
    <w:rsid w:val="0016478E"/>
    <w:rsid w:val="00164E18"/>
    <w:rsid w:val="0016502C"/>
    <w:rsid w:val="00165E7E"/>
    <w:rsid w:val="00165EC4"/>
    <w:rsid w:val="001661FB"/>
    <w:rsid w:val="00166F67"/>
    <w:rsid w:val="001671A0"/>
    <w:rsid w:val="001672D9"/>
    <w:rsid w:val="0016767F"/>
    <w:rsid w:val="00167777"/>
    <w:rsid w:val="00167DF7"/>
    <w:rsid w:val="00170AB5"/>
    <w:rsid w:val="00173029"/>
    <w:rsid w:val="00173565"/>
    <w:rsid w:val="00173630"/>
    <w:rsid w:val="00173B07"/>
    <w:rsid w:val="00173F0E"/>
    <w:rsid w:val="00174B93"/>
    <w:rsid w:val="001751FA"/>
    <w:rsid w:val="00175F1E"/>
    <w:rsid w:val="00177933"/>
    <w:rsid w:val="00180014"/>
    <w:rsid w:val="001803B3"/>
    <w:rsid w:val="00180625"/>
    <w:rsid w:val="00180826"/>
    <w:rsid w:val="00181C10"/>
    <w:rsid w:val="00181D9C"/>
    <w:rsid w:val="00182283"/>
    <w:rsid w:val="001826F4"/>
    <w:rsid w:val="001829F4"/>
    <w:rsid w:val="00183320"/>
    <w:rsid w:val="001837FF"/>
    <w:rsid w:val="00183E42"/>
    <w:rsid w:val="00184011"/>
    <w:rsid w:val="0018468F"/>
    <w:rsid w:val="001849FE"/>
    <w:rsid w:val="00184B0E"/>
    <w:rsid w:val="00185AAB"/>
    <w:rsid w:val="00186004"/>
    <w:rsid w:val="00186462"/>
    <w:rsid w:val="0018752F"/>
    <w:rsid w:val="00187766"/>
    <w:rsid w:val="001904CD"/>
    <w:rsid w:val="00190531"/>
    <w:rsid w:val="00190951"/>
    <w:rsid w:val="00190C96"/>
    <w:rsid w:val="001928C7"/>
    <w:rsid w:val="00192CB7"/>
    <w:rsid w:val="001932E7"/>
    <w:rsid w:val="00193838"/>
    <w:rsid w:val="00193853"/>
    <w:rsid w:val="001948D1"/>
    <w:rsid w:val="00194AD8"/>
    <w:rsid w:val="00195222"/>
    <w:rsid w:val="00195452"/>
    <w:rsid w:val="0019613A"/>
    <w:rsid w:val="00197201"/>
    <w:rsid w:val="00197425"/>
    <w:rsid w:val="001975D8"/>
    <w:rsid w:val="001975FF"/>
    <w:rsid w:val="00197BFE"/>
    <w:rsid w:val="001A1682"/>
    <w:rsid w:val="001A178E"/>
    <w:rsid w:val="001A1E53"/>
    <w:rsid w:val="001A29E0"/>
    <w:rsid w:val="001A2A62"/>
    <w:rsid w:val="001A2DE5"/>
    <w:rsid w:val="001A43FA"/>
    <w:rsid w:val="001A47C5"/>
    <w:rsid w:val="001A4FC0"/>
    <w:rsid w:val="001A59FB"/>
    <w:rsid w:val="001A5E9E"/>
    <w:rsid w:val="001A6354"/>
    <w:rsid w:val="001A6366"/>
    <w:rsid w:val="001A7AE8"/>
    <w:rsid w:val="001A7DEC"/>
    <w:rsid w:val="001B0224"/>
    <w:rsid w:val="001B0B28"/>
    <w:rsid w:val="001B13B6"/>
    <w:rsid w:val="001B204E"/>
    <w:rsid w:val="001B2372"/>
    <w:rsid w:val="001B3443"/>
    <w:rsid w:val="001B3E0A"/>
    <w:rsid w:val="001B3E31"/>
    <w:rsid w:val="001B402C"/>
    <w:rsid w:val="001B4569"/>
    <w:rsid w:val="001B4655"/>
    <w:rsid w:val="001B4C80"/>
    <w:rsid w:val="001B4D20"/>
    <w:rsid w:val="001B51A4"/>
    <w:rsid w:val="001B5612"/>
    <w:rsid w:val="001B57DF"/>
    <w:rsid w:val="001B58B1"/>
    <w:rsid w:val="001B5BA9"/>
    <w:rsid w:val="001B5C9B"/>
    <w:rsid w:val="001B5E5F"/>
    <w:rsid w:val="001B7F84"/>
    <w:rsid w:val="001C00C3"/>
    <w:rsid w:val="001C0DC4"/>
    <w:rsid w:val="001C16E0"/>
    <w:rsid w:val="001C189E"/>
    <w:rsid w:val="001C20C7"/>
    <w:rsid w:val="001C2A9B"/>
    <w:rsid w:val="001C3DD6"/>
    <w:rsid w:val="001C4299"/>
    <w:rsid w:val="001C4874"/>
    <w:rsid w:val="001C5DB4"/>
    <w:rsid w:val="001C5F94"/>
    <w:rsid w:val="001C623C"/>
    <w:rsid w:val="001C63B1"/>
    <w:rsid w:val="001C6837"/>
    <w:rsid w:val="001C6E66"/>
    <w:rsid w:val="001C6F4A"/>
    <w:rsid w:val="001C7553"/>
    <w:rsid w:val="001C7DC5"/>
    <w:rsid w:val="001D0810"/>
    <w:rsid w:val="001D0D20"/>
    <w:rsid w:val="001D1100"/>
    <w:rsid w:val="001D1391"/>
    <w:rsid w:val="001D15B1"/>
    <w:rsid w:val="001D19AD"/>
    <w:rsid w:val="001D2174"/>
    <w:rsid w:val="001D25D7"/>
    <w:rsid w:val="001D2EE1"/>
    <w:rsid w:val="001D4010"/>
    <w:rsid w:val="001D5066"/>
    <w:rsid w:val="001D50B2"/>
    <w:rsid w:val="001D5721"/>
    <w:rsid w:val="001D58FD"/>
    <w:rsid w:val="001D65DC"/>
    <w:rsid w:val="001D71F4"/>
    <w:rsid w:val="001D745C"/>
    <w:rsid w:val="001D7645"/>
    <w:rsid w:val="001D7BCE"/>
    <w:rsid w:val="001E002A"/>
    <w:rsid w:val="001E0555"/>
    <w:rsid w:val="001E0F1D"/>
    <w:rsid w:val="001E0FD8"/>
    <w:rsid w:val="001E1E86"/>
    <w:rsid w:val="001E1F30"/>
    <w:rsid w:val="001E224C"/>
    <w:rsid w:val="001E238E"/>
    <w:rsid w:val="001E2483"/>
    <w:rsid w:val="001E2B1E"/>
    <w:rsid w:val="001E2C6B"/>
    <w:rsid w:val="001E2CFF"/>
    <w:rsid w:val="001E2F24"/>
    <w:rsid w:val="001E30D4"/>
    <w:rsid w:val="001E34DF"/>
    <w:rsid w:val="001E48AB"/>
    <w:rsid w:val="001E4F88"/>
    <w:rsid w:val="001E51F9"/>
    <w:rsid w:val="001E52EB"/>
    <w:rsid w:val="001E61D2"/>
    <w:rsid w:val="001E65BA"/>
    <w:rsid w:val="001E6B15"/>
    <w:rsid w:val="001E6F31"/>
    <w:rsid w:val="001E7403"/>
    <w:rsid w:val="001E740C"/>
    <w:rsid w:val="001E7689"/>
    <w:rsid w:val="001F082E"/>
    <w:rsid w:val="001F1235"/>
    <w:rsid w:val="001F1CB3"/>
    <w:rsid w:val="001F220A"/>
    <w:rsid w:val="001F2E01"/>
    <w:rsid w:val="001F363B"/>
    <w:rsid w:val="001F38B5"/>
    <w:rsid w:val="001F3E71"/>
    <w:rsid w:val="001F4081"/>
    <w:rsid w:val="001F4925"/>
    <w:rsid w:val="001F4CFA"/>
    <w:rsid w:val="001F6306"/>
    <w:rsid w:val="001F63EE"/>
    <w:rsid w:val="001F6ADA"/>
    <w:rsid w:val="001F7361"/>
    <w:rsid w:val="001F7677"/>
    <w:rsid w:val="0020014D"/>
    <w:rsid w:val="002008DA"/>
    <w:rsid w:val="00200CBE"/>
    <w:rsid w:val="002011B0"/>
    <w:rsid w:val="002019CB"/>
    <w:rsid w:val="00203181"/>
    <w:rsid w:val="00203783"/>
    <w:rsid w:val="00203847"/>
    <w:rsid w:val="0020385F"/>
    <w:rsid w:val="00203DDD"/>
    <w:rsid w:val="00204A0D"/>
    <w:rsid w:val="0020507B"/>
    <w:rsid w:val="002050CF"/>
    <w:rsid w:val="00205F62"/>
    <w:rsid w:val="002062BB"/>
    <w:rsid w:val="002068A0"/>
    <w:rsid w:val="00206AB1"/>
    <w:rsid w:val="00207021"/>
    <w:rsid w:val="0020732F"/>
    <w:rsid w:val="00207D00"/>
    <w:rsid w:val="002105C1"/>
    <w:rsid w:val="0021111E"/>
    <w:rsid w:val="002115D3"/>
    <w:rsid w:val="002116FD"/>
    <w:rsid w:val="00211AC5"/>
    <w:rsid w:val="0021296E"/>
    <w:rsid w:val="00212FCB"/>
    <w:rsid w:val="00213EF5"/>
    <w:rsid w:val="002142E4"/>
    <w:rsid w:val="00214985"/>
    <w:rsid w:val="00214C6B"/>
    <w:rsid w:val="002154F2"/>
    <w:rsid w:val="00216AD9"/>
    <w:rsid w:val="00216BF5"/>
    <w:rsid w:val="00216F13"/>
    <w:rsid w:val="002174A7"/>
    <w:rsid w:val="00217DE2"/>
    <w:rsid w:val="002212F3"/>
    <w:rsid w:val="00221A13"/>
    <w:rsid w:val="00221CA5"/>
    <w:rsid w:val="00221E94"/>
    <w:rsid w:val="00223B49"/>
    <w:rsid w:val="00223D5A"/>
    <w:rsid w:val="00224280"/>
    <w:rsid w:val="00224DD4"/>
    <w:rsid w:val="002258A3"/>
    <w:rsid w:val="00225E37"/>
    <w:rsid w:val="00226626"/>
    <w:rsid w:val="0022668D"/>
    <w:rsid w:val="00226A59"/>
    <w:rsid w:val="002278A0"/>
    <w:rsid w:val="002309CC"/>
    <w:rsid w:val="00230B49"/>
    <w:rsid w:val="00231BA9"/>
    <w:rsid w:val="00231C0D"/>
    <w:rsid w:val="00231E8B"/>
    <w:rsid w:val="00231F8E"/>
    <w:rsid w:val="0023209F"/>
    <w:rsid w:val="002321BB"/>
    <w:rsid w:val="00232E2E"/>
    <w:rsid w:val="002331D6"/>
    <w:rsid w:val="00233A34"/>
    <w:rsid w:val="00233C01"/>
    <w:rsid w:val="0023413C"/>
    <w:rsid w:val="002346F0"/>
    <w:rsid w:val="00235320"/>
    <w:rsid w:val="00235462"/>
    <w:rsid w:val="00235560"/>
    <w:rsid w:val="0023629D"/>
    <w:rsid w:val="002366E0"/>
    <w:rsid w:val="00237255"/>
    <w:rsid w:val="00240CC5"/>
    <w:rsid w:val="00240EB2"/>
    <w:rsid w:val="00241358"/>
    <w:rsid w:val="0024239A"/>
    <w:rsid w:val="002424AF"/>
    <w:rsid w:val="002439DC"/>
    <w:rsid w:val="002441D2"/>
    <w:rsid w:val="00244DC8"/>
    <w:rsid w:val="00245808"/>
    <w:rsid w:val="002458BA"/>
    <w:rsid w:val="00245A1F"/>
    <w:rsid w:val="00245CE9"/>
    <w:rsid w:val="002461BE"/>
    <w:rsid w:val="0024636C"/>
    <w:rsid w:val="00247925"/>
    <w:rsid w:val="00250D99"/>
    <w:rsid w:val="00251006"/>
    <w:rsid w:val="002524D5"/>
    <w:rsid w:val="00253B1D"/>
    <w:rsid w:val="00253D6C"/>
    <w:rsid w:val="00253E99"/>
    <w:rsid w:val="00254297"/>
    <w:rsid w:val="0025429E"/>
    <w:rsid w:val="00254DCF"/>
    <w:rsid w:val="0025534B"/>
    <w:rsid w:val="00255A73"/>
    <w:rsid w:val="00255B5B"/>
    <w:rsid w:val="00255BB7"/>
    <w:rsid w:val="0025670E"/>
    <w:rsid w:val="002572D1"/>
    <w:rsid w:val="00257541"/>
    <w:rsid w:val="00257801"/>
    <w:rsid w:val="00257A39"/>
    <w:rsid w:val="00257AC4"/>
    <w:rsid w:val="00257BBE"/>
    <w:rsid w:val="00257EEF"/>
    <w:rsid w:val="002600B6"/>
    <w:rsid w:val="00260186"/>
    <w:rsid w:val="00260387"/>
    <w:rsid w:val="00260627"/>
    <w:rsid w:val="0026073C"/>
    <w:rsid w:val="00261EEF"/>
    <w:rsid w:val="0026202C"/>
    <w:rsid w:val="002620F6"/>
    <w:rsid w:val="00262A1A"/>
    <w:rsid w:val="00262A87"/>
    <w:rsid w:val="0026318D"/>
    <w:rsid w:val="00264249"/>
    <w:rsid w:val="0026493C"/>
    <w:rsid w:val="00264BB8"/>
    <w:rsid w:val="00264D26"/>
    <w:rsid w:val="00264FCC"/>
    <w:rsid w:val="00265C33"/>
    <w:rsid w:val="0026670C"/>
    <w:rsid w:val="00266BCF"/>
    <w:rsid w:val="00267007"/>
    <w:rsid w:val="00267290"/>
    <w:rsid w:val="00267642"/>
    <w:rsid w:val="00267AEA"/>
    <w:rsid w:val="002700E6"/>
    <w:rsid w:val="002702DE"/>
    <w:rsid w:val="00271430"/>
    <w:rsid w:val="00271949"/>
    <w:rsid w:val="0027294B"/>
    <w:rsid w:val="00273EB4"/>
    <w:rsid w:val="00274682"/>
    <w:rsid w:val="00274C15"/>
    <w:rsid w:val="00275158"/>
    <w:rsid w:val="002753BF"/>
    <w:rsid w:val="00275C15"/>
    <w:rsid w:val="00275C5A"/>
    <w:rsid w:val="0027611B"/>
    <w:rsid w:val="002770E4"/>
    <w:rsid w:val="002773F0"/>
    <w:rsid w:val="00280C52"/>
    <w:rsid w:val="00281014"/>
    <w:rsid w:val="002827A5"/>
    <w:rsid w:val="0028303A"/>
    <w:rsid w:val="00284233"/>
    <w:rsid w:val="0028458C"/>
    <w:rsid w:val="00285BCE"/>
    <w:rsid w:val="0028665D"/>
    <w:rsid w:val="002876F1"/>
    <w:rsid w:val="00287C6A"/>
    <w:rsid w:val="00290277"/>
    <w:rsid w:val="0029058C"/>
    <w:rsid w:val="00291FFF"/>
    <w:rsid w:val="002927AD"/>
    <w:rsid w:val="002940E0"/>
    <w:rsid w:val="002948F9"/>
    <w:rsid w:val="002951A9"/>
    <w:rsid w:val="0029541A"/>
    <w:rsid w:val="0029546F"/>
    <w:rsid w:val="00297A87"/>
    <w:rsid w:val="002A01FA"/>
    <w:rsid w:val="002A0CBB"/>
    <w:rsid w:val="002A14AB"/>
    <w:rsid w:val="002A17E1"/>
    <w:rsid w:val="002A289D"/>
    <w:rsid w:val="002A2ADE"/>
    <w:rsid w:val="002A2F50"/>
    <w:rsid w:val="002A382F"/>
    <w:rsid w:val="002A495D"/>
    <w:rsid w:val="002A4AF9"/>
    <w:rsid w:val="002A4E5D"/>
    <w:rsid w:val="002A5CD6"/>
    <w:rsid w:val="002A6E99"/>
    <w:rsid w:val="002A7943"/>
    <w:rsid w:val="002B0052"/>
    <w:rsid w:val="002B028B"/>
    <w:rsid w:val="002B02CE"/>
    <w:rsid w:val="002B05A1"/>
    <w:rsid w:val="002B0998"/>
    <w:rsid w:val="002B09A4"/>
    <w:rsid w:val="002B18D9"/>
    <w:rsid w:val="002B1C1F"/>
    <w:rsid w:val="002B210C"/>
    <w:rsid w:val="002B2780"/>
    <w:rsid w:val="002B3418"/>
    <w:rsid w:val="002B3838"/>
    <w:rsid w:val="002B3D69"/>
    <w:rsid w:val="002B432F"/>
    <w:rsid w:val="002B4A5E"/>
    <w:rsid w:val="002B5421"/>
    <w:rsid w:val="002B5584"/>
    <w:rsid w:val="002B62B3"/>
    <w:rsid w:val="002B6754"/>
    <w:rsid w:val="002B6CCE"/>
    <w:rsid w:val="002B7DC6"/>
    <w:rsid w:val="002C0856"/>
    <w:rsid w:val="002C0AB0"/>
    <w:rsid w:val="002C1EBD"/>
    <w:rsid w:val="002C2510"/>
    <w:rsid w:val="002C2775"/>
    <w:rsid w:val="002C27C1"/>
    <w:rsid w:val="002C2BED"/>
    <w:rsid w:val="002C36E3"/>
    <w:rsid w:val="002C5099"/>
    <w:rsid w:val="002C51A6"/>
    <w:rsid w:val="002C5580"/>
    <w:rsid w:val="002C57E8"/>
    <w:rsid w:val="002C5889"/>
    <w:rsid w:val="002C6704"/>
    <w:rsid w:val="002C678B"/>
    <w:rsid w:val="002C71CE"/>
    <w:rsid w:val="002D08F8"/>
    <w:rsid w:val="002D19C3"/>
    <w:rsid w:val="002D2518"/>
    <w:rsid w:val="002D2CE0"/>
    <w:rsid w:val="002D343D"/>
    <w:rsid w:val="002D362F"/>
    <w:rsid w:val="002D3BCD"/>
    <w:rsid w:val="002D4EB3"/>
    <w:rsid w:val="002D577C"/>
    <w:rsid w:val="002D6C95"/>
    <w:rsid w:val="002D7228"/>
    <w:rsid w:val="002D72E5"/>
    <w:rsid w:val="002D7832"/>
    <w:rsid w:val="002D78EA"/>
    <w:rsid w:val="002E06DD"/>
    <w:rsid w:val="002E0D86"/>
    <w:rsid w:val="002E1071"/>
    <w:rsid w:val="002E1134"/>
    <w:rsid w:val="002E15B9"/>
    <w:rsid w:val="002E18ED"/>
    <w:rsid w:val="002E214A"/>
    <w:rsid w:val="002E2158"/>
    <w:rsid w:val="002E2F28"/>
    <w:rsid w:val="002E2FFB"/>
    <w:rsid w:val="002E38F6"/>
    <w:rsid w:val="002E4F02"/>
    <w:rsid w:val="002E548F"/>
    <w:rsid w:val="002E5A4F"/>
    <w:rsid w:val="002E5AAF"/>
    <w:rsid w:val="002E639A"/>
    <w:rsid w:val="002E7722"/>
    <w:rsid w:val="002E77DC"/>
    <w:rsid w:val="002F07BA"/>
    <w:rsid w:val="002F0DA9"/>
    <w:rsid w:val="002F1014"/>
    <w:rsid w:val="002F175F"/>
    <w:rsid w:val="002F1E3B"/>
    <w:rsid w:val="002F26A8"/>
    <w:rsid w:val="002F36C9"/>
    <w:rsid w:val="002F40B6"/>
    <w:rsid w:val="002F4AD1"/>
    <w:rsid w:val="002F4EAB"/>
    <w:rsid w:val="002F5AB6"/>
    <w:rsid w:val="002F643C"/>
    <w:rsid w:val="002F71C0"/>
    <w:rsid w:val="002F74F1"/>
    <w:rsid w:val="00300005"/>
    <w:rsid w:val="00301017"/>
    <w:rsid w:val="003010EC"/>
    <w:rsid w:val="0030155F"/>
    <w:rsid w:val="00302131"/>
    <w:rsid w:val="00302353"/>
    <w:rsid w:val="003026BD"/>
    <w:rsid w:val="00304732"/>
    <w:rsid w:val="00304BE7"/>
    <w:rsid w:val="0030587B"/>
    <w:rsid w:val="00305CBA"/>
    <w:rsid w:val="00306D98"/>
    <w:rsid w:val="003070AF"/>
    <w:rsid w:val="0030786C"/>
    <w:rsid w:val="0031031A"/>
    <w:rsid w:val="00310981"/>
    <w:rsid w:val="00310F7F"/>
    <w:rsid w:val="00311108"/>
    <w:rsid w:val="003119B6"/>
    <w:rsid w:val="00311D9B"/>
    <w:rsid w:val="003124D9"/>
    <w:rsid w:val="00312594"/>
    <w:rsid w:val="003135F8"/>
    <w:rsid w:val="003145CD"/>
    <w:rsid w:val="003147C3"/>
    <w:rsid w:val="00314CF4"/>
    <w:rsid w:val="00314DF5"/>
    <w:rsid w:val="00315498"/>
    <w:rsid w:val="00315895"/>
    <w:rsid w:val="00316474"/>
    <w:rsid w:val="0031680C"/>
    <w:rsid w:val="00317B9F"/>
    <w:rsid w:val="0032029D"/>
    <w:rsid w:val="003204BF"/>
    <w:rsid w:val="0032120D"/>
    <w:rsid w:val="00321D3E"/>
    <w:rsid w:val="003220B5"/>
    <w:rsid w:val="00322107"/>
    <w:rsid w:val="00322355"/>
    <w:rsid w:val="00322846"/>
    <w:rsid w:val="0032440C"/>
    <w:rsid w:val="00324B54"/>
    <w:rsid w:val="0032608F"/>
    <w:rsid w:val="00326DA7"/>
    <w:rsid w:val="003270E4"/>
    <w:rsid w:val="00330DAA"/>
    <w:rsid w:val="00330F5C"/>
    <w:rsid w:val="0033123D"/>
    <w:rsid w:val="003313B1"/>
    <w:rsid w:val="00331949"/>
    <w:rsid w:val="00332040"/>
    <w:rsid w:val="003322D6"/>
    <w:rsid w:val="0033247D"/>
    <w:rsid w:val="00332AE7"/>
    <w:rsid w:val="0033485B"/>
    <w:rsid w:val="00336443"/>
    <w:rsid w:val="003366C9"/>
    <w:rsid w:val="00336A1E"/>
    <w:rsid w:val="00336A21"/>
    <w:rsid w:val="003371B0"/>
    <w:rsid w:val="003371B5"/>
    <w:rsid w:val="00340DF1"/>
    <w:rsid w:val="00340FF5"/>
    <w:rsid w:val="0034177A"/>
    <w:rsid w:val="00345BA6"/>
    <w:rsid w:val="00346BF1"/>
    <w:rsid w:val="00351238"/>
    <w:rsid w:val="00351574"/>
    <w:rsid w:val="0035179D"/>
    <w:rsid w:val="003517F9"/>
    <w:rsid w:val="00351BA9"/>
    <w:rsid w:val="003526C2"/>
    <w:rsid w:val="00354F64"/>
    <w:rsid w:val="00355926"/>
    <w:rsid w:val="00355DC7"/>
    <w:rsid w:val="00355F44"/>
    <w:rsid w:val="0035620E"/>
    <w:rsid w:val="0035713A"/>
    <w:rsid w:val="003575BE"/>
    <w:rsid w:val="00357F5C"/>
    <w:rsid w:val="00360345"/>
    <w:rsid w:val="00360A49"/>
    <w:rsid w:val="00360D8D"/>
    <w:rsid w:val="00361A05"/>
    <w:rsid w:val="003624C4"/>
    <w:rsid w:val="003624C8"/>
    <w:rsid w:val="00363485"/>
    <w:rsid w:val="00363B00"/>
    <w:rsid w:val="00363BCB"/>
    <w:rsid w:val="00363FEF"/>
    <w:rsid w:val="0036418D"/>
    <w:rsid w:val="0036440B"/>
    <w:rsid w:val="00364D5B"/>
    <w:rsid w:val="003654AC"/>
    <w:rsid w:val="0036599A"/>
    <w:rsid w:val="003663E1"/>
    <w:rsid w:val="00366B93"/>
    <w:rsid w:val="003710CF"/>
    <w:rsid w:val="003724A1"/>
    <w:rsid w:val="00372ACD"/>
    <w:rsid w:val="0037358A"/>
    <w:rsid w:val="00373871"/>
    <w:rsid w:val="00374597"/>
    <w:rsid w:val="003746C5"/>
    <w:rsid w:val="003750F6"/>
    <w:rsid w:val="00375DF3"/>
    <w:rsid w:val="00376079"/>
    <w:rsid w:val="003760FC"/>
    <w:rsid w:val="0037627F"/>
    <w:rsid w:val="00376D85"/>
    <w:rsid w:val="003770C2"/>
    <w:rsid w:val="00380BF5"/>
    <w:rsid w:val="00381582"/>
    <w:rsid w:val="00381C24"/>
    <w:rsid w:val="0038365C"/>
    <w:rsid w:val="0038369B"/>
    <w:rsid w:val="00383B78"/>
    <w:rsid w:val="003843B1"/>
    <w:rsid w:val="00384BE2"/>
    <w:rsid w:val="00385A9D"/>
    <w:rsid w:val="00387121"/>
    <w:rsid w:val="003902B1"/>
    <w:rsid w:val="00391060"/>
    <w:rsid w:val="0039179C"/>
    <w:rsid w:val="00391AD7"/>
    <w:rsid w:val="00392557"/>
    <w:rsid w:val="00392A48"/>
    <w:rsid w:val="00392AAF"/>
    <w:rsid w:val="00392D38"/>
    <w:rsid w:val="00393043"/>
    <w:rsid w:val="00393635"/>
    <w:rsid w:val="00393D48"/>
    <w:rsid w:val="0039548C"/>
    <w:rsid w:val="0039634D"/>
    <w:rsid w:val="00396896"/>
    <w:rsid w:val="00396EC3"/>
    <w:rsid w:val="00396FD0"/>
    <w:rsid w:val="00397946"/>
    <w:rsid w:val="003A00CB"/>
    <w:rsid w:val="003A012B"/>
    <w:rsid w:val="003A1151"/>
    <w:rsid w:val="003A17A9"/>
    <w:rsid w:val="003A17EA"/>
    <w:rsid w:val="003A1A7A"/>
    <w:rsid w:val="003A2392"/>
    <w:rsid w:val="003A2831"/>
    <w:rsid w:val="003A307D"/>
    <w:rsid w:val="003A3CB6"/>
    <w:rsid w:val="003A3CF3"/>
    <w:rsid w:val="003A3ED1"/>
    <w:rsid w:val="003A44DB"/>
    <w:rsid w:val="003A4624"/>
    <w:rsid w:val="003A4C14"/>
    <w:rsid w:val="003A4CBA"/>
    <w:rsid w:val="003A5463"/>
    <w:rsid w:val="003A596A"/>
    <w:rsid w:val="003A6287"/>
    <w:rsid w:val="003A6732"/>
    <w:rsid w:val="003A7E54"/>
    <w:rsid w:val="003A7F95"/>
    <w:rsid w:val="003B0C53"/>
    <w:rsid w:val="003B0F78"/>
    <w:rsid w:val="003B2773"/>
    <w:rsid w:val="003B3971"/>
    <w:rsid w:val="003B4C11"/>
    <w:rsid w:val="003B55D1"/>
    <w:rsid w:val="003B57DD"/>
    <w:rsid w:val="003B5B61"/>
    <w:rsid w:val="003B5F64"/>
    <w:rsid w:val="003B6286"/>
    <w:rsid w:val="003C0BA4"/>
    <w:rsid w:val="003C1654"/>
    <w:rsid w:val="003C186E"/>
    <w:rsid w:val="003C1E95"/>
    <w:rsid w:val="003C2F25"/>
    <w:rsid w:val="003C5542"/>
    <w:rsid w:val="003C70F0"/>
    <w:rsid w:val="003C7C15"/>
    <w:rsid w:val="003C7D19"/>
    <w:rsid w:val="003C7D2F"/>
    <w:rsid w:val="003D0C5A"/>
    <w:rsid w:val="003D140B"/>
    <w:rsid w:val="003D1828"/>
    <w:rsid w:val="003D19F8"/>
    <w:rsid w:val="003D1C9F"/>
    <w:rsid w:val="003D1DE4"/>
    <w:rsid w:val="003D1E9A"/>
    <w:rsid w:val="003D236A"/>
    <w:rsid w:val="003D2422"/>
    <w:rsid w:val="003D3751"/>
    <w:rsid w:val="003D39A1"/>
    <w:rsid w:val="003D3B99"/>
    <w:rsid w:val="003D3FBF"/>
    <w:rsid w:val="003D44C5"/>
    <w:rsid w:val="003D4A30"/>
    <w:rsid w:val="003D5140"/>
    <w:rsid w:val="003D6900"/>
    <w:rsid w:val="003D7452"/>
    <w:rsid w:val="003D794C"/>
    <w:rsid w:val="003D79BB"/>
    <w:rsid w:val="003D7C98"/>
    <w:rsid w:val="003D7D8F"/>
    <w:rsid w:val="003D7D9D"/>
    <w:rsid w:val="003D7F7F"/>
    <w:rsid w:val="003E0543"/>
    <w:rsid w:val="003E15F8"/>
    <w:rsid w:val="003E30FE"/>
    <w:rsid w:val="003E399F"/>
    <w:rsid w:val="003E3DF2"/>
    <w:rsid w:val="003E4342"/>
    <w:rsid w:val="003E4391"/>
    <w:rsid w:val="003E4BF8"/>
    <w:rsid w:val="003E5603"/>
    <w:rsid w:val="003E5633"/>
    <w:rsid w:val="003E5E50"/>
    <w:rsid w:val="003E749E"/>
    <w:rsid w:val="003F02E1"/>
    <w:rsid w:val="003F072F"/>
    <w:rsid w:val="003F2A83"/>
    <w:rsid w:val="003F2B07"/>
    <w:rsid w:val="003F4156"/>
    <w:rsid w:val="003F4596"/>
    <w:rsid w:val="003F48F7"/>
    <w:rsid w:val="003F4B00"/>
    <w:rsid w:val="003F5ADF"/>
    <w:rsid w:val="003F7BC6"/>
    <w:rsid w:val="003F7C83"/>
    <w:rsid w:val="00400B29"/>
    <w:rsid w:val="00400DB5"/>
    <w:rsid w:val="00401847"/>
    <w:rsid w:val="00401A56"/>
    <w:rsid w:val="00402812"/>
    <w:rsid w:val="004033F5"/>
    <w:rsid w:val="004034F9"/>
    <w:rsid w:val="00403C77"/>
    <w:rsid w:val="004041DF"/>
    <w:rsid w:val="0040504B"/>
    <w:rsid w:val="004057AA"/>
    <w:rsid w:val="00405902"/>
    <w:rsid w:val="004059F4"/>
    <w:rsid w:val="0040674C"/>
    <w:rsid w:val="00406F5B"/>
    <w:rsid w:val="004078F1"/>
    <w:rsid w:val="0040796A"/>
    <w:rsid w:val="00407D02"/>
    <w:rsid w:val="00407E67"/>
    <w:rsid w:val="00407FE5"/>
    <w:rsid w:val="004101B0"/>
    <w:rsid w:val="00410326"/>
    <w:rsid w:val="00410708"/>
    <w:rsid w:val="00410EC7"/>
    <w:rsid w:val="00411334"/>
    <w:rsid w:val="0041147D"/>
    <w:rsid w:val="00411AB2"/>
    <w:rsid w:val="00411B39"/>
    <w:rsid w:val="004127A7"/>
    <w:rsid w:val="00412817"/>
    <w:rsid w:val="0041317C"/>
    <w:rsid w:val="00413A1E"/>
    <w:rsid w:val="00413BCB"/>
    <w:rsid w:val="00414476"/>
    <w:rsid w:val="00414C2E"/>
    <w:rsid w:val="004151CF"/>
    <w:rsid w:val="00415C56"/>
    <w:rsid w:val="00416364"/>
    <w:rsid w:val="0041755F"/>
    <w:rsid w:val="00417B08"/>
    <w:rsid w:val="0042047F"/>
    <w:rsid w:val="00420724"/>
    <w:rsid w:val="00420AA6"/>
    <w:rsid w:val="00420B5C"/>
    <w:rsid w:val="00420B9F"/>
    <w:rsid w:val="0042111D"/>
    <w:rsid w:val="004217DE"/>
    <w:rsid w:val="004218F3"/>
    <w:rsid w:val="0042192C"/>
    <w:rsid w:val="004220FB"/>
    <w:rsid w:val="00422260"/>
    <w:rsid w:val="00422370"/>
    <w:rsid w:val="0042309A"/>
    <w:rsid w:val="0042413F"/>
    <w:rsid w:val="0042566B"/>
    <w:rsid w:val="00425981"/>
    <w:rsid w:val="00425C63"/>
    <w:rsid w:val="00430578"/>
    <w:rsid w:val="004319F8"/>
    <w:rsid w:val="00431CF8"/>
    <w:rsid w:val="00431E55"/>
    <w:rsid w:val="004321F6"/>
    <w:rsid w:val="00432F38"/>
    <w:rsid w:val="00433044"/>
    <w:rsid w:val="00433346"/>
    <w:rsid w:val="00433764"/>
    <w:rsid w:val="00434088"/>
    <w:rsid w:val="0043627B"/>
    <w:rsid w:val="004375B9"/>
    <w:rsid w:val="00437E0D"/>
    <w:rsid w:val="004401DC"/>
    <w:rsid w:val="0044087D"/>
    <w:rsid w:val="004425AE"/>
    <w:rsid w:val="004428D0"/>
    <w:rsid w:val="00443407"/>
    <w:rsid w:val="00443CFD"/>
    <w:rsid w:val="00443D6D"/>
    <w:rsid w:val="00444185"/>
    <w:rsid w:val="004443A7"/>
    <w:rsid w:val="0044442C"/>
    <w:rsid w:val="00444C56"/>
    <w:rsid w:val="00445941"/>
    <w:rsid w:val="004464EB"/>
    <w:rsid w:val="00447D26"/>
    <w:rsid w:val="00447DFC"/>
    <w:rsid w:val="00451502"/>
    <w:rsid w:val="0045153C"/>
    <w:rsid w:val="00452935"/>
    <w:rsid w:val="00452ADA"/>
    <w:rsid w:val="004539F1"/>
    <w:rsid w:val="00453A07"/>
    <w:rsid w:val="00453FF1"/>
    <w:rsid w:val="004543FD"/>
    <w:rsid w:val="004544B8"/>
    <w:rsid w:val="00455D45"/>
    <w:rsid w:val="00455FA4"/>
    <w:rsid w:val="004565FF"/>
    <w:rsid w:val="00456A2E"/>
    <w:rsid w:val="004570B0"/>
    <w:rsid w:val="00457A93"/>
    <w:rsid w:val="00460E00"/>
    <w:rsid w:val="004613F2"/>
    <w:rsid w:val="00461800"/>
    <w:rsid w:val="00462D51"/>
    <w:rsid w:val="00462E18"/>
    <w:rsid w:val="004634D9"/>
    <w:rsid w:val="00463573"/>
    <w:rsid w:val="00463B8E"/>
    <w:rsid w:val="00463EBA"/>
    <w:rsid w:val="00464595"/>
    <w:rsid w:val="004658B5"/>
    <w:rsid w:val="004658DA"/>
    <w:rsid w:val="00467C1A"/>
    <w:rsid w:val="0047021E"/>
    <w:rsid w:val="00470F65"/>
    <w:rsid w:val="00471511"/>
    <w:rsid w:val="00471979"/>
    <w:rsid w:val="00471D13"/>
    <w:rsid w:val="00471EA5"/>
    <w:rsid w:val="0047220F"/>
    <w:rsid w:val="00472A79"/>
    <w:rsid w:val="00472D3A"/>
    <w:rsid w:val="00473F19"/>
    <w:rsid w:val="00474111"/>
    <w:rsid w:val="00475D74"/>
    <w:rsid w:val="00475E22"/>
    <w:rsid w:val="00475F8D"/>
    <w:rsid w:val="0047642B"/>
    <w:rsid w:val="00476B37"/>
    <w:rsid w:val="00476FF9"/>
    <w:rsid w:val="0047770F"/>
    <w:rsid w:val="00477A47"/>
    <w:rsid w:val="00480795"/>
    <w:rsid w:val="0048088E"/>
    <w:rsid w:val="00480D8D"/>
    <w:rsid w:val="00480F2B"/>
    <w:rsid w:val="0048153D"/>
    <w:rsid w:val="00481E04"/>
    <w:rsid w:val="00481EEE"/>
    <w:rsid w:val="00482720"/>
    <w:rsid w:val="00483181"/>
    <w:rsid w:val="004835E7"/>
    <w:rsid w:val="00484425"/>
    <w:rsid w:val="0048460C"/>
    <w:rsid w:val="00484D05"/>
    <w:rsid w:val="0048595D"/>
    <w:rsid w:val="004859E1"/>
    <w:rsid w:val="004867E2"/>
    <w:rsid w:val="00490334"/>
    <w:rsid w:val="00490B17"/>
    <w:rsid w:val="00491B3A"/>
    <w:rsid w:val="00491FC6"/>
    <w:rsid w:val="0049285B"/>
    <w:rsid w:val="00492CFD"/>
    <w:rsid w:val="004941E4"/>
    <w:rsid w:val="00494207"/>
    <w:rsid w:val="00494DD5"/>
    <w:rsid w:val="00495415"/>
    <w:rsid w:val="00495A41"/>
    <w:rsid w:val="004962D2"/>
    <w:rsid w:val="004971C2"/>
    <w:rsid w:val="004977C0"/>
    <w:rsid w:val="004A0989"/>
    <w:rsid w:val="004A0DA1"/>
    <w:rsid w:val="004A0DA7"/>
    <w:rsid w:val="004A13D6"/>
    <w:rsid w:val="004A1453"/>
    <w:rsid w:val="004A1706"/>
    <w:rsid w:val="004A205F"/>
    <w:rsid w:val="004A2A3E"/>
    <w:rsid w:val="004A2A4E"/>
    <w:rsid w:val="004A42A0"/>
    <w:rsid w:val="004A52E9"/>
    <w:rsid w:val="004A57B7"/>
    <w:rsid w:val="004A59D8"/>
    <w:rsid w:val="004A6040"/>
    <w:rsid w:val="004A6597"/>
    <w:rsid w:val="004A65A6"/>
    <w:rsid w:val="004A66FC"/>
    <w:rsid w:val="004A72EE"/>
    <w:rsid w:val="004A7404"/>
    <w:rsid w:val="004A7848"/>
    <w:rsid w:val="004A793B"/>
    <w:rsid w:val="004B0EDF"/>
    <w:rsid w:val="004B1CAA"/>
    <w:rsid w:val="004B1CB4"/>
    <w:rsid w:val="004B27B3"/>
    <w:rsid w:val="004B2F18"/>
    <w:rsid w:val="004B3DDB"/>
    <w:rsid w:val="004B3F1A"/>
    <w:rsid w:val="004B44FD"/>
    <w:rsid w:val="004B4615"/>
    <w:rsid w:val="004B506C"/>
    <w:rsid w:val="004B512D"/>
    <w:rsid w:val="004B590D"/>
    <w:rsid w:val="004B5CFC"/>
    <w:rsid w:val="004B6DFC"/>
    <w:rsid w:val="004B6F79"/>
    <w:rsid w:val="004B7502"/>
    <w:rsid w:val="004B774D"/>
    <w:rsid w:val="004C10F2"/>
    <w:rsid w:val="004C22FD"/>
    <w:rsid w:val="004C2AC2"/>
    <w:rsid w:val="004C2FE1"/>
    <w:rsid w:val="004C3B02"/>
    <w:rsid w:val="004C4AED"/>
    <w:rsid w:val="004C573A"/>
    <w:rsid w:val="004D01E9"/>
    <w:rsid w:val="004D0494"/>
    <w:rsid w:val="004D0F54"/>
    <w:rsid w:val="004D1468"/>
    <w:rsid w:val="004D2828"/>
    <w:rsid w:val="004D2A77"/>
    <w:rsid w:val="004D2B05"/>
    <w:rsid w:val="004D2C2D"/>
    <w:rsid w:val="004D3AF3"/>
    <w:rsid w:val="004D5234"/>
    <w:rsid w:val="004D69B5"/>
    <w:rsid w:val="004D6C2B"/>
    <w:rsid w:val="004D6CB1"/>
    <w:rsid w:val="004D6D4F"/>
    <w:rsid w:val="004D7227"/>
    <w:rsid w:val="004D74DA"/>
    <w:rsid w:val="004D757E"/>
    <w:rsid w:val="004D7B5E"/>
    <w:rsid w:val="004E0329"/>
    <w:rsid w:val="004E0E7F"/>
    <w:rsid w:val="004E0EB8"/>
    <w:rsid w:val="004E157D"/>
    <w:rsid w:val="004E182B"/>
    <w:rsid w:val="004E18E9"/>
    <w:rsid w:val="004E25A0"/>
    <w:rsid w:val="004E2ADC"/>
    <w:rsid w:val="004E3258"/>
    <w:rsid w:val="004E3261"/>
    <w:rsid w:val="004E338E"/>
    <w:rsid w:val="004E3921"/>
    <w:rsid w:val="004E398D"/>
    <w:rsid w:val="004E43B2"/>
    <w:rsid w:val="004E45D0"/>
    <w:rsid w:val="004E46F1"/>
    <w:rsid w:val="004E48F0"/>
    <w:rsid w:val="004E4E17"/>
    <w:rsid w:val="004E531D"/>
    <w:rsid w:val="004E563D"/>
    <w:rsid w:val="004E5DB2"/>
    <w:rsid w:val="004E6BA4"/>
    <w:rsid w:val="004E71BA"/>
    <w:rsid w:val="004F1458"/>
    <w:rsid w:val="004F17C7"/>
    <w:rsid w:val="004F1D02"/>
    <w:rsid w:val="004F2679"/>
    <w:rsid w:val="004F2F21"/>
    <w:rsid w:val="004F3AF7"/>
    <w:rsid w:val="004F3DE5"/>
    <w:rsid w:val="004F52EC"/>
    <w:rsid w:val="004F6181"/>
    <w:rsid w:val="004F6364"/>
    <w:rsid w:val="004F6913"/>
    <w:rsid w:val="004F6D7F"/>
    <w:rsid w:val="004F7160"/>
    <w:rsid w:val="004F72B9"/>
    <w:rsid w:val="004F7612"/>
    <w:rsid w:val="004F7667"/>
    <w:rsid w:val="004F7865"/>
    <w:rsid w:val="004F792C"/>
    <w:rsid w:val="004F7B49"/>
    <w:rsid w:val="005007B0"/>
    <w:rsid w:val="0050137B"/>
    <w:rsid w:val="0050174E"/>
    <w:rsid w:val="00501854"/>
    <w:rsid w:val="00501C1B"/>
    <w:rsid w:val="0050219B"/>
    <w:rsid w:val="0050276B"/>
    <w:rsid w:val="00502884"/>
    <w:rsid w:val="00502F61"/>
    <w:rsid w:val="00503F17"/>
    <w:rsid w:val="00503F3A"/>
    <w:rsid w:val="00504330"/>
    <w:rsid w:val="00504876"/>
    <w:rsid w:val="00505940"/>
    <w:rsid w:val="00505E55"/>
    <w:rsid w:val="00506928"/>
    <w:rsid w:val="005077D2"/>
    <w:rsid w:val="005077EF"/>
    <w:rsid w:val="00511484"/>
    <w:rsid w:val="00511904"/>
    <w:rsid w:val="00511AD5"/>
    <w:rsid w:val="00511DC7"/>
    <w:rsid w:val="00512AC9"/>
    <w:rsid w:val="00512BD3"/>
    <w:rsid w:val="00513313"/>
    <w:rsid w:val="00513498"/>
    <w:rsid w:val="005139C4"/>
    <w:rsid w:val="00513A23"/>
    <w:rsid w:val="00513C8C"/>
    <w:rsid w:val="005142C5"/>
    <w:rsid w:val="0051501B"/>
    <w:rsid w:val="00515064"/>
    <w:rsid w:val="005152B5"/>
    <w:rsid w:val="00515886"/>
    <w:rsid w:val="005158E3"/>
    <w:rsid w:val="0051630F"/>
    <w:rsid w:val="00516B24"/>
    <w:rsid w:val="00516C3E"/>
    <w:rsid w:val="00516ED7"/>
    <w:rsid w:val="00517994"/>
    <w:rsid w:val="005179AB"/>
    <w:rsid w:val="0052123C"/>
    <w:rsid w:val="00521319"/>
    <w:rsid w:val="00521BDA"/>
    <w:rsid w:val="00522BC8"/>
    <w:rsid w:val="005230A6"/>
    <w:rsid w:val="00523530"/>
    <w:rsid w:val="00523C28"/>
    <w:rsid w:val="00523C3B"/>
    <w:rsid w:val="00523E81"/>
    <w:rsid w:val="005248E2"/>
    <w:rsid w:val="005260E5"/>
    <w:rsid w:val="005265C6"/>
    <w:rsid w:val="005266D5"/>
    <w:rsid w:val="005266E4"/>
    <w:rsid w:val="005266FF"/>
    <w:rsid w:val="005267E3"/>
    <w:rsid w:val="00526D7D"/>
    <w:rsid w:val="00526E4B"/>
    <w:rsid w:val="00526E60"/>
    <w:rsid w:val="00527268"/>
    <w:rsid w:val="0052737E"/>
    <w:rsid w:val="005275E8"/>
    <w:rsid w:val="005278F5"/>
    <w:rsid w:val="00527B6E"/>
    <w:rsid w:val="00530195"/>
    <w:rsid w:val="0053060B"/>
    <w:rsid w:val="00530701"/>
    <w:rsid w:val="00531356"/>
    <w:rsid w:val="0053176B"/>
    <w:rsid w:val="00531B7C"/>
    <w:rsid w:val="00531CC0"/>
    <w:rsid w:val="005329EF"/>
    <w:rsid w:val="0053327D"/>
    <w:rsid w:val="00533E1B"/>
    <w:rsid w:val="00533E9B"/>
    <w:rsid w:val="005341B3"/>
    <w:rsid w:val="00534DBA"/>
    <w:rsid w:val="00536E12"/>
    <w:rsid w:val="00536F42"/>
    <w:rsid w:val="00537182"/>
    <w:rsid w:val="00537B1C"/>
    <w:rsid w:val="0054097A"/>
    <w:rsid w:val="005417FA"/>
    <w:rsid w:val="00541EDD"/>
    <w:rsid w:val="00542109"/>
    <w:rsid w:val="00542266"/>
    <w:rsid w:val="00542294"/>
    <w:rsid w:val="00542743"/>
    <w:rsid w:val="00542C2D"/>
    <w:rsid w:val="00543484"/>
    <w:rsid w:val="0054398F"/>
    <w:rsid w:val="00543C88"/>
    <w:rsid w:val="005444DE"/>
    <w:rsid w:val="005446E5"/>
    <w:rsid w:val="00544998"/>
    <w:rsid w:val="00544FEE"/>
    <w:rsid w:val="00546DBD"/>
    <w:rsid w:val="005478BD"/>
    <w:rsid w:val="005479E3"/>
    <w:rsid w:val="00547AA6"/>
    <w:rsid w:val="00551338"/>
    <w:rsid w:val="00551985"/>
    <w:rsid w:val="00551D4D"/>
    <w:rsid w:val="00552BD3"/>
    <w:rsid w:val="005532A0"/>
    <w:rsid w:val="005534A8"/>
    <w:rsid w:val="0055388A"/>
    <w:rsid w:val="00554356"/>
    <w:rsid w:val="00554526"/>
    <w:rsid w:val="00555109"/>
    <w:rsid w:val="005551C4"/>
    <w:rsid w:val="005556A5"/>
    <w:rsid w:val="00555E07"/>
    <w:rsid w:val="0055610D"/>
    <w:rsid w:val="00556B35"/>
    <w:rsid w:val="0055741A"/>
    <w:rsid w:val="0055775E"/>
    <w:rsid w:val="00557F18"/>
    <w:rsid w:val="005611B7"/>
    <w:rsid w:val="005618D4"/>
    <w:rsid w:val="00561C95"/>
    <w:rsid w:val="00561CF5"/>
    <w:rsid w:val="00561F53"/>
    <w:rsid w:val="005621ED"/>
    <w:rsid w:val="00562C0A"/>
    <w:rsid w:val="00562EF6"/>
    <w:rsid w:val="00564475"/>
    <w:rsid w:val="00564867"/>
    <w:rsid w:val="00565318"/>
    <w:rsid w:val="00565516"/>
    <w:rsid w:val="0056599D"/>
    <w:rsid w:val="005659F7"/>
    <w:rsid w:val="00565C79"/>
    <w:rsid w:val="00565D44"/>
    <w:rsid w:val="00565DF0"/>
    <w:rsid w:val="0056696F"/>
    <w:rsid w:val="00567360"/>
    <w:rsid w:val="00567D37"/>
    <w:rsid w:val="005715AF"/>
    <w:rsid w:val="00571992"/>
    <w:rsid w:val="00571C2F"/>
    <w:rsid w:val="00572269"/>
    <w:rsid w:val="0057244A"/>
    <w:rsid w:val="0057286A"/>
    <w:rsid w:val="00572BBD"/>
    <w:rsid w:val="00572F26"/>
    <w:rsid w:val="0057326C"/>
    <w:rsid w:val="00573968"/>
    <w:rsid w:val="00573C18"/>
    <w:rsid w:val="00574BD6"/>
    <w:rsid w:val="00574F10"/>
    <w:rsid w:val="005750C5"/>
    <w:rsid w:val="005752DE"/>
    <w:rsid w:val="005757B6"/>
    <w:rsid w:val="00575A5A"/>
    <w:rsid w:val="00575D60"/>
    <w:rsid w:val="00575D8D"/>
    <w:rsid w:val="00575E39"/>
    <w:rsid w:val="0057603A"/>
    <w:rsid w:val="0057679C"/>
    <w:rsid w:val="00576972"/>
    <w:rsid w:val="00577248"/>
    <w:rsid w:val="00577CCA"/>
    <w:rsid w:val="00582809"/>
    <w:rsid w:val="00582833"/>
    <w:rsid w:val="00583577"/>
    <w:rsid w:val="00583699"/>
    <w:rsid w:val="005836D2"/>
    <w:rsid w:val="005836D9"/>
    <w:rsid w:val="005847B1"/>
    <w:rsid w:val="0058491C"/>
    <w:rsid w:val="0058558F"/>
    <w:rsid w:val="00585CDD"/>
    <w:rsid w:val="00586A0E"/>
    <w:rsid w:val="00586A25"/>
    <w:rsid w:val="00586DDB"/>
    <w:rsid w:val="00587058"/>
    <w:rsid w:val="00587482"/>
    <w:rsid w:val="005903EA"/>
    <w:rsid w:val="00591957"/>
    <w:rsid w:val="00591A14"/>
    <w:rsid w:val="00593251"/>
    <w:rsid w:val="005932DD"/>
    <w:rsid w:val="005934E5"/>
    <w:rsid w:val="00593FEE"/>
    <w:rsid w:val="00594CE7"/>
    <w:rsid w:val="00595B15"/>
    <w:rsid w:val="00596118"/>
    <w:rsid w:val="00596421"/>
    <w:rsid w:val="00597BF9"/>
    <w:rsid w:val="00597F96"/>
    <w:rsid w:val="005A0108"/>
    <w:rsid w:val="005A046B"/>
    <w:rsid w:val="005A0C11"/>
    <w:rsid w:val="005A0CE1"/>
    <w:rsid w:val="005A1BFC"/>
    <w:rsid w:val="005A1FA5"/>
    <w:rsid w:val="005A22E0"/>
    <w:rsid w:val="005A2F1B"/>
    <w:rsid w:val="005A309A"/>
    <w:rsid w:val="005A35AB"/>
    <w:rsid w:val="005A373D"/>
    <w:rsid w:val="005A4AA8"/>
    <w:rsid w:val="005A6559"/>
    <w:rsid w:val="005A662E"/>
    <w:rsid w:val="005A6CFB"/>
    <w:rsid w:val="005B0B58"/>
    <w:rsid w:val="005B109B"/>
    <w:rsid w:val="005B1C60"/>
    <w:rsid w:val="005B1D09"/>
    <w:rsid w:val="005B2216"/>
    <w:rsid w:val="005B30C3"/>
    <w:rsid w:val="005B42B2"/>
    <w:rsid w:val="005B4784"/>
    <w:rsid w:val="005B4861"/>
    <w:rsid w:val="005B4E53"/>
    <w:rsid w:val="005B53F7"/>
    <w:rsid w:val="005B5857"/>
    <w:rsid w:val="005B5A63"/>
    <w:rsid w:val="005B6411"/>
    <w:rsid w:val="005B6F2C"/>
    <w:rsid w:val="005B73F8"/>
    <w:rsid w:val="005B74A0"/>
    <w:rsid w:val="005B798F"/>
    <w:rsid w:val="005B7C3D"/>
    <w:rsid w:val="005C08CB"/>
    <w:rsid w:val="005C0C51"/>
    <w:rsid w:val="005C0C83"/>
    <w:rsid w:val="005C157E"/>
    <w:rsid w:val="005C1837"/>
    <w:rsid w:val="005C19C4"/>
    <w:rsid w:val="005C1B32"/>
    <w:rsid w:val="005C1B83"/>
    <w:rsid w:val="005C1E07"/>
    <w:rsid w:val="005C25FF"/>
    <w:rsid w:val="005C2D55"/>
    <w:rsid w:val="005C346B"/>
    <w:rsid w:val="005C3549"/>
    <w:rsid w:val="005C35B7"/>
    <w:rsid w:val="005C4294"/>
    <w:rsid w:val="005C488F"/>
    <w:rsid w:val="005C4A73"/>
    <w:rsid w:val="005C4C1E"/>
    <w:rsid w:val="005C4F91"/>
    <w:rsid w:val="005C5ABC"/>
    <w:rsid w:val="005C6CEF"/>
    <w:rsid w:val="005C708E"/>
    <w:rsid w:val="005C783D"/>
    <w:rsid w:val="005C7AD8"/>
    <w:rsid w:val="005D0357"/>
    <w:rsid w:val="005D044D"/>
    <w:rsid w:val="005D0ABD"/>
    <w:rsid w:val="005D18AD"/>
    <w:rsid w:val="005D26B4"/>
    <w:rsid w:val="005D29F4"/>
    <w:rsid w:val="005D301D"/>
    <w:rsid w:val="005D3108"/>
    <w:rsid w:val="005D3CE5"/>
    <w:rsid w:val="005D3F59"/>
    <w:rsid w:val="005D45B0"/>
    <w:rsid w:val="005D4DCC"/>
    <w:rsid w:val="005D4FFA"/>
    <w:rsid w:val="005D526B"/>
    <w:rsid w:val="005D54DC"/>
    <w:rsid w:val="005D5EA5"/>
    <w:rsid w:val="005D675B"/>
    <w:rsid w:val="005D7924"/>
    <w:rsid w:val="005E0A29"/>
    <w:rsid w:val="005E1995"/>
    <w:rsid w:val="005E1A59"/>
    <w:rsid w:val="005E23A9"/>
    <w:rsid w:val="005E297E"/>
    <w:rsid w:val="005E4B25"/>
    <w:rsid w:val="005E511D"/>
    <w:rsid w:val="005E5192"/>
    <w:rsid w:val="005E57C4"/>
    <w:rsid w:val="005E6CBC"/>
    <w:rsid w:val="005E72FF"/>
    <w:rsid w:val="005E73C0"/>
    <w:rsid w:val="005E7400"/>
    <w:rsid w:val="005E7B69"/>
    <w:rsid w:val="005F07ED"/>
    <w:rsid w:val="005F14A9"/>
    <w:rsid w:val="005F181F"/>
    <w:rsid w:val="005F1F54"/>
    <w:rsid w:val="005F2706"/>
    <w:rsid w:val="005F29FD"/>
    <w:rsid w:val="005F3935"/>
    <w:rsid w:val="005F404B"/>
    <w:rsid w:val="005F4526"/>
    <w:rsid w:val="005F45A4"/>
    <w:rsid w:val="005F4ACD"/>
    <w:rsid w:val="005F5D05"/>
    <w:rsid w:val="005F65AB"/>
    <w:rsid w:val="005F6A8F"/>
    <w:rsid w:val="005F6BB7"/>
    <w:rsid w:val="005F7588"/>
    <w:rsid w:val="005F77EA"/>
    <w:rsid w:val="0060268F"/>
    <w:rsid w:val="006028D3"/>
    <w:rsid w:val="00603403"/>
    <w:rsid w:val="00603DB9"/>
    <w:rsid w:val="00603E77"/>
    <w:rsid w:val="0060473C"/>
    <w:rsid w:val="006051AC"/>
    <w:rsid w:val="006052FB"/>
    <w:rsid w:val="006056B1"/>
    <w:rsid w:val="00605FC9"/>
    <w:rsid w:val="00606972"/>
    <w:rsid w:val="00606EDC"/>
    <w:rsid w:val="00606FBA"/>
    <w:rsid w:val="00607669"/>
    <w:rsid w:val="006076F4"/>
    <w:rsid w:val="00607AFD"/>
    <w:rsid w:val="00610EC4"/>
    <w:rsid w:val="00611B12"/>
    <w:rsid w:val="00611E07"/>
    <w:rsid w:val="00612B72"/>
    <w:rsid w:val="00612EC3"/>
    <w:rsid w:val="00612F97"/>
    <w:rsid w:val="0061345D"/>
    <w:rsid w:val="0061389D"/>
    <w:rsid w:val="00614044"/>
    <w:rsid w:val="0061549B"/>
    <w:rsid w:val="006159A9"/>
    <w:rsid w:val="006162A7"/>
    <w:rsid w:val="00616802"/>
    <w:rsid w:val="006171CD"/>
    <w:rsid w:val="006175F7"/>
    <w:rsid w:val="00617E12"/>
    <w:rsid w:val="006208F1"/>
    <w:rsid w:val="00620C25"/>
    <w:rsid w:val="00621477"/>
    <w:rsid w:val="00621ADA"/>
    <w:rsid w:val="00622B6F"/>
    <w:rsid w:val="0062306B"/>
    <w:rsid w:val="00623F7B"/>
    <w:rsid w:val="00624BD4"/>
    <w:rsid w:val="00624D82"/>
    <w:rsid w:val="006258C6"/>
    <w:rsid w:val="00626C48"/>
    <w:rsid w:val="00626E15"/>
    <w:rsid w:val="006275C1"/>
    <w:rsid w:val="006312ED"/>
    <w:rsid w:val="0063157B"/>
    <w:rsid w:val="0063158F"/>
    <w:rsid w:val="00631C61"/>
    <w:rsid w:val="00631D6B"/>
    <w:rsid w:val="00632183"/>
    <w:rsid w:val="006323B5"/>
    <w:rsid w:val="00632A16"/>
    <w:rsid w:val="006330A1"/>
    <w:rsid w:val="0063479F"/>
    <w:rsid w:val="00635284"/>
    <w:rsid w:val="006353F0"/>
    <w:rsid w:val="006357B5"/>
    <w:rsid w:val="00636340"/>
    <w:rsid w:val="006364A1"/>
    <w:rsid w:val="0063678E"/>
    <w:rsid w:val="00637681"/>
    <w:rsid w:val="00637BFD"/>
    <w:rsid w:val="00637C5C"/>
    <w:rsid w:val="006405A3"/>
    <w:rsid w:val="006418CE"/>
    <w:rsid w:val="00641C4E"/>
    <w:rsid w:val="00641FB3"/>
    <w:rsid w:val="0064429C"/>
    <w:rsid w:val="0064434C"/>
    <w:rsid w:val="00644EE6"/>
    <w:rsid w:val="00645BBF"/>
    <w:rsid w:val="006460BE"/>
    <w:rsid w:val="0064642F"/>
    <w:rsid w:val="006471CC"/>
    <w:rsid w:val="006471D6"/>
    <w:rsid w:val="006472C5"/>
    <w:rsid w:val="006472FE"/>
    <w:rsid w:val="006476BF"/>
    <w:rsid w:val="00647911"/>
    <w:rsid w:val="00647A29"/>
    <w:rsid w:val="0065079F"/>
    <w:rsid w:val="0065202A"/>
    <w:rsid w:val="00652A28"/>
    <w:rsid w:val="00652E24"/>
    <w:rsid w:val="0065379F"/>
    <w:rsid w:val="00653A90"/>
    <w:rsid w:val="00653D4F"/>
    <w:rsid w:val="006540B5"/>
    <w:rsid w:val="0065432E"/>
    <w:rsid w:val="00654C16"/>
    <w:rsid w:val="00656188"/>
    <w:rsid w:val="006563E5"/>
    <w:rsid w:val="0065715A"/>
    <w:rsid w:val="00660CE5"/>
    <w:rsid w:val="006610F1"/>
    <w:rsid w:val="00661501"/>
    <w:rsid w:val="00661C6B"/>
    <w:rsid w:val="00662BA4"/>
    <w:rsid w:val="00662D3E"/>
    <w:rsid w:val="00662D42"/>
    <w:rsid w:val="00663F2E"/>
    <w:rsid w:val="00664829"/>
    <w:rsid w:val="00664AE1"/>
    <w:rsid w:val="006655CC"/>
    <w:rsid w:val="0066607C"/>
    <w:rsid w:val="00667BE3"/>
    <w:rsid w:val="00671004"/>
    <w:rsid w:val="00671BFA"/>
    <w:rsid w:val="00672646"/>
    <w:rsid w:val="006748A7"/>
    <w:rsid w:val="00674E42"/>
    <w:rsid w:val="00675837"/>
    <w:rsid w:val="00676563"/>
    <w:rsid w:val="00676B5A"/>
    <w:rsid w:val="00677011"/>
    <w:rsid w:val="00680411"/>
    <w:rsid w:val="006813F8"/>
    <w:rsid w:val="006816C8"/>
    <w:rsid w:val="00681A47"/>
    <w:rsid w:val="00681BF9"/>
    <w:rsid w:val="00682112"/>
    <w:rsid w:val="0068274D"/>
    <w:rsid w:val="00682BA6"/>
    <w:rsid w:val="006843E7"/>
    <w:rsid w:val="00684519"/>
    <w:rsid w:val="0068460E"/>
    <w:rsid w:val="006848B9"/>
    <w:rsid w:val="006854E2"/>
    <w:rsid w:val="006861D8"/>
    <w:rsid w:val="00686957"/>
    <w:rsid w:val="00687097"/>
    <w:rsid w:val="006872BA"/>
    <w:rsid w:val="0068746E"/>
    <w:rsid w:val="006875DD"/>
    <w:rsid w:val="00690019"/>
    <w:rsid w:val="006900C9"/>
    <w:rsid w:val="006901BC"/>
    <w:rsid w:val="00690795"/>
    <w:rsid w:val="00691648"/>
    <w:rsid w:val="006917D7"/>
    <w:rsid w:val="006919EC"/>
    <w:rsid w:val="00691C1D"/>
    <w:rsid w:val="006923D8"/>
    <w:rsid w:val="006927CC"/>
    <w:rsid w:val="00693557"/>
    <w:rsid w:val="0069434C"/>
    <w:rsid w:val="00694F44"/>
    <w:rsid w:val="006956CC"/>
    <w:rsid w:val="00696EF9"/>
    <w:rsid w:val="00696F51"/>
    <w:rsid w:val="006972FE"/>
    <w:rsid w:val="006979A5"/>
    <w:rsid w:val="006A016F"/>
    <w:rsid w:val="006A052D"/>
    <w:rsid w:val="006A0DF7"/>
    <w:rsid w:val="006A143A"/>
    <w:rsid w:val="006A1C57"/>
    <w:rsid w:val="006A2F8A"/>
    <w:rsid w:val="006A4321"/>
    <w:rsid w:val="006A43D9"/>
    <w:rsid w:val="006A45C7"/>
    <w:rsid w:val="006A4BE1"/>
    <w:rsid w:val="006A4C6A"/>
    <w:rsid w:val="006A6B99"/>
    <w:rsid w:val="006A7E5F"/>
    <w:rsid w:val="006B1D56"/>
    <w:rsid w:val="006B2241"/>
    <w:rsid w:val="006B23B1"/>
    <w:rsid w:val="006B2600"/>
    <w:rsid w:val="006B261B"/>
    <w:rsid w:val="006B2C90"/>
    <w:rsid w:val="006B2D31"/>
    <w:rsid w:val="006B35D3"/>
    <w:rsid w:val="006B35E6"/>
    <w:rsid w:val="006B39F1"/>
    <w:rsid w:val="006B3FE8"/>
    <w:rsid w:val="006B465A"/>
    <w:rsid w:val="006B4ABE"/>
    <w:rsid w:val="006B4D82"/>
    <w:rsid w:val="006B5F65"/>
    <w:rsid w:val="006B66B4"/>
    <w:rsid w:val="006B6AE2"/>
    <w:rsid w:val="006B6DD0"/>
    <w:rsid w:val="006C0399"/>
    <w:rsid w:val="006C2A8E"/>
    <w:rsid w:val="006C3255"/>
    <w:rsid w:val="006C3F26"/>
    <w:rsid w:val="006C40A1"/>
    <w:rsid w:val="006C48FB"/>
    <w:rsid w:val="006C4D8D"/>
    <w:rsid w:val="006C60FC"/>
    <w:rsid w:val="006C66FA"/>
    <w:rsid w:val="006C7908"/>
    <w:rsid w:val="006D0D17"/>
    <w:rsid w:val="006D164C"/>
    <w:rsid w:val="006D3C7D"/>
    <w:rsid w:val="006D4659"/>
    <w:rsid w:val="006D4FBB"/>
    <w:rsid w:val="006D5C3A"/>
    <w:rsid w:val="006D5D5F"/>
    <w:rsid w:val="006D68FB"/>
    <w:rsid w:val="006D7734"/>
    <w:rsid w:val="006E0CCB"/>
    <w:rsid w:val="006E13AB"/>
    <w:rsid w:val="006E2413"/>
    <w:rsid w:val="006E24C4"/>
    <w:rsid w:val="006E274E"/>
    <w:rsid w:val="006E2868"/>
    <w:rsid w:val="006E2A28"/>
    <w:rsid w:val="006E2DCD"/>
    <w:rsid w:val="006E519A"/>
    <w:rsid w:val="006E58BD"/>
    <w:rsid w:val="006E5AB2"/>
    <w:rsid w:val="006E5ED1"/>
    <w:rsid w:val="006E7230"/>
    <w:rsid w:val="006E731C"/>
    <w:rsid w:val="006E7DB6"/>
    <w:rsid w:val="006F11B3"/>
    <w:rsid w:val="006F306C"/>
    <w:rsid w:val="006F31CD"/>
    <w:rsid w:val="006F3CB3"/>
    <w:rsid w:val="006F4635"/>
    <w:rsid w:val="006F5086"/>
    <w:rsid w:val="006F50CA"/>
    <w:rsid w:val="006F5239"/>
    <w:rsid w:val="006F5272"/>
    <w:rsid w:val="006F610F"/>
    <w:rsid w:val="006F63A5"/>
    <w:rsid w:val="006F70B0"/>
    <w:rsid w:val="0070068E"/>
    <w:rsid w:val="0070142B"/>
    <w:rsid w:val="00701E3C"/>
    <w:rsid w:val="007024BF"/>
    <w:rsid w:val="0070276E"/>
    <w:rsid w:val="00702F8F"/>
    <w:rsid w:val="007049D4"/>
    <w:rsid w:val="00705DAE"/>
    <w:rsid w:val="0070699B"/>
    <w:rsid w:val="00706FD6"/>
    <w:rsid w:val="007079FC"/>
    <w:rsid w:val="00710360"/>
    <w:rsid w:val="00710F11"/>
    <w:rsid w:val="00710F9E"/>
    <w:rsid w:val="007112A9"/>
    <w:rsid w:val="00711365"/>
    <w:rsid w:val="00711A36"/>
    <w:rsid w:val="007125D3"/>
    <w:rsid w:val="007135C3"/>
    <w:rsid w:val="007139F8"/>
    <w:rsid w:val="0071457F"/>
    <w:rsid w:val="0071483D"/>
    <w:rsid w:val="00714C26"/>
    <w:rsid w:val="0071529C"/>
    <w:rsid w:val="00715412"/>
    <w:rsid w:val="007157C0"/>
    <w:rsid w:val="007157EE"/>
    <w:rsid w:val="007161CE"/>
    <w:rsid w:val="007170DA"/>
    <w:rsid w:val="00717121"/>
    <w:rsid w:val="007172AD"/>
    <w:rsid w:val="00717546"/>
    <w:rsid w:val="007201D8"/>
    <w:rsid w:val="00720801"/>
    <w:rsid w:val="00722142"/>
    <w:rsid w:val="00722576"/>
    <w:rsid w:val="00722B1B"/>
    <w:rsid w:val="007230FB"/>
    <w:rsid w:val="00724017"/>
    <w:rsid w:val="0072416F"/>
    <w:rsid w:val="00725725"/>
    <w:rsid w:val="0072779C"/>
    <w:rsid w:val="00727C94"/>
    <w:rsid w:val="00730DA9"/>
    <w:rsid w:val="00730FFE"/>
    <w:rsid w:val="00731B0A"/>
    <w:rsid w:val="00731EAE"/>
    <w:rsid w:val="00732BB9"/>
    <w:rsid w:val="00733073"/>
    <w:rsid w:val="00735033"/>
    <w:rsid w:val="00735328"/>
    <w:rsid w:val="00735F7F"/>
    <w:rsid w:val="0073677E"/>
    <w:rsid w:val="0073685B"/>
    <w:rsid w:val="00736D17"/>
    <w:rsid w:val="007408B8"/>
    <w:rsid w:val="007411F1"/>
    <w:rsid w:val="00742649"/>
    <w:rsid w:val="007449BF"/>
    <w:rsid w:val="007449D7"/>
    <w:rsid w:val="007455A7"/>
    <w:rsid w:val="00745FFA"/>
    <w:rsid w:val="0074607A"/>
    <w:rsid w:val="007463FE"/>
    <w:rsid w:val="00746BC0"/>
    <w:rsid w:val="0074719D"/>
    <w:rsid w:val="00747367"/>
    <w:rsid w:val="007475CD"/>
    <w:rsid w:val="007510B4"/>
    <w:rsid w:val="00751D05"/>
    <w:rsid w:val="00751E3D"/>
    <w:rsid w:val="00752142"/>
    <w:rsid w:val="007523F9"/>
    <w:rsid w:val="007531CB"/>
    <w:rsid w:val="0075344B"/>
    <w:rsid w:val="0075357E"/>
    <w:rsid w:val="007539E7"/>
    <w:rsid w:val="00753B29"/>
    <w:rsid w:val="00754072"/>
    <w:rsid w:val="007541F4"/>
    <w:rsid w:val="007544CF"/>
    <w:rsid w:val="007556EA"/>
    <w:rsid w:val="007563F6"/>
    <w:rsid w:val="00757321"/>
    <w:rsid w:val="007573E8"/>
    <w:rsid w:val="00760C4E"/>
    <w:rsid w:val="00760F9E"/>
    <w:rsid w:val="007612A9"/>
    <w:rsid w:val="007616E6"/>
    <w:rsid w:val="00761FCA"/>
    <w:rsid w:val="007627BE"/>
    <w:rsid w:val="00763943"/>
    <w:rsid w:val="00763A53"/>
    <w:rsid w:val="0076453B"/>
    <w:rsid w:val="00764F03"/>
    <w:rsid w:val="00765B1A"/>
    <w:rsid w:val="00765DC1"/>
    <w:rsid w:val="0076661C"/>
    <w:rsid w:val="00770CF7"/>
    <w:rsid w:val="0077110C"/>
    <w:rsid w:val="007711F7"/>
    <w:rsid w:val="0077192D"/>
    <w:rsid w:val="00772E48"/>
    <w:rsid w:val="00773211"/>
    <w:rsid w:val="00773435"/>
    <w:rsid w:val="00774744"/>
    <w:rsid w:val="00775275"/>
    <w:rsid w:val="00775D1E"/>
    <w:rsid w:val="00776A29"/>
    <w:rsid w:val="00777335"/>
    <w:rsid w:val="0077790B"/>
    <w:rsid w:val="007811B6"/>
    <w:rsid w:val="0078126B"/>
    <w:rsid w:val="00781384"/>
    <w:rsid w:val="00781417"/>
    <w:rsid w:val="0078157D"/>
    <w:rsid w:val="00781F0F"/>
    <w:rsid w:val="007821EB"/>
    <w:rsid w:val="00782519"/>
    <w:rsid w:val="00783558"/>
    <w:rsid w:val="007843F2"/>
    <w:rsid w:val="007846FA"/>
    <w:rsid w:val="0078495E"/>
    <w:rsid w:val="00785A9F"/>
    <w:rsid w:val="007907BD"/>
    <w:rsid w:val="00791679"/>
    <w:rsid w:val="00792534"/>
    <w:rsid w:val="0079255D"/>
    <w:rsid w:val="007925DF"/>
    <w:rsid w:val="007926B4"/>
    <w:rsid w:val="00792DBA"/>
    <w:rsid w:val="00792F1A"/>
    <w:rsid w:val="00793409"/>
    <w:rsid w:val="00793728"/>
    <w:rsid w:val="00794B37"/>
    <w:rsid w:val="007952C4"/>
    <w:rsid w:val="00797360"/>
    <w:rsid w:val="00797BA6"/>
    <w:rsid w:val="007A08AA"/>
    <w:rsid w:val="007A0A12"/>
    <w:rsid w:val="007A132D"/>
    <w:rsid w:val="007A1345"/>
    <w:rsid w:val="007A177C"/>
    <w:rsid w:val="007A2DDB"/>
    <w:rsid w:val="007A3488"/>
    <w:rsid w:val="007A35B9"/>
    <w:rsid w:val="007A3DCF"/>
    <w:rsid w:val="007A420A"/>
    <w:rsid w:val="007A5A1C"/>
    <w:rsid w:val="007A650C"/>
    <w:rsid w:val="007A653B"/>
    <w:rsid w:val="007A6AF4"/>
    <w:rsid w:val="007A6CCE"/>
    <w:rsid w:val="007A6D23"/>
    <w:rsid w:val="007A70BA"/>
    <w:rsid w:val="007B000E"/>
    <w:rsid w:val="007B0A06"/>
    <w:rsid w:val="007B0D68"/>
    <w:rsid w:val="007B1455"/>
    <w:rsid w:val="007B1652"/>
    <w:rsid w:val="007B251D"/>
    <w:rsid w:val="007B25A2"/>
    <w:rsid w:val="007B27F6"/>
    <w:rsid w:val="007B3533"/>
    <w:rsid w:val="007B3CA3"/>
    <w:rsid w:val="007B4F58"/>
    <w:rsid w:val="007B528D"/>
    <w:rsid w:val="007B56A0"/>
    <w:rsid w:val="007B5D6D"/>
    <w:rsid w:val="007B632C"/>
    <w:rsid w:val="007B63CA"/>
    <w:rsid w:val="007B646F"/>
    <w:rsid w:val="007B67FC"/>
    <w:rsid w:val="007B6A49"/>
    <w:rsid w:val="007B6F01"/>
    <w:rsid w:val="007B77D1"/>
    <w:rsid w:val="007B7D05"/>
    <w:rsid w:val="007B7E45"/>
    <w:rsid w:val="007C00D2"/>
    <w:rsid w:val="007C07C7"/>
    <w:rsid w:val="007C1CD9"/>
    <w:rsid w:val="007C25DB"/>
    <w:rsid w:val="007C2DD7"/>
    <w:rsid w:val="007C31B0"/>
    <w:rsid w:val="007C32EF"/>
    <w:rsid w:val="007C352D"/>
    <w:rsid w:val="007C361D"/>
    <w:rsid w:val="007C393A"/>
    <w:rsid w:val="007C43C4"/>
    <w:rsid w:val="007C4997"/>
    <w:rsid w:val="007C4B84"/>
    <w:rsid w:val="007C5042"/>
    <w:rsid w:val="007C5C52"/>
    <w:rsid w:val="007C66DE"/>
    <w:rsid w:val="007C7088"/>
    <w:rsid w:val="007C70FF"/>
    <w:rsid w:val="007C7C25"/>
    <w:rsid w:val="007D0006"/>
    <w:rsid w:val="007D004F"/>
    <w:rsid w:val="007D00DF"/>
    <w:rsid w:val="007D035F"/>
    <w:rsid w:val="007D06B2"/>
    <w:rsid w:val="007D0B38"/>
    <w:rsid w:val="007D1973"/>
    <w:rsid w:val="007D20EE"/>
    <w:rsid w:val="007D393A"/>
    <w:rsid w:val="007D423E"/>
    <w:rsid w:val="007D426B"/>
    <w:rsid w:val="007D48B9"/>
    <w:rsid w:val="007D4B4B"/>
    <w:rsid w:val="007D5440"/>
    <w:rsid w:val="007D649B"/>
    <w:rsid w:val="007D69EB"/>
    <w:rsid w:val="007D6E77"/>
    <w:rsid w:val="007D7F84"/>
    <w:rsid w:val="007E0393"/>
    <w:rsid w:val="007E048C"/>
    <w:rsid w:val="007E0E84"/>
    <w:rsid w:val="007E128F"/>
    <w:rsid w:val="007E1437"/>
    <w:rsid w:val="007E16B2"/>
    <w:rsid w:val="007E1D1C"/>
    <w:rsid w:val="007E3223"/>
    <w:rsid w:val="007E37BA"/>
    <w:rsid w:val="007E3986"/>
    <w:rsid w:val="007E3D20"/>
    <w:rsid w:val="007E6AA4"/>
    <w:rsid w:val="007F0455"/>
    <w:rsid w:val="007F0C79"/>
    <w:rsid w:val="007F0EEA"/>
    <w:rsid w:val="007F0FCE"/>
    <w:rsid w:val="007F0FF4"/>
    <w:rsid w:val="007F1017"/>
    <w:rsid w:val="007F2C11"/>
    <w:rsid w:val="007F3FCB"/>
    <w:rsid w:val="007F43BF"/>
    <w:rsid w:val="007F45C9"/>
    <w:rsid w:val="007F4A3F"/>
    <w:rsid w:val="007F4A61"/>
    <w:rsid w:val="007F4EA7"/>
    <w:rsid w:val="007F4F3D"/>
    <w:rsid w:val="007F5255"/>
    <w:rsid w:val="007F5694"/>
    <w:rsid w:val="007F56CC"/>
    <w:rsid w:val="007F61C2"/>
    <w:rsid w:val="007F6887"/>
    <w:rsid w:val="007F6A26"/>
    <w:rsid w:val="0080080A"/>
    <w:rsid w:val="00801467"/>
    <w:rsid w:val="00803427"/>
    <w:rsid w:val="0080402F"/>
    <w:rsid w:val="008049ED"/>
    <w:rsid w:val="00804C5B"/>
    <w:rsid w:val="00804D2A"/>
    <w:rsid w:val="00804EEB"/>
    <w:rsid w:val="00805142"/>
    <w:rsid w:val="0080531A"/>
    <w:rsid w:val="0080566B"/>
    <w:rsid w:val="00805A90"/>
    <w:rsid w:val="00805C10"/>
    <w:rsid w:val="00805FCE"/>
    <w:rsid w:val="00807021"/>
    <w:rsid w:val="0080722C"/>
    <w:rsid w:val="00807A8B"/>
    <w:rsid w:val="00810ED9"/>
    <w:rsid w:val="00811383"/>
    <w:rsid w:val="00812149"/>
    <w:rsid w:val="00812230"/>
    <w:rsid w:val="00812CAC"/>
    <w:rsid w:val="00813485"/>
    <w:rsid w:val="00814120"/>
    <w:rsid w:val="008144B5"/>
    <w:rsid w:val="0081538E"/>
    <w:rsid w:val="00816361"/>
    <w:rsid w:val="008165AA"/>
    <w:rsid w:val="0081665E"/>
    <w:rsid w:val="008166EF"/>
    <w:rsid w:val="008168E5"/>
    <w:rsid w:val="00816FEF"/>
    <w:rsid w:val="008170DF"/>
    <w:rsid w:val="008173AB"/>
    <w:rsid w:val="00820A8C"/>
    <w:rsid w:val="008215FB"/>
    <w:rsid w:val="008220CC"/>
    <w:rsid w:val="0082263E"/>
    <w:rsid w:val="00822D75"/>
    <w:rsid w:val="00823174"/>
    <w:rsid w:val="00823B81"/>
    <w:rsid w:val="00824747"/>
    <w:rsid w:val="00825168"/>
    <w:rsid w:val="00825751"/>
    <w:rsid w:val="008264EB"/>
    <w:rsid w:val="008268CE"/>
    <w:rsid w:val="008271C7"/>
    <w:rsid w:val="0082786D"/>
    <w:rsid w:val="00827C23"/>
    <w:rsid w:val="00827DDC"/>
    <w:rsid w:val="008319BB"/>
    <w:rsid w:val="00831A43"/>
    <w:rsid w:val="008332B4"/>
    <w:rsid w:val="00833B05"/>
    <w:rsid w:val="00835554"/>
    <w:rsid w:val="008362B4"/>
    <w:rsid w:val="008362D9"/>
    <w:rsid w:val="00837FB6"/>
    <w:rsid w:val="0084070C"/>
    <w:rsid w:val="00840CA2"/>
    <w:rsid w:val="0084137A"/>
    <w:rsid w:val="00841E70"/>
    <w:rsid w:val="00842451"/>
    <w:rsid w:val="00842B01"/>
    <w:rsid w:val="0084368E"/>
    <w:rsid w:val="0084374F"/>
    <w:rsid w:val="0084416B"/>
    <w:rsid w:val="00844568"/>
    <w:rsid w:val="008445F4"/>
    <w:rsid w:val="00844829"/>
    <w:rsid w:val="00844A22"/>
    <w:rsid w:val="0084505D"/>
    <w:rsid w:val="00847703"/>
    <w:rsid w:val="00847DF5"/>
    <w:rsid w:val="00850801"/>
    <w:rsid w:val="00851471"/>
    <w:rsid w:val="008515C8"/>
    <w:rsid w:val="00851AAB"/>
    <w:rsid w:val="0085309D"/>
    <w:rsid w:val="00853375"/>
    <w:rsid w:val="00853FCD"/>
    <w:rsid w:val="00854CDF"/>
    <w:rsid w:val="0085592B"/>
    <w:rsid w:val="00855B69"/>
    <w:rsid w:val="00856897"/>
    <w:rsid w:val="00856C9C"/>
    <w:rsid w:val="00856E9A"/>
    <w:rsid w:val="0085746B"/>
    <w:rsid w:val="00857B40"/>
    <w:rsid w:val="00857EC8"/>
    <w:rsid w:val="0086075D"/>
    <w:rsid w:val="00860B19"/>
    <w:rsid w:val="008615D1"/>
    <w:rsid w:val="00861B70"/>
    <w:rsid w:val="00862502"/>
    <w:rsid w:val="00862CC1"/>
    <w:rsid w:val="00863186"/>
    <w:rsid w:val="008631F8"/>
    <w:rsid w:val="00863869"/>
    <w:rsid w:val="0086410E"/>
    <w:rsid w:val="008642A7"/>
    <w:rsid w:val="0086474D"/>
    <w:rsid w:val="00864CA0"/>
    <w:rsid w:val="008660D4"/>
    <w:rsid w:val="00866F85"/>
    <w:rsid w:val="008706F5"/>
    <w:rsid w:val="00871C76"/>
    <w:rsid w:val="00871FA9"/>
    <w:rsid w:val="008728E9"/>
    <w:rsid w:val="00872902"/>
    <w:rsid w:val="00873118"/>
    <w:rsid w:val="00874F2B"/>
    <w:rsid w:val="008752B0"/>
    <w:rsid w:val="00875B1B"/>
    <w:rsid w:val="00876477"/>
    <w:rsid w:val="008768E8"/>
    <w:rsid w:val="0087701C"/>
    <w:rsid w:val="00880345"/>
    <w:rsid w:val="00881C4E"/>
    <w:rsid w:val="00882874"/>
    <w:rsid w:val="00882E3C"/>
    <w:rsid w:val="0088308A"/>
    <w:rsid w:val="00883787"/>
    <w:rsid w:val="008844E6"/>
    <w:rsid w:val="00884DAC"/>
    <w:rsid w:val="008855E4"/>
    <w:rsid w:val="00885BEA"/>
    <w:rsid w:val="00885C9D"/>
    <w:rsid w:val="00886224"/>
    <w:rsid w:val="00886CD2"/>
    <w:rsid w:val="008900A5"/>
    <w:rsid w:val="008909F8"/>
    <w:rsid w:val="0089100D"/>
    <w:rsid w:val="008913CF"/>
    <w:rsid w:val="00891E0C"/>
    <w:rsid w:val="00891E6F"/>
    <w:rsid w:val="0089275D"/>
    <w:rsid w:val="00892A36"/>
    <w:rsid w:val="00893239"/>
    <w:rsid w:val="0089420E"/>
    <w:rsid w:val="00894489"/>
    <w:rsid w:val="008948F4"/>
    <w:rsid w:val="0089499F"/>
    <w:rsid w:val="00894CD6"/>
    <w:rsid w:val="00894EB1"/>
    <w:rsid w:val="00895282"/>
    <w:rsid w:val="00895876"/>
    <w:rsid w:val="008963A5"/>
    <w:rsid w:val="00896588"/>
    <w:rsid w:val="00896732"/>
    <w:rsid w:val="00896B6E"/>
    <w:rsid w:val="00896D5D"/>
    <w:rsid w:val="008978FD"/>
    <w:rsid w:val="00897B8F"/>
    <w:rsid w:val="008A05AD"/>
    <w:rsid w:val="008A05D3"/>
    <w:rsid w:val="008A0F54"/>
    <w:rsid w:val="008A126E"/>
    <w:rsid w:val="008A229C"/>
    <w:rsid w:val="008A244A"/>
    <w:rsid w:val="008A2BA4"/>
    <w:rsid w:val="008A3158"/>
    <w:rsid w:val="008A3324"/>
    <w:rsid w:val="008A3363"/>
    <w:rsid w:val="008A3371"/>
    <w:rsid w:val="008A3A03"/>
    <w:rsid w:val="008A3C3E"/>
    <w:rsid w:val="008A3D64"/>
    <w:rsid w:val="008A4F24"/>
    <w:rsid w:val="008A4F70"/>
    <w:rsid w:val="008A6BBD"/>
    <w:rsid w:val="008A6F6E"/>
    <w:rsid w:val="008A79DE"/>
    <w:rsid w:val="008B0166"/>
    <w:rsid w:val="008B026A"/>
    <w:rsid w:val="008B0A40"/>
    <w:rsid w:val="008B1692"/>
    <w:rsid w:val="008B1757"/>
    <w:rsid w:val="008B1C33"/>
    <w:rsid w:val="008B22C5"/>
    <w:rsid w:val="008B3C28"/>
    <w:rsid w:val="008B400D"/>
    <w:rsid w:val="008B4B6F"/>
    <w:rsid w:val="008B5403"/>
    <w:rsid w:val="008B5B40"/>
    <w:rsid w:val="008B68A4"/>
    <w:rsid w:val="008B763E"/>
    <w:rsid w:val="008B7992"/>
    <w:rsid w:val="008B7D7E"/>
    <w:rsid w:val="008C0FBC"/>
    <w:rsid w:val="008C199C"/>
    <w:rsid w:val="008C2552"/>
    <w:rsid w:val="008C3F5C"/>
    <w:rsid w:val="008C54E1"/>
    <w:rsid w:val="008C5610"/>
    <w:rsid w:val="008C5739"/>
    <w:rsid w:val="008C5FE0"/>
    <w:rsid w:val="008C6063"/>
    <w:rsid w:val="008C7282"/>
    <w:rsid w:val="008C7ECB"/>
    <w:rsid w:val="008D087B"/>
    <w:rsid w:val="008D1095"/>
    <w:rsid w:val="008D17A7"/>
    <w:rsid w:val="008D1D62"/>
    <w:rsid w:val="008D324A"/>
    <w:rsid w:val="008D3B86"/>
    <w:rsid w:val="008D43FD"/>
    <w:rsid w:val="008D4755"/>
    <w:rsid w:val="008D4C3D"/>
    <w:rsid w:val="008D4D21"/>
    <w:rsid w:val="008D4FFB"/>
    <w:rsid w:val="008D603E"/>
    <w:rsid w:val="008D6051"/>
    <w:rsid w:val="008D68F3"/>
    <w:rsid w:val="008D743C"/>
    <w:rsid w:val="008D75BB"/>
    <w:rsid w:val="008D7912"/>
    <w:rsid w:val="008D7DB9"/>
    <w:rsid w:val="008D7EE1"/>
    <w:rsid w:val="008E0097"/>
    <w:rsid w:val="008E0D3C"/>
    <w:rsid w:val="008E163B"/>
    <w:rsid w:val="008E175B"/>
    <w:rsid w:val="008E1B9E"/>
    <w:rsid w:val="008E2BAA"/>
    <w:rsid w:val="008E3174"/>
    <w:rsid w:val="008E3EEC"/>
    <w:rsid w:val="008E3F7D"/>
    <w:rsid w:val="008E414C"/>
    <w:rsid w:val="008E424B"/>
    <w:rsid w:val="008E4BE2"/>
    <w:rsid w:val="008E4F55"/>
    <w:rsid w:val="008E50A1"/>
    <w:rsid w:val="008E55AB"/>
    <w:rsid w:val="008E5DB0"/>
    <w:rsid w:val="008E6385"/>
    <w:rsid w:val="008E6A45"/>
    <w:rsid w:val="008E79E5"/>
    <w:rsid w:val="008E7D01"/>
    <w:rsid w:val="008F0977"/>
    <w:rsid w:val="008F120A"/>
    <w:rsid w:val="008F15DA"/>
    <w:rsid w:val="008F27E0"/>
    <w:rsid w:val="008F2955"/>
    <w:rsid w:val="008F438A"/>
    <w:rsid w:val="008F48EB"/>
    <w:rsid w:val="008F4F0B"/>
    <w:rsid w:val="008F5ACF"/>
    <w:rsid w:val="008F619F"/>
    <w:rsid w:val="008F6922"/>
    <w:rsid w:val="008F7613"/>
    <w:rsid w:val="008F7D82"/>
    <w:rsid w:val="008F7DED"/>
    <w:rsid w:val="009017F3"/>
    <w:rsid w:val="00902B91"/>
    <w:rsid w:val="00903330"/>
    <w:rsid w:val="0090335F"/>
    <w:rsid w:val="009037CC"/>
    <w:rsid w:val="00903F26"/>
    <w:rsid w:val="00903F7E"/>
    <w:rsid w:val="009046C4"/>
    <w:rsid w:val="009048E5"/>
    <w:rsid w:val="00904E58"/>
    <w:rsid w:val="0090540F"/>
    <w:rsid w:val="00905E9D"/>
    <w:rsid w:val="009060C2"/>
    <w:rsid w:val="009062A5"/>
    <w:rsid w:val="0090631A"/>
    <w:rsid w:val="0090650F"/>
    <w:rsid w:val="00907699"/>
    <w:rsid w:val="009105C6"/>
    <w:rsid w:val="00910FA7"/>
    <w:rsid w:val="00911272"/>
    <w:rsid w:val="0091128E"/>
    <w:rsid w:val="00911339"/>
    <w:rsid w:val="00911668"/>
    <w:rsid w:val="00911F6B"/>
    <w:rsid w:val="0091238E"/>
    <w:rsid w:val="00912FAD"/>
    <w:rsid w:val="009135D6"/>
    <w:rsid w:val="00914C77"/>
    <w:rsid w:val="00915A8F"/>
    <w:rsid w:val="00916CF6"/>
    <w:rsid w:val="00916EED"/>
    <w:rsid w:val="00917AD5"/>
    <w:rsid w:val="00917E24"/>
    <w:rsid w:val="00920CCB"/>
    <w:rsid w:val="00921128"/>
    <w:rsid w:val="009213D4"/>
    <w:rsid w:val="00921ACB"/>
    <w:rsid w:val="009228E2"/>
    <w:rsid w:val="00922F59"/>
    <w:rsid w:val="0092369B"/>
    <w:rsid w:val="00924FC6"/>
    <w:rsid w:val="009256EA"/>
    <w:rsid w:val="009258F4"/>
    <w:rsid w:val="00926BE4"/>
    <w:rsid w:val="00926C86"/>
    <w:rsid w:val="009272F3"/>
    <w:rsid w:val="00931B58"/>
    <w:rsid w:val="00932543"/>
    <w:rsid w:val="009326AE"/>
    <w:rsid w:val="00933100"/>
    <w:rsid w:val="0093393D"/>
    <w:rsid w:val="009340C1"/>
    <w:rsid w:val="00934273"/>
    <w:rsid w:val="00934988"/>
    <w:rsid w:val="00934F03"/>
    <w:rsid w:val="009359EF"/>
    <w:rsid w:val="00936277"/>
    <w:rsid w:val="00936466"/>
    <w:rsid w:val="00937089"/>
    <w:rsid w:val="009374CB"/>
    <w:rsid w:val="00937D91"/>
    <w:rsid w:val="00937FF8"/>
    <w:rsid w:val="009407B3"/>
    <w:rsid w:val="00940F96"/>
    <w:rsid w:val="0094131D"/>
    <w:rsid w:val="009413EE"/>
    <w:rsid w:val="009424BE"/>
    <w:rsid w:val="00942586"/>
    <w:rsid w:val="009432A9"/>
    <w:rsid w:val="00943AF7"/>
    <w:rsid w:val="00943DD9"/>
    <w:rsid w:val="00944778"/>
    <w:rsid w:val="00944F8A"/>
    <w:rsid w:val="009450BF"/>
    <w:rsid w:val="009450C8"/>
    <w:rsid w:val="00945436"/>
    <w:rsid w:val="00945471"/>
    <w:rsid w:val="00945E5A"/>
    <w:rsid w:val="00945E75"/>
    <w:rsid w:val="00947124"/>
    <w:rsid w:val="009475FF"/>
    <w:rsid w:val="009476D3"/>
    <w:rsid w:val="009477C0"/>
    <w:rsid w:val="00947B5A"/>
    <w:rsid w:val="00950272"/>
    <w:rsid w:val="009510A2"/>
    <w:rsid w:val="009514C6"/>
    <w:rsid w:val="0095189E"/>
    <w:rsid w:val="00951D93"/>
    <w:rsid w:val="00952B06"/>
    <w:rsid w:val="00952DB0"/>
    <w:rsid w:val="00953257"/>
    <w:rsid w:val="00953CFE"/>
    <w:rsid w:val="0095474C"/>
    <w:rsid w:val="009553A6"/>
    <w:rsid w:val="0095551B"/>
    <w:rsid w:val="00955CAE"/>
    <w:rsid w:val="00955D28"/>
    <w:rsid w:val="0095649B"/>
    <w:rsid w:val="00957D92"/>
    <w:rsid w:val="009608A2"/>
    <w:rsid w:val="009609DC"/>
    <w:rsid w:val="0096157C"/>
    <w:rsid w:val="0096158D"/>
    <w:rsid w:val="009626C1"/>
    <w:rsid w:val="00962750"/>
    <w:rsid w:val="00962CB9"/>
    <w:rsid w:val="0096391A"/>
    <w:rsid w:val="00963B64"/>
    <w:rsid w:val="009640C5"/>
    <w:rsid w:val="00964312"/>
    <w:rsid w:val="00964630"/>
    <w:rsid w:val="009652AE"/>
    <w:rsid w:val="0096541A"/>
    <w:rsid w:val="00965B8A"/>
    <w:rsid w:val="00967329"/>
    <w:rsid w:val="00967FF6"/>
    <w:rsid w:val="0097034A"/>
    <w:rsid w:val="0097071F"/>
    <w:rsid w:val="00970CB5"/>
    <w:rsid w:val="00970E3E"/>
    <w:rsid w:val="009717AC"/>
    <w:rsid w:val="00971EB4"/>
    <w:rsid w:val="0097208C"/>
    <w:rsid w:val="00972555"/>
    <w:rsid w:val="009751C1"/>
    <w:rsid w:val="0097645A"/>
    <w:rsid w:val="009769FA"/>
    <w:rsid w:val="00976A6B"/>
    <w:rsid w:val="00977527"/>
    <w:rsid w:val="00980935"/>
    <w:rsid w:val="00980B6E"/>
    <w:rsid w:val="00980BCE"/>
    <w:rsid w:val="009811F1"/>
    <w:rsid w:val="00982437"/>
    <w:rsid w:val="0098262F"/>
    <w:rsid w:val="009832C8"/>
    <w:rsid w:val="00983E57"/>
    <w:rsid w:val="00984538"/>
    <w:rsid w:val="009849F6"/>
    <w:rsid w:val="00984D2F"/>
    <w:rsid w:val="00984E60"/>
    <w:rsid w:val="00984F3F"/>
    <w:rsid w:val="009851B0"/>
    <w:rsid w:val="0098543E"/>
    <w:rsid w:val="009858F9"/>
    <w:rsid w:val="00985DE2"/>
    <w:rsid w:val="0098675D"/>
    <w:rsid w:val="00986CE1"/>
    <w:rsid w:val="00986E61"/>
    <w:rsid w:val="00987B55"/>
    <w:rsid w:val="00987BA4"/>
    <w:rsid w:val="0099246E"/>
    <w:rsid w:val="009926E0"/>
    <w:rsid w:val="00992DA8"/>
    <w:rsid w:val="0099392D"/>
    <w:rsid w:val="00993E12"/>
    <w:rsid w:val="0099451E"/>
    <w:rsid w:val="0099558B"/>
    <w:rsid w:val="009959A3"/>
    <w:rsid w:val="009959FD"/>
    <w:rsid w:val="00996B1A"/>
    <w:rsid w:val="009A09E5"/>
    <w:rsid w:val="009A0FFF"/>
    <w:rsid w:val="009A18F6"/>
    <w:rsid w:val="009A2484"/>
    <w:rsid w:val="009A289C"/>
    <w:rsid w:val="009A2969"/>
    <w:rsid w:val="009A2DCC"/>
    <w:rsid w:val="009A34F9"/>
    <w:rsid w:val="009A3E03"/>
    <w:rsid w:val="009A442D"/>
    <w:rsid w:val="009A4670"/>
    <w:rsid w:val="009A4AF5"/>
    <w:rsid w:val="009A4DF9"/>
    <w:rsid w:val="009A5ABC"/>
    <w:rsid w:val="009A6BEB"/>
    <w:rsid w:val="009A6D9A"/>
    <w:rsid w:val="009A6F15"/>
    <w:rsid w:val="009A735B"/>
    <w:rsid w:val="009A7F10"/>
    <w:rsid w:val="009B019D"/>
    <w:rsid w:val="009B05C3"/>
    <w:rsid w:val="009B2146"/>
    <w:rsid w:val="009B2D7C"/>
    <w:rsid w:val="009B3578"/>
    <w:rsid w:val="009B3E26"/>
    <w:rsid w:val="009B546A"/>
    <w:rsid w:val="009B5A4D"/>
    <w:rsid w:val="009B63CB"/>
    <w:rsid w:val="009B6B47"/>
    <w:rsid w:val="009B6C08"/>
    <w:rsid w:val="009B79B5"/>
    <w:rsid w:val="009C060A"/>
    <w:rsid w:val="009C0ED7"/>
    <w:rsid w:val="009C1271"/>
    <w:rsid w:val="009C2579"/>
    <w:rsid w:val="009C27A8"/>
    <w:rsid w:val="009C3018"/>
    <w:rsid w:val="009C3643"/>
    <w:rsid w:val="009C3706"/>
    <w:rsid w:val="009C3A3A"/>
    <w:rsid w:val="009C3FFA"/>
    <w:rsid w:val="009C426B"/>
    <w:rsid w:val="009C4982"/>
    <w:rsid w:val="009C569A"/>
    <w:rsid w:val="009C6A2A"/>
    <w:rsid w:val="009C6CEA"/>
    <w:rsid w:val="009C743A"/>
    <w:rsid w:val="009C74FE"/>
    <w:rsid w:val="009C7B85"/>
    <w:rsid w:val="009D0254"/>
    <w:rsid w:val="009D07B0"/>
    <w:rsid w:val="009D0A4B"/>
    <w:rsid w:val="009D0C31"/>
    <w:rsid w:val="009D0E56"/>
    <w:rsid w:val="009D1706"/>
    <w:rsid w:val="009D1A64"/>
    <w:rsid w:val="009D28C7"/>
    <w:rsid w:val="009D3283"/>
    <w:rsid w:val="009D36D2"/>
    <w:rsid w:val="009D4D6F"/>
    <w:rsid w:val="009D5497"/>
    <w:rsid w:val="009D551B"/>
    <w:rsid w:val="009D589C"/>
    <w:rsid w:val="009D5B91"/>
    <w:rsid w:val="009D6051"/>
    <w:rsid w:val="009D608E"/>
    <w:rsid w:val="009D62E2"/>
    <w:rsid w:val="009D792E"/>
    <w:rsid w:val="009E0D11"/>
    <w:rsid w:val="009E0DFE"/>
    <w:rsid w:val="009E110D"/>
    <w:rsid w:val="009E11B1"/>
    <w:rsid w:val="009E1698"/>
    <w:rsid w:val="009E1FAF"/>
    <w:rsid w:val="009E2035"/>
    <w:rsid w:val="009E31F6"/>
    <w:rsid w:val="009E3FEE"/>
    <w:rsid w:val="009E43B8"/>
    <w:rsid w:val="009E4698"/>
    <w:rsid w:val="009E4C07"/>
    <w:rsid w:val="009E50C8"/>
    <w:rsid w:val="009E545A"/>
    <w:rsid w:val="009E777F"/>
    <w:rsid w:val="009E79D9"/>
    <w:rsid w:val="009F0532"/>
    <w:rsid w:val="009F0BAA"/>
    <w:rsid w:val="009F0E8D"/>
    <w:rsid w:val="009F11CE"/>
    <w:rsid w:val="009F1461"/>
    <w:rsid w:val="009F18E6"/>
    <w:rsid w:val="009F192F"/>
    <w:rsid w:val="009F1B13"/>
    <w:rsid w:val="009F23C8"/>
    <w:rsid w:val="009F2B6E"/>
    <w:rsid w:val="009F406B"/>
    <w:rsid w:val="009F4F18"/>
    <w:rsid w:val="009F518A"/>
    <w:rsid w:val="009F51BD"/>
    <w:rsid w:val="009F6120"/>
    <w:rsid w:val="009F63A0"/>
    <w:rsid w:val="009F6909"/>
    <w:rsid w:val="009F7E03"/>
    <w:rsid w:val="00A00050"/>
    <w:rsid w:val="00A002E1"/>
    <w:rsid w:val="00A00D76"/>
    <w:rsid w:val="00A01184"/>
    <w:rsid w:val="00A01449"/>
    <w:rsid w:val="00A01D05"/>
    <w:rsid w:val="00A0229A"/>
    <w:rsid w:val="00A023CE"/>
    <w:rsid w:val="00A02FD4"/>
    <w:rsid w:val="00A037C2"/>
    <w:rsid w:val="00A03D43"/>
    <w:rsid w:val="00A04380"/>
    <w:rsid w:val="00A045BF"/>
    <w:rsid w:val="00A04646"/>
    <w:rsid w:val="00A04677"/>
    <w:rsid w:val="00A04786"/>
    <w:rsid w:val="00A047CD"/>
    <w:rsid w:val="00A0536B"/>
    <w:rsid w:val="00A05472"/>
    <w:rsid w:val="00A05C32"/>
    <w:rsid w:val="00A05D0B"/>
    <w:rsid w:val="00A0653F"/>
    <w:rsid w:val="00A06B66"/>
    <w:rsid w:val="00A072FD"/>
    <w:rsid w:val="00A1118E"/>
    <w:rsid w:val="00A116F8"/>
    <w:rsid w:val="00A11796"/>
    <w:rsid w:val="00A11826"/>
    <w:rsid w:val="00A11CD0"/>
    <w:rsid w:val="00A11D3D"/>
    <w:rsid w:val="00A12626"/>
    <w:rsid w:val="00A12B39"/>
    <w:rsid w:val="00A13948"/>
    <w:rsid w:val="00A13D92"/>
    <w:rsid w:val="00A141A5"/>
    <w:rsid w:val="00A1430A"/>
    <w:rsid w:val="00A146D9"/>
    <w:rsid w:val="00A14911"/>
    <w:rsid w:val="00A1555B"/>
    <w:rsid w:val="00A155C5"/>
    <w:rsid w:val="00A15BD3"/>
    <w:rsid w:val="00A1634E"/>
    <w:rsid w:val="00A16550"/>
    <w:rsid w:val="00A167AA"/>
    <w:rsid w:val="00A16AD8"/>
    <w:rsid w:val="00A16DD1"/>
    <w:rsid w:val="00A2021E"/>
    <w:rsid w:val="00A204F8"/>
    <w:rsid w:val="00A20DF5"/>
    <w:rsid w:val="00A20FF6"/>
    <w:rsid w:val="00A21C95"/>
    <w:rsid w:val="00A21CF3"/>
    <w:rsid w:val="00A21DE4"/>
    <w:rsid w:val="00A21F38"/>
    <w:rsid w:val="00A2255A"/>
    <w:rsid w:val="00A23227"/>
    <w:rsid w:val="00A236F7"/>
    <w:rsid w:val="00A23E29"/>
    <w:rsid w:val="00A24171"/>
    <w:rsid w:val="00A24813"/>
    <w:rsid w:val="00A24CD5"/>
    <w:rsid w:val="00A25ABB"/>
    <w:rsid w:val="00A2631C"/>
    <w:rsid w:val="00A26F1F"/>
    <w:rsid w:val="00A26F54"/>
    <w:rsid w:val="00A27062"/>
    <w:rsid w:val="00A270BB"/>
    <w:rsid w:val="00A27AEC"/>
    <w:rsid w:val="00A3201D"/>
    <w:rsid w:val="00A320DB"/>
    <w:rsid w:val="00A322CD"/>
    <w:rsid w:val="00A323D1"/>
    <w:rsid w:val="00A32A89"/>
    <w:rsid w:val="00A3314B"/>
    <w:rsid w:val="00A3335C"/>
    <w:rsid w:val="00A337D0"/>
    <w:rsid w:val="00A33F14"/>
    <w:rsid w:val="00A3448C"/>
    <w:rsid w:val="00A35AA7"/>
    <w:rsid w:val="00A35D16"/>
    <w:rsid w:val="00A35EDA"/>
    <w:rsid w:val="00A360AD"/>
    <w:rsid w:val="00A36187"/>
    <w:rsid w:val="00A36B8F"/>
    <w:rsid w:val="00A37645"/>
    <w:rsid w:val="00A379FD"/>
    <w:rsid w:val="00A37BCD"/>
    <w:rsid w:val="00A40856"/>
    <w:rsid w:val="00A40C12"/>
    <w:rsid w:val="00A41689"/>
    <w:rsid w:val="00A42592"/>
    <w:rsid w:val="00A425E4"/>
    <w:rsid w:val="00A42AB5"/>
    <w:rsid w:val="00A439C2"/>
    <w:rsid w:val="00A43C59"/>
    <w:rsid w:val="00A4409B"/>
    <w:rsid w:val="00A4428C"/>
    <w:rsid w:val="00A45EFE"/>
    <w:rsid w:val="00A479AE"/>
    <w:rsid w:val="00A50A44"/>
    <w:rsid w:val="00A50ECD"/>
    <w:rsid w:val="00A518F3"/>
    <w:rsid w:val="00A52729"/>
    <w:rsid w:val="00A528B4"/>
    <w:rsid w:val="00A53675"/>
    <w:rsid w:val="00A54256"/>
    <w:rsid w:val="00A557D9"/>
    <w:rsid w:val="00A564D7"/>
    <w:rsid w:val="00A56A7E"/>
    <w:rsid w:val="00A56B6A"/>
    <w:rsid w:val="00A578DC"/>
    <w:rsid w:val="00A57E94"/>
    <w:rsid w:val="00A61B0A"/>
    <w:rsid w:val="00A61B34"/>
    <w:rsid w:val="00A61B50"/>
    <w:rsid w:val="00A61E4A"/>
    <w:rsid w:val="00A640E2"/>
    <w:rsid w:val="00A646C3"/>
    <w:rsid w:val="00A64C28"/>
    <w:rsid w:val="00A64D65"/>
    <w:rsid w:val="00A66052"/>
    <w:rsid w:val="00A6725B"/>
    <w:rsid w:val="00A677C3"/>
    <w:rsid w:val="00A67931"/>
    <w:rsid w:val="00A70017"/>
    <w:rsid w:val="00A70443"/>
    <w:rsid w:val="00A70605"/>
    <w:rsid w:val="00A7297E"/>
    <w:rsid w:val="00A73025"/>
    <w:rsid w:val="00A73134"/>
    <w:rsid w:val="00A7365A"/>
    <w:rsid w:val="00A73884"/>
    <w:rsid w:val="00A73DD3"/>
    <w:rsid w:val="00A75612"/>
    <w:rsid w:val="00A7563F"/>
    <w:rsid w:val="00A76001"/>
    <w:rsid w:val="00A76772"/>
    <w:rsid w:val="00A76989"/>
    <w:rsid w:val="00A76A21"/>
    <w:rsid w:val="00A777B2"/>
    <w:rsid w:val="00A77949"/>
    <w:rsid w:val="00A80C3B"/>
    <w:rsid w:val="00A80FED"/>
    <w:rsid w:val="00A81A1C"/>
    <w:rsid w:val="00A81C0A"/>
    <w:rsid w:val="00A82444"/>
    <w:rsid w:val="00A825D4"/>
    <w:rsid w:val="00A828F6"/>
    <w:rsid w:val="00A82B73"/>
    <w:rsid w:val="00A84091"/>
    <w:rsid w:val="00A85D7F"/>
    <w:rsid w:val="00A86148"/>
    <w:rsid w:val="00A86333"/>
    <w:rsid w:val="00A8697C"/>
    <w:rsid w:val="00A86E8B"/>
    <w:rsid w:val="00A87164"/>
    <w:rsid w:val="00A871A9"/>
    <w:rsid w:val="00A905E1"/>
    <w:rsid w:val="00A90C00"/>
    <w:rsid w:val="00A92120"/>
    <w:rsid w:val="00A92189"/>
    <w:rsid w:val="00A92648"/>
    <w:rsid w:val="00A92A03"/>
    <w:rsid w:val="00A93072"/>
    <w:rsid w:val="00A938BD"/>
    <w:rsid w:val="00A93953"/>
    <w:rsid w:val="00A93A0B"/>
    <w:rsid w:val="00A93D5C"/>
    <w:rsid w:val="00A93DAD"/>
    <w:rsid w:val="00A9403C"/>
    <w:rsid w:val="00A9566E"/>
    <w:rsid w:val="00A95896"/>
    <w:rsid w:val="00A959D8"/>
    <w:rsid w:val="00A963CF"/>
    <w:rsid w:val="00AA113D"/>
    <w:rsid w:val="00AA1E21"/>
    <w:rsid w:val="00AA27A5"/>
    <w:rsid w:val="00AA2CA9"/>
    <w:rsid w:val="00AA4E29"/>
    <w:rsid w:val="00AA532F"/>
    <w:rsid w:val="00AA5397"/>
    <w:rsid w:val="00AA5DCA"/>
    <w:rsid w:val="00AA69A8"/>
    <w:rsid w:val="00AA6BD5"/>
    <w:rsid w:val="00AA6BD8"/>
    <w:rsid w:val="00AA6C7D"/>
    <w:rsid w:val="00AA7FD6"/>
    <w:rsid w:val="00AB0190"/>
    <w:rsid w:val="00AB042A"/>
    <w:rsid w:val="00AB04EC"/>
    <w:rsid w:val="00AB06D6"/>
    <w:rsid w:val="00AB11AD"/>
    <w:rsid w:val="00AB19EF"/>
    <w:rsid w:val="00AB23FC"/>
    <w:rsid w:val="00AB2495"/>
    <w:rsid w:val="00AB2D34"/>
    <w:rsid w:val="00AB2F8A"/>
    <w:rsid w:val="00AB3430"/>
    <w:rsid w:val="00AB36DC"/>
    <w:rsid w:val="00AB37B9"/>
    <w:rsid w:val="00AB39BF"/>
    <w:rsid w:val="00AB4AD1"/>
    <w:rsid w:val="00AB4EA6"/>
    <w:rsid w:val="00AB55BB"/>
    <w:rsid w:val="00AB5921"/>
    <w:rsid w:val="00AB5E07"/>
    <w:rsid w:val="00AB771B"/>
    <w:rsid w:val="00AB7B04"/>
    <w:rsid w:val="00AB7CFA"/>
    <w:rsid w:val="00AC05EF"/>
    <w:rsid w:val="00AC07CA"/>
    <w:rsid w:val="00AC0FC1"/>
    <w:rsid w:val="00AC2C10"/>
    <w:rsid w:val="00AC4398"/>
    <w:rsid w:val="00AC5B42"/>
    <w:rsid w:val="00AC5B48"/>
    <w:rsid w:val="00AC69B3"/>
    <w:rsid w:val="00AC6C37"/>
    <w:rsid w:val="00AC7A33"/>
    <w:rsid w:val="00AC7CFB"/>
    <w:rsid w:val="00AD051C"/>
    <w:rsid w:val="00AD0864"/>
    <w:rsid w:val="00AD1450"/>
    <w:rsid w:val="00AD15E8"/>
    <w:rsid w:val="00AD15F9"/>
    <w:rsid w:val="00AD16AE"/>
    <w:rsid w:val="00AD356D"/>
    <w:rsid w:val="00AD3EA6"/>
    <w:rsid w:val="00AD5544"/>
    <w:rsid w:val="00AD6502"/>
    <w:rsid w:val="00AD6599"/>
    <w:rsid w:val="00AD6A15"/>
    <w:rsid w:val="00AD6F0D"/>
    <w:rsid w:val="00AD751C"/>
    <w:rsid w:val="00AD7ECF"/>
    <w:rsid w:val="00AE0695"/>
    <w:rsid w:val="00AE0F9A"/>
    <w:rsid w:val="00AE274F"/>
    <w:rsid w:val="00AE283B"/>
    <w:rsid w:val="00AE3E7E"/>
    <w:rsid w:val="00AE4672"/>
    <w:rsid w:val="00AE53C1"/>
    <w:rsid w:val="00AE5AD3"/>
    <w:rsid w:val="00AE6296"/>
    <w:rsid w:val="00AE7085"/>
    <w:rsid w:val="00AE7976"/>
    <w:rsid w:val="00AE7E53"/>
    <w:rsid w:val="00AF0628"/>
    <w:rsid w:val="00AF1315"/>
    <w:rsid w:val="00AF19BF"/>
    <w:rsid w:val="00AF24A2"/>
    <w:rsid w:val="00AF29CF"/>
    <w:rsid w:val="00AF2DC3"/>
    <w:rsid w:val="00AF2F8A"/>
    <w:rsid w:val="00AF3DD4"/>
    <w:rsid w:val="00AF5236"/>
    <w:rsid w:val="00AF6C4B"/>
    <w:rsid w:val="00B00AAC"/>
    <w:rsid w:val="00B01386"/>
    <w:rsid w:val="00B018EF"/>
    <w:rsid w:val="00B0191B"/>
    <w:rsid w:val="00B01D47"/>
    <w:rsid w:val="00B02DEE"/>
    <w:rsid w:val="00B033E5"/>
    <w:rsid w:val="00B03A63"/>
    <w:rsid w:val="00B0413B"/>
    <w:rsid w:val="00B04384"/>
    <w:rsid w:val="00B05447"/>
    <w:rsid w:val="00B06C84"/>
    <w:rsid w:val="00B06C9D"/>
    <w:rsid w:val="00B06D68"/>
    <w:rsid w:val="00B070B1"/>
    <w:rsid w:val="00B07114"/>
    <w:rsid w:val="00B07B9F"/>
    <w:rsid w:val="00B07C87"/>
    <w:rsid w:val="00B07EE0"/>
    <w:rsid w:val="00B10556"/>
    <w:rsid w:val="00B106AF"/>
    <w:rsid w:val="00B10BD6"/>
    <w:rsid w:val="00B10C95"/>
    <w:rsid w:val="00B114BB"/>
    <w:rsid w:val="00B116CA"/>
    <w:rsid w:val="00B129A4"/>
    <w:rsid w:val="00B13A1B"/>
    <w:rsid w:val="00B13B2F"/>
    <w:rsid w:val="00B13C29"/>
    <w:rsid w:val="00B1426A"/>
    <w:rsid w:val="00B14ED0"/>
    <w:rsid w:val="00B14F71"/>
    <w:rsid w:val="00B155E5"/>
    <w:rsid w:val="00B15A97"/>
    <w:rsid w:val="00B1615A"/>
    <w:rsid w:val="00B16447"/>
    <w:rsid w:val="00B167D7"/>
    <w:rsid w:val="00B17C6C"/>
    <w:rsid w:val="00B201A4"/>
    <w:rsid w:val="00B201D1"/>
    <w:rsid w:val="00B2133D"/>
    <w:rsid w:val="00B213A6"/>
    <w:rsid w:val="00B229FF"/>
    <w:rsid w:val="00B22DDB"/>
    <w:rsid w:val="00B23018"/>
    <w:rsid w:val="00B235B0"/>
    <w:rsid w:val="00B24B2C"/>
    <w:rsid w:val="00B24CEF"/>
    <w:rsid w:val="00B24DF6"/>
    <w:rsid w:val="00B24F73"/>
    <w:rsid w:val="00B25562"/>
    <w:rsid w:val="00B260B5"/>
    <w:rsid w:val="00B27A61"/>
    <w:rsid w:val="00B30E82"/>
    <w:rsid w:val="00B32396"/>
    <w:rsid w:val="00B34A52"/>
    <w:rsid w:val="00B34FE2"/>
    <w:rsid w:val="00B35166"/>
    <w:rsid w:val="00B357D8"/>
    <w:rsid w:val="00B35861"/>
    <w:rsid w:val="00B360F4"/>
    <w:rsid w:val="00B365C9"/>
    <w:rsid w:val="00B36A00"/>
    <w:rsid w:val="00B36E1E"/>
    <w:rsid w:val="00B373BD"/>
    <w:rsid w:val="00B3792B"/>
    <w:rsid w:val="00B37BFC"/>
    <w:rsid w:val="00B40315"/>
    <w:rsid w:val="00B40358"/>
    <w:rsid w:val="00B41614"/>
    <w:rsid w:val="00B41B55"/>
    <w:rsid w:val="00B41B97"/>
    <w:rsid w:val="00B4283A"/>
    <w:rsid w:val="00B42851"/>
    <w:rsid w:val="00B42F80"/>
    <w:rsid w:val="00B435CB"/>
    <w:rsid w:val="00B43701"/>
    <w:rsid w:val="00B44C5D"/>
    <w:rsid w:val="00B4510A"/>
    <w:rsid w:val="00B45DBC"/>
    <w:rsid w:val="00B465EC"/>
    <w:rsid w:val="00B469F3"/>
    <w:rsid w:val="00B50260"/>
    <w:rsid w:val="00B505C8"/>
    <w:rsid w:val="00B50DB8"/>
    <w:rsid w:val="00B5203E"/>
    <w:rsid w:val="00B52DFC"/>
    <w:rsid w:val="00B534A2"/>
    <w:rsid w:val="00B53654"/>
    <w:rsid w:val="00B53905"/>
    <w:rsid w:val="00B546DB"/>
    <w:rsid w:val="00B54B5B"/>
    <w:rsid w:val="00B554D4"/>
    <w:rsid w:val="00B55511"/>
    <w:rsid w:val="00B55520"/>
    <w:rsid w:val="00B5562E"/>
    <w:rsid w:val="00B55784"/>
    <w:rsid w:val="00B55862"/>
    <w:rsid w:val="00B55D65"/>
    <w:rsid w:val="00B56305"/>
    <w:rsid w:val="00B57000"/>
    <w:rsid w:val="00B600D7"/>
    <w:rsid w:val="00B60939"/>
    <w:rsid w:val="00B60AFD"/>
    <w:rsid w:val="00B614EB"/>
    <w:rsid w:val="00B624DC"/>
    <w:rsid w:val="00B62715"/>
    <w:rsid w:val="00B643CA"/>
    <w:rsid w:val="00B65611"/>
    <w:rsid w:val="00B65C03"/>
    <w:rsid w:val="00B65E8B"/>
    <w:rsid w:val="00B676E5"/>
    <w:rsid w:val="00B6792C"/>
    <w:rsid w:val="00B705E0"/>
    <w:rsid w:val="00B7061C"/>
    <w:rsid w:val="00B70A31"/>
    <w:rsid w:val="00B70E8E"/>
    <w:rsid w:val="00B71036"/>
    <w:rsid w:val="00B721C1"/>
    <w:rsid w:val="00B73018"/>
    <w:rsid w:val="00B74728"/>
    <w:rsid w:val="00B748B2"/>
    <w:rsid w:val="00B74C58"/>
    <w:rsid w:val="00B75751"/>
    <w:rsid w:val="00B75AE4"/>
    <w:rsid w:val="00B75D4F"/>
    <w:rsid w:val="00B75EE8"/>
    <w:rsid w:val="00B7626C"/>
    <w:rsid w:val="00B76C92"/>
    <w:rsid w:val="00B80A30"/>
    <w:rsid w:val="00B80DCA"/>
    <w:rsid w:val="00B80EFD"/>
    <w:rsid w:val="00B818A4"/>
    <w:rsid w:val="00B8244D"/>
    <w:rsid w:val="00B828DA"/>
    <w:rsid w:val="00B83739"/>
    <w:rsid w:val="00B83D0F"/>
    <w:rsid w:val="00B84117"/>
    <w:rsid w:val="00B84672"/>
    <w:rsid w:val="00B851FE"/>
    <w:rsid w:val="00B852A0"/>
    <w:rsid w:val="00B858F0"/>
    <w:rsid w:val="00B85AA2"/>
    <w:rsid w:val="00B86482"/>
    <w:rsid w:val="00B8649C"/>
    <w:rsid w:val="00B865D1"/>
    <w:rsid w:val="00B86821"/>
    <w:rsid w:val="00B8695D"/>
    <w:rsid w:val="00B86F8F"/>
    <w:rsid w:val="00B87AD2"/>
    <w:rsid w:val="00B87F0A"/>
    <w:rsid w:val="00B92C16"/>
    <w:rsid w:val="00B92D0B"/>
    <w:rsid w:val="00B93071"/>
    <w:rsid w:val="00B93F50"/>
    <w:rsid w:val="00B94945"/>
    <w:rsid w:val="00B94D80"/>
    <w:rsid w:val="00B94DD6"/>
    <w:rsid w:val="00B95A7E"/>
    <w:rsid w:val="00B96E71"/>
    <w:rsid w:val="00BA0CCD"/>
    <w:rsid w:val="00BA18EC"/>
    <w:rsid w:val="00BA1E5F"/>
    <w:rsid w:val="00BA31C6"/>
    <w:rsid w:val="00BA322D"/>
    <w:rsid w:val="00BA3481"/>
    <w:rsid w:val="00BA38AA"/>
    <w:rsid w:val="00BA4009"/>
    <w:rsid w:val="00BA484C"/>
    <w:rsid w:val="00BA4D05"/>
    <w:rsid w:val="00BA4D29"/>
    <w:rsid w:val="00BA63FA"/>
    <w:rsid w:val="00BA7DF8"/>
    <w:rsid w:val="00BB00B3"/>
    <w:rsid w:val="00BB0BDD"/>
    <w:rsid w:val="00BB1439"/>
    <w:rsid w:val="00BB176C"/>
    <w:rsid w:val="00BB1AFD"/>
    <w:rsid w:val="00BB2A73"/>
    <w:rsid w:val="00BB3A45"/>
    <w:rsid w:val="00BB49DF"/>
    <w:rsid w:val="00BB4ACC"/>
    <w:rsid w:val="00BB703E"/>
    <w:rsid w:val="00BB732D"/>
    <w:rsid w:val="00BB7405"/>
    <w:rsid w:val="00BC09E7"/>
    <w:rsid w:val="00BC0AF2"/>
    <w:rsid w:val="00BC11C1"/>
    <w:rsid w:val="00BC2252"/>
    <w:rsid w:val="00BC2527"/>
    <w:rsid w:val="00BC3631"/>
    <w:rsid w:val="00BC3BBB"/>
    <w:rsid w:val="00BC47FC"/>
    <w:rsid w:val="00BC4B06"/>
    <w:rsid w:val="00BC591F"/>
    <w:rsid w:val="00BC5E88"/>
    <w:rsid w:val="00BC66FA"/>
    <w:rsid w:val="00BC7D6D"/>
    <w:rsid w:val="00BD0E1B"/>
    <w:rsid w:val="00BD12A1"/>
    <w:rsid w:val="00BD13D6"/>
    <w:rsid w:val="00BD2108"/>
    <w:rsid w:val="00BD220C"/>
    <w:rsid w:val="00BD4B14"/>
    <w:rsid w:val="00BD5454"/>
    <w:rsid w:val="00BD5AB0"/>
    <w:rsid w:val="00BD61E8"/>
    <w:rsid w:val="00BD6340"/>
    <w:rsid w:val="00BD64AF"/>
    <w:rsid w:val="00BD68A3"/>
    <w:rsid w:val="00BD6938"/>
    <w:rsid w:val="00BD6CF3"/>
    <w:rsid w:val="00BD7F72"/>
    <w:rsid w:val="00BD7F93"/>
    <w:rsid w:val="00BE0ECA"/>
    <w:rsid w:val="00BE1E6B"/>
    <w:rsid w:val="00BE2180"/>
    <w:rsid w:val="00BE21F2"/>
    <w:rsid w:val="00BE2BC6"/>
    <w:rsid w:val="00BE4275"/>
    <w:rsid w:val="00BE4566"/>
    <w:rsid w:val="00BE75A6"/>
    <w:rsid w:val="00BE7650"/>
    <w:rsid w:val="00BE7D74"/>
    <w:rsid w:val="00BF0368"/>
    <w:rsid w:val="00BF05D4"/>
    <w:rsid w:val="00BF06AE"/>
    <w:rsid w:val="00BF0F95"/>
    <w:rsid w:val="00BF118B"/>
    <w:rsid w:val="00BF1CF8"/>
    <w:rsid w:val="00BF2433"/>
    <w:rsid w:val="00BF249A"/>
    <w:rsid w:val="00BF286D"/>
    <w:rsid w:val="00BF2CB9"/>
    <w:rsid w:val="00BF2E6E"/>
    <w:rsid w:val="00BF39EF"/>
    <w:rsid w:val="00BF4139"/>
    <w:rsid w:val="00BF43B4"/>
    <w:rsid w:val="00BF455D"/>
    <w:rsid w:val="00BF468E"/>
    <w:rsid w:val="00BF5523"/>
    <w:rsid w:val="00BF6093"/>
    <w:rsid w:val="00BF61C9"/>
    <w:rsid w:val="00BF646F"/>
    <w:rsid w:val="00BF6B75"/>
    <w:rsid w:val="00BF6C94"/>
    <w:rsid w:val="00BF703E"/>
    <w:rsid w:val="00BF7EAA"/>
    <w:rsid w:val="00C00424"/>
    <w:rsid w:val="00C0078D"/>
    <w:rsid w:val="00C00BB0"/>
    <w:rsid w:val="00C01FE5"/>
    <w:rsid w:val="00C02EAA"/>
    <w:rsid w:val="00C03F0A"/>
    <w:rsid w:val="00C0475A"/>
    <w:rsid w:val="00C04C27"/>
    <w:rsid w:val="00C057DB"/>
    <w:rsid w:val="00C05C8E"/>
    <w:rsid w:val="00C05DE3"/>
    <w:rsid w:val="00C07A86"/>
    <w:rsid w:val="00C07C7B"/>
    <w:rsid w:val="00C10C5F"/>
    <w:rsid w:val="00C1179F"/>
    <w:rsid w:val="00C11ECC"/>
    <w:rsid w:val="00C127B9"/>
    <w:rsid w:val="00C128FA"/>
    <w:rsid w:val="00C12C14"/>
    <w:rsid w:val="00C1439D"/>
    <w:rsid w:val="00C14DB3"/>
    <w:rsid w:val="00C14FE7"/>
    <w:rsid w:val="00C1583F"/>
    <w:rsid w:val="00C15F04"/>
    <w:rsid w:val="00C179B3"/>
    <w:rsid w:val="00C17AB3"/>
    <w:rsid w:val="00C17E3F"/>
    <w:rsid w:val="00C200AA"/>
    <w:rsid w:val="00C201B1"/>
    <w:rsid w:val="00C20A76"/>
    <w:rsid w:val="00C20B90"/>
    <w:rsid w:val="00C21462"/>
    <w:rsid w:val="00C21DED"/>
    <w:rsid w:val="00C221C3"/>
    <w:rsid w:val="00C22B6D"/>
    <w:rsid w:val="00C234FA"/>
    <w:rsid w:val="00C237ED"/>
    <w:rsid w:val="00C23876"/>
    <w:rsid w:val="00C23ED8"/>
    <w:rsid w:val="00C24632"/>
    <w:rsid w:val="00C24A50"/>
    <w:rsid w:val="00C24E08"/>
    <w:rsid w:val="00C25418"/>
    <w:rsid w:val="00C255EA"/>
    <w:rsid w:val="00C2593F"/>
    <w:rsid w:val="00C25D9C"/>
    <w:rsid w:val="00C26081"/>
    <w:rsid w:val="00C268E5"/>
    <w:rsid w:val="00C26F78"/>
    <w:rsid w:val="00C2778B"/>
    <w:rsid w:val="00C30918"/>
    <w:rsid w:val="00C309A1"/>
    <w:rsid w:val="00C30E46"/>
    <w:rsid w:val="00C30E6E"/>
    <w:rsid w:val="00C31649"/>
    <w:rsid w:val="00C31B96"/>
    <w:rsid w:val="00C32422"/>
    <w:rsid w:val="00C332CD"/>
    <w:rsid w:val="00C338B7"/>
    <w:rsid w:val="00C33C26"/>
    <w:rsid w:val="00C3434C"/>
    <w:rsid w:val="00C3781E"/>
    <w:rsid w:val="00C37EED"/>
    <w:rsid w:val="00C40385"/>
    <w:rsid w:val="00C41768"/>
    <w:rsid w:val="00C41CD7"/>
    <w:rsid w:val="00C41F69"/>
    <w:rsid w:val="00C41F9A"/>
    <w:rsid w:val="00C423E9"/>
    <w:rsid w:val="00C433CF"/>
    <w:rsid w:val="00C44188"/>
    <w:rsid w:val="00C44910"/>
    <w:rsid w:val="00C44EB5"/>
    <w:rsid w:val="00C451C1"/>
    <w:rsid w:val="00C455F1"/>
    <w:rsid w:val="00C45C59"/>
    <w:rsid w:val="00C45CB0"/>
    <w:rsid w:val="00C45F1E"/>
    <w:rsid w:val="00C46626"/>
    <w:rsid w:val="00C47389"/>
    <w:rsid w:val="00C475AA"/>
    <w:rsid w:val="00C508BD"/>
    <w:rsid w:val="00C50F24"/>
    <w:rsid w:val="00C51A32"/>
    <w:rsid w:val="00C51CD3"/>
    <w:rsid w:val="00C527C7"/>
    <w:rsid w:val="00C52806"/>
    <w:rsid w:val="00C53456"/>
    <w:rsid w:val="00C53C98"/>
    <w:rsid w:val="00C5569E"/>
    <w:rsid w:val="00C56FCF"/>
    <w:rsid w:val="00C572EC"/>
    <w:rsid w:val="00C572F6"/>
    <w:rsid w:val="00C57B6C"/>
    <w:rsid w:val="00C61935"/>
    <w:rsid w:val="00C61A59"/>
    <w:rsid w:val="00C61B07"/>
    <w:rsid w:val="00C61CFB"/>
    <w:rsid w:val="00C62121"/>
    <w:rsid w:val="00C628A6"/>
    <w:rsid w:val="00C6386E"/>
    <w:rsid w:val="00C64344"/>
    <w:rsid w:val="00C64F1F"/>
    <w:rsid w:val="00C65108"/>
    <w:rsid w:val="00C65576"/>
    <w:rsid w:val="00C6582B"/>
    <w:rsid w:val="00C65965"/>
    <w:rsid w:val="00C65D2A"/>
    <w:rsid w:val="00C65EAB"/>
    <w:rsid w:val="00C66165"/>
    <w:rsid w:val="00C6778E"/>
    <w:rsid w:val="00C67DF6"/>
    <w:rsid w:val="00C7060A"/>
    <w:rsid w:val="00C7151A"/>
    <w:rsid w:val="00C717E3"/>
    <w:rsid w:val="00C71EBF"/>
    <w:rsid w:val="00C71F60"/>
    <w:rsid w:val="00C72241"/>
    <w:rsid w:val="00C72807"/>
    <w:rsid w:val="00C72B9B"/>
    <w:rsid w:val="00C731E2"/>
    <w:rsid w:val="00C738BB"/>
    <w:rsid w:val="00C750C8"/>
    <w:rsid w:val="00C7532B"/>
    <w:rsid w:val="00C7560F"/>
    <w:rsid w:val="00C75D4B"/>
    <w:rsid w:val="00C76312"/>
    <w:rsid w:val="00C768C4"/>
    <w:rsid w:val="00C77693"/>
    <w:rsid w:val="00C8033C"/>
    <w:rsid w:val="00C80A0E"/>
    <w:rsid w:val="00C8213F"/>
    <w:rsid w:val="00C8303F"/>
    <w:rsid w:val="00C83632"/>
    <w:rsid w:val="00C83917"/>
    <w:rsid w:val="00C8480F"/>
    <w:rsid w:val="00C84853"/>
    <w:rsid w:val="00C84ACB"/>
    <w:rsid w:val="00C85154"/>
    <w:rsid w:val="00C853EC"/>
    <w:rsid w:val="00C8570D"/>
    <w:rsid w:val="00C85A70"/>
    <w:rsid w:val="00C85F65"/>
    <w:rsid w:val="00C86AF2"/>
    <w:rsid w:val="00C8797A"/>
    <w:rsid w:val="00C900B8"/>
    <w:rsid w:val="00C90197"/>
    <w:rsid w:val="00C90C71"/>
    <w:rsid w:val="00C91D74"/>
    <w:rsid w:val="00C91FD1"/>
    <w:rsid w:val="00C92169"/>
    <w:rsid w:val="00C92AF7"/>
    <w:rsid w:val="00C931CF"/>
    <w:rsid w:val="00C938CF"/>
    <w:rsid w:val="00C94053"/>
    <w:rsid w:val="00C947B0"/>
    <w:rsid w:val="00C94937"/>
    <w:rsid w:val="00C9499B"/>
    <w:rsid w:val="00C95502"/>
    <w:rsid w:val="00C9624D"/>
    <w:rsid w:val="00C96840"/>
    <w:rsid w:val="00C969DA"/>
    <w:rsid w:val="00C979B4"/>
    <w:rsid w:val="00CA0495"/>
    <w:rsid w:val="00CA1FC9"/>
    <w:rsid w:val="00CA2BD0"/>
    <w:rsid w:val="00CA2C77"/>
    <w:rsid w:val="00CA3583"/>
    <w:rsid w:val="00CA391B"/>
    <w:rsid w:val="00CA3F2C"/>
    <w:rsid w:val="00CA444F"/>
    <w:rsid w:val="00CA4743"/>
    <w:rsid w:val="00CA4E2F"/>
    <w:rsid w:val="00CA4E50"/>
    <w:rsid w:val="00CA5245"/>
    <w:rsid w:val="00CA6DCF"/>
    <w:rsid w:val="00CA71F4"/>
    <w:rsid w:val="00CA7811"/>
    <w:rsid w:val="00CA7B09"/>
    <w:rsid w:val="00CA7D74"/>
    <w:rsid w:val="00CB0075"/>
    <w:rsid w:val="00CB0B0A"/>
    <w:rsid w:val="00CB12A5"/>
    <w:rsid w:val="00CB1CAC"/>
    <w:rsid w:val="00CB1F2F"/>
    <w:rsid w:val="00CB2085"/>
    <w:rsid w:val="00CB23C7"/>
    <w:rsid w:val="00CB2A82"/>
    <w:rsid w:val="00CB2CE2"/>
    <w:rsid w:val="00CB2F2A"/>
    <w:rsid w:val="00CB3D8E"/>
    <w:rsid w:val="00CB403C"/>
    <w:rsid w:val="00CB5B1A"/>
    <w:rsid w:val="00CB6726"/>
    <w:rsid w:val="00CB6B22"/>
    <w:rsid w:val="00CB72C5"/>
    <w:rsid w:val="00CB7F5F"/>
    <w:rsid w:val="00CC1B39"/>
    <w:rsid w:val="00CC1BFA"/>
    <w:rsid w:val="00CC21A3"/>
    <w:rsid w:val="00CC244A"/>
    <w:rsid w:val="00CC2663"/>
    <w:rsid w:val="00CC2E9F"/>
    <w:rsid w:val="00CC3448"/>
    <w:rsid w:val="00CC35EA"/>
    <w:rsid w:val="00CC3848"/>
    <w:rsid w:val="00CC3A72"/>
    <w:rsid w:val="00CC3EC6"/>
    <w:rsid w:val="00CC4A2B"/>
    <w:rsid w:val="00CC536B"/>
    <w:rsid w:val="00CC5461"/>
    <w:rsid w:val="00CC5549"/>
    <w:rsid w:val="00CC6C89"/>
    <w:rsid w:val="00CC6D5E"/>
    <w:rsid w:val="00CC70A1"/>
    <w:rsid w:val="00CC7418"/>
    <w:rsid w:val="00CC754E"/>
    <w:rsid w:val="00CC76E0"/>
    <w:rsid w:val="00CD01DC"/>
    <w:rsid w:val="00CD0200"/>
    <w:rsid w:val="00CD1684"/>
    <w:rsid w:val="00CD1CE4"/>
    <w:rsid w:val="00CD20EC"/>
    <w:rsid w:val="00CD245E"/>
    <w:rsid w:val="00CD35E2"/>
    <w:rsid w:val="00CD3608"/>
    <w:rsid w:val="00CD3CBA"/>
    <w:rsid w:val="00CD3F77"/>
    <w:rsid w:val="00CD5C28"/>
    <w:rsid w:val="00CD634A"/>
    <w:rsid w:val="00CD65F9"/>
    <w:rsid w:val="00CD6ADC"/>
    <w:rsid w:val="00CD7049"/>
    <w:rsid w:val="00CD7193"/>
    <w:rsid w:val="00CD71D5"/>
    <w:rsid w:val="00CD7AA9"/>
    <w:rsid w:val="00CD7B74"/>
    <w:rsid w:val="00CE0139"/>
    <w:rsid w:val="00CE09E7"/>
    <w:rsid w:val="00CE1190"/>
    <w:rsid w:val="00CE1631"/>
    <w:rsid w:val="00CE169D"/>
    <w:rsid w:val="00CE1B64"/>
    <w:rsid w:val="00CE213E"/>
    <w:rsid w:val="00CE3640"/>
    <w:rsid w:val="00CE38C8"/>
    <w:rsid w:val="00CE3F2B"/>
    <w:rsid w:val="00CE4870"/>
    <w:rsid w:val="00CE4B7F"/>
    <w:rsid w:val="00CE4F03"/>
    <w:rsid w:val="00CE524F"/>
    <w:rsid w:val="00CE5836"/>
    <w:rsid w:val="00CE58CC"/>
    <w:rsid w:val="00CE5DC1"/>
    <w:rsid w:val="00CE6274"/>
    <w:rsid w:val="00CE664A"/>
    <w:rsid w:val="00CE77B6"/>
    <w:rsid w:val="00CE7F51"/>
    <w:rsid w:val="00CF08F7"/>
    <w:rsid w:val="00CF1787"/>
    <w:rsid w:val="00CF1F8C"/>
    <w:rsid w:val="00CF2B8D"/>
    <w:rsid w:val="00CF2F44"/>
    <w:rsid w:val="00CF33C0"/>
    <w:rsid w:val="00CF3A1B"/>
    <w:rsid w:val="00CF456B"/>
    <w:rsid w:val="00CF4A6D"/>
    <w:rsid w:val="00CF4DD4"/>
    <w:rsid w:val="00CF5263"/>
    <w:rsid w:val="00CF5A22"/>
    <w:rsid w:val="00CF5A5A"/>
    <w:rsid w:val="00CF5EB5"/>
    <w:rsid w:val="00CF61D4"/>
    <w:rsid w:val="00CF73CE"/>
    <w:rsid w:val="00CF7CEA"/>
    <w:rsid w:val="00D0014D"/>
    <w:rsid w:val="00D01734"/>
    <w:rsid w:val="00D0262E"/>
    <w:rsid w:val="00D02B1B"/>
    <w:rsid w:val="00D03679"/>
    <w:rsid w:val="00D03A29"/>
    <w:rsid w:val="00D03C15"/>
    <w:rsid w:val="00D04FED"/>
    <w:rsid w:val="00D051F4"/>
    <w:rsid w:val="00D05E3D"/>
    <w:rsid w:val="00D06139"/>
    <w:rsid w:val="00D1025B"/>
    <w:rsid w:val="00D109AF"/>
    <w:rsid w:val="00D110BD"/>
    <w:rsid w:val="00D11652"/>
    <w:rsid w:val="00D1264F"/>
    <w:rsid w:val="00D12A1E"/>
    <w:rsid w:val="00D13533"/>
    <w:rsid w:val="00D13675"/>
    <w:rsid w:val="00D13E04"/>
    <w:rsid w:val="00D141E1"/>
    <w:rsid w:val="00D15164"/>
    <w:rsid w:val="00D15314"/>
    <w:rsid w:val="00D15B48"/>
    <w:rsid w:val="00D164B4"/>
    <w:rsid w:val="00D17479"/>
    <w:rsid w:val="00D17D6C"/>
    <w:rsid w:val="00D21085"/>
    <w:rsid w:val="00D2155B"/>
    <w:rsid w:val="00D22FBB"/>
    <w:rsid w:val="00D23D11"/>
    <w:rsid w:val="00D244B6"/>
    <w:rsid w:val="00D248D1"/>
    <w:rsid w:val="00D24B8C"/>
    <w:rsid w:val="00D24F23"/>
    <w:rsid w:val="00D256A1"/>
    <w:rsid w:val="00D26CBF"/>
    <w:rsid w:val="00D2754D"/>
    <w:rsid w:val="00D27B27"/>
    <w:rsid w:val="00D301AD"/>
    <w:rsid w:val="00D30D5B"/>
    <w:rsid w:val="00D30D8D"/>
    <w:rsid w:val="00D320C0"/>
    <w:rsid w:val="00D32176"/>
    <w:rsid w:val="00D33BE9"/>
    <w:rsid w:val="00D33F93"/>
    <w:rsid w:val="00D34D83"/>
    <w:rsid w:val="00D357FF"/>
    <w:rsid w:val="00D37B5F"/>
    <w:rsid w:val="00D37E32"/>
    <w:rsid w:val="00D37E4F"/>
    <w:rsid w:val="00D417EB"/>
    <w:rsid w:val="00D424C7"/>
    <w:rsid w:val="00D42CDA"/>
    <w:rsid w:val="00D430A8"/>
    <w:rsid w:val="00D43B2A"/>
    <w:rsid w:val="00D43CF1"/>
    <w:rsid w:val="00D43D83"/>
    <w:rsid w:val="00D446EB"/>
    <w:rsid w:val="00D44BC5"/>
    <w:rsid w:val="00D47575"/>
    <w:rsid w:val="00D50134"/>
    <w:rsid w:val="00D509EF"/>
    <w:rsid w:val="00D51540"/>
    <w:rsid w:val="00D5243B"/>
    <w:rsid w:val="00D533EC"/>
    <w:rsid w:val="00D545E3"/>
    <w:rsid w:val="00D548E6"/>
    <w:rsid w:val="00D54AEB"/>
    <w:rsid w:val="00D55A1D"/>
    <w:rsid w:val="00D55CE1"/>
    <w:rsid w:val="00D55E6E"/>
    <w:rsid w:val="00D56120"/>
    <w:rsid w:val="00D5616D"/>
    <w:rsid w:val="00D56286"/>
    <w:rsid w:val="00D56A95"/>
    <w:rsid w:val="00D57355"/>
    <w:rsid w:val="00D576E8"/>
    <w:rsid w:val="00D6076E"/>
    <w:rsid w:val="00D60B26"/>
    <w:rsid w:val="00D60B63"/>
    <w:rsid w:val="00D60C30"/>
    <w:rsid w:val="00D623E5"/>
    <w:rsid w:val="00D643BC"/>
    <w:rsid w:val="00D643BE"/>
    <w:rsid w:val="00D644A2"/>
    <w:rsid w:val="00D64677"/>
    <w:rsid w:val="00D656CD"/>
    <w:rsid w:val="00D664F0"/>
    <w:rsid w:val="00D674F6"/>
    <w:rsid w:val="00D70F16"/>
    <w:rsid w:val="00D7171D"/>
    <w:rsid w:val="00D71762"/>
    <w:rsid w:val="00D71987"/>
    <w:rsid w:val="00D7238F"/>
    <w:rsid w:val="00D72617"/>
    <w:rsid w:val="00D72F57"/>
    <w:rsid w:val="00D734A6"/>
    <w:rsid w:val="00D735E4"/>
    <w:rsid w:val="00D74A0C"/>
    <w:rsid w:val="00D75729"/>
    <w:rsid w:val="00D76528"/>
    <w:rsid w:val="00D76A44"/>
    <w:rsid w:val="00D77D33"/>
    <w:rsid w:val="00D815EF"/>
    <w:rsid w:val="00D81949"/>
    <w:rsid w:val="00D81F26"/>
    <w:rsid w:val="00D822E2"/>
    <w:rsid w:val="00D82F68"/>
    <w:rsid w:val="00D8300E"/>
    <w:rsid w:val="00D830BE"/>
    <w:rsid w:val="00D83C46"/>
    <w:rsid w:val="00D843F2"/>
    <w:rsid w:val="00D84E28"/>
    <w:rsid w:val="00D85D5D"/>
    <w:rsid w:val="00D85FAA"/>
    <w:rsid w:val="00D86231"/>
    <w:rsid w:val="00D86391"/>
    <w:rsid w:val="00D8658B"/>
    <w:rsid w:val="00D867AE"/>
    <w:rsid w:val="00D911EB"/>
    <w:rsid w:val="00D912AB"/>
    <w:rsid w:val="00D91761"/>
    <w:rsid w:val="00D91923"/>
    <w:rsid w:val="00D91A9A"/>
    <w:rsid w:val="00D9241A"/>
    <w:rsid w:val="00D92595"/>
    <w:rsid w:val="00D92D9D"/>
    <w:rsid w:val="00D92F1B"/>
    <w:rsid w:val="00D93753"/>
    <w:rsid w:val="00D945CD"/>
    <w:rsid w:val="00D955FC"/>
    <w:rsid w:val="00D95B53"/>
    <w:rsid w:val="00D9698A"/>
    <w:rsid w:val="00D974C3"/>
    <w:rsid w:val="00D97D05"/>
    <w:rsid w:val="00D97F2D"/>
    <w:rsid w:val="00DA01D5"/>
    <w:rsid w:val="00DA2242"/>
    <w:rsid w:val="00DA2AD3"/>
    <w:rsid w:val="00DA2B43"/>
    <w:rsid w:val="00DA2CFB"/>
    <w:rsid w:val="00DA2E79"/>
    <w:rsid w:val="00DA3113"/>
    <w:rsid w:val="00DA3167"/>
    <w:rsid w:val="00DA4DC3"/>
    <w:rsid w:val="00DA57F1"/>
    <w:rsid w:val="00DA6022"/>
    <w:rsid w:val="00DA61A3"/>
    <w:rsid w:val="00DA6A68"/>
    <w:rsid w:val="00DA7777"/>
    <w:rsid w:val="00DA77A5"/>
    <w:rsid w:val="00DB08A1"/>
    <w:rsid w:val="00DB0D6C"/>
    <w:rsid w:val="00DB0E36"/>
    <w:rsid w:val="00DB23BC"/>
    <w:rsid w:val="00DB2723"/>
    <w:rsid w:val="00DB355E"/>
    <w:rsid w:val="00DB3DBF"/>
    <w:rsid w:val="00DB4752"/>
    <w:rsid w:val="00DB476D"/>
    <w:rsid w:val="00DB47E7"/>
    <w:rsid w:val="00DB484F"/>
    <w:rsid w:val="00DB5A87"/>
    <w:rsid w:val="00DB6044"/>
    <w:rsid w:val="00DB7A3E"/>
    <w:rsid w:val="00DC02ED"/>
    <w:rsid w:val="00DC04F6"/>
    <w:rsid w:val="00DC0690"/>
    <w:rsid w:val="00DC1D65"/>
    <w:rsid w:val="00DC3080"/>
    <w:rsid w:val="00DC31EA"/>
    <w:rsid w:val="00DC357A"/>
    <w:rsid w:val="00DC3C57"/>
    <w:rsid w:val="00DC50B0"/>
    <w:rsid w:val="00DC5501"/>
    <w:rsid w:val="00DC5DE4"/>
    <w:rsid w:val="00DC7154"/>
    <w:rsid w:val="00DC7647"/>
    <w:rsid w:val="00DC7D70"/>
    <w:rsid w:val="00DC7E8A"/>
    <w:rsid w:val="00DD0F78"/>
    <w:rsid w:val="00DD1466"/>
    <w:rsid w:val="00DD1FBE"/>
    <w:rsid w:val="00DD26EF"/>
    <w:rsid w:val="00DD273C"/>
    <w:rsid w:val="00DD3C01"/>
    <w:rsid w:val="00DD3D82"/>
    <w:rsid w:val="00DD3D84"/>
    <w:rsid w:val="00DD3F28"/>
    <w:rsid w:val="00DD4446"/>
    <w:rsid w:val="00DD4537"/>
    <w:rsid w:val="00DD4E15"/>
    <w:rsid w:val="00DD5ADA"/>
    <w:rsid w:val="00DD5CE8"/>
    <w:rsid w:val="00DD7459"/>
    <w:rsid w:val="00DD7514"/>
    <w:rsid w:val="00DE0CD5"/>
    <w:rsid w:val="00DE0ECA"/>
    <w:rsid w:val="00DE1C25"/>
    <w:rsid w:val="00DE1D6B"/>
    <w:rsid w:val="00DE2072"/>
    <w:rsid w:val="00DE2304"/>
    <w:rsid w:val="00DE2872"/>
    <w:rsid w:val="00DE3138"/>
    <w:rsid w:val="00DE37F8"/>
    <w:rsid w:val="00DE3AEC"/>
    <w:rsid w:val="00DE4172"/>
    <w:rsid w:val="00DE4273"/>
    <w:rsid w:val="00DE44FA"/>
    <w:rsid w:val="00DE460F"/>
    <w:rsid w:val="00DE4903"/>
    <w:rsid w:val="00DE4FCB"/>
    <w:rsid w:val="00DE506A"/>
    <w:rsid w:val="00DE50F9"/>
    <w:rsid w:val="00DE596C"/>
    <w:rsid w:val="00DE5D07"/>
    <w:rsid w:val="00DE66C5"/>
    <w:rsid w:val="00DE6F29"/>
    <w:rsid w:val="00DE72A7"/>
    <w:rsid w:val="00DE7832"/>
    <w:rsid w:val="00DE79F0"/>
    <w:rsid w:val="00DF1078"/>
    <w:rsid w:val="00DF18FC"/>
    <w:rsid w:val="00DF2407"/>
    <w:rsid w:val="00DF2662"/>
    <w:rsid w:val="00DF2992"/>
    <w:rsid w:val="00DF3484"/>
    <w:rsid w:val="00DF45CB"/>
    <w:rsid w:val="00DF5D2B"/>
    <w:rsid w:val="00DF6341"/>
    <w:rsid w:val="00DF698C"/>
    <w:rsid w:val="00DF6A66"/>
    <w:rsid w:val="00E00A91"/>
    <w:rsid w:val="00E00C34"/>
    <w:rsid w:val="00E00E41"/>
    <w:rsid w:val="00E00E8E"/>
    <w:rsid w:val="00E01E55"/>
    <w:rsid w:val="00E026A5"/>
    <w:rsid w:val="00E02A22"/>
    <w:rsid w:val="00E02C22"/>
    <w:rsid w:val="00E049BD"/>
    <w:rsid w:val="00E055C0"/>
    <w:rsid w:val="00E05630"/>
    <w:rsid w:val="00E06164"/>
    <w:rsid w:val="00E061F4"/>
    <w:rsid w:val="00E069C7"/>
    <w:rsid w:val="00E06B73"/>
    <w:rsid w:val="00E06DBB"/>
    <w:rsid w:val="00E07F9F"/>
    <w:rsid w:val="00E10149"/>
    <w:rsid w:val="00E1024B"/>
    <w:rsid w:val="00E10987"/>
    <w:rsid w:val="00E11340"/>
    <w:rsid w:val="00E11BAE"/>
    <w:rsid w:val="00E11EC2"/>
    <w:rsid w:val="00E1219A"/>
    <w:rsid w:val="00E122A1"/>
    <w:rsid w:val="00E12B3A"/>
    <w:rsid w:val="00E12EFA"/>
    <w:rsid w:val="00E13EFE"/>
    <w:rsid w:val="00E15CA9"/>
    <w:rsid w:val="00E16372"/>
    <w:rsid w:val="00E16AD8"/>
    <w:rsid w:val="00E16CC6"/>
    <w:rsid w:val="00E17517"/>
    <w:rsid w:val="00E17FFA"/>
    <w:rsid w:val="00E20E4D"/>
    <w:rsid w:val="00E20ED6"/>
    <w:rsid w:val="00E21358"/>
    <w:rsid w:val="00E21B19"/>
    <w:rsid w:val="00E21EC5"/>
    <w:rsid w:val="00E2249B"/>
    <w:rsid w:val="00E22A0D"/>
    <w:rsid w:val="00E22A31"/>
    <w:rsid w:val="00E23568"/>
    <w:rsid w:val="00E2430F"/>
    <w:rsid w:val="00E244BD"/>
    <w:rsid w:val="00E244F6"/>
    <w:rsid w:val="00E258DB"/>
    <w:rsid w:val="00E2728F"/>
    <w:rsid w:val="00E272F3"/>
    <w:rsid w:val="00E2771E"/>
    <w:rsid w:val="00E301CC"/>
    <w:rsid w:val="00E311EF"/>
    <w:rsid w:val="00E31682"/>
    <w:rsid w:val="00E317BC"/>
    <w:rsid w:val="00E32180"/>
    <w:rsid w:val="00E333A8"/>
    <w:rsid w:val="00E34948"/>
    <w:rsid w:val="00E34DA4"/>
    <w:rsid w:val="00E3559A"/>
    <w:rsid w:val="00E35CA4"/>
    <w:rsid w:val="00E35FF2"/>
    <w:rsid w:val="00E3601D"/>
    <w:rsid w:val="00E367E8"/>
    <w:rsid w:val="00E36A49"/>
    <w:rsid w:val="00E37569"/>
    <w:rsid w:val="00E37746"/>
    <w:rsid w:val="00E401B2"/>
    <w:rsid w:val="00E41E30"/>
    <w:rsid w:val="00E420EF"/>
    <w:rsid w:val="00E42F73"/>
    <w:rsid w:val="00E42F8C"/>
    <w:rsid w:val="00E43D70"/>
    <w:rsid w:val="00E43E1C"/>
    <w:rsid w:val="00E44CCE"/>
    <w:rsid w:val="00E466F3"/>
    <w:rsid w:val="00E468A1"/>
    <w:rsid w:val="00E47B2C"/>
    <w:rsid w:val="00E5018C"/>
    <w:rsid w:val="00E51560"/>
    <w:rsid w:val="00E51821"/>
    <w:rsid w:val="00E519C8"/>
    <w:rsid w:val="00E51E5A"/>
    <w:rsid w:val="00E51FB0"/>
    <w:rsid w:val="00E5288D"/>
    <w:rsid w:val="00E53FC8"/>
    <w:rsid w:val="00E54347"/>
    <w:rsid w:val="00E54616"/>
    <w:rsid w:val="00E54AB1"/>
    <w:rsid w:val="00E54F47"/>
    <w:rsid w:val="00E55066"/>
    <w:rsid w:val="00E55424"/>
    <w:rsid w:val="00E55915"/>
    <w:rsid w:val="00E55BB5"/>
    <w:rsid w:val="00E5699D"/>
    <w:rsid w:val="00E56A38"/>
    <w:rsid w:val="00E56F3D"/>
    <w:rsid w:val="00E57CFB"/>
    <w:rsid w:val="00E60AF2"/>
    <w:rsid w:val="00E611DF"/>
    <w:rsid w:val="00E617C9"/>
    <w:rsid w:val="00E619C1"/>
    <w:rsid w:val="00E61C3B"/>
    <w:rsid w:val="00E61ECE"/>
    <w:rsid w:val="00E621A9"/>
    <w:rsid w:val="00E6288A"/>
    <w:rsid w:val="00E62EC4"/>
    <w:rsid w:val="00E63160"/>
    <w:rsid w:val="00E65E79"/>
    <w:rsid w:val="00E66141"/>
    <w:rsid w:val="00E66BA2"/>
    <w:rsid w:val="00E66E86"/>
    <w:rsid w:val="00E67416"/>
    <w:rsid w:val="00E679E6"/>
    <w:rsid w:val="00E67E09"/>
    <w:rsid w:val="00E67EB9"/>
    <w:rsid w:val="00E70FDE"/>
    <w:rsid w:val="00E7180D"/>
    <w:rsid w:val="00E718B6"/>
    <w:rsid w:val="00E71C1E"/>
    <w:rsid w:val="00E71CB4"/>
    <w:rsid w:val="00E71D46"/>
    <w:rsid w:val="00E723BA"/>
    <w:rsid w:val="00E72725"/>
    <w:rsid w:val="00E72E01"/>
    <w:rsid w:val="00E73581"/>
    <w:rsid w:val="00E73B02"/>
    <w:rsid w:val="00E73B0D"/>
    <w:rsid w:val="00E7409D"/>
    <w:rsid w:val="00E74533"/>
    <w:rsid w:val="00E74572"/>
    <w:rsid w:val="00E7493E"/>
    <w:rsid w:val="00E74A57"/>
    <w:rsid w:val="00E76E14"/>
    <w:rsid w:val="00E77373"/>
    <w:rsid w:val="00E7771A"/>
    <w:rsid w:val="00E81DBB"/>
    <w:rsid w:val="00E82910"/>
    <w:rsid w:val="00E83329"/>
    <w:rsid w:val="00E833F7"/>
    <w:rsid w:val="00E83BDF"/>
    <w:rsid w:val="00E849E1"/>
    <w:rsid w:val="00E86C33"/>
    <w:rsid w:val="00E86FCC"/>
    <w:rsid w:val="00E87A1D"/>
    <w:rsid w:val="00E900B8"/>
    <w:rsid w:val="00E90594"/>
    <w:rsid w:val="00E9094A"/>
    <w:rsid w:val="00E91329"/>
    <w:rsid w:val="00E91D35"/>
    <w:rsid w:val="00E926A5"/>
    <w:rsid w:val="00E92907"/>
    <w:rsid w:val="00E93790"/>
    <w:rsid w:val="00E949CA"/>
    <w:rsid w:val="00E949D9"/>
    <w:rsid w:val="00E95533"/>
    <w:rsid w:val="00E962CC"/>
    <w:rsid w:val="00E96E9A"/>
    <w:rsid w:val="00E974B6"/>
    <w:rsid w:val="00EA038F"/>
    <w:rsid w:val="00EA1103"/>
    <w:rsid w:val="00EA15CD"/>
    <w:rsid w:val="00EA17C3"/>
    <w:rsid w:val="00EA1E08"/>
    <w:rsid w:val="00EA2CAA"/>
    <w:rsid w:val="00EA316B"/>
    <w:rsid w:val="00EA3864"/>
    <w:rsid w:val="00EA5F76"/>
    <w:rsid w:val="00EA6476"/>
    <w:rsid w:val="00EA66D4"/>
    <w:rsid w:val="00EA76E8"/>
    <w:rsid w:val="00EA7DBC"/>
    <w:rsid w:val="00EA7F1C"/>
    <w:rsid w:val="00EB04EE"/>
    <w:rsid w:val="00EB0DD9"/>
    <w:rsid w:val="00EB1027"/>
    <w:rsid w:val="00EB12B6"/>
    <w:rsid w:val="00EB15B6"/>
    <w:rsid w:val="00EB1761"/>
    <w:rsid w:val="00EB1C26"/>
    <w:rsid w:val="00EB261B"/>
    <w:rsid w:val="00EB3D06"/>
    <w:rsid w:val="00EB4916"/>
    <w:rsid w:val="00EB4D9C"/>
    <w:rsid w:val="00EB5817"/>
    <w:rsid w:val="00EB5AAD"/>
    <w:rsid w:val="00EB60A4"/>
    <w:rsid w:val="00EC00C9"/>
    <w:rsid w:val="00EC066E"/>
    <w:rsid w:val="00EC0A25"/>
    <w:rsid w:val="00EC0A37"/>
    <w:rsid w:val="00EC0DD9"/>
    <w:rsid w:val="00EC112E"/>
    <w:rsid w:val="00EC11B6"/>
    <w:rsid w:val="00EC1B4E"/>
    <w:rsid w:val="00EC1C5A"/>
    <w:rsid w:val="00EC2084"/>
    <w:rsid w:val="00EC2649"/>
    <w:rsid w:val="00EC31ED"/>
    <w:rsid w:val="00EC3929"/>
    <w:rsid w:val="00EC3A2F"/>
    <w:rsid w:val="00EC3A7F"/>
    <w:rsid w:val="00EC3AE4"/>
    <w:rsid w:val="00EC5197"/>
    <w:rsid w:val="00EC5836"/>
    <w:rsid w:val="00EC5ADB"/>
    <w:rsid w:val="00EC688C"/>
    <w:rsid w:val="00EC7966"/>
    <w:rsid w:val="00EC7A8A"/>
    <w:rsid w:val="00EC7B79"/>
    <w:rsid w:val="00ED062C"/>
    <w:rsid w:val="00ED0CBB"/>
    <w:rsid w:val="00ED110E"/>
    <w:rsid w:val="00ED12E3"/>
    <w:rsid w:val="00ED1619"/>
    <w:rsid w:val="00ED18FD"/>
    <w:rsid w:val="00ED199A"/>
    <w:rsid w:val="00ED1BC2"/>
    <w:rsid w:val="00ED2436"/>
    <w:rsid w:val="00ED299B"/>
    <w:rsid w:val="00ED3C13"/>
    <w:rsid w:val="00ED4452"/>
    <w:rsid w:val="00ED4B04"/>
    <w:rsid w:val="00ED57EA"/>
    <w:rsid w:val="00ED5A64"/>
    <w:rsid w:val="00ED5BD4"/>
    <w:rsid w:val="00ED6F2A"/>
    <w:rsid w:val="00ED7100"/>
    <w:rsid w:val="00ED7393"/>
    <w:rsid w:val="00EE055A"/>
    <w:rsid w:val="00EE0585"/>
    <w:rsid w:val="00EE05ED"/>
    <w:rsid w:val="00EE07D3"/>
    <w:rsid w:val="00EE0FB2"/>
    <w:rsid w:val="00EE1024"/>
    <w:rsid w:val="00EE10B5"/>
    <w:rsid w:val="00EE1533"/>
    <w:rsid w:val="00EE1947"/>
    <w:rsid w:val="00EE1996"/>
    <w:rsid w:val="00EE1C01"/>
    <w:rsid w:val="00EE1D7F"/>
    <w:rsid w:val="00EE22AF"/>
    <w:rsid w:val="00EE2907"/>
    <w:rsid w:val="00EE2A32"/>
    <w:rsid w:val="00EE443F"/>
    <w:rsid w:val="00EE5EF0"/>
    <w:rsid w:val="00EE63C6"/>
    <w:rsid w:val="00EE7365"/>
    <w:rsid w:val="00EE7434"/>
    <w:rsid w:val="00EE7767"/>
    <w:rsid w:val="00EE7EC3"/>
    <w:rsid w:val="00EF0171"/>
    <w:rsid w:val="00EF0550"/>
    <w:rsid w:val="00EF15C1"/>
    <w:rsid w:val="00EF1B25"/>
    <w:rsid w:val="00EF1DA0"/>
    <w:rsid w:val="00EF39C5"/>
    <w:rsid w:val="00EF43E2"/>
    <w:rsid w:val="00EF4747"/>
    <w:rsid w:val="00EF49B4"/>
    <w:rsid w:val="00EF4A6F"/>
    <w:rsid w:val="00EF4BF8"/>
    <w:rsid w:val="00EF4D9F"/>
    <w:rsid w:val="00EF5774"/>
    <w:rsid w:val="00EF5C3B"/>
    <w:rsid w:val="00EF68D6"/>
    <w:rsid w:val="00EF697D"/>
    <w:rsid w:val="00EF7E4E"/>
    <w:rsid w:val="00F007CC"/>
    <w:rsid w:val="00F02253"/>
    <w:rsid w:val="00F03C2E"/>
    <w:rsid w:val="00F04A66"/>
    <w:rsid w:val="00F04B4B"/>
    <w:rsid w:val="00F0516C"/>
    <w:rsid w:val="00F05357"/>
    <w:rsid w:val="00F0547E"/>
    <w:rsid w:val="00F06461"/>
    <w:rsid w:val="00F067A2"/>
    <w:rsid w:val="00F06A35"/>
    <w:rsid w:val="00F07502"/>
    <w:rsid w:val="00F07B9E"/>
    <w:rsid w:val="00F10246"/>
    <w:rsid w:val="00F10412"/>
    <w:rsid w:val="00F104C5"/>
    <w:rsid w:val="00F1116F"/>
    <w:rsid w:val="00F1263A"/>
    <w:rsid w:val="00F13772"/>
    <w:rsid w:val="00F13787"/>
    <w:rsid w:val="00F139C5"/>
    <w:rsid w:val="00F13F1A"/>
    <w:rsid w:val="00F1450E"/>
    <w:rsid w:val="00F150D7"/>
    <w:rsid w:val="00F15B77"/>
    <w:rsid w:val="00F160EA"/>
    <w:rsid w:val="00F16A34"/>
    <w:rsid w:val="00F177B4"/>
    <w:rsid w:val="00F2064E"/>
    <w:rsid w:val="00F21236"/>
    <w:rsid w:val="00F23568"/>
    <w:rsid w:val="00F239DF"/>
    <w:rsid w:val="00F24837"/>
    <w:rsid w:val="00F24DC5"/>
    <w:rsid w:val="00F2575F"/>
    <w:rsid w:val="00F264B9"/>
    <w:rsid w:val="00F26564"/>
    <w:rsid w:val="00F26BF8"/>
    <w:rsid w:val="00F26F89"/>
    <w:rsid w:val="00F27196"/>
    <w:rsid w:val="00F27298"/>
    <w:rsid w:val="00F27565"/>
    <w:rsid w:val="00F27645"/>
    <w:rsid w:val="00F27667"/>
    <w:rsid w:val="00F276B4"/>
    <w:rsid w:val="00F27BE4"/>
    <w:rsid w:val="00F27D96"/>
    <w:rsid w:val="00F310D4"/>
    <w:rsid w:val="00F318ED"/>
    <w:rsid w:val="00F31D5A"/>
    <w:rsid w:val="00F32039"/>
    <w:rsid w:val="00F32287"/>
    <w:rsid w:val="00F32457"/>
    <w:rsid w:val="00F329D8"/>
    <w:rsid w:val="00F32D1D"/>
    <w:rsid w:val="00F33975"/>
    <w:rsid w:val="00F33DE9"/>
    <w:rsid w:val="00F342BD"/>
    <w:rsid w:val="00F348B1"/>
    <w:rsid w:val="00F35588"/>
    <w:rsid w:val="00F35E6D"/>
    <w:rsid w:val="00F3619A"/>
    <w:rsid w:val="00F401BB"/>
    <w:rsid w:val="00F40AAA"/>
    <w:rsid w:val="00F40BA7"/>
    <w:rsid w:val="00F40F9D"/>
    <w:rsid w:val="00F41ACD"/>
    <w:rsid w:val="00F41D3D"/>
    <w:rsid w:val="00F42323"/>
    <w:rsid w:val="00F4267A"/>
    <w:rsid w:val="00F42738"/>
    <w:rsid w:val="00F42BBA"/>
    <w:rsid w:val="00F44680"/>
    <w:rsid w:val="00F44C9D"/>
    <w:rsid w:val="00F44D92"/>
    <w:rsid w:val="00F46CB6"/>
    <w:rsid w:val="00F4733E"/>
    <w:rsid w:val="00F4756D"/>
    <w:rsid w:val="00F47DE8"/>
    <w:rsid w:val="00F50555"/>
    <w:rsid w:val="00F509E7"/>
    <w:rsid w:val="00F5102E"/>
    <w:rsid w:val="00F51453"/>
    <w:rsid w:val="00F51AFF"/>
    <w:rsid w:val="00F51FE4"/>
    <w:rsid w:val="00F532F5"/>
    <w:rsid w:val="00F53435"/>
    <w:rsid w:val="00F53688"/>
    <w:rsid w:val="00F53D97"/>
    <w:rsid w:val="00F53E01"/>
    <w:rsid w:val="00F53E91"/>
    <w:rsid w:val="00F542C1"/>
    <w:rsid w:val="00F5456D"/>
    <w:rsid w:val="00F54AB7"/>
    <w:rsid w:val="00F550E3"/>
    <w:rsid w:val="00F55E73"/>
    <w:rsid w:val="00F55EDA"/>
    <w:rsid w:val="00F564A1"/>
    <w:rsid w:val="00F56BC4"/>
    <w:rsid w:val="00F56C80"/>
    <w:rsid w:val="00F57071"/>
    <w:rsid w:val="00F57B35"/>
    <w:rsid w:val="00F60092"/>
    <w:rsid w:val="00F6041C"/>
    <w:rsid w:val="00F61C18"/>
    <w:rsid w:val="00F61F5D"/>
    <w:rsid w:val="00F62854"/>
    <w:rsid w:val="00F62E6D"/>
    <w:rsid w:val="00F63EF1"/>
    <w:rsid w:val="00F64BA5"/>
    <w:rsid w:val="00F653EC"/>
    <w:rsid w:val="00F65E79"/>
    <w:rsid w:val="00F65F4B"/>
    <w:rsid w:val="00F6613E"/>
    <w:rsid w:val="00F662B3"/>
    <w:rsid w:val="00F664FD"/>
    <w:rsid w:val="00F66A89"/>
    <w:rsid w:val="00F67608"/>
    <w:rsid w:val="00F67882"/>
    <w:rsid w:val="00F67A69"/>
    <w:rsid w:val="00F67F81"/>
    <w:rsid w:val="00F70667"/>
    <w:rsid w:val="00F70854"/>
    <w:rsid w:val="00F70BFF"/>
    <w:rsid w:val="00F70C9D"/>
    <w:rsid w:val="00F71B6B"/>
    <w:rsid w:val="00F72AE3"/>
    <w:rsid w:val="00F73B0D"/>
    <w:rsid w:val="00F73E08"/>
    <w:rsid w:val="00F748F2"/>
    <w:rsid w:val="00F74CD9"/>
    <w:rsid w:val="00F75698"/>
    <w:rsid w:val="00F76C53"/>
    <w:rsid w:val="00F774AB"/>
    <w:rsid w:val="00F80A7B"/>
    <w:rsid w:val="00F80E5D"/>
    <w:rsid w:val="00F81E78"/>
    <w:rsid w:val="00F82594"/>
    <w:rsid w:val="00F82892"/>
    <w:rsid w:val="00F828D3"/>
    <w:rsid w:val="00F83916"/>
    <w:rsid w:val="00F83A04"/>
    <w:rsid w:val="00F83CD8"/>
    <w:rsid w:val="00F83DD0"/>
    <w:rsid w:val="00F84C38"/>
    <w:rsid w:val="00F84C3D"/>
    <w:rsid w:val="00F851CE"/>
    <w:rsid w:val="00F86A2A"/>
    <w:rsid w:val="00F875A0"/>
    <w:rsid w:val="00F90F25"/>
    <w:rsid w:val="00F91219"/>
    <w:rsid w:val="00F92444"/>
    <w:rsid w:val="00F92BEB"/>
    <w:rsid w:val="00F9344D"/>
    <w:rsid w:val="00F9393E"/>
    <w:rsid w:val="00F93FA1"/>
    <w:rsid w:val="00F943CB"/>
    <w:rsid w:val="00F94CA9"/>
    <w:rsid w:val="00F95862"/>
    <w:rsid w:val="00F95AA4"/>
    <w:rsid w:val="00F96040"/>
    <w:rsid w:val="00F96FD0"/>
    <w:rsid w:val="00F97A78"/>
    <w:rsid w:val="00FA0B20"/>
    <w:rsid w:val="00FA1659"/>
    <w:rsid w:val="00FA1BBC"/>
    <w:rsid w:val="00FA24E7"/>
    <w:rsid w:val="00FA2AB8"/>
    <w:rsid w:val="00FA3080"/>
    <w:rsid w:val="00FA310F"/>
    <w:rsid w:val="00FA3E41"/>
    <w:rsid w:val="00FA5283"/>
    <w:rsid w:val="00FA529D"/>
    <w:rsid w:val="00FA5EE6"/>
    <w:rsid w:val="00FA68FA"/>
    <w:rsid w:val="00FA6A93"/>
    <w:rsid w:val="00FA6B3E"/>
    <w:rsid w:val="00FA7477"/>
    <w:rsid w:val="00FA7956"/>
    <w:rsid w:val="00FA7F4E"/>
    <w:rsid w:val="00FA7F9A"/>
    <w:rsid w:val="00FB0824"/>
    <w:rsid w:val="00FB1658"/>
    <w:rsid w:val="00FB1C85"/>
    <w:rsid w:val="00FB1EB3"/>
    <w:rsid w:val="00FB262C"/>
    <w:rsid w:val="00FB28B6"/>
    <w:rsid w:val="00FB2FCB"/>
    <w:rsid w:val="00FB350B"/>
    <w:rsid w:val="00FB4082"/>
    <w:rsid w:val="00FB4C9C"/>
    <w:rsid w:val="00FB4F13"/>
    <w:rsid w:val="00FB5894"/>
    <w:rsid w:val="00FB6A30"/>
    <w:rsid w:val="00FB6F67"/>
    <w:rsid w:val="00FB751C"/>
    <w:rsid w:val="00FB7C55"/>
    <w:rsid w:val="00FB7E24"/>
    <w:rsid w:val="00FC0416"/>
    <w:rsid w:val="00FC1074"/>
    <w:rsid w:val="00FC1103"/>
    <w:rsid w:val="00FC157F"/>
    <w:rsid w:val="00FC1884"/>
    <w:rsid w:val="00FC1935"/>
    <w:rsid w:val="00FC27FD"/>
    <w:rsid w:val="00FC3604"/>
    <w:rsid w:val="00FC371D"/>
    <w:rsid w:val="00FC54BD"/>
    <w:rsid w:val="00FC567D"/>
    <w:rsid w:val="00FC5EAB"/>
    <w:rsid w:val="00FC5EE1"/>
    <w:rsid w:val="00FC5F0B"/>
    <w:rsid w:val="00FC690F"/>
    <w:rsid w:val="00FC6A70"/>
    <w:rsid w:val="00FC7376"/>
    <w:rsid w:val="00FC7DF4"/>
    <w:rsid w:val="00FD0523"/>
    <w:rsid w:val="00FD0C8F"/>
    <w:rsid w:val="00FD0E8E"/>
    <w:rsid w:val="00FD1D23"/>
    <w:rsid w:val="00FD20D3"/>
    <w:rsid w:val="00FD2100"/>
    <w:rsid w:val="00FD34C6"/>
    <w:rsid w:val="00FD436C"/>
    <w:rsid w:val="00FD446D"/>
    <w:rsid w:val="00FD4C13"/>
    <w:rsid w:val="00FD4E6F"/>
    <w:rsid w:val="00FD4E89"/>
    <w:rsid w:val="00FD4F2C"/>
    <w:rsid w:val="00FD4FAF"/>
    <w:rsid w:val="00FD5BBC"/>
    <w:rsid w:val="00FD6394"/>
    <w:rsid w:val="00FD7374"/>
    <w:rsid w:val="00FD7438"/>
    <w:rsid w:val="00FD7846"/>
    <w:rsid w:val="00FE0E6C"/>
    <w:rsid w:val="00FE1CDC"/>
    <w:rsid w:val="00FE222D"/>
    <w:rsid w:val="00FE2AC4"/>
    <w:rsid w:val="00FE326C"/>
    <w:rsid w:val="00FE33CF"/>
    <w:rsid w:val="00FE3FC3"/>
    <w:rsid w:val="00FE4000"/>
    <w:rsid w:val="00FE47D9"/>
    <w:rsid w:val="00FE4F1D"/>
    <w:rsid w:val="00FE4F89"/>
    <w:rsid w:val="00FE60CF"/>
    <w:rsid w:val="00FE6563"/>
    <w:rsid w:val="00FE70C3"/>
    <w:rsid w:val="00FF0B0B"/>
    <w:rsid w:val="00FF11C3"/>
    <w:rsid w:val="00FF1A8B"/>
    <w:rsid w:val="00FF23A1"/>
    <w:rsid w:val="00FF273A"/>
    <w:rsid w:val="00FF29CA"/>
    <w:rsid w:val="00FF2AD9"/>
    <w:rsid w:val="00FF2BE1"/>
    <w:rsid w:val="00FF2CC4"/>
    <w:rsid w:val="00FF3242"/>
    <w:rsid w:val="00FF359F"/>
    <w:rsid w:val="00FF3608"/>
    <w:rsid w:val="00FF3DCF"/>
    <w:rsid w:val="00FF492C"/>
    <w:rsid w:val="00FF4A21"/>
    <w:rsid w:val="00FF5124"/>
    <w:rsid w:val="00FF5AA3"/>
    <w:rsid w:val="00FF5AD8"/>
    <w:rsid w:val="00FF5B15"/>
    <w:rsid w:val="00FF6BFB"/>
    <w:rsid w:val="00FF6F29"/>
    <w:rsid w:val="00FF76C0"/>
    <w:rsid w:val="027A23A9"/>
    <w:rsid w:val="0E2E10FE"/>
    <w:rsid w:val="0E5ECD0F"/>
    <w:rsid w:val="164DFC2F"/>
    <w:rsid w:val="1C8FC9C9"/>
    <w:rsid w:val="21FCA26E"/>
    <w:rsid w:val="28CB51CE"/>
    <w:rsid w:val="2EF80221"/>
    <w:rsid w:val="40ADDE4C"/>
    <w:rsid w:val="4C989B46"/>
    <w:rsid w:val="4DE66EA7"/>
    <w:rsid w:val="72A8236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Caption Char"/>
    <w:link w:val="Caption"/>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HEOR bullet list,Bullet List,Bullets Points,Colorful List - Accent 11,Bullet1,Section 5"/>
    <w:link w:val="ListParagraphChar"/>
    <w:uiPriority w:val="34"/>
    <w:qFormat/>
    <w:rsid w:val="004C3B02"/>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HEOR bullet lis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RTI AMCP Table,new style,PBAC table,Legemiddelverket 3,HTAtableplain,Table Grid nm,Dossier table,Summary Table,HealthConsult,Section 3- footnotes,Conclusion box,Header Tab"/>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8F0977"/>
    <w:pPr>
      <w:keepNext/>
      <w:keepLines/>
    </w:pPr>
    <w:rPr>
      <w:rFonts w:ascii="Arial Narrow" w:eastAsiaTheme="majorEastAsia" w:hAnsi="Arial Narrow"/>
      <w:b/>
      <w:i/>
      <w:iCs/>
      <w:szCs w:val="24"/>
    </w:rPr>
  </w:style>
  <w:style w:type="paragraph" w:customStyle="1" w:styleId="2-SectionHeading">
    <w:name w:val="2-Section Heading"/>
    <w:next w:val="3-BodyText"/>
    <w:qFormat/>
    <w:rsid w:val="004C3B02"/>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5"/>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D74DA"/>
    <w:pPr>
      <w:keepNext/>
      <w:spacing w:before="160" w:after="16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D74DA"/>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945471"/>
    <w:pPr>
      <w:widowControl w:val="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945471"/>
    <w:rPr>
      <w:rFonts w:ascii="Arial Narrow" w:hAnsi="Arial Narrow" w:cs="Arial"/>
      <w:snapToGrid w:val="0"/>
      <w:sz w:val="18"/>
      <w:szCs w:val="22"/>
    </w:rPr>
  </w:style>
  <w:style w:type="character" w:customStyle="1" w:styleId="SmallBold">
    <w:name w:val="Small Bold"/>
    <w:basedOn w:val="DefaultParagraphFont"/>
    <w:uiPriority w:val="4"/>
    <w:qFormat/>
    <w:rsid w:val="00F4733E"/>
    <w:rPr>
      <w:rFonts w:ascii="Calibri" w:hAnsi="Calibri"/>
      <w:b/>
      <w:sz w:val="20"/>
      <w:lang w:val="en-AU"/>
    </w:rPr>
  </w:style>
  <w:style w:type="character" w:customStyle="1" w:styleId="SmallItalics">
    <w:name w:val="Small Italics"/>
    <w:basedOn w:val="DefaultParagraphFont"/>
    <w:uiPriority w:val="4"/>
    <w:qFormat/>
    <w:rsid w:val="00546DBD"/>
    <w:rPr>
      <w:rFonts w:ascii="Calibri" w:hAnsi="Calibri"/>
      <w:i/>
      <w:sz w:val="20"/>
    </w:rPr>
  </w:style>
  <w:style w:type="paragraph" w:styleId="FootnoteText">
    <w:name w:val="footnote text"/>
    <w:aliases w:val="Footnote Text_Source"/>
    <w:basedOn w:val="Normal"/>
    <w:link w:val="FootnoteTextChar"/>
    <w:uiPriority w:val="99"/>
    <w:unhideWhenUsed/>
    <w:rsid w:val="00546DBD"/>
    <w:rPr>
      <w:rFonts w:eastAsia="Times New Roman"/>
      <w:sz w:val="20"/>
      <w:szCs w:val="20"/>
    </w:rPr>
  </w:style>
  <w:style w:type="character" w:customStyle="1" w:styleId="FootnoteTextChar">
    <w:name w:val="Footnote Text Char"/>
    <w:aliases w:val="Footnote Text_Source Char"/>
    <w:basedOn w:val="DefaultParagraphFont"/>
    <w:link w:val="FootnoteText"/>
    <w:uiPriority w:val="99"/>
    <w:rsid w:val="00546DBD"/>
    <w:rPr>
      <w:rFonts w:ascii="Calibri" w:eastAsia="Times New Roman" w:hAnsi="Calibri" w:cs="Arial"/>
    </w:rPr>
  </w:style>
  <w:style w:type="character" w:styleId="FootnoteReference">
    <w:name w:val="footnote reference"/>
    <w:basedOn w:val="DefaultParagraphFont"/>
    <w:uiPriority w:val="99"/>
    <w:semiHidden/>
    <w:unhideWhenUsed/>
    <w:rsid w:val="00546DBD"/>
    <w:rPr>
      <w:vertAlign w:val="superscript"/>
    </w:rPr>
  </w:style>
  <w:style w:type="character" w:customStyle="1" w:styleId="Small">
    <w:name w:val="Small"/>
    <w:basedOn w:val="DefaultParagraphFont"/>
    <w:uiPriority w:val="4"/>
    <w:rsid w:val="00546DBD"/>
    <w:rPr>
      <w:rFonts w:ascii="Calibri" w:hAnsi="Calibri"/>
      <w:sz w:val="20"/>
    </w:rPr>
  </w:style>
  <w:style w:type="paragraph" w:customStyle="1" w:styleId="TableLeft">
    <w:name w:val="Table Left"/>
    <w:basedOn w:val="Normal"/>
    <w:link w:val="TableLeftChar"/>
    <w:uiPriority w:val="99"/>
    <w:qFormat/>
    <w:rsid w:val="00546DBD"/>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546DBD"/>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546DBD"/>
    <w:rPr>
      <w:rFonts w:eastAsia="Batang"/>
      <w:lang w:val="en-US" w:eastAsia="en-US"/>
    </w:rPr>
    <w:tblPr/>
  </w:style>
  <w:style w:type="character" w:customStyle="1" w:styleId="SmallHighlight">
    <w:name w:val="Small Highlight"/>
    <w:basedOn w:val="Small"/>
    <w:uiPriority w:val="1"/>
    <w:qFormat/>
    <w:rsid w:val="00546DBD"/>
    <w:rPr>
      <w:rFonts w:ascii="Calibri" w:hAnsi="Calibri"/>
      <w:sz w:val="20"/>
      <w:bdr w:val="none" w:sz="0" w:space="0" w:color="auto"/>
      <w:shd w:val="clear" w:color="auto" w:fill="FFFF00"/>
    </w:rPr>
  </w:style>
  <w:style w:type="character" w:customStyle="1" w:styleId="CaptionFootnoteChar">
    <w:name w:val="Caption Footnote Char"/>
    <w:basedOn w:val="DefaultParagraphFont"/>
    <w:link w:val="CaptionFootnote"/>
    <w:rsid w:val="00546DBD"/>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546DBD"/>
    <w:rPr>
      <w:rFonts w:asciiTheme="minorHAnsi" w:hAnsiTheme="minorHAnsi" w:cs="Times New Roman"/>
      <w:kern w:val="28"/>
      <w:sz w:val="16"/>
      <w:lang w:eastAsia="en-GB"/>
    </w:rPr>
  </w:style>
  <w:style w:type="paragraph" w:customStyle="1" w:styleId="TableCentre">
    <w:name w:val="Table Centre"/>
    <w:basedOn w:val="Normal"/>
    <w:qFormat/>
    <w:rsid w:val="00546DBD"/>
    <w:pPr>
      <w:jc w:val="center"/>
    </w:pPr>
    <w:rPr>
      <w:rFonts w:eastAsiaTheme="majorEastAsia" w:cstheme="majorBidi"/>
      <w:sz w:val="18"/>
      <w:szCs w:val="22"/>
      <w:lang w:eastAsia="en-US" w:bidi="en-US"/>
    </w:rPr>
  </w:style>
  <w:style w:type="paragraph" w:customStyle="1" w:styleId="pf0">
    <w:name w:val="pf0"/>
    <w:basedOn w:val="Normal"/>
    <w:rsid w:val="00546DBD"/>
    <w:pPr>
      <w:spacing w:before="100" w:beforeAutospacing="1" w:after="100" w:afterAutospacing="1"/>
      <w:jc w:val="left"/>
    </w:pPr>
    <w:rPr>
      <w:rFonts w:ascii="Times New Roman" w:eastAsia="Times New Roman" w:hAnsi="Times New Roman" w:cs="Times New Roman"/>
    </w:rPr>
  </w:style>
  <w:style w:type="table" w:customStyle="1" w:styleId="Submissionstandard">
    <w:name w:val="Submission standard"/>
    <w:basedOn w:val="TableNormal"/>
    <w:uiPriority w:val="99"/>
    <w:qFormat/>
    <w:rsid w:val="00546DBD"/>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styleId="PlainTable1">
    <w:name w:val="Plain Table 1"/>
    <w:basedOn w:val="TableNormal"/>
    <w:uiPriority w:val="41"/>
    <w:rsid w:val="006E731C"/>
    <w:rPr>
      <w:rFonts w:asciiTheme="majorHAnsi" w:eastAsiaTheme="majorEastAsia" w:hAnsiTheme="majorHAnsi" w:cstheme="majorBidi"/>
      <w:sz w:val="22"/>
      <w:szCs w:val="22"/>
      <w:lang w:val="en-US" w:eastAsia="en-US" w:bidi="en-US"/>
    </w:rPr>
    <w:tblPr/>
    <w:tblStylePr w:type="firstRow">
      <w:rPr>
        <w:b/>
        <w:bCs/>
      </w:rPr>
    </w:tblStylePr>
    <w:tblStylePr w:type="lastRow">
      <w:rPr>
        <w:b/>
        <w:bCs/>
      </w:rPr>
    </w:tblStylePr>
    <w:tblStylePr w:type="firstCol">
      <w:rPr>
        <w:b/>
        <w:bCs/>
      </w:rPr>
    </w:tblStylePr>
    <w:tblStylePr w:type="lastCol">
      <w:rPr>
        <w:b/>
        <w:bCs/>
      </w:rPr>
    </w:tblStylePr>
  </w:style>
  <w:style w:type="character" w:styleId="Mention">
    <w:name w:val="Mention"/>
    <w:basedOn w:val="DefaultParagraphFont"/>
    <w:uiPriority w:val="99"/>
    <w:unhideWhenUsed/>
    <w:rsid w:val="00F26564"/>
    <w:rPr>
      <w:color w:val="2B579A"/>
      <w:shd w:val="clear" w:color="auto" w:fill="E1DFDD"/>
    </w:rPr>
  </w:style>
  <w:style w:type="character" w:customStyle="1" w:styleId="Heading1Char">
    <w:name w:val="Heading 1 Char"/>
    <w:basedOn w:val="DefaultParagraphFont"/>
    <w:link w:val="Heading1"/>
    <w:uiPriority w:val="9"/>
    <w:rsid w:val="00EE2A32"/>
    <w:rPr>
      <w:rFonts w:ascii="Calibri" w:hAnsi="Calibri" w:cs="Arial"/>
      <w:b/>
      <w:caps/>
      <w:sz w:val="32"/>
      <w:szCs w:val="24"/>
    </w:rPr>
  </w:style>
  <w:style w:type="character" w:customStyle="1" w:styleId="Heading3Char">
    <w:name w:val="Heading 3 Char"/>
    <w:basedOn w:val="DefaultParagraphFont"/>
    <w:link w:val="Heading3"/>
    <w:uiPriority w:val="9"/>
    <w:rsid w:val="00EE2A32"/>
    <w:rPr>
      <w:rFonts w:ascii="Calibri" w:hAnsi="Calibri" w:cs="Arial"/>
      <w:sz w:val="24"/>
      <w:szCs w:val="24"/>
      <w:u w:val="single"/>
    </w:rPr>
  </w:style>
  <w:style w:type="character" w:customStyle="1" w:styleId="Heading4Char">
    <w:name w:val="Heading 4 Char"/>
    <w:basedOn w:val="DefaultParagraphFont"/>
    <w:link w:val="Heading4"/>
    <w:uiPriority w:val="9"/>
    <w:rsid w:val="00EE2A32"/>
    <w:rPr>
      <w:rFonts w:ascii="Calibri" w:hAnsi="Calibri" w:cs="Arial"/>
      <w:b/>
      <w:bCs/>
      <w:i/>
      <w:sz w:val="26"/>
      <w:szCs w:val="28"/>
    </w:rPr>
  </w:style>
  <w:style w:type="character" w:customStyle="1" w:styleId="Heading5Char">
    <w:name w:val="Heading 5 Char"/>
    <w:basedOn w:val="DefaultParagraphFont"/>
    <w:link w:val="Heading5"/>
    <w:uiPriority w:val="9"/>
    <w:rsid w:val="00EE2A32"/>
    <w:rPr>
      <w:rFonts w:ascii="Calibri" w:hAnsi="Calibri" w:cs="Arial"/>
      <w:b/>
      <w:bCs/>
      <w:iCs/>
      <w:sz w:val="26"/>
      <w:szCs w:val="26"/>
    </w:rPr>
  </w:style>
  <w:style w:type="character" w:customStyle="1" w:styleId="Heading6Char">
    <w:name w:val="Heading 6 Char"/>
    <w:basedOn w:val="DefaultParagraphFont"/>
    <w:link w:val="Heading6"/>
    <w:uiPriority w:val="9"/>
    <w:rsid w:val="00EE2A32"/>
    <w:rPr>
      <w:rFonts w:ascii="Calibri" w:hAnsi="Calibri" w:cs="Arial"/>
      <w:b/>
      <w:bCs/>
      <w:i/>
      <w:sz w:val="24"/>
      <w:szCs w:val="24"/>
    </w:rPr>
  </w:style>
  <w:style w:type="paragraph" w:styleId="Quote">
    <w:name w:val="Quote"/>
    <w:basedOn w:val="Normal"/>
    <w:next w:val="Normal"/>
    <w:link w:val="QuoteChar"/>
    <w:uiPriority w:val="29"/>
    <w:qFormat/>
    <w:rsid w:val="00EE2A32"/>
    <w:pPr>
      <w:spacing w:before="160"/>
      <w:jc w:val="center"/>
    </w:pPr>
    <w:rPr>
      <w:rFonts w:eastAsia="Times New Roman"/>
      <w:i/>
      <w:iCs/>
      <w:color w:val="404040" w:themeColor="text1" w:themeTint="BF"/>
      <w14:ligatures w14:val="standardContextual"/>
    </w:rPr>
  </w:style>
  <w:style w:type="character" w:customStyle="1" w:styleId="QuoteChar">
    <w:name w:val="Quote Char"/>
    <w:basedOn w:val="DefaultParagraphFont"/>
    <w:link w:val="Quote"/>
    <w:uiPriority w:val="29"/>
    <w:rsid w:val="00EE2A32"/>
    <w:rPr>
      <w:rFonts w:ascii="Calibri" w:eastAsia="Times New Roman" w:hAnsi="Calibri" w:cs="Arial"/>
      <w:i/>
      <w:iCs/>
      <w:color w:val="404040" w:themeColor="text1" w:themeTint="BF"/>
      <w:sz w:val="24"/>
      <w:szCs w:val="24"/>
      <w14:ligatures w14:val="standardContextual"/>
    </w:rPr>
  </w:style>
  <w:style w:type="character" w:styleId="IntenseEmphasis">
    <w:name w:val="Intense Emphasis"/>
    <w:basedOn w:val="DefaultParagraphFont"/>
    <w:uiPriority w:val="21"/>
    <w:qFormat/>
    <w:rsid w:val="00EE2A32"/>
    <w:rPr>
      <w:i/>
      <w:iCs/>
      <w:color w:val="365F91" w:themeColor="accent1" w:themeShade="BF"/>
    </w:rPr>
  </w:style>
  <w:style w:type="paragraph" w:styleId="IntenseQuote">
    <w:name w:val="Intense Quote"/>
    <w:basedOn w:val="Normal"/>
    <w:next w:val="Normal"/>
    <w:link w:val="IntenseQuoteChar"/>
    <w:uiPriority w:val="30"/>
    <w:qFormat/>
    <w:rsid w:val="00EE2A32"/>
    <w:pPr>
      <w:pBdr>
        <w:top w:val="single" w:sz="4" w:space="10" w:color="365F91" w:themeColor="accent1" w:themeShade="BF"/>
        <w:bottom w:val="single" w:sz="4" w:space="10" w:color="365F91" w:themeColor="accent1" w:themeShade="BF"/>
      </w:pBdr>
      <w:spacing w:before="360" w:after="360"/>
      <w:ind w:left="864" w:right="864"/>
      <w:jc w:val="center"/>
    </w:pPr>
    <w:rPr>
      <w:rFonts w:eastAsia="Times New Roman"/>
      <w:i/>
      <w:iCs/>
      <w:color w:val="365F91" w:themeColor="accent1" w:themeShade="BF"/>
      <w14:ligatures w14:val="standardContextual"/>
    </w:rPr>
  </w:style>
  <w:style w:type="character" w:customStyle="1" w:styleId="IntenseQuoteChar">
    <w:name w:val="Intense Quote Char"/>
    <w:basedOn w:val="DefaultParagraphFont"/>
    <w:link w:val="IntenseQuote"/>
    <w:uiPriority w:val="30"/>
    <w:rsid w:val="00EE2A32"/>
    <w:rPr>
      <w:rFonts w:ascii="Calibri" w:eastAsia="Times New Roman" w:hAnsi="Calibri" w:cs="Arial"/>
      <w:i/>
      <w:iCs/>
      <w:color w:val="365F91" w:themeColor="accent1" w:themeShade="BF"/>
      <w:sz w:val="24"/>
      <w:szCs w:val="24"/>
      <w14:ligatures w14:val="standardContextual"/>
    </w:rPr>
  </w:style>
  <w:style w:type="character" w:styleId="IntenseReference">
    <w:name w:val="Intense Reference"/>
    <w:basedOn w:val="DefaultParagraphFont"/>
    <w:uiPriority w:val="32"/>
    <w:qFormat/>
    <w:rsid w:val="00EE2A32"/>
    <w:rPr>
      <w:b/>
      <w:bCs/>
      <w:smallCaps/>
      <w:color w:val="365F91" w:themeColor="accent1" w:themeShade="BF"/>
      <w:spacing w:val="5"/>
    </w:rPr>
  </w:style>
  <w:style w:type="paragraph" w:customStyle="1" w:styleId="pf1">
    <w:name w:val="pf1"/>
    <w:basedOn w:val="Normal"/>
    <w:rsid w:val="00EE2A32"/>
    <w:pPr>
      <w:spacing w:before="100" w:beforeAutospacing="1" w:after="100" w:afterAutospacing="1"/>
      <w:jc w:val="left"/>
    </w:pPr>
    <w:rPr>
      <w:rFonts w:ascii="Times New Roman" w:eastAsia="Times New Roman" w:hAnsi="Times New Roman" w:cs="Times New Roman"/>
    </w:rPr>
  </w:style>
  <w:style w:type="character" w:customStyle="1" w:styleId="cf01">
    <w:name w:val="cf01"/>
    <w:basedOn w:val="DefaultParagraphFont"/>
    <w:rsid w:val="00EE2A32"/>
    <w:rPr>
      <w:rFonts w:ascii="Segoe UI" w:hAnsi="Segoe UI" w:cs="Segoe UI" w:hint="default"/>
      <w:sz w:val="18"/>
      <w:szCs w:val="18"/>
    </w:rPr>
  </w:style>
  <w:style w:type="character" w:customStyle="1" w:styleId="cf11">
    <w:name w:val="cf11"/>
    <w:basedOn w:val="DefaultParagraphFont"/>
    <w:rsid w:val="00EE2A32"/>
    <w:rPr>
      <w:rFonts w:ascii="Segoe UI" w:hAnsi="Segoe UI" w:cs="Segoe UI" w:hint="default"/>
      <w:sz w:val="18"/>
      <w:szCs w:val="18"/>
      <w:vertAlign w:val="superscript"/>
    </w:rPr>
  </w:style>
  <w:style w:type="paragraph" w:customStyle="1" w:styleId="PBACTableText">
    <w:name w:val="PBAC Table Text"/>
    <w:basedOn w:val="Normal"/>
    <w:link w:val="PBACTableTextChar"/>
    <w:qFormat/>
    <w:rsid w:val="00EE2A32"/>
    <w:pPr>
      <w:spacing w:before="40" w:after="40"/>
      <w:jc w:val="left"/>
    </w:pPr>
    <w:rPr>
      <w:rFonts w:ascii="Arial Narrow" w:eastAsia="Times New Roman" w:hAnsi="Arial Narrow" w:cstheme="minorHAnsi"/>
      <w:sz w:val="20"/>
      <w:szCs w:val="20"/>
      <w:lang w:eastAsia="en-US"/>
    </w:rPr>
  </w:style>
  <w:style w:type="character" w:customStyle="1" w:styleId="PBACTableTextChar">
    <w:name w:val="PBAC Table Text Char"/>
    <w:basedOn w:val="DefaultParagraphFont"/>
    <w:link w:val="PBACTableText"/>
    <w:rsid w:val="00EE2A32"/>
    <w:rPr>
      <w:rFonts w:ascii="Arial Narrow" w:eastAsia="Times New Roman" w:hAnsi="Arial Narrow" w:cstheme="minorHAnsi"/>
      <w:lang w:eastAsia="en-US"/>
    </w:rPr>
  </w:style>
  <w:style w:type="character" w:styleId="BookTitle">
    <w:name w:val="Book Title"/>
    <w:basedOn w:val="DefaultParagraphFont"/>
    <w:uiPriority w:val="33"/>
    <w:qFormat/>
    <w:rsid w:val="00EE2A32"/>
    <w:rPr>
      <w:b/>
      <w:bCs/>
      <w:i/>
      <w:iCs/>
      <w:spacing w:val="5"/>
    </w:rPr>
  </w:style>
  <w:style w:type="character" w:styleId="UnresolvedMention">
    <w:name w:val="Unresolved Mention"/>
    <w:basedOn w:val="DefaultParagraphFont"/>
    <w:uiPriority w:val="99"/>
    <w:semiHidden/>
    <w:unhideWhenUsed/>
    <w:rsid w:val="00EE2A32"/>
    <w:rPr>
      <w:color w:val="605E5C"/>
      <w:shd w:val="clear" w:color="auto" w:fill="E1DFDD"/>
    </w:rPr>
  </w:style>
  <w:style w:type="paragraph" w:customStyle="1" w:styleId="NormalBullets">
    <w:name w:val="Normal Bullets"/>
    <w:basedOn w:val="Normal"/>
    <w:uiPriority w:val="3"/>
    <w:qFormat/>
    <w:rsid w:val="00EE2A32"/>
    <w:pPr>
      <w:numPr>
        <w:numId w:val="10"/>
      </w:numPr>
      <w:spacing w:after="240" w:line="276" w:lineRule="auto"/>
      <w:ind w:left="357" w:hanging="357"/>
      <w:contextualSpacing/>
      <w:jc w:val="left"/>
    </w:pPr>
    <w:rPr>
      <w:rFonts w:eastAsiaTheme="majorEastAsia" w:cstheme="majorBidi"/>
      <w:sz w:val="22"/>
      <w:szCs w:val="22"/>
      <w:lang w:eastAsia="en-US" w:bidi="en-US"/>
    </w:rPr>
  </w:style>
  <w:style w:type="paragraph" w:customStyle="1" w:styleId="COMESH2">
    <w:name w:val="COM ES H2"/>
    <w:next w:val="COMESnumberedpara"/>
    <w:qFormat/>
    <w:rsid w:val="00F67608"/>
    <w:pPr>
      <w:keepNext/>
      <w:spacing w:before="240" w:after="120"/>
      <w:ind w:left="720" w:hanging="720"/>
      <w:outlineLvl w:val="0"/>
    </w:pPr>
    <w:rPr>
      <w:rFonts w:asciiTheme="minorHAnsi" w:eastAsia="Times New Roman" w:hAnsiTheme="minorHAnsi" w:cs="Arial"/>
      <w:b/>
      <w:snapToGrid w:val="0"/>
      <w:sz w:val="32"/>
      <w:szCs w:val="32"/>
    </w:rPr>
  </w:style>
  <w:style w:type="paragraph" w:customStyle="1" w:styleId="COMESnumberedpara">
    <w:name w:val="COM ES numbered para"/>
    <w:link w:val="COMESnumberedparaChar"/>
    <w:qFormat/>
    <w:rsid w:val="00F67608"/>
    <w:pPr>
      <w:spacing w:before="60" w:after="60"/>
      <w:ind w:left="720" w:hanging="720"/>
      <w:jc w:val="both"/>
    </w:pPr>
    <w:rPr>
      <w:rFonts w:asciiTheme="minorHAnsi" w:eastAsiaTheme="minorHAnsi" w:hAnsiTheme="minorHAnsi" w:cstheme="minorBidi"/>
      <w:sz w:val="24"/>
      <w:szCs w:val="22"/>
    </w:rPr>
  </w:style>
  <w:style w:type="character" w:customStyle="1" w:styleId="COMESnumberedparaChar">
    <w:name w:val="COM ES numbered para Char"/>
    <w:basedOn w:val="DefaultParagraphFont"/>
    <w:link w:val="COMESnumberedpara"/>
    <w:rsid w:val="00F67608"/>
    <w:rPr>
      <w:rFonts w:asciiTheme="minorHAnsi" w:eastAsiaTheme="minorHAnsi" w:hAnsiTheme="minorHAnsi" w:cstheme="minorBidi"/>
      <w:sz w:val="24"/>
      <w:szCs w:val="22"/>
    </w:rPr>
  </w:style>
  <w:style w:type="paragraph" w:customStyle="1" w:styleId="COMESmainissuesbullets">
    <w:name w:val="COM ES main issues bullets"/>
    <w:basedOn w:val="Normal"/>
    <w:link w:val="COMESmainissuesbulletsChar"/>
    <w:qFormat/>
    <w:rsid w:val="008909F8"/>
    <w:pPr>
      <w:numPr>
        <w:numId w:val="13"/>
      </w:numPr>
      <w:spacing w:after="120"/>
    </w:pPr>
    <w:rPr>
      <w:rFonts w:asciiTheme="minorHAnsi" w:eastAsia="Times New Roman" w:hAnsiTheme="minorHAnsi"/>
      <w:snapToGrid w:val="0"/>
    </w:rPr>
  </w:style>
  <w:style w:type="character" w:customStyle="1" w:styleId="COMESmainissuesbulletsChar">
    <w:name w:val="COM ES main issues bullets Char"/>
    <w:basedOn w:val="DefaultParagraphFont"/>
    <w:link w:val="COMESmainissuesbullets"/>
    <w:rsid w:val="008909F8"/>
    <w:rPr>
      <w:rFonts w:asciiTheme="minorHAnsi" w:eastAsia="Times New Roman" w:hAnsiTheme="minorHAnsi" w:cs="Arial"/>
      <w:snapToGrid w:val="0"/>
      <w:sz w:val="24"/>
      <w:szCs w:val="24"/>
    </w:rPr>
  </w:style>
  <w:style w:type="paragraph" w:customStyle="1" w:styleId="3-SubsectionHeading">
    <w:name w:val="3-Subsection Heading"/>
    <w:basedOn w:val="Heading2"/>
    <w:next w:val="Normal"/>
    <w:link w:val="3-SubsectionHeadingChar"/>
    <w:qFormat/>
    <w:rsid w:val="000D3B1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D3B1C"/>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ac.uk/medicine/resources/quality-of-life-questionnaires/dermatology-life-quality-index" TargetMode="External"/><Relationship Id="rId18" Type="http://schemas.openxmlformats.org/officeDocument/2006/relationships/hyperlink" Target="https://www.cardiff.ac.uk/medicine/resources/quality-of-life-questionnaires/dermatology-life-quality-inde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ardiff.ac.uk/medicine/resources/quality-of-life-questionnaires/dermatology-life-quality-index" TargetMode="External"/><Relationship Id="rId17" Type="http://schemas.openxmlformats.org/officeDocument/2006/relationships/hyperlink" Target="https://www.cardiff.ac.uk/medicine/resources/quality-of-life-questionnaires/dermatology-life-quality-inde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rdiff.ac.uk/medicine/resources/quality-of-life-questionnaires/dermatology-life-quality-inde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diff.ac.uk/medicine/resources/quality-of-life-questionnaires/dermatology-life-quality-index"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ardiff.ac.uk/medicine/resources/quality-of-life-questionnaires/dermatology-life-quality-inde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nicaltrials.gov/study/NCT0372047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pbs.gov.au/industry/listing/elements/pbac-meetings/psd/2024-03/files/lebrikizumab-psd-march-2024.pdf" TargetMode="External"/><Relationship Id="rId1" Type="http://schemas.openxmlformats.org/officeDocument/2006/relationships/hyperlink" Target="https://allergyfacts.org.au/__interest/ecz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LEB24</b:Tag>
    <b:SourceType>JournalArticle</b:SourceType>
    <b:Guid>{D7F03FFF-D95D-4081-BABE-4A6CB6FD1670}</b:Guid>
    <b:Author>
      <b:Author>
        <b:Corporate>LEB PSD</b:Corporate>
      </b:Author>
    </b:Author>
    <b:Year>March 2024</b:Year>
    <b:RefOrder>33</b:RefOrder>
  </b:Source>
</b:Sources>
</file>

<file path=customXml/itemProps1.xml><?xml version="1.0" encoding="utf-8"?>
<ds:datastoreItem xmlns:ds="http://schemas.openxmlformats.org/officeDocument/2006/customXml" ds:itemID="{8D4D56E8-01C8-4403-AD85-B6E1C245C6DE}">
  <ds:schemaRefs>
    <ds:schemaRef ds:uri="http://schemas.microsoft.com/sharepoint/v3/contenttype/forms"/>
  </ds:schemaRefs>
</ds:datastoreItem>
</file>

<file path=customXml/itemProps2.xml><?xml version="1.0" encoding="utf-8"?>
<ds:datastoreItem xmlns:ds="http://schemas.openxmlformats.org/officeDocument/2006/customXml" ds:itemID="{62516888-B1CB-41D7-87C6-0B2C5E303233}">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693DE134-9DF6-4CCB-8230-9E6450B5E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769CF-3281-429E-B299-51EFB807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20751</Words>
  <Characters>115172</Characters>
  <Application>Microsoft Office Word</Application>
  <DocSecurity>0</DocSecurity>
  <Lines>3490</Lines>
  <Paragraphs>2343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2026-05-27T10:14:00Z</dcterms:created>
  <dcterms:modified xsi:type="dcterms:W3CDTF">2026-07-08T05:05:00Z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3270ea45,1499ad63,3becb36e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63dbe3f8,2597150f,4fc04e73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2026-05-27T10:14:59Z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fb7288c4-242f-4b1f-bee0-fbbbe1f3d5a7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59823000</vt:r8>
  </property>
  <property fmtid="{D5CDD505-2E9C-101B-9397-08002B2CF9AE}" pid="17" name="MSIP_Label_e7850034-2b49-43dd-8ae1-3cd81853c3b9_Name">
    <vt:lpwstr>General Use</vt:lpwstr>
  </property>
  <property fmtid="{D5CDD505-2E9C-101B-9397-08002B2CF9AE}" pid="18" name="MediaServiceImageTags">
    <vt:lpwstr/>
  </property>
  <property fmtid="{D5CDD505-2E9C-101B-9397-08002B2CF9AE}" pid="19" name="xd_ProgID">
    <vt:lpwstr/>
  </property>
  <property fmtid="{D5CDD505-2E9C-101B-9397-08002B2CF9AE}" pid="20" name="ContentTypeId">
    <vt:lpwstr>0x0101007FED174C5281F747A8037A05221D6DBD</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MSIP_Label_e7850034-2b49-43dd-8ae1-3cd81853c3b9_Enabled">
    <vt:lpwstr>true</vt:lpwstr>
  </property>
  <property fmtid="{D5CDD505-2E9C-101B-9397-08002B2CF9AE}" pid="25" name="MSIP_Label_e7850034-2b49-43dd-8ae1-3cd81853c3b9_ActionId">
    <vt:lpwstr>76e60f29-f07f-4f4a-8a2c-356d514a504b</vt:lpwstr>
  </property>
  <property fmtid="{D5CDD505-2E9C-101B-9397-08002B2CF9AE}" pid="26" name="docLang">
    <vt:lpwstr>en</vt:lpwstr>
  </property>
  <property fmtid="{D5CDD505-2E9C-101B-9397-08002B2CF9AE}" pid="27" name="MSIP_Label_e7850034-2b49-43dd-8ae1-3cd81853c3b9_SetDate">
    <vt:lpwstr>2026-05-27T05:21:23Z</vt:lpwstr>
  </property>
  <property fmtid="{D5CDD505-2E9C-101B-9397-08002B2CF9AE}" pid="28" name="xd_Signature">
    <vt:bool>false</vt:bool>
  </property>
  <property fmtid="{D5CDD505-2E9C-101B-9397-08002B2CF9AE}" pid="29" name="MSIP_Label_e7850034-2b49-43dd-8ae1-3cd81853c3b9_SiteId">
    <vt:lpwstr>97c2d53f-39c0-4201-9dce-14fe95f05da6</vt:lpwstr>
  </property>
  <property fmtid="{D5CDD505-2E9C-101B-9397-08002B2CF9AE}" pid="30" name="MSIP_Label_e7850034-2b49-43dd-8ae1-3cd81853c3b9_Method">
    <vt:lpwstr>Privileged</vt:lpwstr>
  </property>
  <property fmtid="{D5CDD505-2E9C-101B-9397-08002B2CF9AE}" pid="31" name="MSIP_Label_e7850034-2b49-43dd-8ae1-3cd81853c3b9_Tag">
    <vt:lpwstr>10, 0, 1, 1</vt:lpwstr>
  </property>
  <property fmtid="{D5CDD505-2E9C-101B-9397-08002B2CF9AE}" pid="32" name="MSIP_Label_e7850034-2b49-43dd-8ae1-3cd81853c3b9_ContentBits">
    <vt:lpwstr>0</vt:lpwstr>
  </property>
  <property fmtid="{D5CDD505-2E9C-101B-9397-08002B2CF9AE}" pid="33" name="TriggerFlowInfo">
    <vt:lpwstr/>
  </property>
</Properties>
</file>