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2E3F" w14:textId="77777777" w:rsidR="00124F80" w:rsidRDefault="003B6432" w:rsidP="00C17DC6">
      <w:pPr>
        <w:pStyle w:val="1MainTitle"/>
        <w:jc w:val="left"/>
        <w:rPr>
          <w:rFonts w:eastAsiaTheme="minorEastAsia" w:cstheme="minorHAnsi"/>
        </w:rPr>
      </w:pPr>
      <w:r>
        <w:t>5</w:t>
      </w:r>
      <w:r w:rsidR="70971A32" w:rsidRPr="00A6439B">
        <w:t>.</w:t>
      </w:r>
      <w:r>
        <w:t>17</w:t>
      </w:r>
      <w:r w:rsidR="00872E8F" w:rsidRPr="00A6439B">
        <w:tab/>
      </w:r>
      <w:r w:rsidR="00B3117B">
        <w:t>NIVOLUMAB</w:t>
      </w:r>
      <w:r w:rsidR="70971A32" w:rsidRPr="00A6439B">
        <w:t>,</w:t>
      </w:r>
      <w:r w:rsidR="00872E8F" w:rsidRPr="00A6439B">
        <w:br/>
      </w:r>
      <w:r w:rsidR="00BF70F4">
        <w:t xml:space="preserve">Solution for </w:t>
      </w:r>
      <w:r w:rsidR="001F0C18">
        <w:t xml:space="preserve">subcutaneous </w:t>
      </w:r>
      <w:r w:rsidR="00BF70F4">
        <w:t>injection</w:t>
      </w:r>
      <w:r w:rsidR="00240F91">
        <w:t xml:space="preserve"> </w:t>
      </w:r>
      <w:r w:rsidR="000D77A9">
        <w:t xml:space="preserve">containing nivolumab </w:t>
      </w:r>
      <w:r w:rsidR="00240F91">
        <w:t>600 mg in 5 mL</w:t>
      </w:r>
      <w:r w:rsidR="70971A32" w:rsidRPr="00A6439B">
        <w:t>,</w:t>
      </w:r>
      <w:r w:rsidR="00872E8F" w:rsidRPr="00A6439B">
        <w:br/>
      </w:r>
      <w:r w:rsidR="00B3117B">
        <w:t>Opdivo</w:t>
      </w:r>
      <w:r w:rsidR="001C62EB">
        <w:t xml:space="preserve"> SC</w:t>
      </w:r>
      <w:r w:rsidR="70971A32" w:rsidRPr="00A6439B">
        <w:t>®,</w:t>
      </w:r>
      <w:r w:rsidR="00872E8F" w:rsidRPr="00A6439B">
        <w:br/>
      </w:r>
      <w:r w:rsidR="00513896">
        <w:t>Bristol-Myers Squibb Australia Pty Ltd</w:t>
      </w:r>
    </w:p>
    <w:p w14:paraId="5F4D54C1" w14:textId="038E8461" w:rsidR="00E11F44" w:rsidRPr="00A6439B" w:rsidRDefault="007E490F" w:rsidP="00C17DC6">
      <w:pPr>
        <w:pStyle w:val="2-SectionHeading"/>
        <w:rPr>
          <w:rFonts w:cstheme="minorHAnsi"/>
          <w:color w:val="FF0000"/>
        </w:rPr>
      </w:pPr>
      <w:r w:rsidRPr="007E1673">
        <w:t xml:space="preserve">Purpose of </w:t>
      </w:r>
      <w:r w:rsidR="00FA0B04" w:rsidRPr="007E1673">
        <w:t>Submission</w:t>
      </w:r>
      <w:r w:rsidRPr="00A6439B">
        <w:t xml:space="preserve"> </w:t>
      </w:r>
    </w:p>
    <w:p w14:paraId="1B64C81B" w14:textId="32C2D380" w:rsidR="0073736F" w:rsidRDefault="006C6C10" w:rsidP="00C17DC6">
      <w:pPr>
        <w:pStyle w:val="3-BodyText"/>
      </w:pPr>
      <w:r w:rsidRPr="00A6439B">
        <w:t>The</w:t>
      </w:r>
      <w:r w:rsidR="00DE685B">
        <w:t xml:space="preserve"> Category 4 submission sought to list </w:t>
      </w:r>
      <w:r w:rsidR="00F730E9">
        <w:t xml:space="preserve">a new strength and form </w:t>
      </w:r>
      <w:r w:rsidR="00A2270C">
        <w:t xml:space="preserve">of </w:t>
      </w:r>
      <w:r w:rsidR="00F83124">
        <w:t xml:space="preserve">nivolumab </w:t>
      </w:r>
      <w:r w:rsidR="00847B5F">
        <w:t>(solution for subcutaneous injection 600 mg in 5</w:t>
      </w:r>
      <w:r w:rsidR="009F3CCC">
        <w:t xml:space="preserve"> </w:t>
      </w:r>
      <w:r w:rsidR="00847B5F">
        <w:t>mL</w:t>
      </w:r>
      <w:r w:rsidR="00250F19">
        <w:t xml:space="preserve">) </w:t>
      </w:r>
      <w:r w:rsidR="00FF46CE">
        <w:t xml:space="preserve">(hereafter referred to as NIVO SC) </w:t>
      </w:r>
      <w:r w:rsidR="00250F19">
        <w:t xml:space="preserve">for the existing PBS-listed indications, except where nivolumab is administered </w:t>
      </w:r>
      <w:r w:rsidR="000C4DB7">
        <w:t>3-</w:t>
      </w:r>
      <w:r w:rsidR="00250F19">
        <w:t>week</w:t>
      </w:r>
      <w:r w:rsidR="000C4DB7">
        <w:t>ly</w:t>
      </w:r>
      <w:r w:rsidR="00467F4D">
        <w:t xml:space="preserve"> or where nivolumab is used</w:t>
      </w:r>
      <w:r w:rsidR="00250F19">
        <w:t xml:space="preserve"> in combination with ipilimumab.</w:t>
      </w:r>
      <w:r w:rsidR="00C17DC6">
        <w:t xml:space="preserve"> </w:t>
      </w:r>
    </w:p>
    <w:p w14:paraId="5269E93D" w14:textId="6D08EE2C" w:rsidR="00351040" w:rsidRDefault="00C938A9" w:rsidP="00C17DC6">
      <w:pPr>
        <w:pStyle w:val="3-BodyText"/>
      </w:pPr>
      <w:r>
        <w:t xml:space="preserve">The Category 4 submission also requested that </w:t>
      </w:r>
      <w:r w:rsidR="00FF46CE">
        <w:t xml:space="preserve">NIVO </w:t>
      </w:r>
      <w:r>
        <w:t>SC</w:t>
      </w:r>
      <w:r w:rsidR="00C17DC6">
        <w:t xml:space="preserve"> </w:t>
      </w:r>
      <w:r>
        <w:t>b</w:t>
      </w:r>
      <w:r w:rsidR="002626E0">
        <w:t>e</w:t>
      </w:r>
      <w:r>
        <w:t xml:space="preserve"> available for all future PBS-listed indications as an alternative to </w:t>
      </w:r>
      <w:r w:rsidR="00FF46CE">
        <w:t xml:space="preserve">the intravenous form </w:t>
      </w:r>
      <w:r w:rsidR="00351040">
        <w:t>of nivolumab (</w:t>
      </w:r>
      <w:r w:rsidR="00FF46CE">
        <w:t>h</w:t>
      </w:r>
      <w:r w:rsidR="00351040">
        <w:t>ereafter referred to as NIVO IV)</w:t>
      </w:r>
      <w:r>
        <w:t>, where nivolumab is recommended at a flat dose on a 2- or 4- weekly dosing schedule either as monotherapy or in combination with other treatment(s), except ipilimumab</w:t>
      </w:r>
      <w:r w:rsidR="00B04128">
        <w:t>.</w:t>
      </w:r>
      <w:r w:rsidR="0049642A">
        <w:t xml:space="preserve"> </w:t>
      </w:r>
    </w:p>
    <w:p w14:paraId="6D96FEB6" w14:textId="3498510B" w:rsidR="00DC732A" w:rsidRPr="0049642A" w:rsidRDefault="00640D16" w:rsidP="00C17DC6">
      <w:pPr>
        <w:pStyle w:val="3-BodyText"/>
      </w:pPr>
      <w:r w:rsidRPr="00DC732A">
        <w:t>Listing</w:t>
      </w:r>
      <w:r w:rsidRPr="0049642A">
        <w:rPr>
          <w:rFonts w:cstheme="minorHAnsi"/>
          <w:szCs w:val="24"/>
        </w:rPr>
        <w:t xml:space="preserve"> </w:t>
      </w:r>
      <w:r w:rsidR="00DC732A" w:rsidRPr="0049642A">
        <w:rPr>
          <w:rFonts w:cstheme="minorHAnsi"/>
          <w:szCs w:val="24"/>
        </w:rPr>
        <w:t xml:space="preserve">was requested </w:t>
      </w:r>
      <w:proofErr w:type="gramStart"/>
      <w:r w:rsidR="00DC732A" w:rsidRPr="0049642A">
        <w:rPr>
          <w:rFonts w:cstheme="minorHAnsi"/>
          <w:szCs w:val="24"/>
        </w:rPr>
        <w:t>on the basis of</w:t>
      </w:r>
      <w:proofErr w:type="gramEnd"/>
      <w:r w:rsidR="00DC732A" w:rsidRPr="0049642A">
        <w:rPr>
          <w:rFonts w:cstheme="minorHAnsi"/>
          <w:szCs w:val="24"/>
        </w:rPr>
        <w:t xml:space="preserve"> a</w:t>
      </w:r>
      <w:r w:rsidR="008E52B5" w:rsidRPr="0049642A">
        <w:rPr>
          <w:rFonts w:cstheme="minorHAnsi"/>
          <w:szCs w:val="24"/>
        </w:rPr>
        <w:t xml:space="preserve"> cost-minimisation versus </w:t>
      </w:r>
      <w:r w:rsidR="008E52B5" w:rsidRPr="00680C32">
        <w:t xml:space="preserve">nivolumab </w:t>
      </w:r>
      <w:r w:rsidR="006B3646" w:rsidRPr="00680C32">
        <w:t xml:space="preserve">100 mg/10 mL injection, 10 mL vial </w:t>
      </w:r>
      <w:r w:rsidR="006B3646" w:rsidRPr="0049642A">
        <w:rPr>
          <w:rFonts w:cstheme="minorHAnsi"/>
          <w:szCs w:val="24"/>
        </w:rPr>
        <w:t>(Opdivo).</w:t>
      </w:r>
    </w:p>
    <w:p w14:paraId="3D1D4320" w14:textId="43A070EF" w:rsidR="007E490F" w:rsidRPr="00A6439B" w:rsidRDefault="007E490F" w:rsidP="00C17DC6">
      <w:pPr>
        <w:pStyle w:val="2-SectionHeading"/>
        <w:numPr>
          <w:ilvl w:val="0"/>
          <w:numId w:val="1"/>
        </w:numPr>
      </w:pPr>
      <w:r w:rsidRPr="00A6439B">
        <w:t xml:space="preserve">Background </w:t>
      </w:r>
      <w:r w:rsidR="00EB72EC">
        <w:t>and current situation</w:t>
      </w:r>
    </w:p>
    <w:p w14:paraId="66A51362" w14:textId="7C060366" w:rsidR="00B63251" w:rsidRDefault="00303DBC" w:rsidP="00C17DC6">
      <w:pPr>
        <w:pStyle w:val="3-BodyText"/>
      </w:pPr>
      <w:r>
        <w:t xml:space="preserve">Currently, NIVO IV is available </w:t>
      </w:r>
      <w:r w:rsidR="000022A0">
        <w:t xml:space="preserve">on the PBS as a weight-based or flat-dose </w:t>
      </w:r>
      <w:r w:rsidR="00647E87">
        <w:t>2-weekly (</w:t>
      </w:r>
      <w:r w:rsidR="000022A0">
        <w:t>Q2W</w:t>
      </w:r>
      <w:r w:rsidR="00647E87">
        <w:t>)</w:t>
      </w:r>
      <w:r w:rsidR="000022A0">
        <w:t xml:space="preserve">, 3-weekly (Q3W) or </w:t>
      </w:r>
      <w:r w:rsidR="0067196D">
        <w:t>4-weekly (</w:t>
      </w:r>
      <w:r w:rsidR="000022A0">
        <w:t>Q4W</w:t>
      </w:r>
      <w:r w:rsidR="0067196D">
        <w:t>)</w:t>
      </w:r>
      <w:r w:rsidR="0001109E">
        <w:t xml:space="preserve">, depending on the disease state. </w:t>
      </w:r>
    </w:p>
    <w:p w14:paraId="2B38B569" w14:textId="2F4A69FB" w:rsidR="00444158" w:rsidRDefault="00043E98" w:rsidP="00C17DC6">
      <w:pPr>
        <w:pStyle w:val="3-BodyText"/>
      </w:pPr>
      <w:r>
        <w:t>Although the NIVO SC Product Information</w:t>
      </w:r>
      <w:r w:rsidR="00E56FC2">
        <w:t xml:space="preserve"> (PI) includes</w:t>
      </w:r>
      <w:r w:rsidR="00070BD8">
        <w:t xml:space="preserve"> dosing at 900 mg every 3 weeks, the sponsor notes that this dosage</w:t>
      </w:r>
      <w:r w:rsidR="00B23577">
        <w:t xml:space="preserve"> form is not anticipated to be available in the Australian market for the foreseeable future du</w:t>
      </w:r>
      <w:r w:rsidR="005109F5">
        <w:t>e</w:t>
      </w:r>
      <w:r w:rsidR="00B23577">
        <w:t xml:space="preserve"> to manufacturing issues. </w:t>
      </w:r>
      <w:r w:rsidR="005109F5" w:rsidRPr="005109F5">
        <w:t>Therefore, the current PBS reimbursement request is restricted to the 2- and 4-weekly dosing schedules only.</w:t>
      </w:r>
    </w:p>
    <w:p w14:paraId="7F5D9B57" w14:textId="7A7A8F13" w:rsidR="00AA1195" w:rsidRDefault="00AA1195" w:rsidP="00C17DC6">
      <w:pPr>
        <w:pStyle w:val="3-BodyText"/>
      </w:pPr>
      <w:r>
        <w:t xml:space="preserve">At the September </w:t>
      </w:r>
      <w:r w:rsidR="002A42D6" w:rsidRPr="002A42D6">
        <w:t>2025 meeting the PBAC considered a submission regarding nivolumab and ipilimumab and recommended an “expanded listing to facilitate broad access for the treatment of unresectable advanced and metastatic cancer”, otherwise known as the ‘</w:t>
      </w:r>
      <w:r w:rsidR="00061B87" w:rsidRPr="002A42D6">
        <w:t>broad listing</w:t>
      </w:r>
      <w:r w:rsidR="002A42D6" w:rsidRPr="002A42D6">
        <w:t>’.</w:t>
      </w:r>
      <w:r w:rsidR="00C17DC6">
        <w:t xml:space="preserve"> </w:t>
      </w:r>
      <w:r w:rsidR="00AA08FA">
        <w:t>T</w:t>
      </w:r>
      <w:r w:rsidR="002A42D6" w:rsidRPr="002A42D6">
        <w:t xml:space="preserve">his listing </w:t>
      </w:r>
      <w:r w:rsidR="007934E3">
        <w:t>came</w:t>
      </w:r>
      <w:r w:rsidR="002A42D6" w:rsidRPr="002A42D6">
        <w:t xml:space="preserve"> into effect </w:t>
      </w:r>
      <w:r w:rsidR="007934E3">
        <w:t>on 1 March</w:t>
      </w:r>
      <w:r w:rsidR="002A42D6" w:rsidRPr="002A42D6">
        <w:t xml:space="preserve"> 2026.</w:t>
      </w:r>
      <w:r w:rsidR="00C17DC6">
        <w:t xml:space="preserve"> </w:t>
      </w:r>
      <w:r w:rsidR="002A42D6" w:rsidRPr="002A42D6">
        <w:t>With the implementation of ‘broad listing’, all nivolumab PBS listings consistent with the PBAC recommended indication ‘immunotherapy sensitive advanced or metastatic cancer’ collapse into a single PBS listing.</w:t>
      </w:r>
      <w:r w:rsidR="00C17DC6">
        <w:t xml:space="preserve"> </w:t>
      </w:r>
      <w:r w:rsidR="002A42D6" w:rsidRPr="002A42D6">
        <w:t>Listings for earlier stage cancer (neoadjuvant, peri-adjuvant, adjuvant) remain unchanged.</w:t>
      </w:r>
      <w:r w:rsidR="00C17DC6">
        <w:t xml:space="preserve"> </w:t>
      </w:r>
    </w:p>
    <w:p w14:paraId="2A061F7B" w14:textId="5BDB84D9" w:rsidR="00016A99" w:rsidRDefault="00EE410B" w:rsidP="00C17DC6">
      <w:pPr>
        <w:pStyle w:val="3-BodyText"/>
      </w:pPr>
      <w:r w:rsidRPr="002352C3">
        <w:t xml:space="preserve">The PBAC noted the recommended wording for the </w:t>
      </w:r>
      <w:r w:rsidR="009D6AAD" w:rsidRPr="002352C3">
        <w:t xml:space="preserve">broad </w:t>
      </w:r>
      <w:r w:rsidRPr="002352C3">
        <w:t xml:space="preserve">listing would allow clinicians to apply clinical judgment and discretion in using the medicines according to the best </w:t>
      </w:r>
      <w:r w:rsidRPr="002352C3">
        <w:lastRenderedPageBreak/>
        <w:t>available evidence at the time, including for retreatment, extended time on treatment and rare cancers for which regulatory submissions are</w:t>
      </w:r>
      <w:r w:rsidRPr="0081620D">
        <w:t xml:space="preserve"> unlikely. The listing would also remove the once in a lifetime limitation for these medicines when used for advanced or metastatic cancers</w:t>
      </w:r>
      <w:r w:rsidR="005A563F">
        <w:t xml:space="preserve"> (paragraph 20.2</w:t>
      </w:r>
      <w:r w:rsidR="00CE57F7">
        <w:t>,</w:t>
      </w:r>
      <w:r w:rsidR="00262572">
        <w:t xml:space="preserve"> nivolumab and ipil</w:t>
      </w:r>
      <w:r w:rsidR="00CA0347">
        <w:t>imumab Public Summary Document [PSD], July 2025)</w:t>
      </w:r>
      <w:r w:rsidR="00D909C6">
        <w:t>.</w:t>
      </w:r>
    </w:p>
    <w:p w14:paraId="33C2C319" w14:textId="66DF215F" w:rsidR="007E490F" w:rsidRPr="00A6439B" w:rsidRDefault="007E490F" w:rsidP="00C17DC6">
      <w:pPr>
        <w:pStyle w:val="4-SubsectionHeading"/>
      </w:pPr>
      <w:r w:rsidRPr="00691A2C">
        <w:t>Registration</w:t>
      </w:r>
      <w:r w:rsidRPr="00A6439B">
        <w:t xml:space="preserve"> status</w:t>
      </w:r>
    </w:p>
    <w:p w14:paraId="59DC58D8" w14:textId="01729EBE" w:rsidR="00912E00" w:rsidRDefault="00BF7F0B" w:rsidP="00C17DC6">
      <w:pPr>
        <w:pStyle w:val="3-BodyText"/>
      </w:pPr>
      <w:r w:rsidRPr="00BF7F0B">
        <w:t>N</w:t>
      </w:r>
      <w:r w:rsidR="001E519E" w:rsidRPr="00BF7F0B">
        <w:t>ivolumab (solution for subcutaneous injection 600 mg in 5</w:t>
      </w:r>
      <w:r w:rsidR="0075563D">
        <w:t xml:space="preserve"> </w:t>
      </w:r>
      <w:r w:rsidR="001E519E" w:rsidRPr="00BF7F0B">
        <w:t xml:space="preserve">mL) </w:t>
      </w:r>
      <w:r w:rsidR="007E490F" w:rsidRPr="00BF7F0B">
        <w:t xml:space="preserve">was TGA registered on </w:t>
      </w:r>
      <w:r w:rsidR="00C961E1" w:rsidRPr="00BF7F0B">
        <w:t>12 December 2025</w:t>
      </w:r>
      <w:r w:rsidR="007E490F" w:rsidRPr="00BF7F0B">
        <w:t xml:space="preserve"> for</w:t>
      </w:r>
      <w:r>
        <w:t xml:space="preserve"> </w:t>
      </w:r>
      <w:r w:rsidR="000074F4">
        <w:t>the following indications</w:t>
      </w:r>
      <w:r w:rsidR="00912E00">
        <w:t>:</w:t>
      </w:r>
    </w:p>
    <w:p w14:paraId="7E32375D" w14:textId="77777777" w:rsidR="00CC7099" w:rsidRDefault="00CC7099" w:rsidP="00C17DC6">
      <w:pPr>
        <w:pStyle w:val="3-BodyText"/>
        <w:numPr>
          <w:ilvl w:val="0"/>
          <w:numId w:val="7"/>
        </w:numPr>
      </w:pPr>
      <w:r>
        <w:t>Stage IIIB, IIIC, IIID, or Stage IV malignant melanoma</w:t>
      </w:r>
    </w:p>
    <w:p w14:paraId="6782E298" w14:textId="57AA1A42" w:rsidR="00CC7099" w:rsidRDefault="00CC7099" w:rsidP="00C17DC6">
      <w:pPr>
        <w:pStyle w:val="3-BodyText"/>
        <w:numPr>
          <w:ilvl w:val="0"/>
          <w:numId w:val="7"/>
        </w:numPr>
      </w:pPr>
      <w:r>
        <w:t>Unresectable Stage III or Stage IV malignant melanoma</w:t>
      </w:r>
    </w:p>
    <w:p w14:paraId="233BCC25" w14:textId="77777777" w:rsidR="00CC7099" w:rsidRDefault="00CC7099" w:rsidP="00C17DC6">
      <w:pPr>
        <w:pStyle w:val="3-BodyText"/>
        <w:numPr>
          <w:ilvl w:val="0"/>
          <w:numId w:val="7"/>
        </w:numPr>
      </w:pPr>
      <w:r>
        <w:t>Locally advanced or metastatic non-small cell lung cancer (NSCLC)</w:t>
      </w:r>
    </w:p>
    <w:p w14:paraId="481362A2" w14:textId="77777777" w:rsidR="00CC7099" w:rsidRDefault="00CC7099" w:rsidP="00C17DC6">
      <w:pPr>
        <w:pStyle w:val="3-BodyText"/>
        <w:numPr>
          <w:ilvl w:val="0"/>
          <w:numId w:val="7"/>
        </w:numPr>
      </w:pPr>
      <w:r>
        <w:t>Stage IV clear cell variant renal cell carcinoma (RCC)</w:t>
      </w:r>
    </w:p>
    <w:p w14:paraId="2ABBCDB9" w14:textId="77777777" w:rsidR="00CC7099" w:rsidRDefault="00CC7099" w:rsidP="00C17DC6">
      <w:pPr>
        <w:pStyle w:val="3-BodyText"/>
        <w:numPr>
          <w:ilvl w:val="0"/>
          <w:numId w:val="7"/>
        </w:numPr>
      </w:pPr>
      <w:r>
        <w:t>Recurrent or metastatic squamous cell carcinoma of the oral cavity, pharynx or larynx</w:t>
      </w:r>
    </w:p>
    <w:p w14:paraId="01D00921" w14:textId="77777777" w:rsidR="00CC7099" w:rsidRDefault="00CC7099" w:rsidP="00C17DC6">
      <w:pPr>
        <w:pStyle w:val="3-BodyText"/>
        <w:numPr>
          <w:ilvl w:val="0"/>
          <w:numId w:val="7"/>
        </w:numPr>
      </w:pPr>
      <w:r>
        <w:t>Urothelial carcinoma</w:t>
      </w:r>
    </w:p>
    <w:p w14:paraId="24FADF14" w14:textId="77777777" w:rsidR="00CC7099" w:rsidRDefault="00CC7099" w:rsidP="00C17DC6">
      <w:pPr>
        <w:pStyle w:val="3-BodyText"/>
        <w:numPr>
          <w:ilvl w:val="0"/>
          <w:numId w:val="7"/>
        </w:numPr>
      </w:pPr>
      <w:r>
        <w:t>Unresectable or metastatic urothelial carcinoma</w:t>
      </w:r>
    </w:p>
    <w:p w14:paraId="474CBC90" w14:textId="77777777" w:rsidR="00CC7099" w:rsidRDefault="00CC7099" w:rsidP="00C17DC6">
      <w:pPr>
        <w:pStyle w:val="3-BodyText"/>
        <w:numPr>
          <w:ilvl w:val="0"/>
          <w:numId w:val="7"/>
        </w:numPr>
      </w:pPr>
      <w:r>
        <w:t>Advanced or metastatic gastro-oesophageal cancers</w:t>
      </w:r>
    </w:p>
    <w:p w14:paraId="654DDC5F" w14:textId="47ABA012" w:rsidR="0014433D" w:rsidRDefault="00CC7099" w:rsidP="00C17DC6">
      <w:pPr>
        <w:pStyle w:val="3-BodyText"/>
        <w:numPr>
          <w:ilvl w:val="0"/>
          <w:numId w:val="7"/>
        </w:numPr>
      </w:pPr>
      <w:r>
        <w:t>Adjuvant treatment of Stage II or III oesophageal cancer or gastro-oesophageal junction cancer</w:t>
      </w:r>
    </w:p>
    <w:p w14:paraId="19EE10F7" w14:textId="382FF676" w:rsidR="0014433D" w:rsidRDefault="0014433D" w:rsidP="00C17DC6">
      <w:pPr>
        <w:pStyle w:val="3-BodyText"/>
      </w:pPr>
      <w:r>
        <w:t>Notably, NIVO SC</w:t>
      </w:r>
      <w:r w:rsidR="00AA2611">
        <w:t xml:space="preserve"> </w:t>
      </w:r>
      <w:r w:rsidR="004F2875">
        <w:t xml:space="preserve">is not </w:t>
      </w:r>
      <w:r w:rsidR="002C196D">
        <w:t>TGA registered for use</w:t>
      </w:r>
      <w:r w:rsidR="002F596B">
        <w:t xml:space="preserve"> </w:t>
      </w:r>
      <w:r w:rsidR="00DB3A7C">
        <w:t xml:space="preserve">in combination with ipilimumab. After completion of a maximum </w:t>
      </w:r>
      <w:r w:rsidR="00191A83">
        <w:t xml:space="preserve">four doses of NIVO IV and ipilimumab </w:t>
      </w:r>
      <w:r w:rsidR="00481737">
        <w:t>combination</w:t>
      </w:r>
      <w:r w:rsidR="002A5B3E">
        <w:t xml:space="preserve"> therapy, patients may transition to NIVO SC as a single agent</w:t>
      </w:r>
      <w:r w:rsidR="00481737">
        <w:rPr>
          <w:rStyle w:val="FootnoteReference"/>
        </w:rPr>
        <w:footnoteReference w:id="2"/>
      </w:r>
      <w:r w:rsidR="00EE1E3F">
        <w:t>.</w:t>
      </w:r>
    </w:p>
    <w:p w14:paraId="0094486E" w14:textId="77777777" w:rsidR="007E490F" w:rsidRPr="00A6439B" w:rsidRDefault="007E490F" w:rsidP="00C17DC6">
      <w:pPr>
        <w:pStyle w:val="4-SubsectionHeading"/>
      </w:pPr>
      <w:r w:rsidRPr="00A6439B">
        <w:t xml:space="preserve">Previous PBAC </w:t>
      </w:r>
      <w:r w:rsidRPr="00691A2C">
        <w:t>consideration</w:t>
      </w:r>
      <w:r w:rsidRPr="00A6439B">
        <w:t xml:space="preserve"> </w:t>
      </w:r>
    </w:p>
    <w:p w14:paraId="56C938A2" w14:textId="3E848B6D" w:rsidR="007E490F" w:rsidRPr="000205D2" w:rsidRDefault="000205D2" w:rsidP="00C17DC6">
      <w:pPr>
        <w:pStyle w:val="3-BodyText"/>
        <w:rPr>
          <w:i/>
        </w:rPr>
      </w:pPr>
      <w:r w:rsidRPr="000205D2">
        <w:t>Nivolumab (solution for subcutaneous injection 600 mg in 5</w:t>
      </w:r>
      <w:r w:rsidR="0097408A">
        <w:t xml:space="preserve"> </w:t>
      </w:r>
      <w:r w:rsidRPr="000205D2">
        <w:t xml:space="preserve">mL) </w:t>
      </w:r>
      <w:r w:rsidR="007E490F" w:rsidRPr="000205D2">
        <w:t>has not been considered by the PBAC previously.</w:t>
      </w:r>
    </w:p>
    <w:p w14:paraId="1B8790B6" w14:textId="77777777" w:rsidR="00964A9F" w:rsidRPr="00A6439B" w:rsidRDefault="00964A9F" w:rsidP="00C17DC6">
      <w:pPr>
        <w:pStyle w:val="2-SectionHeading"/>
      </w:pPr>
      <w:r w:rsidRPr="00A6439B">
        <w:t xml:space="preserve">Requested listing </w:t>
      </w:r>
    </w:p>
    <w:p w14:paraId="3E3FD136" w14:textId="44ACBCC0" w:rsidR="00845408" w:rsidRPr="002352C3" w:rsidRDefault="00B972CE" w:rsidP="00C17DC6">
      <w:pPr>
        <w:pStyle w:val="3-BodyText"/>
      </w:pPr>
      <w:r>
        <w:t>The submission request</w:t>
      </w:r>
      <w:r w:rsidR="00783418">
        <w:t>ed</w:t>
      </w:r>
      <w:r>
        <w:t xml:space="preserve"> listing NIVO SC under the same circumstances as the PBS</w:t>
      </w:r>
      <w:r w:rsidR="00C17DC6">
        <w:noBreakHyphen/>
      </w:r>
      <w:r>
        <w:t xml:space="preserve">listed NIVO IV </w:t>
      </w:r>
      <w:r w:rsidR="005E0683">
        <w:t xml:space="preserve">for </w:t>
      </w:r>
      <w:r>
        <w:t xml:space="preserve">the treatment of multiple PBS-listed indications. Specifically, the submission </w:t>
      </w:r>
      <w:r w:rsidR="005E0683">
        <w:t xml:space="preserve">requested </w:t>
      </w:r>
      <w:r>
        <w:t>the addition of a dual Section 100 (Efficient Funding of Chemotherapy – Related Benefits) and Section 85 (General Schedule) PBS listings for NIVO SC.</w:t>
      </w:r>
      <w:r w:rsidR="00B40110">
        <w:t xml:space="preserve"> </w:t>
      </w:r>
      <w:r w:rsidR="005E4E6E" w:rsidRPr="002352C3">
        <w:t>Section 100</w:t>
      </w:r>
      <w:r w:rsidR="00713DA6" w:rsidRPr="002352C3">
        <w:t xml:space="preserve"> (Efficient Funding of Chemotherapy</w:t>
      </w:r>
      <w:r w:rsidR="0048570A">
        <w:t xml:space="preserve"> </w:t>
      </w:r>
      <w:r w:rsidR="005F1182">
        <w:t>Public/Private Hospital</w:t>
      </w:r>
      <w:r w:rsidR="00713DA6" w:rsidRPr="002352C3">
        <w:t>)</w:t>
      </w:r>
      <w:r w:rsidR="00C65D7F">
        <w:t xml:space="preserve"> listings </w:t>
      </w:r>
      <w:r w:rsidR="004E151F">
        <w:t>require</w:t>
      </w:r>
      <w:r w:rsidR="00C65D7F">
        <w:t xml:space="preserve"> a</w:t>
      </w:r>
      <w:r w:rsidR="00151C45">
        <w:t xml:space="preserve"> single</w:t>
      </w:r>
      <w:r w:rsidR="00C65D7F">
        <w:t xml:space="preserve"> patient co-payment for </w:t>
      </w:r>
      <w:r w:rsidR="004E151F">
        <w:t>each original prescription wh</w:t>
      </w:r>
      <w:r w:rsidR="008916D7">
        <w:t>ereas</w:t>
      </w:r>
      <w:r w:rsidR="00460AF0">
        <w:t xml:space="preserve"> both</w:t>
      </w:r>
      <w:r w:rsidR="00713DA6" w:rsidRPr="002352C3">
        <w:t xml:space="preserve"> </w:t>
      </w:r>
      <w:r w:rsidR="00892410" w:rsidRPr="002352C3">
        <w:t>Section 85</w:t>
      </w:r>
      <w:r w:rsidR="00C40308" w:rsidRPr="002352C3">
        <w:t xml:space="preserve"> (General Schedule) </w:t>
      </w:r>
      <w:r w:rsidR="00460AF0">
        <w:t xml:space="preserve">and Section 100 </w:t>
      </w:r>
      <w:r w:rsidR="005F5AC3">
        <w:t xml:space="preserve">(Efficient Funding of </w:t>
      </w:r>
      <w:r w:rsidR="005F5AC3">
        <w:lastRenderedPageBreak/>
        <w:t>Chemotherapy</w:t>
      </w:r>
      <w:r w:rsidR="00A72BBA">
        <w:t xml:space="preserve"> – Related Benefits) </w:t>
      </w:r>
      <w:r w:rsidR="004E151F">
        <w:t>listing</w:t>
      </w:r>
      <w:r w:rsidR="008F344C">
        <w:t>s</w:t>
      </w:r>
      <w:r w:rsidR="004E151F">
        <w:t xml:space="preserve"> </w:t>
      </w:r>
      <w:r w:rsidR="0063143F" w:rsidRPr="002352C3">
        <w:t>require</w:t>
      </w:r>
      <w:r w:rsidR="005B7F3B" w:rsidRPr="002352C3">
        <w:t xml:space="preserve"> </w:t>
      </w:r>
      <w:r w:rsidR="008F344C">
        <w:t>a</w:t>
      </w:r>
      <w:r w:rsidR="00FC0AEB">
        <w:t xml:space="preserve"> </w:t>
      </w:r>
      <w:r w:rsidR="008F344C">
        <w:t>patient</w:t>
      </w:r>
      <w:r w:rsidR="0063143F" w:rsidRPr="002352C3">
        <w:t xml:space="preserve"> </w:t>
      </w:r>
      <w:r w:rsidR="006A507D" w:rsidRPr="002352C3">
        <w:t>co-payment</w:t>
      </w:r>
      <w:r w:rsidR="005B7F3B" w:rsidRPr="002352C3">
        <w:t xml:space="preserve"> </w:t>
      </w:r>
      <w:r w:rsidR="008916D7">
        <w:t>each time</w:t>
      </w:r>
      <w:r w:rsidR="008F6314" w:rsidRPr="002352C3">
        <w:t xml:space="preserve"> the medicine</w:t>
      </w:r>
      <w:r w:rsidR="008916D7">
        <w:t xml:space="preserve"> is dispensed</w:t>
      </w:r>
      <w:r w:rsidR="00DC5671" w:rsidRPr="002352C3">
        <w:t>.</w:t>
      </w:r>
      <w:r w:rsidR="00D2252D">
        <w:t xml:space="preserve"> </w:t>
      </w:r>
      <w:r w:rsidR="007D7A60">
        <w:t>The pre-PBAC Response indicated that the sponsor</w:t>
      </w:r>
      <w:r w:rsidR="007D7A60" w:rsidRPr="007D7A60">
        <w:t xml:space="preserve"> is not opposed to NIVO SC </w:t>
      </w:r>
      <w:r w:rsidR="001C3739">
        <w:t>being listed on</w:t>
      </w:r>
      <w:r w:rsidR="007D7A60" w:rsidRPr="007D7A60">
        <w:t xml:space="preserve"> Section 100 (Efficient Funding of Chemotherapy </w:t>
      </w:r>
      <w:r w:rsidR="007D7A60" w:rsidRPr="007D7A60">
        <w:rPr>
          <w:rFonts w:ascii="Calibri" w:hAnsi="Calibri" w:cs="Calibri"/>
        </w:rPr>
        <w:t>–</w:t>
      </w:r>
      <w:r w:rsidR="007D7A60" w:rsidRPr="007D7A60">
        <w:t xml:space="preserve"> </w:t>
      </w:r>
      <w:r w:rsidR="001C3739">
        <w:t>Public/Private Hospital</w:t>
      </w:r>
      <w:r w:rsidR="007D7A60" w:rsidRPr="007D7A60">
        <w:t xml:space="preserve">). This position was based on consumer input, which highlighted that a </w:t>
      </w:r>
      <w:r w:rsidR="003F6DA3">
        <w:t>dual General Schedule</w:t>
      </w:r>
      <w:r w:rsidR="00FA4A72">
        <w:t xml:space="preserve"> and Section 100 (CT)</w:t>
      </w:r>
      <w:r w:rsidR="00C17DC6">
        <w:t xml:space="preserve"> </w:t>
      </w:r>
      <w:r w:rsidR="007D7A60" w:rsidRPr="007D7A60">
        <w:t>listing</w:t>
      </w:r>
      <w:r w:rsidR="000C16E4">
        <w:t>s</w:t>
      </w:r>
      <w:r w:rsidR="007D7A60" w:rsidRPr="007D7A60">
        <w:t xml:space="preserve"> would result in additional co</w:t>
      </w:r>
      <w:r w:rsidR="007D7A60" w:rsidRPr="007D7A60">
        <w:rPr>
          <w:rFonts w:ascii="Cambria Math" w:hAnsi="Cambria Math" w:cs="Cambria Math"/>
        </w:rPr>
        <w:t>‑</w:t>
      </w:r>
      <w:r w:rsidR="007D7A60" w:rsidRPr="007D7A60">
        <w:t xml:space="preserve">payments for patients, and that Section 100 EFC </w:t>
      </w:r>
      <w:r w:rsidR="002A3CAE">
        <w:t xml:space="preserve">Public/Private </w:t>
      </w:r>
      <w:r w:rsidR="007D7A60" w:rsidRPr="007D7A60">
        <w:t>listings attract additional pharmacy fees to recognise the extra handling, preparation and dispensing requirements associated with hazardous cancer medicines.</w:t>
      </w:r>
      <w:r w:rsidR="00056D5B">
        <w:t xml:space="preserve"> </w:t>
      </w:r>
      <w:r>
        <w:t xml:space="preserve">The </w:t>
      </w:r>
      <w:r w:rsidR="00207B60">
        <w:t>submission</w:t>
      </w:r>
      <w:r>
        <w:t xml:space="preserve"> noted that </w:t>
      </w:r>
      <w:r w:rsidR="004D3662">
        <w:t xml:space="preserve">the </w:t>
      </w:r>
      <w:r>
        <w:t>request</w:t>
      </w:r>
      <w:r w:rsidR="004D3662">
        <w:t xml:space="preserve"> for dual listing</w:t>
      </w:r>
      <w:r>
        <w:t xml:space="preserve"> </w:t>
      </w:r>
      <w:r w:rsidR="00FC0BFC">
        <w:t xml:space="preserve">is </w:t>
      </w:r>
      <w:r w:rsidR="00F43C3B">
        <w:t>consistent with</w:t>
      </w:r>
      <w:r>
        <w:t xml:space="preserve"> </w:t>
      </w:r>
      <w:r w:rsidR="00FC0BFC">
        <w:t xml:space="preserve">previous </w:t>
      </w:r>
      <w:r>
        <w:t xml:space="preserve">PBAC recommendations for subcutaneous </w:t>
      </w:r>
      <w:r w:rsidR="00013673">
        <w:t>formulations, including</w:t>
      </w:r>
      <w:r>
        <w:t xml:space="preserve"> </w:t>
      </w:r>
      <w:r w:rsidRPr="00117FBE">
        <w:t>atezoli</w:t>
      </w:r>
      <w:r w:rsidR="00EE1E3F">
        <w:t>zu</w:t>
      </w:r>
      <w:r w:rsidRPr="00117FBE">
        <w:t>mab SC (March 2024 PBAC meeting), daratumumab (July 2021 PBAC meeting), trastuzumab SC (July 2015 PBAC meeting) and rituximab (November 2014 PBAC meeting).</w:t>
      </w:r>
    </w:p>
    <w:p w14:paraId="6DC36A50" w14:textId="5DF49667" w:rsidR="00684165" w:rsidRDefault="00494A2F" w:rsidP="00C17DC6">
      <w:pPr>
        <w:pStyle w:val="3-BodyText"/>
      </w:pPr>
      <w:r w:rsidRPr="00494A2F">
        <w:t xml:space="preserve">The proposed restriction wording is based on the current PBS listings in the adjuvant setting and the PBAC recommended listing in the advanced or metastatic setting for NIVO IV with a maximum quantity of 480 mg. </w:t>
      </w:r>
      <w:r w:rsidR="00684165">
        <w:t>The</w:t>
      </w:r>
      <w:r w:rsidR="00684165" w:rsidRPr="00197918">
        <w:t xml:space="preserve"> requested restrictions </w:t>
      </w:r>
      <w:r w:rsidR="00684165">
        <w:t xml:space="preserve">are aligned with the current NIVO IV </w:t>
      </w:r>
      <w:r w:rsidR="005D4E8C">
        <w:t>restrictions in terms of</w:t>
      </w:r>
      <w:r w:rsidR="00684165" w:rsidRPr="00197918">
        <w:t xml:space="preserve"> indication, </w:t>
      </w:r>
      <w:r w:rsidR="00684165">
        <w:t xml:space="preserve">Authority, </w:t>
      </w:r>
      <w:r w:rsidR="00684165" w:rsidRPr="00197918">
        <w:t>treatment phase, clinical criteria</w:t>
      </w:r>
      <w:r w:rsidR="00684165">
        <w:t>, treatment criteria, population criteria, and number of repeats.</w:t>
      </w:r>
      <w:r w:rsidR="00C17DC6">
        <w:t xml:space="preserve"> </w:t>
      </w:r>
    </w:p>
    <w:p w14:paraId="6353DFC2" w14:textId="6D872C45" w:rsidR="00F22F1A" w:rsidRDefault="0069237B" w:rsidP="00C17DC6">
      <w:pPr>
        <w:pStyle w:val="3-BodyText"/>
      </w:pPr>
      <w:r>
        <w:t>The submission p</w:t>
      </w:r>
      <w:r w:rsidR="00F22F1A" w:rsidRPr="00F22F1A">
        <w:t xml:space="preserve">roposed </w:t>
      </w:r>
      <w:r w:rsidR="007B443C">
        <w:t xml:space="preserve">different </w:t>
      </w:r>
      <w:r w:rsidR="00F22F1A" w:rsidRPr="00F22F1A">
        <w:t>Prescribing Instruction</w:t>
      </w:r>
      <w:r w:rsidR="00914777">
        <w:t>s</w:t>
      </w:r>
      <w:r w:rsidR="007B443C">
        <w:t xml:space="preserve"> to</w:t>
      </w:r>
      <w:r w:rsidR="00F22F1A" w:rsidRPr="00F22F1A">
        <w:t xml:space="preserve"> reflect the different dosing schedule between SC and IV administration.</w:t>
      </w:r>
      <w:r w:rsidR="00C17DC6">
        <w:t xml:space="preserve"> </w:t>
      </w:r>
      <w:r w:rsidR="00F22F1A" w:rsidRPr="00F22F1A">
        <w:t xml:space="preserve">The main </w:t>
      </w:r>
      <w:r w:rsidR="00A904A5">
        <w:t>difference</w:t>
      </w:r>
      <w:r w:rsidR="00A904A5" w:rsidRPr="00F22F1A">
        <w:t xml:space="preserve"> </w:t>
      </w:r>
      <w:r w:rsidR="00F22F1A" w:rsidRPr="00F22F1A">
        <w:t xml:space="preserve">across all indications is to explicitly require a choice between 2- or 4-weekly </w:t>
      </w:r>
      <w:r w:rsidR="000A07A5">
        <w:t xml:space="preserve">SC </w:t>
      </w:r>
      <w:r w:rsidR="00F22F1A" w:rsidRPr="00F22F1A">
        <w:t>doses, i.e. “Patients must only receive a maximum of 600 mg every two weeks or 1200 mg every four weeks under a weight based or flat dosing regimen”</w:t>
      </w:r>
      <w:r w:rsidR="007772DE">
        <w:t xml:space="preserve"> vs</w:t>
      </w:r>
      <w:r w:rsidR="00C73BA8" w:rsidRPr="00C73BA8">
        <w:t xml:space="preserve"> </w:t>
      </w:r>
      <w:r w:rsidR="00C73BA8">
        <w:t>“</w:t>
      </w:r>
      <w:r w:rsidR="00C73BA8" w:rsidRPr="00C73BA8">
        <w:t>Patients must only receive a maximum of 240 mg every two weeks, or 480 mg every four weeks under a weight based or flat dosing regimen</w:t>
      </w:r>
      <w:r w:rsidR="00C73BA8">
        <w:t>”</w:t>
      </w:r>
      <w:r w:rsidR="000A07A5">
        <w:t xml:space="preserve"> for NIVO IV</w:t>
      </w:r>
      <w:r w:rsidR="00F22F1A" w:rsidRPr="00F22F1A">
        <w:t>.</w:t>
      </w:r>
    </w:p>
    <w:p w14:paraId="15E992F0" w14:textId="4590AA55" w:rsidR="003F766F" w:rsidRDefault="00494455" w:rsidP="00C17DC6">
      <w:pPr>
        <w:pStyle w:val="3-BodyText"/>
      </w:pPr>
      <w:r>
        <w:t xml:space="preserve">As </w:t>
      </w:r>
      <w:r w:rsidR="00683F8C">
        <w:t xml:space="preserve">the submission requested that </w:t>
      </w:r>
      <w:r w:rsidR="00E47A76">
        <w:t xml:space="preserve">NIVO SC </w:t>
      </w:r>
      <w:r w:rsidR="00683F8C">
        <w:t>be listed for</w:t>
      </w:r>
      <w:r>
        <w:t xml:space="preserve"> multiple </w:t>
      </w:r>
      <w:r w:rsidR="00F43C3B">
        <w:t>indications, the</w:t>
      </w:r>
      <w:r>
        <w:t xml:space="preserve"> full restrictions have not been reproduced here. </w:t>
      </w:r>
      <w:r w:rsidR="00541C02">
        <w:t xml:space="preserve">An outline of </w:t>
      </w:r>
      <w:r w:rsidR="003F766F">
        <w:t xml:space="preserve">the </w:t>
      </w:r>
      <w:r w:rsidR="003E12DB">
        <w:t xml:space="preserve">proposed NIVO SC </w:t>
      </w:r>
      <w:r w:rsidR="003F766F">
        <w:t>restrictions</w:t>
      </w:r>
      <w:r w:rsidR="006368E6">
        <w:t xml:space="preserve"> with the Secretariat suggested amendments (in italics and strikethrough)</w:t>
      </w:r>
      <w:r w:rsidR="003F766F">
        <w:t xml:space="preserve"> </w:t>
      </w:r>
      <w:r w:rsidR="00EC19FC">
        <w:t>is</w:t>
      </w:r>
      <w:r w:rsidR="003F766F">
        <w:t xml:space="preserve"> presented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utline of the proposed NIVO SC restrictions with the Secretariat suggested amendments (in italics and strikethrough)"/>
      </w:tblPr>
      <w:tblGrid>
        <w:gridCol w:w="1241"/>
        <w:gridCol w:w="1812"/>
        <w:gridCol w:w="972"/>
        <w:gridCol w:w="972"/>
        <w:gridCol w:w="972"/>
        <w:gridCol w:w="1430"/>
        <w:gridCol w:w="1617"/>
      </w:tblGrid>
      <w:tr w:rsidR="00765D54" w:rsidRPr="00BE39D6" w14:paraId="2905EA66" w14:textId="77777777" w:rsidTr="007617A5">
        <w:tc>
          <w:tcPr>
            <w:tcW w:w="1693" w:type="pct"/>
            <w:gridSpan w:val="2"/>
            <w:tcBorders>
              <w:top w:val="single" w:sz="4" w:space="0" w:color="auto"/>
              <w:left w:val="single" w:sz="4" w:space="0" w:color="auto"/>
              <w:bottom w:val="single" w:sz="4" w:space="0" w:color="auto"/>
              <w:right w:val="single" w:sz="4" w:space="0" w:color="auto"/>
            </w:tcBorders>
            <w:vAlign w:val="center"/>
            <w:hideMark/>
          </w:tcPr>
          <w:p w14:paraId="4086567E" w14:textId="77777777" w:rsidR="00765D54" w:rsidRPr="00BE39D6" w:rsidRDefault="00765D54" w:rsidP="00E25D0C">
            <w:pPr>
              <w:keepNext/>
              <w:rPr>
                <w:rFonts w:ascii="Arial Narrow" w:hAnsi="Arial Narrow" w:cs="Arial"/>
                <w:b/>
                <w:bCs/>
                <w:sz w:val="20"/>
                <w:szCs w:val="20"/>
              </w:rPr>
            </w:pPr>
            <w:r w:rsidRPr="00BE39D6">
              <w:rPr>
                <w:rFonts w:ascii="Arial Narrow" w:hAnsi="Arial Narrow" w:cs="Arial"/>
                <w:b/>
                <w:bCs/>
                <w:sz w:val="20"/>
                <w:szCs w:val="20"/>
              </w:rPr>
              <w:lastRenderedPageBreak/>
              <w:t>MEDICINAL PRODUCT</w:t>
            </w:r>
          </w:p>
          <w:p w14:paraId="7CB10167" w14:textId="77777777" w:rsidR="00765D54" w:rsidRPr="00BE39D6" w:rsidRDefault="00765D54" w:rsidP="00E25D0C">
            <w:pPr>
              <w:keepNext/>
              <w:rPr>
                <w:rFonts w:ascii="Arial Narrow" w:hAnsi="Arial Narrow" w:cs="Arial"/>
                <w:b/>
                <w:sz w:val="20"/>
                <w:szCs w:val="20"/>
              </w:rPr>
            </w:pPr>
            <w:r w:rsidRPr="00BE39D6">
              <w:rPr>
                <w:rFonts w:ascii="Arial Narrow" w:hAnsi="Arial Narrow" w:cs="Arial"/>
                <w:b/>
                <w:bCs/>
                <w:sz w:val="20"/>
                <w:szCs w:val="20"/>
              </w:rPr>
              <w:t>medicinal product pack</w:t>
            </w:r>
          </w:p>
        </w:tc>
        <w:tc>
          <w:tcPr>
            <w:tcW w:w="539" w:type="pct"/>
            <w:tcBorders>
              <w:top w:val="single" w:sz="4" w:space="0" w:color="auto"/>
              <w:left w:val="single" w:sz="4" w:space="0" w:color="auto"/>
              <w:bottom w:val="single" w:sz="4" w:space="0" w:color="auto"/>
              <w:right w:val="single" w:sz="4" w:space="0" w:color="auto"/>
            </w:tcBorders>
            <w:vAlign w:val="center"/>
            <w:hideMark/>
          </w:tcPr>
          <w:p w14:paraId="2D8FC042" w14:textId="77777777" w:rsidR="00765D54" w:rsidRPr="00BE39D6" w:rsidRDefault="00765D54" w:rsidP="00E25D0C">
            <w:pPr>
              <w:keepNext/>
              <w:jc w:val="center"/>
              <w:rPr>
                <w:rFonts w:ascii="Arial Narrow" w:hAnsi="Arial Narrow" w:cs="Arial"/>
                <w:b/>
                <w:sz w:val="20"/>
                <w:szCs w:val="20"/>
              </w:rPr>
            </w:pPr>
            <w:r w:rsidRPr="00BE39D6">
              <w:rPr>
                <w:rFonts w:ascii="Arial Narrow" w:hAnsi="Arial Narrow" w:cs="Arial"/>
                <w:b/>
                <w:sz w:val="20"/>
                <w:szCs w:val="20"/>
              </w:rPr>
              <w:t>PBS item code</w:t>
            </w:r>
          </w:p>
        </w:tc>
        <w:tc>
          <w:tcPr>
            <w:tcW w:w="539" w:type="pct"/>
            <w:tcBorders>
              <w:top w:val="single" w:sz="4" w:space="0" w:color="auto"/>
              <w:left w:val="single" w:sz="4" w:space="0" w:color="auto"/>
              <w:bottom w:val="single" w:sz="4" w:space="0" w:color="auto"/>
              <w:right w:val="single" w:sz="4" w:space="0" w:color="auto"/>
            </w:tcBorders>
            <w:vAlign w:val="center"/>
            <w:hideMark/>
          </w:tcPr>
          <w:p w14:paraId="7ECF76EB" w14:textId="77777777" w:rsidR="00765D54" w:rsidRPr="00BE39D6" w:rsidRDefault="00765D54" w:rsidP="00E25D0C">
            <w:pPr>
              <w:keepNext/>
              <w:jc w:val="center"/>
              <w:rPr>
                <w:rFonts w:ascii="Arial Narrow" w:hAnsi="Arial Narrow" w:cs="Arial"/>
                <w:b/>
                <w:sz w:val="20"/>
                <w:szCs w:val="20"/>
              </w:rPr>
            </w:pPr>
            <w:r w:rsidRPr="00BE39D6">
              <w:rPr>
                <w:rFonts w:ascii="Arial Narrow" w:hAnsi="Arial Narrow" w:cs="Arial"/>
                <w:b/>
                <w:sz w:val="20"/>
                <w:szCs w:val="20"/>
              </w:rPr>
              <w:t>Max. qty packs</w:t>
            </w:r>
          </w:p>
        </w:tc>
        <w:tc>
          <w:tcPr>
            <w:tcW w:w="539" w:type="pct"/>
            <w:tcBorders>
              <w:top w:val="single" w:sz="4" w:space="0" w:color="auto"/>
              <w:left w:val="single" w:sz="4" w:space="0" w:color="auto"/>
              <w:bottom w:val="single" w:sz="4" w:space="0" w:color="auto"/>
              <w:right w:val="single" w:sz="4" w:space="0" w:color="auto"/>
            </w:tcBorders>
            <w:vAlign w:val="center"/>
            <w:hideMark/>
          </w:tcPr>
          <w:p w14:paraId="7812187E" w14:textId="77777777" w:rsidR="00765D54" w:rsidRPr="00BE39D6" w:rsidRDefault="00765D54" w:rsidP="00E25D0C">
            <w:pPr>
              <w:keepNext/>
              <w:jc w:val="center"/>
              <w:rPr>
                <w:rFonts w:ascii="Arial Narrow" w:hAnsi="Arial Narrow" w:cs="Arial"/>
                <w:b/>
                <w:sz w:val="20"/>
                <w:szCs w:val="20"/>
              </w:rPr>
            </w:pPr>
            <w:r w:rsidRPr="00BE39D6">
              <w:rPr>
                <w:rFonts w:ascii="Arial Narrow" w:hAnsi="Arial Narrow" w:cs="Arial"/>
                <w:b/>
                <w:sz w:val="20"/>
                <w:szCs w:val="20"/>
              </w:rPr>
              <w:t>Max. qty units</w:t>
            </w:r>
          </w:p>
        </w:tc>
        <w:tc>
          <w:tcPr>
            <w:tcW w:w="793" w:type="pct"/>
            <w:tcBorders>
              <w:top w:val="single" w:sz="4" w:space="0" w:color="auto"/>
              <w:left w:val="single" w:sz="4" w:space="0" w:color="auto"/>
              <w:bottom w:val="single" w:sz="4" w:space="0" w:color="auto"/>
              <w:right w:val="single" w:sz="4" w:space="0" w:color="auto"/>
            </w:tcBorders>
            <w:vAlign w:val="center"/>
            <w:hideMark/>
          </w:tcPr>
          <w:p w14:paraId="6942952E" w14:textId="7686744C" w:rsidR="00765D54" w:rsidRPr="00BE39D6" w:rsidRDefault="00330FBD" w:rsidP="00E25D0C">
            <w:pPr>
              <w:keepNext/>
              <w:jc w:val="center"/>
              <w:rPr>
                <w:rFonts w:ascii="Arial Narrow" w:hAnsi="Arial Narrow" w:cs="Arial"/>
                <w:b/>
                <w:sz w:val="20"/>
                <w:szCs w:val="20"/>
              </w:rPr>
            </w:pPr>
            <w:r w:rsidRPr="00BE39D6">
              <w:rPr>
                <w:rFonts w:ascii="Arial Narrow" w:hAnsi="Arial Narrow" w:cs="Arial"/>
                <w:b/>
                <w:sz w:val="20"/>
                <w:szCs w:val="20"/>
              </w:rPr>
              <w:t>№. of</w:t>
            </w:r>
          </w:p>
          <w:p w14:paraId="3A61E5D8" w14:textId="77777777" w:rsidR="00765D54" w:rsidRPr="00BE39D6" w:rsidRDefault="00765D54" w:rsidP="00E25D0C">
            <w:pPr>
              <w:keepNext/>
              <w:jc w:val="center"/>
              <w:rPr>
                <w:rFonts w:ascii="Arial Narrow" w:hAnsi="Arial Narrow" w:cs="Arial"/>
                <w:b/>
                <w:sz w:val="20"/>
                <w:szCs w:val="20"/>
              </w:rPr>
            </w:pPr>
            <w:r w:rsidRPr="00BE39D6">
              <w:rPr>
                <w:rFonts w:ascii="Arial Narrow" w:hAnsi="Arial Narrow" w:cs="Arial"/>
                <w:b/>
                <w:sz w:val="20"/>
                <w:szCs w:val="20"/>
              </w:rPr>
              <w:t>Rpts</w:t>
            </w:r>
          </w:p>
        </w:tc>
        <w:tc>
          <w:tcPr>
            <w:tcW w:w="897" w:type="pct"/>
            <w:tcBorders>
              <w:top w:val="single" w:sz="4" w:space="0" w:color="auto"/>
              <w:left w:val="single" w:sz="4" w:space="0" w:color="auto"/>
              <w:bottom w:val="single" w:sz="4" w:space="0" w:color="auto"/>
              <w:right w:val="single" w:sz="4" w:space="0" w:color="auto"/>
            </w:tcBorders>
            <w:vAlign w:val="center"/>
            <w:hideMark/>
          </w:tcPr>
          <w:p w14:paraId="58BB6B08" w14:textId="77777777" w:rsidR="00765D54" w:rsidRPr="00BE39D6" w:rsidRDefault="00765D54" w:rsidP="00E25D0C">
            <w:pPr>
              <w:keepNext/>
              <w:rPr>
                <w:rFonts w:ascii="Arial Narrow" w:hAnsi="Arial Narrow" w:cs="Arial"/>
                <w:b/>
                <w:sz w:val="20"/>
                <w:szCs w:val="20"/>
                <w:lang w:val="fr-FR"/>
              </w:rPr>
            </w:pPr>
            <w:r w:rsidRPr="00BE39D6">
              <w:rPr>
                <w:rFonts w:ascii="Arial Narrow" w:hAnsi="Arial Narrow" w:cs="Arial"/>
                <w:b/>
                <w:sz w:val="20"/>
                <w:szCs w:val="20"/>
              </w:rPr>
              <w:t>Available brands</w:t>
            </w:r>
          </w:p>
        </w:tc>
      </w:tr>
      <w:tr w:rsidR="00765D54" w:rsidRPr="00BE39D6" w14:paraId="481436CE" w14:textId="77777777" w:rsidTr="007617A5">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2FE1262" w14:textId="77777777" w:rsidR="00765D54" w:rsidRPr="00BE39D6" w:rsidRDefault="00765D54" w:rsidP="00E25D0C">
            <w:pPr>
              <w:keepNext/>
              <w:rPr>
                <w:rFonts w:ascii="Arial Narrow" w:hAnsi="Arial Narrow" w:cs="Arial"/>
                <w:sz w:val="20"/>
                <w:szCs w:val="20"/>
              </w:rPr>
            </w:pPr>
            <w:r>
              <w:rPr>
                <w:rFonts w:ascii="Arial Narrow" w:hAnsi="Arial Narrow" w:cs="Arial"/>
                <w:bCs/>
                <w:sz w:val="20"/>
                <w:szCs w:val="20"/>
              </w:rPr>
              <w:t>NIVOLUMAB</w:t>
            </w:r>
          </w:p>
        </w:tc>
      </w:tr>
      <w:tr w:rsidR="00765D54" w:rsidRPr="008B055B" w14:paraId="2BFC7862" w14:textId="77777777" w:rsidTr="007617A5">
        <w:tc>
          <w:tcPr>
            <w:tcW w:w="1693" w:type="pct"/>
            <w:gridSpan w:val="2"/>
            <w:tcBorders>
              <w:top w:val="single" w:sz="4" w:space="0" w:color="auto"/>
              <w:left w:val="single" w:sz="4" w:space="0" w:color="auto"/>
              <w:bottom w:val="single" w:sz="4" w:space="0" w:color="auto"/>
              <w:right w:val="single" w:sz="4" w:space="0" w:color="auto"/>
            </w:tcBorders>
            <w:vAlign w:val="center"/>
          </w:tcPr>
          <w:p w14:paraId="4A876AAE" w14:textId="0A477A42" w:rsidR="00765D54" w:rsidRPr="001E3FB6" w:rsidRDefault="00765D54" w:rsidP="00E25D0C">
            <w:pPr>
              <w:keepNext/>
              <w:rPr>
                <w:rFonts w:ascii="Arial Narrow" w:hAnsi="Arial Narrow" w:cs="Arial"/>
                <w:sz w:val="20"/>
                <w:szCs w:val="20"/>
              </w:rPr>
            </w:pPr>
            <w:r w:rsidRPr="00C83184">
              <w:rPr>
                <w:rFonts w:ascii="Arial Narrow" w:hAnsi="Arial Narrow" w:cs="Arial"/>
                <w:sz w:val="20"/>
                <w:szCs w:val="20"/>
              </w:rPr>
              <w:t>nivolumab 600 mg/5 mL</w:t>
            </w:r>
            <w:r w:rsidR="0059427C">
              <w:rPr>
                <w:rFonts w:ascii="Arial Narrow" w:hAnsi="Arial Narrow" w:cs="Arial"/>
                <w:sz w:val="20"/>
                <w:szCs w:val="20"/>
              </w:rPr>
              <w:t xml:space="preserve"> </w:t>
            </w:r>
            <w:r w:rsidR="0059427C" w:rsidRPr="00330FBD">
              <w:rPr>
                <w:rFonts w:ascii="Arial Narrow" w:hAnsi="Arial Narrow" w:cs="Arial"/>
                <w:i/>
                <w:iCs/>
                <w:sz w:val="20"/>
                <w:szCs w:val="20"/>
              </w:rPr>
              <w:t>injection</w:t>
            </w:r>
            <w:r w:rsidRPr="00C83184">
              <w:rPr>
                <w:rFonts w:ascii="Arial Narrow" w:hAnsi="Arial Narrow" w:cs="Arial"/>
                <w:sz w:val="20"/>
                <w:szCs w:val="20"/>
              </w:rPr>
              <w:t xml:space="preserve">, </w:t>
            </w:r>
            <w:r w:rsidRPr="00C83184">
              <w:rPr>
                <w:rFonts w:ascii="Arial Narrow" w:hAnsi="Arial Narrow" w:cs="Arial"/>
                <w:i/>
                <w:iCs/>
                <w:sz w:val="20"/>
                <w:szCs w:val="20"/>
              </w:rPr>
              <w:t xml:space="preserve">5 mL </w:t>
            </w:r>
            <w:r w:rsidR="00330FBD" w:rsidRPr="00C83184">
              <w:rPr>
                <w:rFonts w:ascii="Arial Narrow" w:hAnsi="Arial Narrow" w:cs="Arial"/>
                <w:i/>
                <w:iCs/>
                <w:sz w:val="20"/>
                <w:szCs w:val="20"/>
              </w:rPr>
              <w:t>vial</w:t>
            </w:r>
            <w:r w:rsidR="00330FBD" w:rsidRPr="00C83184">
              <w:rPr>
                <w:rFonts w:ascii="Arial Narrow" w:hAnsi="Arial Narrow" w:cs="Arial"/>
                <w:sz w:val="20"/>
                <w:szCs w:val="20"/>
              </w:rPr>
              <w:t xml:space="preserve"> solution</w:t>
            </w:r>
            <w:r w:rsidRPr="00C83184">
              <w:rPr>
                <w:rFonts w:ascii="Arial Narrow" w:hAnsi="Arial Narrow" w:cs="Arial"/>
                <w:strike/>
                <w:sz w:val="20"/>
                <w:szCs w:val="20"/>
              </w:rPr>
              <w:t xml:space="preserve"> for subcutaneous injection</w:t>
            </w:r>
          </w:p>
        </w:tc>
        <w:tc>
          <w:tcPr>
            <w:tcW w:w="539" w:type="pct"/>
            <w:tcBorders>
              <w:top w:val="single" w:sz="4" w:space="0" w:color="auto"/>
              <w:left w:val="single" w:sz="4" w:space="0" w:color="auto"/>
              <w:bottom w:val="single" w:sz="4" w:space="0" w:color="auto"/>
              <w:right w:val="single" w:sz="4" w:space="0" w:color="auto"/>
            </w:tcBorders>
            <w:vAlign w:val="center"/>
            <w:hideMark/>
          </w:tcPr>
          <w:p w14:paraId="481479FD" w14:textId="77777777" w:rsidR="00765D54" w:rsidRPr="008B055B" w:rsidRDefault="00765D54" w:rsidP="00E25D0C">
            <w:pPr>
              <w:keepNext/>
              <w:jc w:val="center"/>
              <w:rPr>
                <w:rFonts w:ascii="Arial Narrow" w:hAnsi="Arial Narrow" w:cs="Arial"/>
                <w:sz w:val="20"/>
                <w:szCs w:val="20"/>
              </w:rPr>
            </w:pPr>
            <w:r w:rsidRPr="008B055B">
              <w:rPr>
                <w:rFonts w:ascii="Arial Narrow" w:hAnsi="Arial Narrow" w:cs="Arial"/>
                <w:sz w:val="20"/>
                <w:szCs w:val="20"/>
              </w:rPr>
              <w:t>NEW (CT)</w:t>
            </w:r>
          </w:p>
        </w:tc>
        <w:tc>
          <w:tcPr>
            <w:tcW w:w="539" w:type="pct"/>
            <w:tcBorders>
              <w:top w:val="single" w:sz="4" w:space="0" w:color="auto"/>
              <w:left w:val="single" w:sz="4" w:space="0" w:color="auto"/>
              <w:bottom w:val="single" w:sz="4" w:space="0" w:color="auto"/>
              <w:right w:val="single" w:sz="4" w:space="0" w:color="auto"/>
            </w:tcBorders>
            <w:vAlign w:val="center"/>
            <w:hideMark/>
          </w:tcPr>
          <w:p w14:paraId="5498C483" w14:textId="77777777" w:rsidR="00765D54" w:rsidRPr="00C83184" w:rsidRDefault="00765D54" w:rsidP="00E25D0C">
            <w:pPr>
              <w:keepNext/>
              <w:jc w:val="center"/>
              <w:rPr>
                <w:rFonts w:ascii="Arial Narrow" w:hAnsi="Arial Narrow" w:cs="Arial"/>
                <w:sz w:val="20"/>
                <w:szCs w:val="20"/>
              </w:rPr>
            </w:pPr>
            <w:r w:rsidRPr="00C83184">
              <w:rPr>
                <w:rFonts w:ascii="Arial Narrow" w:hAnsi="Arial Narrow" w:cs="Arial"/>
                <w:sz w:val="20"/>
                <w:szCs w:val="20"/>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03B7BB1F" w14:textId="77777777" w:rsidR="00765D54" w:rsidRPr="00C83184" w:rsidRDefault="00765D54" w:rsidP="00E25D0C">
            <w:pPr>
              <w:keepNext/>
              <w:jc w:val="center"/>
              <w:rPr>
                <w:rFonts w:ascii="Arial Narrow" w:hAnsi="Arial Narrow" w:cs="Arial"/>
                <w:sz w:val="20"/>
                <w:szCs w:val="20"/>
              </w:rPr>
            </w:pPr>
            <w:r w:rsidRPr="00C83184">
              <w:rPr>
                <w:rFonts w:ascii="Arial Narrow" w:hAnsi="Arial Narrow" w:cs="Arial"/>
                <w:sz w:val="20"/>
                <w:szCs w:val="20"/>
              </w:rPr>
              <w:t>2</w:t>
            </w:r>
          </w:p>
        </w:tc>
        <w:tc>
          <w:tcPr>
            <w:tcW w:w="793" w:type="pct"/>
            <w:tcBorders>
              <w:top w:val="single" w:sz="4" w:space="0" w:color="auto"/>
              <w:left w:val="single" w:sz="4" w:space="0" w:color="auto"/>
              <w:bottom w:val="single" w:sz="4" w:space="0" w:color="auto"/>
              <w:right w:val="single" w:sz="4" w:space="0" w:color="auto"/>
            </w:tcBorders>
            <w:vAlign w:val="center"/>
            <w:hideMark/>
          </w:tcPr>
          <w:p w14:paraId="3A924C75" w14:textId="77777777" w:rsidR="00765D54" w:rsidRPr="008B055B" w:rsidRDefault="00765D54" w:rsidP="00E25D0C">
            <w:pPr>
              <w:keepNext/>
              <w:jc w:val="center"/>
              <w:rPr>
                <w:rFonts w:ascii="Arial Narrow" w:hAnsi="Arial Narrow" w:cs="Arial"/>
                <w:sz w:val="20"/>
                <w:szCs w:val="20"/>
              </w:rPr>
            </w:pPr>
            <w:r>
              <w:rPr>
                <w:rFonts w:ascii="Arial Narrow" w:hAnsi="Arial Narrow" w:cs="Arial"/>
                <w:sz w:val="20"/>
                <w:szCs w:val="20"/>
              </w:rPr>
              <w:t>Consistent with current listings</w:t>
            </w:r>
          </w:p>
        </w:tc>
        <w:tc>
          <w:tcPr>
            <w:tcW w:w="897" w:type="pct"/>
            <w:tcBorders>
              <w:top w:val="single" w:sz="4" w:space="0" w:color="auto"/>
              <w:left w:val="single" w:sz="4" w:space="0" w:color="auto"/>
              <w:bottom w:val="single" w:sz="4" w:space="0" w:color="auto"/>
              <w:right w:val="single" w:sz="4" w:space="0" w:color="auto"/>
            </w:tcBorders>
            <w:vAlign w:val="center"/>
          </w:tcPr>
          <w:p w14:paraId="198C0730" w14:textId="77777777" w:rsidR="00765D54" w:rsidRPr="008B055B" w:rsidRDefault="00765D54" w:rsidP="00E25D0C">
            <w:pPr>
              <w:keepNext/>
              <w:rPr>
                <w:rFonts w:ascii="Arial Narrow" w:hAnsi="Arial Narrow" w:cs="Arial"/>
                <w:sz w:val="20"/>
                <w:szCs w:val="20"/>
              </w:rPr>
            </w:pPr>
            <w:r>
              <w:rPr>
                <w:rFonts w:ascii="Arial Narrow" w:hAnsi="Arial Narrow" w:cs="Arial"/>
                <w:sz w:val="20"/>
                <w:szCs w:val="20"/>
              </w:rPr>
              <w:t xml:space="preserve">Opdivo </w:t>
            </w:r>
            <w:r w:rsidRPr="00C83184">
              <w:rPr>
                <w:rFonts w:ascii="Arial Narrow" w:hAnsi="Arial Narrow" w:cs="Arial"/>
                <w:i/>
                <w:iCs/>
                <w:sz w:val="20"/>
                <w:szCs w:val="20"/>
              </w:rPr>
              <w:t>SC</w:t>
            </w:r>
          </w:p>
        </w:tc>
      </w:tr>
      <w:tr w:rsidR="00765D54" w:rsidRPr="008B055B" w14:paraId="7066361D" w14:textId="77777777" w:rsidTr="007617A5">
        <w:tc>
          <w:tcPr>
            <w:tcW w:w="1693" w:type="pct"/>
            <w:gridSpan w:val="2"/>
            <w:tcBorders>
              <w:top w:val="single" w:sz="4" w:space="0" w:color="auto"/>
              <w:left w:val="single" w:sz="4" w:space="0" w:color="auto"/>
              <w:bottom w:val="single" w:sz="4" w:space="0" w:color="auto"/>
              <w:right w:val="single" w:sz="4" w:space="0" w:color="auto"/>
            </w:tcBorders>
            <w:vAlign w:val="center"/>
          </w:tcPr>
          <w:p w14:paraId="0FA30712" w14:textId="121FC95B" w:rsidR="00765D54" w:rsidRPr="001E3FB6" w:rsidRDefault="00765D54" w:rsidP="00E25D0C">
            <w:pPr>
              <w:keepNext/>
              <w:rPr>
                <w:rFonts w:ascii="Arial Narrow" w:hAnsi="Arial Narrow" w:cs="Arial"/>
                <w:sz w:val="20"/>
                <w:szCs w:val="20"/>
              </w:rPr>
            </w:pPr>
            <w:r w:rsidRPr="00C83184">
              <w:rPr>
                <w:rFonts w:ascii="Arial Narrow" w:hAnsi="Arial Narrow" w:cs="Arial"/>
                <w:sz w:val="20"/>
                <w:szCs w:val="20"/>
              </w:rPr>
              <w:t>nivolumab 600 mg/5 mL</w:t>
            </w:r>
            <w:r w:rsidR="0059427C" w:rsidRPr="0086638C">
              <w:rPr>
                <w:rFonts w:ascii="Arial Narrow" w:hAnsi="Arial Narrow" w:cs="Arial"/>
                <w:i/>
                <w:iCs/>
                <w:sz w:val="20"/>
                <w:szCs w:val="20"/>
              </w:rPr>
              <w:t xml:space="preserve"> injection</w:t>
            </w:r>
            <w:r w:rsidRPr="00C83184">
              <w:rPr>
                <w:rFonts w:ascii="Arial Narrow" w:hAnsi="Arial Narrow" w:cs="Arial"/>
                <w:sz w:val="20"/>
                <w:szCs w:val="20"/>
              </w:rPr>
              <w:t xml:space="preserve">, </w:t>
            </w:r>
            <w:r w:rsidRPr="00C83184">
              <w:rPr>
                <w:rFonts w:ascii="Arial Narrow" w:hAnsi="Arial Narrow" w:cs="Arial"/>
                <w:i/>
                <w:iCs/>
                <w:sz w:val="20"/>
                <w:szCs w:val="20"/>
              </w:rPr>
              <w:t xml:space="preserve">5 mL </w:t>
            </w:r>
            <w:r w:rsidR="00330FBD" w:rsidRPr="00C83184">
              <w:rPr>
                <w:rFonts w:ascii="Arial Narrow" w:hAnsi="Arial Narrow" w:cs="Arial"/>
                <w:i/>
                <w:iCs/>
                <w:sz w:val="20"/>
                <w:szCs w:val="20"/>
              </w:rPr>
              <w:t>vial</w:t>
            </w:r>
            <w:r w:rsidR="00330FBD" w:rsidRPr="00C83184">
              <w:rPr>
                <w:rFonts w:ascii="Arial Narrow" w:hAnsi="Arial Narrow" w:cs="Arial"/>
                <w:sz w:val="20"/>
                <w:szCs w:val="20"/>
              </w:rPr>
              <w:t xml:space="preserve"> solution</w:t>
            </w:r>
            <w:r w:rsidRPr="00C83184">
              <w:rPr>
                <w:rFonts w:ascii="Arial Narrow" w:hAnsi="Arial Narrow" w:cs="Arial"/>
                <w:strike/>
                <w:sz w:val="20"/>
                <w:szCs w:val="20"/>
              </w:rPr>
              <w:t xml:space="preserve"> for subcutaneous injection</w:t>
            </w:r>
          </w:p>
        </w:tc>
        <w:tc>
          <w:tcPr>
            <w:tcW w:w="539" w:type="pct"/>
            <w:tcBorders>
              <w:top w:val="single" w:sz="4" w:space="0" w:color="auto"/>
              <w:left w:val="single" w:sz="4" w:space="0" w:color="auto"/>
              <w:bottom w:val="single" w:sz="4" w:space="0" w:color="auto"/>
              <w:right w:val="single" w:sz="4" w:space="0" w:color="auto"/>
            </w:tcBorders>
            <w:vAlign w:val="center"/>
            <w:hideMark/>
          </w:tcPr>
          <w:p w14:paraId="7C52EB3E" w14:textId="77777777" w:rsidR="00765D54" w:rsidRPr="008B055B" w:rsidRDefault="00765D54" w:rsidP="00E25D0C">
            <w:pPr>
              <w:keepNext/>
              <w:jc w:val="center"/>
              <w:rPr>
                <w:rFonts w:ascii="Arial Narrow" w:hAnsi="Arial Narrow" w:cs="Arial"/>
                <w:sz w:val="20"/>
                <w:szCs w:val="20"/>
              </w:rPr>
            </w:pPr>
            <w:r w:rsidRPr="008B055B">
              <w:rPr>
                <w:rFonts w:ascii="Arial Narrow" w:hAnsi="Arial Narrow" w:cs="Arial"/>
                <w:sz w:val="20"/>
                <w:szCs w:val="20"/>
              </w:rPr>
              <w:t>NEW (GE)</w:t>
            </w:r>
          </w:p>
        </w:tc>
        <w:tc>
          <w:tcPr>
            <w:tcW w:w="539" w:type="pct"/>
            <w:tcBorders>
              <w:top w:val="single" w:sz="4" w:space="0" w:color="auto"/>
              <w:left w:val="single" w:sz="4" w:space="0" w:color="auto"/>
              <w:bottom w:val="single" w:sz="4" w:space="0" w:color="auto"/>
              <w:right w:val="single" w:sz="4" w:space="0" w:color="auto"/>
            </w:tcBorders>
            <w:vAlign w:val="center"/>
            <w:hideMark/>
          </w:tcPr>
          <w:p w14:paraId="1417A216" w14:textId="77777777" w:rsidR="00765D54" w:rsidRPr="00C83184" w:rsidRDefault="00765D54" w:rsidP="00E25D0C">
            <w:pPr>
              <w:keepNext/>
              <w:jc w:val="center"/>
              <w:rPr>
                <w:rFonts w:ascii="Arial Narrow" w:hAnsi="Arial Narrow" w:cs="Arial"/>
                <w:sz w:val="20"/>
                <w:szCs w:val="20"/>
              </w:rPr>
            </w:pPr>
            <w:r w:rsidRPr="00C83184">
              <w:rPr>
                <w:rFonts w:ascii="Arial Narrow" w:hAnsi="Arial Narrow" w:cs="Arial"/>
                <w:sz w:val="20"/>
                <w:szCs w:val="20"/>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69B1E382" w14:textId="77777777" w:rsidR="00765D54" w:rsidRPr="00C83184" w:rsidRDefault="00765D54" w:rsidP="00E25D0C">
            <w:pPr>
              <w:keepNext/>
              <w:jc w:val="center"/>
              <w:rPr>
                <w:rFonts w:ascii="Arial Narrow" w:hAnsi="Arial Narrow" w:cs="Arial"/>
                <w:sz w:val="20"/>
                <w:szCs w:val="20"/>
              </w:rPr>
            </w:pPr>
            <w:r w:rsidRPr="00C83184">
              <w:rPr>
                <w:rFonts w:ascii="Arial Narrow" w:hAnsi="Arial Narrow" w:cs="Arial"/>
                <w:sz w:val="20"/>
                <w:szCs w:val="20"/>
              </w:rPr>
              <w:t>2</w:t>
            </w:r>
          </w:p>
        </w:tc>
        <w:tc>
          <w:tcPr>
            <w:tcW w:w="793" w:type="pct"/>
            <w:tcBorders>
              <w:top w:val="single" w:sz="4" w:space="0" w:color="auto"/>
              <w:left w:val="single" w:sz="4" w:space="0" w:color="auto"/>
              <w:bottom w:val="single" w:sz="4" w:space="0" w:color="auto"/>
              <w:right w:val="single" w:sz="4" w:space="0" w:color="auto"/>
            </w:tcBorders>
            <w:vAlign w:val="center"/>
            <w:hideMark/>
          </w:tcPr>
          <w:p w14:paraId="6871D0EF" w14:textId="77777777" w:rsidR="00765D54" w:rsidRPr="008B055B" w:rsidRDefault="00765D54" w:rsidP="00E25D0C">
            <w:pPr>
              <w:keepNext/>
              <w:jc w:val="center"/>
              <w:rPr>
                <w:rFonts w:ascii="Arial Narrow" w:hAnsi="Arial Narrow" w:cs="Arial"/>
                <w:sz w:val="20"/>
                <w:szCs w:val="20"/>
              </w:rPr>
            </w:pPr>
            <w:r>
              <w:rPr>
                <w:rFonts w:ascii="Arial Narrow" w:hAnsi="Arial Narrow" w:cs="Arial"/>
                <w:sz w:val="20"/>
                <w:szCs w:val="20"/>
              </w:rPr>
              <w:t>Consistent with current listings</w:t>
            </w:r>
          </w:p>
        </w:tc>
        <w:tc>
          <w:tcPr>
            <w:tcW w:w="897" w:type="pct"/>
            <w:tcBorders>
              <w:top w:val="single" w:sz="4" w:space="0" w:color="auto"/>
              <w:left w:val="single" w:sz="4" w:space="0" w:color="auto"/>
              <w:bottom w:val="single" w:sz="4" w:space="0" w:color="auto"/>
              <w:right w:val="single" w:sz="4" w:space="0" w:color="auto"/>
            </w:tcBorders>
            <w:vAlign w:val="center"/>
          </w:tcPr>
          <w:p w14:paraId="71695170" w14:textId="77777777" w:rsidR="00765D54" w:rsidRPr="008B055B" w:rsidRDefault="00765D54" w:rsidP="00E25D0C">
            <w:pPr>
              <w:keepNext/>
              <w:rPr>
                <w:rFonts w:ascii="Arial Narrow" w:hAnsi="Arial Narrow" w:cs="Arial"/>
                <w:sz w:val="20"/>
                <w:szCs w:val="20"/>
              </w:rPr>
            </w:pPr>
            <w:r>
              <w:rPr>
                <w:rFonts w:ascii="Arial Narrow" w:hAnsi="Arial Narrow" w:cs="Arial"/>
                <w:sz w:val="20"/>
                <w:szCs w:val="20"/>
              </w:rPr>
              <w:t xml:space="preserve">Opdivo </w:t>
            </w:r>
            <w:r w:rsidRPr="00C83184">
              <w:rPr>
                <w:rFonts w:ascii="Arial Narrow" w:hAnsi="Arial Narrow" w:cs="Arial"/>
                <w:i/>
                <w:iCs/>
                <w:sz w:val="20"/>
                <w:szCs w:val="20"/>
              </w:rPr>
              <w:t>SC</w:t>
            </w:r>
          </w:p>
        </w:tc>
      </w:tr>
      <w:tr w:rsidR="00765D54" w:rsidRPr="00BE39D6" w14:paraId="7FD32E60" w14:textId="77777777" w:rsidTr="007617A5">
        <w:tc>
          <w:tcPr>
            <w:tcW w:w="5000" w:type="pct"/>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36DD44" w14:textId="77777777" w:rsidR="00765D54" w:rsidRPr="00BE39D6" w:rsidRDefault="00765D54" w:rsidP="00E25D0C">
            <w:pPr>
              <w:keepNext/>
              <w:rPr>
                <w:rFonts w:ascii="Arial Narrow" w:hAnsi="Arial Narrow" w:cs="Arial"/>
                <w:bCs/>
                <w:color w:val="C4BC96" w:themeColor="background2" w:themeShade="BF"/>
                <w:sz w:val="20"/>
                <w:szCs w:val="20"/>
              </w:rPr>
            </w:pPr>
          </w:p>
        </w:tc>
      </w:tr>
      <w:tr w:rsidR="000D5229" w:rsidRPr="008B055B" w14:paraId="4643FCF0" w14:textId="77777777" w:rsidTr="00F30200">
        <w:tc>
          <w:tcPr>
            <w:tcW w:w="688" w:type="pct"/>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3A70D50" w14:textId="77777777" w:rsidR="00765D54" w:rsidRPr="008B055B" w:rsidRDefault="00765D54" w:rsidP="00E25D0C">
            <w:pPr>
              <w:keepNext/>
              <w:jc w:val="center"/>
              <w:rPr>
                <w:rFonts w:ascii="Arial Narrow" w:hAnsi="Arial Narrow" w:cs="Arial"/>
                <w:b/>
                <w:sz w:val="20"/>
                <w:szCs w:val="20"/>
              </w:rPr>
            </w:pPr>
            <w:r w:rsidRPr="001428E9">
              <w:rPr>
                <w:rFonts w:ascii="Arial Narrow" w:hAnsi="Arial Narrow" w:cs="Arial"/>
                <w:b/>
                <w:sz w:val="20"/>
                <w:szCs w:val="20"/>
              </w:rPr>
              <w:t xml:space="preserve">Concept ID </w:t>
            </w:r>
            <w:r w:rsidRPr="001428E9">
              <w:rPr>
                <w:rFonts w:ascii="Arial Narrow" w:hAnsi="Arial Narrow" w:cs="Arial"/>
                <w:sz w:val="20"/>
                <w:szCs w:val="20"/>
              </w:rPr>
              <w:t>(for internal Dept. use)</w:t>
            </w:r>
          </w:p>
        </w:tc>
        <w:tc>
          <w:tcPr>
            <w:tcW w:w="4312"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B69A65" w14:textId="77777777" w:rsidR="00765D54" w:rsidRPr="008B055B" w:rsidRDefault="00765D54" w:rsidP="00E25D0C">
            <w:pPr>
              <w:keepNext/>
              <w:rPr>
                <w:rFonts w:ascii="Arial Narrow" w:hAnsi="Arial Narrow" w:cs="Arial"/>
                <w:bCs/>
                <w:sz w:val="20"/>
                <w:szCs w:val="20"/>
              </w:rPr>
            </w:pPr>
            <w:r w:rsidRPr="008B055B">
              <w:rPr>
                <w:rFonts w:ascii="Arial Narrow" w:hAnsi="Arial Narrow" w:cs="Arial"/>
                <w:bCs/>
                <w:sz w:val="20"/>
                <w:szCs w:val="20"/>
              </w:rPr>
              <w:t xml:space="preserve">Category / Program: </w:t>
            </w:r>
          </w:p>
          <w:p w14:paraId="6A4DD07B" w14:textId="77777777" w:rsidR="00765D54" w:rsidRPr="008B055B" w:rsidRDefault="00765D54" w:rsidP="00E25D0C">
            <w:pPr>
              <w:keepNext/>
              <w:jc w:val="left"/>
              <w:rPr>
                <w:rFonts w:ascii="Arial Narrow" w:hAnsi="Arial Narrow" w:cs="Arial"/>
                <w:bCs/>
                <w:sz w:val="20"/>
                <w:szCs w:val="20"/>
              </w:rPr>
            </w:pPr>
            <w:r w:rsidRPr="008B055B">
              <w:rPr>
                <w:rFonts w:ascii="Arial Narrow" w:eastAsia="Calibri" w:hAnsi="Arial Narrow" w:cs="Arial"/>
                <w:bCs/>
                <w:sz w:val="20"/>
                <w:szCs w:val="20"/>
              </w:rPr>
              <w:fldChar w:fldCharType="begin" w:fldLock="1">
                <w:ffData>
                  <w:name w:val="Check1"/>
                  <w:enabled/>
                  <w:calcOnExit w:val="0"/>
                  <w:checkBox>
                    <w:sizeAuto/>
                    <w:default w:val="1"/>
                  </w:checkBox>
                </w:ffData>
              </w:fldChar>
            </w:r>
            <w:r w:rsidRPr="008B055B">
              <w:rPr>
                <w:rFonts w:ascii="Arial Narrow" w:eastAsia="Calibri" w:hAnsi="Arial Narrow" w:cs="Arial"/>
                <w:bCs/>
                <w:sz w:val="20"/>
                <w:szCs w:val="20"/>
              </w:rPr>
              <w:instrText xml:space="preserve"> FORMCHECKBOX </w:instrText>
            </w:r>
            <w:r w:rsidRPr="008B055B">
              <w:rPr>
                <w:rFonts w:ascii="Arial Narrow" w:eastAsia="Calibri" w:hAnsi="Arial Narrow" w:cs="Arial"/>
                <w:bCs/>
                <w:sz w:val="20"/>
                <w:szCs w:val="20"/>
              </w:rPr>
            </w:r>
            <w:r w:rsidRPr="008B055B">
              <w:rPr>
                <w:rFonts w:ascii="Arial Narrow" w:eastAsia="Calibri" w:hAnsi="Arial Narrow" w:cs="Arial"/>
                <w:bCs/>
                <w:sz w:val="20"/>
                <w:szCs w:val="20"/>
              </w:rPr>
              <w:fldChar w:fldCharType="separate"/>
            </w:r>
            <w:r w:rsidRPr="008B055B">
              <w:rPr>
                <w:rFonts w:ascii="Arial Narrow" w:eastAsia="Calibri" w:hAnsi="Arial Narrow" w:cs="Arial"/>
                <w:bCs/>
                <w:sz w:val="20"/>
                <w:szCs w:val="20"/>
              </w:rPr>
              <w:fldChar w:fldCharType="end"/>
            </w:r>
            <w:r w:rsidRPr="008B055B">
              <w:rPr>
                <w:rFonts w:ascii="Arial Narrow" w:eastAsia="Calibri" w:hAnsi="Arial Narrow" w:cs="Arial"/>
                <w:bCs/>
                <w:sz w:val="20"/>
                <w:szCs w:val="20"/>
              </w:rPr>
              <w:t xml:space="preserve"> GENERAL </w:t>
            </w:r>
            <w:r w:rsidRPr="008B055B">
              <w:rPr>
                <w:rFonts w:ascii="Arial Narrow" w:hAnsi="Arial Narrow" w:cs="Arial"/>
                <w:bCs/>
                <w:sz w:val="20"/>
                <w:szCs w:val="20"/>
              </w:rPr>
              <w:t>–</w:t>
            </w:r>
            <w:r w:rsidRPr="008B055B">
              <w:rPr>
                <w:rFonts w:ascii="Arial Narrow" w:eastAsia="Calibri" w:hAnsi="Arial Narrow" w:cs="Arial"/>
                <w:bCs/>
                <w:sz w:val="20"/>
                <w:szCs w:val="20"/>
              </w:rPr>
              <w:t xml:space="preserve"> General Schedule (Code GE) </w:t>
            </w:r>
            <w:r w:rsidRPr="008B055B">
              <w:rPr>
                <w:rFonts w:ascii="Arial Narrow" w:eastAsia="Calibri" w:hAnsi="Arial Narrow" w:cs="Arial"/>
                <w:bCs/>
                <w:sz w:val="20"/>
                <w:szCs w:val="20"/>
              </w:rPr>
              <w:br/>
            </w:r>
            <w:r w:rsidRPr="008B055B">
              <w:rPr>
                <w:rFonts w:ascii="Arial Narrow" w:eastAsia="Calibri" w:hAnsi="Arial Narrow" w:cs="Arial"/>
                <w:bCs/>
                <w:sz w:val="20"/>
                <w:szCs w:val="20"/>
              </w:rPr>
              <w:fldChar w:fldCharType="begin" w:fldLock="1">
                <w:ffData>
                  <w:name w:val=""/>
                  <w:enabled/>
                  <w:calcOnExit w:val="0"/>
                  <w:checkBox>
                    <w:sizeAuto/>
                    <w:default w:val="1"/>
                  </w:checkBox>
                </w:ffData>
              </w:fldChar>
            </w:r>
            <w:r w:rsidRPr="008B055B">
              <w:rPr>
                <w:rFonts w:ascii="Arial Narrow" w:eastAsia="Calibri" w:hAnsi="Arial Narrow" w:cs="Arial"/>
                <w:bCs/>
                <w:sz w:val="20"/>
                <w:szCs w:val="20"/>
              </w:rPr>
              <w:instrText xml:space="preserve"> FORMCHECKBOX </w:instrText>
            </w:r>
            <w:r w:rsidRPr="008B055B">
              <w:rPr>
                <w:rFonts w:ascii="Arial Narrow" w:eastAsia="Calibri" w:hAnsi="Arial Narrow" w:cs="Arial"/>
                <w:bCs/>
                <w:sz w:val="20"/>
                <w:szCs w:val="20"/>
              </w:rPr>
            </w:r>
            <w:r w:rsidRPr="008B055B">
              <w:rPr>
                <w:rFonts w:ascii="Arial Narrow" w:eastAsia="Calibri" w:hAnsi="Arial Narrow" w:cs="Arial"/>
                <w:bCs/>
                <w:sz w:val="20"/>
                <w:szCs w:val="20"/>
              </w:rPr>
              <w:fldChar w:fldCharType="separate"/>
            </w:r>
            <w:r w:rsidRPr="008B055B">
              <w:rPr>
                <w:rFonts w:ascii="Arial Narrow" w:eastAsia="Calibri" w:hAnsi="Arial Narrow" w:cs="Arial"/>
                <w:bCs/>
                <w:sz w:val="20"/>
                <w:szCs w:val="20"/>
              </w:rPr>
              <w:fldChar w:fldCharType="end"/>
            </w:r>
            <w:r w:rsidRPr="008B055B">
              <w:rPr>
                <w:rFonts w:ascii="Arial Narrow" w:eastAsia="Calibri" w:hAnsi="Arial Narrow" w:cs="Arial"/>
                <w:bCs/>
                <w:sz w:val="20"/>
                <w:szCs w:val="20"/>
              </w:rPr>
              <w:t xml:space="preserve"> Section </w:t>
            </w:r>
            <w:r w:rsidRPr="008B055B">
              <w:rPr>
                <w:rFonts w:ascii="Arial Narrow" w:hAnsi="Arial Narrow" w:cs="Arial"/>
                <w:bCs/>
                <w:sz w:val="20"/>
                <w:szCs w:val="20"/>
              </w:rPr>
              <w:t xml:space="preserve">100 – Efficient Funding of Chemotherapy – Related Benefits (Code CT) </w:t>
            </w:r>
          </w:p>
        </w:tc>
      </w:tr>
      <w:tr w:rsidR="000D5229" w:rsidRPr="008B055B" w14:paraId="37FB68C3" w14:textId="77777777" w:rsidTr="00F30200">
        <w:tc>
          <w:tcPr>
            <w:tcW w:w="688" w:type="pct"/>
            <w:vMerge/>
            <w:tcBorders>
              <w:top w:val="single" w:sz="4" w:space="0" w:color="auto"/>
              <w:left w:val="single" w:sz="4" w:space="0" w:color="auto"/>
              <w:bottom w:val="single" w:sz="4" w:space="0" w:color="auto"/>
              <w:right w:val="single" w:sz="4" w:space="0" w:color="auto"/>
            </w:tcBorders>
            <w:vAlign w:val="center"/>
            <w:hideMark/>
          </w:tcPr>
          <w:p w14:paraId="394B5F80" w14:textId="77777777" w:rsidR="00765D54" w:rsidRPr="008B055B" w:rsidRDefault="00765D54" w:rsidP="00E25D0C">
            <w:pPr>
              <w:keepNext/>
              <w:rPr>
                <w:rFonts w:ascii="Arial Narrow" w:hAnsi="Arial Narrow" w:cs="Arial"/>
                <w:b/>
                <w:sz w:val="20"/>
                <w:szCs w:val="20"/>
              </w:rPr>
            </w:pPr>
          </w:p>
        </w:tc>
        <w:tc>
          <w:tcPr>
            <w:tcW w:w="4312"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9B82F3" w14:textId="77777777" w:rsidR="00765D54" w:rsidRPr="008B055B" w:rsidRDefault="00765D54" w:rsidP="00E25D0C">
            <w:pPr>
              <w:keepNext/>
              <w:rPr>
                <w:rFonts w:ascii="Arial Narrow" w:hAnsi="Arial Narrow" w:cs="Arial"/>
                <w:bCs/>
                <w:sz w:val="20"/>
                <w:szCs w:val="20"/>
              </w:rPr>
            </w:pPr>
            <w:r w:rsidRPr="008B055B">
              <w:rPr>
                <w:rFonts w:ascii="Arial Narrow" w:hAnsi="Arial Narrow" w:cs="Arial"/>
                <w:bCs/>
                <w:sz w:val="20"/>
                <w:szCs w:val="20"/>
              </w:rPr>
              <w:t xml:space="preserve">Prescriber type: </w:t>
            </w:r>
            <w:r w:rsidRPr="008B055B">
              <w:rPr>
                <w:rFonts w:ascii="Arial Narrow" w:hAnsi="Arial Narrow" w:cs="Arial"/>
                <w:bCs/>
                <w:sz w:val="20"/>
                <w:szCs w:val="20"/>
              </w:rPr>
              <w:fldChar w:fldCharType="begin" w:fldLock="1">
                <w:ffData>
                  <w:name w:val=""/>
                  <w:enabled/>
                  <w:calcOnExit w:val="0"/>
                  <w:checkBox>
                    <w:sizeAuto/>
                    <w:default w:val="1"/>
                  </w:checkBox>
                </w:ffData>
              </w:fldChar>
            </w:r>
            <w:r w:rsidRPr="008B055B">
              <w:rPr>
                <w:rFonts w:ascii="Arial Narrow" w:hAnsi="Arial Narrow" w:cs="Arial"/>
                <w:bCs/>
                <w:sz w:val="20"/>
                <w:szCs w:val="20"/>
              </w:rPr>
              <w:instrText xml:space="preserve"> FORMCHECKBOX </w:instrText>
            </w:r>
            <w:r w:rsidRPr="008B055B">
              <w:rPr>
                <w:rFonts w:ascii="Arial Narrow" w:hAnsi="Arial Narrow" w:cs="Arial"/>
                <w:bCs/>
                <w:sz w:val="20"/>
                <w:szCs w:val="20"/>
              </w:rPr>
            </w:r>
            <w:r w:rsidRPr="008B055B">
              <w:rPr>
                <w:rFonts w:ascii="Arial Narrow" w:hAnsi="Arial Narrow" w:cs="Arial"/>
                <w:bCs/>
                <w:sz w:val="20"/>
                <w:szCs w:val="20"/>
              </w:rPr>
              <w:fldChar w:fldCharType="separate"/>
            </w:r>
            <w:r w:rsidRPr="008B055B">
              <w:rPr>
                <w:rFonts w:ascii="Arial Narrow" w:hAnsi="Arial Narrow" w:cs="Arial"/>
                <w:bCs/>
                <w:sz w:val="20"/>
                <w:szCs w:val="20"/>
              </w:rPr>
              <w:fldChar w:fldCharType="end"/>
            </w:r>
            <w:r w:rsidRPr="008B055B">
              <w:rPr>
                <w:rFonts w:ascii="Arial Narrow" w:hAnsi="Arial Narrow" w:cs="Arial"/>
                <w:bCs/>
                <w:sz w:val="20"/>
                <w:szCs w:val="20"/>
              </w:rPr>
              <w:t xml:space="preserve">Medical Practitioners </w:t>
            </w:r>
          </w:p>
        </w:tc>
      </w:tr>
      <w:tr w:rsidR="001F71F7" w:rsidRPr="00C83184" w14:paraId="1AE415D6" w14:textId="77777777" w:rsidTr="00F30200">
        <w:trPr>
          <w:trHeight w:val="172"/>
        </w:trPr>
        <w:tc>
          <w:tcPr>
            <w:tcW w:w="688" w:type="pct"/>
            <w:vMerge/>
            <w:tcBorders>
              <w:top w:val="single" w:sz="4" w:space="0" w:color="auto"/>
              <w:left w:val="single" w:sz="4" w:space="0" w:color="auto"/>
              <w:bottom w:val="single" w:sz="4" w:space="0" w:color="auto"/>
              <w:right w:val="single" w:sz="4" w:space="0" w:color="auto"/>
            </w:tcBorders>
            <w:vAlign w:val="center"/>
            <w:hideMark/>
          </w:tcPr>
          <w:p w14:paraId="42EEDB6E" w14:textId="77777777" w:rsidR="00765D54" w:rsidRPr="008B055B" w:rsidRDefault="00765D54" w:rsidP="00E25D0C">
            <w:pPr>
              <w:keepNext/>
              <w:rPr>
                <w:rFonts w:ascii="Arial Narrow" w:hAnsi="Arial Narrow" w:cs="Arial"/>
                <w:b/>
                <w:sz w:val="20"/>
                <w:szCs w:val="20"/>
              </w:rPr>
            </w:pPr>
          </w:p>
        </w:tc>
        <w:tc>
          <w:tcPr>
            <w:tcW w:w="4312" w:type="pct"/>
            <w:gridSpan w:val="6"/>
            <w:tcBorders>
              <w:top w:val="single" w:sz="4" w:space="0" w:color="auto"/>
              <w:left w:val="single" w:sz="4" w:space="0" w:color="auto"/>
              <w:right w:val="single" w:sz="4" w:space="0" w:color="auto"/>
            </w:tcBorders>
            <w:tcMar>
              <w:top w:w="15" w:type="dxa"/>
              <w:left w:w="108" w:type="dxa"/>
              <w:bottom w:w="15" w:type="dxa"/>
              <w:right w:w="108" w:type="dxa"/>
            </w:tcMar>
            <w:hideMark/>
          </w:tcPr>
          <w:p w14:paraId="6064D596" w14:textId="77777777" w:rsidR="00765D54" w:rsidRDefault="00765D54" w:rsidP="00E25D0C">
            <w:pPr>
              <w:keepNext/>
              <w:rPr>
                <w:rFonts w:ascii="Arial Narrow" w:hAnsi="Arial Narrow" w:cs="Arial"/>
                <w:bCs/>
                <w:sz w:val="20"/>
                <w:szCs w:val="20"/>
              </w:rPr>
            </w:pPr>
            <w:r w:rsidRPr="008B055B">
              <w:rPr>
                <w:rFonts w:ascii="Arial Narrow" w:hAnsi="Arial Narrow" w:cs="Arial"/>
                <w:bCs/>
                <w:sz w:val="20"/>
                <w:szCs w:val="20"/>
              </w:rPr>
              <w:t>Restriction type:</w:t>
            </w:r>
          </w:p>
          <w:p w14:paraId="1762D867" w14:textId="77777777" w:rsidR="00765D54" w:rsidRDefault="00765D54" w:rsidP="00E25D0C">
            <w:pPr>
              <w:keepNext/>
              <w:rPr>
                <w:rFonts w:ascii="Arial Narrow" w:hAnsi="Arial Narrow" w:cs="Arial"/>
                <w:bCs/>
                <w:sz w:val="20"/>
                <w:szCs w:val="20"/>
              </w:rPr>
            </w:pPr>
            <w:r w:rsidRPr="008B055B">
              <w:rPr>
                <w:rFonts w:ascii="Arial Narrow" w:hAnsi="Arial Narrow" w:cs="Arial"/>
                <w:bCs/>
                <w:sz w:val="20"/>
                <w:szCs w:val="20"/>
              </w:rPr>
              <w:fldChar w:fldCharType="begin" w:fldLock="1">
                <w:ffData>
                  <w:name w:val=""/>
                  <w:enabled/>
                  <w:calcOnExit w:val="0"/>
                  <w:checkBox>
                    <w:sizeAuto/>
                    <w:default w:val="1"/>
                  </w:checkBox>
                </w:ffData>
              </w:fldChar>
            </w:r>
            <w:r w:rsidRPr="008B055B">
              <w:rPr>
                <w:rFonts w:ascii="Arial Narrow" w:hAnsi="Arial Narrow" w:cs="Arial"/>
                <w:bCs/>
                <w:sz w:val="20"/>
                <w:szCs w:val="20"/>
              </w:rPr>
              <w:instrText xml:space="preserve"> FORMCHECKBOX </w:instrText>
            </w:r>
            <w:r w:rsidRPr="008B055B">
              <w:rPr>
                <w:rFonts w:ascii="Arial Narrow" w:hAnsi="Arial Narrow" w:cs="Arial"/>
                <w:bCs/>
                <w:sz w:val="20"/>
                <w:szCs w:val="20"/>
              </w:rPr>
            </w:r>
            <w:r w:rsidRPr="008B055B">
              <w:rPr>
                <w:rFonts w:ascii="Arial Narrow" w:hAnsi="Arial Narrow" w:cs="Arial"/>
                <w:bCs/>
                <w:sz w:val="20"/>
                <w:szCs w:val="20"/>
              </w:rPr>
              <w:fldChar w:fldCharType="separate"/>
            </w:r>
            <w:r w:rsidRPr="008B055B">
              <w:rPr>
                <w:rFonts w:ascii="Arial Narrow" w:hAnsi="Arial Narrow" w:cs="Arial"/>
                <w:bCs/>
                <w:sz w:val="20"/>
                <w:szCs w:val="20"/>
              </w:rPr>
              <w:fldChar w:fldCharType="end"/>
            </w:r>
            <w:r w:rsidRPr="008B055B">
              <w:rPr>
                <w:rFonts w:ascii="Arial Narrow" w:hAnsi="Arial Narrow" w:cs="Arial"/>
                <w:bCs/>
                <w:sz w:val="20"/>
                <w:szCs w:val="20"/>
              </w:rPr>
              <w:t>Authority Required (Telephone/Online)</w:t>
            </w:r>
          </w:p>
          <w:p w14:paraId="46149307" w14:textId="77777777" w:rsidR="00765D54" w:rsidRPr="00765D54" w:rsidRDefault="00765D54" w:rsidP="00E25D0C">
            <w:pPr>
              <w:pStyle w:val="ListParagraph"/>
              <w:keepNext/>
              <w:numPr>
                <w:ilvl w:val="0"/>
                <w:numId w:val="9"/>
              </w:numPr>
              <w:spacing w:before="0" w:after="0"/>
              <w:contextualSpacing/>
              <w:rPr>
                <w:rFonts w:ascii="Arial Narrow" w:hAnsi="Arial Narrow"/>
                <w:bCs/>
                <w:snapToGrid/>
                <w:sz w:val="20"/>
                <w:szCs w:val="20"/>
              </w:rPr>
            </w:pPr>
            <w:r w:rsidRPr="00765D54">
              <w:rPr>
                <w:rFonts w:ascii="Arial Narrow" w:hAnsi="Arial Narrow"/>
                <w:bCs/>
                <w:snapToGrid/>
                <w:sz w:val="20"/>
                <w:szCs w:val="20"/>
              </w:rPr>
              <w:t>Stage IIIB, IIIC, IIID or Stage IV malignant melanoma</w:t>
            </w:r>
          </w:p>
          <w:p w14:paraId="1E594272" w14:textId="77777777" w:rsidR="00765D54" w:rsidRPr="00765D54" w:rsidRDefault="00765D54" w:rsidP="00E25D0C">
            <w:pPr>
              <w:pStyle w:val="ListParagraph"/>
              <w:keepNext/>
              <w:numPr>
                <w:ilvl w:val="0"/>
                <w:numId w:val="9"/>
              </w:numPr>
              <w:spacing w:before="0" w:after="0"/>
              <w:contextualSpacing/>
              <w:rPr>
                <w:rFonts w:ascii="Arial Narrow" w:hAnsi="Arial Narrow"/>
                <w:bCs/>
                <w:snapToGrid/>
                <w:sz w:val="20"/>
                <w:szCs w:val="20"/>
              </w:rPr>
            </w:pPr>
            <w:r w:rsidRPr="00765D54">
              <w:rPr>
                <w:rFonts w:ascii="Arial Narrow" w:hAnsi="Arial Narrow"/>
                <w:bCs/>
                <w:snapToGrid/>
                <w:sz w:val="20"/>
                <w:szCs w:val="20"/>
              </w:rPr>
              <w:t>Adjuvant treatment of stage II or III oesophageal cancer or gastro-oesophageal junction cancer</w:t>
            </w:r>
          </w:p>
          <w:p w14:paraId="6156CD27" w14:textId="77777777" w:rsidR="00765D54" w:rsidRPr="00765D54" w:rsidRDefault="00765D54" w:rsidP="00E25D0C">
            <w:pPr>
              <w:pStyle w:val="ListParagraph"/>
              <w:keepNext/>
              <w:numPr>
                <w:ilvl w:val="0"/>
                <w:numId w:val="9"/>
              </w:numPr>
              <w:spacing w:before="0" w:after="0"/>
              <w:contextualSpacing/>
              <w:rPr>
                <w:rFonts w:ascii="Arial Narrow" w:hAnsi="Arial Narrow"/>
                <w:bCs/>
                <w:snapToGrid/>
                <w:sz w:val="20"/>
                <w:szCs w:val="20"/>
              </w:rPr>
            </w:pPr>
            <w:r w:rsidRPr="00765D54">
              <w:rPr>
                <w:rFonts w:ascii="Arial Narrow" w:hAnsi="Arial Narrow"/>
                <w:bCs/>
                <w:snapToGrid/>
                <w:sz w:val="20"/>
                <w:szCs w:val="20"/>
              </w:rPr>
              <w:t>Urothelial carcinoma</w:t>
            </w:r>
          </w:p>
          <w:p w14:paraId="5A0944C8" w14:textId="77777777" w:rsidR="00765D54" w:rsidRDefault="00765D54" w:rsidP="00E25D0C">
            <w:pPr>
              <w:keepNext/>
              <w:rPr>
                <w:rFonts w:ascii="Arial Narrow" w:hAnsi="Arial Narrow" w:cs="Arial"/>
                <w:bCs/>
                <w:sz w:val="20"/>
                <w:szCs w:val="20"/>
              </w:rPr>
            </w:pPr>
            <w:r w:rsidRPr="008B055B">
              <w:rPr>
                <w:rFonts w:ascii="Arial Narrow" w:hAnsi="Arial Narrow" w:cs="Arial"/>
                <w:bCs/>
                <w:sz w:val="20"/>
                <w:szCs w:val="20"/>
              </w:rPr>
              <w:fldChar w:fldCharType="begin" w:fldLock="1">
                <w:ffData>
                  <w:name w:val=""/>
                  <w:enabled/>
                  <w:calcOnExit w:val="0"/>
                  <w:checkBox>
                    <w:sizeAuto/>
                    <w:default w:val="1"/>
                  </w:checkBox>
                </w:ffData>
              </w:fldChar>
            </w:r>
            <w:r w:rsidRPr="008B055B">
              <w:rPr>
                <w:rFonts w:ascii="Arial Narrow" w:hAnsi="Arial Narrow" w:cs="Arial"/>
                <w:bCs/>
                <w:sz w:val="20"/>
                <w:szCs w:val="20"/>
              </w:rPr>
              <w:instrText xml:space="preserve"> FORMCHECKBOX </w:instrText>
            </w:r>
            <w:r w:rsidRPr="008B055B">
              <w:rPr>
                <w:rFonts w:ascii="Arial Narrow" w:hAnsi="Arial Narrow" w:cs="Arial"/>
                <w:bCs/>
                <w:sz w:val="20"/>
                <w:szCs w:val="20"/>
              </w:rPr>
            </w:r>
            <w:r w:rsidRPr="008B055B">
              <w:rPr>
                <w:rFonts w:ascii="Arial Narrow" w:hAnsi="Arial Narrow" w:cs="Arial"/>
                <w:bCs/>
                <w:sz w:val="20"/>
                <w:szCs w:val="20"/>
              </w:rPr>
              <w:fldChar w:fldCharType="separate"/>
            </w:r>
            <w:r w:rsidRPr="008B055B">
              <w:rPr>
                <w:rFonts w:ascii="Arial Narrow" w:hAnsi="Arial Narrow" w:cs="Arial"/>
                <w:bCs/>
                <w:sz w:val="20"/>
                <w:szCs w:val="20"/>
              </w:rPr>
              <w:fldChar w:fldCharType="end"/>
            </w:r>
            <w:r w:rsidRPr="008B055B">
              <w:rPr>
                <w:rFonts w:ascii="Arial Narrow" w:hAnsi="Arial Narrow" w:cs="Arial"/>
                <w:bCs/>
                <w:sz w:val="20"/>
                <w:szCs w:val="20"/>
              </w:rPr>
              <w:t>Authority Required (</w:t>
            </w:r>
            <w:r>
              <w:rPr>
                <w:rFonts w:ascii="Arial Narrow" w:hAnsi="Arial Narrow" w:cs="Arial"/>
                <w:bCs/>
                <w:sz w:val="20"/>
                <w:szCs w:val="20"/>
              </w:rPr>
              <w:t>STREAMLINED</w:t>
            </w:r>
            <w:r w:rsidRPr="008B055B">
              <w:rPr>
                <w:rFonts w:ascii="Arial Narrow" w:hAnsi="Arial Narrow" w:cs="Arial"/>
                <w:bCs/>
                <w:sz w:val="20"/>
                <w:szCs w:val="20"/>
              </w:rPr>
              <w:t>)</w:t>
            </w:r>
          </w:p>
          <w:p w14:paraId="30A090E9" w14:textId="77777777" w:rsidR="00765D54" w:rsidRPr="00C83184" w:rsidRDefault="00765D54" w:rsidP="00E25D0C">
            <w:pPr>
              <w:pStyle w:val="ListParagraph"/>
              <w:keepNext/>
              <w:numPr>
                <w:ilvl w:val="0"/>
                <w:numId w:val="10"/>
              </w:numPr>
              <w:spacing w:before="0" w:after="0"/>
              <w:contextualSpacing/>
              <w:rPr>
                <w:rFonts w:ascii="Arial Narrow" w:eastAsia="Calibri" w:hAnsi="Arial Narrow"/>
                <w:bCs/>
                <w:sz w:val="20"/>
                <w:szCs w:val="20"/>
              </w:rPr>
            </w:pPr>
            <w:r w:rsidRPr="00765D54">
              <w:rPr>
                <w:rFonts w:ascii="Arial Narrow" w:hAnsi="Arial Narrow"/>
                <w:bCs/>
                <w:snapToGrid/>
                <w:sz w:val="20"/>
                <w:szCs w:val="20"/>
              </w:rPr>
              <w:t>All other PBS indications</w:t>
            </w:r>
          </w:p>
        </w:tc>
      </w:tr>
      <w:tr w:rsidR="00765D54" w:rsidRPr="005F5C93" w14:paraId="4B7FA044" w14:textId="77777777" w:rsidTr="007617A5">
        <w:tc>
          <w:tcPr>
            <w:tcW w:w="5000" w:type="pct"/>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266864" w14:textId="4522450A" w:rsidR="00765D54" w:rsidRPr="005F5C93" w:rsidRDefault="00765D54" w:rsidP="00E25D0C">
            <w:pPr>
              <w:keepNext/>
              <w:rPr>
                <w:rFonts w:ascii="Arial Narrow" w:hAnsi="Arial Narrow" w:cs="Arial"/>
                <w:b/>
                <w:sz w:val="20"/>
                <w:szCs w:val="20"/>
              </w:rPr>
            </w:pPr>
            <w:r w:rsidRPr="005F5C93">
              <w:rPr>
                <w:rFonts w:ascii="Arial Narrow" w:hAnsi="Arial Narrow" w:cs="Arial"/>
                <w:b/>
                <w:sz w:val="20"/>
                <w:szCs w:val="20"/>
              </w:rPr>
              <w:t xml:space="preserve">Restrictions </w:t>
            </w:r>
            <w:r w:rsidR="00D95921">
              <w:rPr>
                <w:rFonts w:ascii="Arial Narrow" w:hAnsi="Arial Narrow" w:cs="Arial"/>
                <w:b/>
                <w:sz w:val="20"/>
                <w:szCs w:val="20"/>
              </w:rPr>
              <w:t>criteria</w:t>
            </w:r>
            <w:r w:rsidR="001873C0">
              <w:rPr>
                <w:rFonts w:ascii="Arial Narrow" w:hAnsi="Arial Narrow" w:cs="Arial"/>
                <w:b/>
                <w:sz w:val="20"/>
                <w:szCs w:val="20"/>
              </w:rPr>
              <w:t xml:space="preserve"> and wording</w:t>
            </w:r>
            <w:r w:rsidR="00D95921">
              <w:rPr>
                <w:rFonts w:ascii="Arial Narrow" w:hAnsi="Arial Narrow" w:cs="Arial"/>
                <w:b/>
                <w:sz w:val="20"/>
                <w:szCs w:val="20"/>
              </w:rPr>
              <w:t xml:space="preserve"> </w:t>
            </w:r>
            <w:r>
              <w:rPr>
                <w:rFonts w:ascii="Arial Narrow" w:hAnsi="Arial Narrow" w:cs="Arial"/>
                <w:b/>
                <w:sz w:val="20"/>
                <w:szCs w:val="20"/>
              </w:rPr>
              <w:t xml:space="preserve">consistent with existing </w:t>
            </w:r>
            <w:r w:rsidR="00381BF8">
              <w:rPr>
                <w:rFonts w:ascii="Arial Narrow" w:hAnsi="Arial Narrow" w:cs="Arial"/>
                <w:b/>
                <w:sz w:val="20"/>
                <w:szCs w:val="20"/>
              </w:rPr>
              <w:t xml:space="preserve">NIVO IV </w:t>
            </w:r>
            <w:r>
              <w:rPr>
                <w:rFonts w:ascii="Arial Narrow" w:hAnsi="Arial Narrow" w:cs="Arial"/>
                <w:b/>
                <w:sz w:val="20"/>
                <w:szCs w:val="20"/>
              </w:rPr>
              <w:t xml:space="preserve">listings with the </w:t>
            </w:r>
            <w:r w:rsidR="00381BF8">
              <w:rPr>
                <w:rFonts w:ascii="Arial Narrow" w:hAnsi="Arial Narrow" w:cs="Arial"/>
                <w:b/>
                <w:sz w:val="20"/>
                <w:szCs w:val="20"/>
              </w:rPr>
              <w:t xml:space="preserve">inclusion </w:t>
            </w:r>
            <w:r>
              <w:rPr>
                <w:rFonts w:ascii="Arial Narrow" w:hAnsi="Arial Narrow" w:cs="Arial"/>
                <w:b/>
                <w:sz w:val="20"/>
                <w:szCs w:val="20"/>
              </w:rPr>
              <w:t>of the following:</w:t>
            </w:r>
          </w:p>
        </w:tc>
      </w:tr>
      <w:tr w:rsidR="00765D54" w:rsidRPr="00B73C4A" w14:paraId="38A22B02" w14:textId="77777777" w:rsidTr="007617A5">
        <w:tc>
          <w:tcPr>
            <w:tcW w:w="688"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3425AB" w14:textId="77777777" w:rsidR="00765D54" w:rsidRPr="006368E6" w:rsidRDefault="00765D54" w:rsidP="00E25D0C">
            <w:pPr>
              <w:keepNext/>
              <w:jc w:val="center"/>
              <w:rPr>
                <w:rFonts w:ascii="Arial Narrow" w:hAnsi="Arial Narrow" w:cs="Arial"/>
                <w:sz w:val="20"/>
                <w:szCs w:val="20"/>
              </w:rPr>
            </w:pPr>
            <w:r w:rsidRPr="006368E6">
              <w:rPr>
                <w:rFonts w:ascii="Arial Narrow" w:hAnsi="Arial Narrow" w:cs="Arial"/>
                <w:sz w:val="20"/>
                <w:szCs w:val="20"/>
              </w:rPr>
              <w:t>New</w:t>
            </w:r>
          </w:p>
        </w:tc>
        <w:tc>
          <w:tcPr>
            <w:tcW w:w="4312"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D961093" w14:textId="77777777" w:rsidR="00765D54" w:rsidRPr="006368E6" w:rsidRDefault="00765D54" w:rsidP="00E25D0C">
            <w:pPr>
              <w:keepNext/>
              <w:rPr>
                <w:rFonts w:ascii="Arial Narrow" w:hAnsi="Arial Narrow" w:cs="Arial"/>
                <w:spacing w:val="-2"/>
                <w:sz w:val="20"/>
                <w:szCs w:val="20"/>
              </w:rPr>
            </w:pPr>
            <w:r w:rsidRPr="006368E6">
              <w:rPr>
                <w:rFonts w:ascii="Arial Narrow" w:hAnsi="Arial Narrow" w:cs="Arial"/>
                <w:b/>
                <w:bCs/>
                <w:spacing w:val="-2"/>
                <w:sz w:val="20"/>
                <w:szCs w:val="20"/>
              </w:rPr>
              <w:t>Prescribing instructions:</w:t>
            </w:r>
            <w:r w:rsidRPr="006368E6">
              <w:rPr>
                <w:rFonts w:ascii="Arial Narrow" w:hAnsi="Arial Narrow" w:cs="Arial"/>
                <w:spacing w:val="-2"/>
                <w:sz w:val="20"/>
                <w:szCs w:val="20"/>
              </w:rPr>
              <w:t xml:space="preserve"> </w:t>
            </w:r>
          </w:p>
          <w:p w14:paraId="4106B031" w14:textId="77777777" w:rsidR="00765D54" w:rsidRPr="006368E6" w:rsidRDefault="00765D54" w:rsidP="00E25D0C">
            <w:pPr>
              <w:keepNext/>
              <w:rPr>
                <w:rFonts w:ascii="Arial Narrow" w:hAnsi="Arial Narrow" w:cs="Arial"/>
                <w:b/>
                <w:sz w:val="20"/>
                <w:szCs w:val="20"/>
              </w:rPr>
            </w:pPr>
            <w:r w:rsidRPr="006368E6">
              <w:rPr>
                <w:rFonts w:ascii="Arial Narrow" w:hAnsi="Arial Narrow" w:cs="Arial"/>
                <w:spacing w:val="-2"/>
                <w:sz w:val="20"/>
                <w:szCs w:val="20"/>
              </w:rPr>
              <w:t>Patients must only receive a maximum of 600 mg every two weeks or 1200 mg every four weeks under a flat dosing regimen.</w:t>
            </w:r>
          </w:p>
        </w:tc>
      </w:tr>
    </w:tbl>
    <w:p w14:paraId="02CE930D" w14:textId="77777777" w:rsidR="003F766F" w:rsidRDefault="003F766F" w:rsidP="00C17DC6">
      <w:pPr>
        <w:pStyle w:val="3-BodyText"/>
        <w:numPr>
          <w:ilvl w:val="0"/>
          <w:numId w:val="0"/>
        </w:numPr>
        <w:ind w:left="720"/>
      </w:pPr>
    </w:p>
    <w:p w14:paraId="2F7846A8" w14:textId="66771E34" w:rsidR="00494455" w:rsidRDefault="00494455" w:rsidP="00C17DC6">
      <w:pPr>
        <w:pStyle w:val="3-BodyText"/>
        <w:numPr>
          <w:ilvl w:val="0"/>
          <w:numId w:val="0"/>
        </w:numPr>
        <w:ind w:left="720"/>
      </w:pPr>
      <w:r>
        <w:t xml:space="preserve">An example of the listing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outline of the proposed NIVO SC restrictions with the Secretariat suggested amendments (in italics and strikethrough)"/>
      </w:tblPr>
      <w:tblGrid>
        <w:gridCol w:w="973"/>
        <w:gridCol w:w="2849"/>
        <w:gridCol w:w="1107"/>
        <w:gridCol w:w="846"/>
        <w:gridCol w:w="882"/>
        <w:gridCol w:w="709"/>
        <w:gridCol w:w="1650"/>
      </w:tblGrid>
      <w:tr w:rsidR="00401F95" w:rsidRPr="005E1C44" w14:paraId="24CF856E" w14:textId="77777777">
        <w:trPr>
          <w:cantSplit/>
          <w:trHeight w:val="471"/>
        </w:trPr>
        <w:tc>
          <w:tcPr>
            <w:tcW w:w="5000" w:type="pct"/>
            <w:gridSpan w:val="7"/>
          </w:tcPr>
          <w:p w14:paraId="465ACF4D" w14:textId="3BF640FC" w:rsidR="00401F95" w:rsidRPr="005E1C44" w:rsidRDefault="00401F95" w:rsidP="00C17DC6">
            <w:pPr>
              <w:pStyle w:val="Restrictiontemplate"/>
              <w:rPr>
                <w:b/>
                <w:sz w:val="20"/>
                <w:szCs w:val="20"/>
                <w:lang w:val="fr-FR"/>
              </w:rPr>
            </w:pPr>
            <w:r w:rsidRPr="005E1C44">
              <w:rPr>
                <w:b/>
                <w:sz w:val="20"/>
                <w:szCs w:val="20"/>
              </w:rPr>
              <w:t>Category</w:t>
            </w:r>
            <w:r w:rsidRPr="005E1C44">
              <w:rPr>
                <w:b/>
                <w:sz w:val="20"/>
                <w:szCs w:val="20"/>
                <w:lang w:val="fr-FR"/>
              </w:rPr>
              <w:t>/</w:t>
            </w:r>
            <w:r w:rsidR="00886624" w:rsidRPr="005E1C44">
              <w:rPr>
                <w:b/>
                <w:sz w:val="20"/>
                <w:szCs w:val="20"/>
                <w:lang w:val="fr-FR"/>
              </w:rPr>
              <w:t>Program:</w:t>
            </w:r>
            <w:r w:rsidRPr="005E1C44">
              <w:rPr>
                <w:b/>
                <w:sz w:val="20"/>
                <w:szCs w:val="20"/>
                <w:lang w:val="fr-FR"/>
              </w:rPr>
              <w:t xml:space="preserve"> </w:t>
            </w:r>
            <w:r w:rsidRPr="005E1C44">
              <w:rPr>
                <w:sz w:val="20"/>
                <w:szCs w:val="20"/>
                <w:lang w:val="fr-FR"/>
              </w:rPr>
              <w:t>Section 100 – Chemotherapy Related Benefits (CT) and General Schedule (GE)</w:t>
            </w:r>
          </w:p>
        </w:tc>
      </w:tr>
      <w:tr w:rsidR="00401F95" w:rsidRPr="005E1C44" w14:paraId="57638A17" w14:textId="77777777">
        <w:trPr>
          <w:cantSplit/>
          <w:trHeight w:val="471"/>
        </w:trPr>
        <w:tc>
          <w:tcPr>
            <w:tcW w:w="2120" w:type="pct"/>
            <w:gridSpan w:val="2"/>
          </w:tcPr>
          <w:p w14:paraId="483E993D" w14:textId="77777777" w:rsidR="00401F95" w:rsidRPr="005E1C44" w:rsidRDefault="00401F95" w:rsidP="00C17DC6">
            <w:pPr>
              <w:pStyle w:val="Restrictiontemplate"/>
              <w:rPr>
                <w:b/>
                <w:bCs/>
                <w:sz w:val="20"/>
                <w:szCs w:val="20"/>
              </w:rPr>
            </w:pPr>
            <w:r w:rsidRPr="005E1C44">
              <w:rPr>
                <w:b/>
                <w:bCs/>
                <w:sz w:val="20"/>
                <w:szCs w:val="20"/>
              </w:rPr>
              <w:t>MEDICINAL PRODUCT</w:t>
            </w:r>
          </w:p>
          <w:p w14:paraId="24898F8E" w14:textId="77777777" w:rsidR="00401F95" w:rsidRPr="005E1C44" w:rsidRDefault="00401F95" w:rsidP="00C17DC6">
            <w:pPr>
              <w:pStyle w:val="Restrictiontemplate"/>
              <w:rPr>
                <w:b/>
                <w:bCs/>
                <w:sz w:val="20"/>
                <w:szCs w:val="20"/>
              </w:rPr>
            </w:pPr>
            <w:r w:rsidRPr="005E1C44">
              <w:rPr>
                <w:b/>
                <w:bCs/>
                <w:sz w:val="20"/>
                <w:szCs w:val="20"/>
              </w:rPr>
              <w:t>medicinal product pack</w:t>
            </w:r>
          </w:p>
        </w:tc>
        <w:tc>
          <w:tcPr>
            <w:tcW w:w="614" w:type="pct"/>
          </w:tcPr>
          <w:p w14:paraId="4C54FE9F" w14:textId="77777777" w:rsidR="00401F95" w:rsidRPr="005E1C44" w:rsidRDefault="00401F95" w:rsidP="00C17DC6">
            <w:pPr>
              <w:pStyle w:val="Restrictiontemplate"/>
              <w:rPr>
                <w:b/>
                <w:bCs/>
                <w:sz w:val="20"/>
                <w:szCs w:val="20"/>
              </w:rPr>
            </w:pPr>
            <w:r w:rsidRPr="005E1C44">
              <w:rPr>
                <w:b/>
                <w:bCs/>
                <w:sz w:val="20"/>
                <w:szCs w:val="20"/>
              </w:rPr>
              <w:t>PBS item code</w:t>
            </w:r>
          </w:p>
        </w:tc>
        <w:tc>
          <w:tcPr>
            <w:tcW w:w="469" w:type="pct"/>
          </w:tcPr>
          <w:p w14:paraId="73B8F0E7" w14:textId="77777777" w:rsidR="00401F95" w:rsidRPr="005E1C44" w:rsidRDefault="00401F95" w:rsidP="00C17DC6">
            <w:pPr>
              <w:pStyle w:val="Restrictiontemplate"/>
              <w:rPr>
                <w:b/>
                <w:bCs/>
                <w:sz w:val="20"/>
                <w:szCs w:val="20"/>
              </w:rPr>
            </w:pPr>
            <w:r w:rsidRPr="005E1C44">
              <w:rPr>
                <w:b/>
                <w:bCs/>
                <w:sz w:val="20"/>
                <w:szCs w:val="20"/>
              </w:rPr>
              <w:t>Max. qty packs</w:t>
            </w:r>
          </w:p>
        </w:tc>
        <w:tc>
          <w:tcPr>
            <w:tcW w:w="489" w:type="pct"/>
          </w:tcPr>
          <w:p w14:paraId="18FEB147" w14:textId="77777777" w:rsidR="00401F95" w:rsidRPr="005E1C44" w:rsidRDefault="00401F95" w:rsidP="00C17DC6">
            <w:pPr>
              <w:pStyle w:val="Restrictiontemplate"/>
              <w:rPr>
                <w:b/>
                <w:bCs/>
                <w:sz w:val="20"/>
                <w:szCs w:val="20"/>
              </w:rPr>
            </w:pPr>
            <w:r w:rsidRPr="005E1C44">
              <w:rPr>
                <w:b/>
                <w:bCs/>
                <w:sz w:val="20"/>
                <w:szCs w:val="20"/>
              </w:rPr>
              <w:t>Max. qty units</w:t>
            </w:r>
          </w:p>
        </w:tc>
        <w:tc>
          <w:tcPr>
            <w:tcW w:w="393" w:type="pct"/>
          </w:tcPr>
          <w:p w14:paraId="7DE39EDF" w14:textId="44B39AD0" w:rsidR="00401F95" w:rsidRPr="005E1C44" w:rsidRDefault="00886624" w:rsidP="00C17DC6">
            <w:pPr>
              <w:pStyle w:val="Restrictiontemplate"/>
              <w:rPr>
                <w:b/>
                <w:bCs/>
                <w:sz w:val="20"/>
                <w:szCs w:val="20"/>
              </w:rPr>
            </w:pPr>
            <w:r w:rsidRPr="005E1C44">
              <w:rPr>
                <w:b/>
                <w:bCs/>
                <w:sz w:val="20"/>
                <w:szCs w:val="20"/>
              </w:rPr>
              <w:t>№. of</w:t>
            </w:r>
          </w:p>
          <w:p w14:paraId="2052C60D" w14:textId="77777777" w:rsidR="00401F95" w:rsidRPr="005E1C44" w:rsidRDefault="00401F95" w:rsidP="00C17DC6">
            <w:pPr>
              <w:pStyle w:val="Restrictiontemplate"/>
              <w:rPr>
                <w:b/>
                <w:bCs/>
                <w:sz w:val="20"/>
                <w:szCs w:val="20"/>
              </w:rPr>
            </w:pPr>
            <w:r w:rsidRPr="005E1C44">
              <w:rPr>
                <w:b/>
                <w:bCs/>
                <w:sz w:val="20"/>
                <w:szCs w:val="20"/>
              </w:rPr>
              <w:t>Rpts</w:t>
            </w:r>
          </w:p>
        </w:tc>
        <w:tc>
          <w:tcPr>
            <w:tcW w:w="915" w:type="pct"/>
          </w:tcPr>
          <w:p w14:paraId="2284B013" w14:textId="77777777" w:rsidR="00401F95" w:rsidRPr="005E1C44" w:rsidRDefault="00401F95" w:rsidP="00C17DC6">
            <w:pPr>
              <w:pStyle w:val="Restrictiontemplate"/>
              <w:rPr>
                <w:b/>
                <w:bCs/>
                <w:sz w:val="20"/>
                <w:szCs w:val="20"/>
                <w:lang w:val="fr-FR"/>
              </w:rPr>
            </w:pPr>
            <w:r w:rsidRPr="005E1C44">
              <w:rPr>
                <w:b/>
                <w:bCs/>
                <w:sz w:val="20"/>
                <w:szCs w:val="20"/>
              </w:rPr>
              <w:t>Available brands</w:t>
            </w:r>
          </w:p>
        </w:tc>
      </w:tr>
      <w:tr w:rsidR="00401F95" w:rsidRPr="005E1C44" w14:paraId="6B798406" w14:textId="77777777">
        <w:trPr>
          <w:cantSplit/>
          <w:trHeight w:val="224"/>
        </w:trPr>
        <w:tc>
          <w:tcPr>
            <w:tcW w:w="5000" w:type="pct"/>
            <w:gridSpan w:val="7"/>
          </w:tcPr>
          <w:p w14:paraId="20B56F3F" w14:textId="77777777" w:rsidR="00401F95" w:rsidRPr="005E1C44" w:rsidRDefault="00401F95" w:rsidP="00C17DC6">
            <w:pPr>
              <w:pStyle w:val="Restrictiontemplate"/>
              <w:rPr>
                <w:sz w:val="20"/>
                <w:szCs w:val="20"/>
              </w:rPr>
            </w:pPr>
            <w:r w:rsidRPr="005E1C44">
              <w:rPr>
                <w:sz w:val="20"/>
                <w:szCs w:val="20"/>
              </w:rPr>
              <w:t>NIVOLUMAB</w:t>
            </w:r>
          </w:p>
        </w:tc>
      </w:tr>
      <w:tr w:rsidR="00401F95" w:rsidRPr="005E1C44" w14:paraId="0FFC15F3" w14:textId="77777777">
        <w:trPr>
          <w:cantSplit/>
          <w:trHeight w:val="347"/>
        </w:trPr>
        <w:tc>
          <w:tcPr>
            <w:tcW w:w="2120" w:type="pct"/>
            <w:gridSpan w:val="2"/>
          </w:tcPr>
          <w:p w14:paraId="2FCAC69A" w14:textId="79F9BBDD" w:rsidR="00401F95" w:rsidRPr="005E1C44" w:rsidRDefault="00401F95" w:rsidP="00C17DC6">
            <w:pPr>
              <w:pStyle w:val="Restrictiontemplate"/>
              <w:rPr>
                <w:sz w:val="20"/>
                <w:szCs w:val="20"/>
              </w:rPr>
            </w:pPr>
            <w:r w:rsidRPr="005E1C44">
              <w:rPr>
                <w:sz w:val="20"/>
                <w:szCs w:val="20"/>
              </w:rPr>
              <w:t>nivolumab 600 mg/5 mL</w:t>
            </w:r>
            <w:r w:rsidR="00B75628" w:rsidRPr="005E1C44">
              <w:rPr>
                <w:rFonts w:cs="Arial"/>
                <w:i/>
                <w:iCs/>
                <w:sz w:val="20"/>
                <w:szCs w:val="20"/>
              </w:rPr>
              <w:t xml:space="preserve"> </w:t>
            </w:r>
            <w:r w:rsidR="00B75628" w:rsidRPr="005E1C44">
              <w:rPr>
                <w:i/>
                <w:sz w:val="20"/>
                <w:szCs w:val="20"/>
              </w:rPr>
              <w:t>injection</w:t>
            </w:r>
            <w:r w:rsidR="00C76B66" w:rsidRPr="005E1C44">
              <w:rPr>
                <w:i/>
                <w:iCs/>
                <w:sz w:val="20"/>
                <w:szCs w:val="20"/>
              </w:rPr>
              <w:t xml:space="preserve">, 5 mL </w:t>
            </w:r>
            <w:r w:rsidR="00886624" w:rsidRPr="005E1C44">
              <w:rPr>
                <w:i/>
                <w:iCs/>
                <w:sz w:val="20"/>
                <w:szCs w:val="20"/>
              </w:rPr>
              <w:t xml:space="preserve">vial </w:t>
            </w:r>
            <w:r w:rsidR="00886624" w:rsidRPr="005E1C44">
              <w:rPr>
                <w:strike/>
                <w:sz w:val="20"/>
                <w:szCs w:val="20"/>
              </w:rPr>
              <w:t>solution</w:t>
            </w:r>
            <w:r w:rsidRPr="005E1C44">
              <w:rPr>
                <w:strike/>
                <w:sz w:val="20"/>
                <w:szCs w:val="20"/>
              </w:rPr>
              <w:t xml:space="preserve"> for</w:t>
            </w:r>
            <w:r w:rsidRPr="005E1C44">
              <w:rPr>
                <w:sz w:val="20"/>
                <w:szCs w:val="20"/>
              </w:rPr>
              <w:t xml:space="preserve"> </w:t>
            </w:r>
            <w:r w:rsidRPr="005E1C44">
              <w:rPr>
                <w:strike/>
                <w:sz w:val="20"/>
                <w:szCs w:val="20"/>
              </w:rPr>
              <w:t>subcutaneous injection</w:t>
            </w:r>
          </w:p>
        </w:tc>
        <w:tc>
          <w:tcPr>
            <w:tcW w:w="614" w:type="pct"/>
          </w:tcPr>
          <w:p w14:paraId="1131D57E" w14:textId="77777777" w:rsidR="00401F95" w:rsidRPr="005E1C44" w:rsidRDefault="00401F95" w:rsidP="00C17DC6">
            <w:pPr>
              <w:pStyle w:val="Restrictiontemplate"/>
              <w:rPr>
                <w:sz w:val="20"/>
                <w:szCs w:val="20"/>
              </w:rPr>
            </w:pPr>
            <w:r w:rsidRPr="005E1C44">
              <w:rPr>
                <w:sz w:val="20"/>
                <w:szCs w:val="20"/>
              </w:rPr>
              <w:t>NEW (CT)</w:t>
            </w:r>
          </w:p>
        </w:tc>
        <w:tc>
          <w:tcPr>
            <w:tcW w:w="469" w:type="pct"/>
          </w:tcPr>
          <w:p w14:paraId="3FD80A8E" w14:textId="77777777" w:rsidR="00401F95" w:rsidRPr="005E1C44" w:rsidRDefault="00401F95" w:rsidP="00C17DC6">
            <w:pPr>
              <w:pStyle w:val="Restrictiontemplate"/>
              <w:rPr>
                <w:sz w:val="20"/>
                <w:szCs w:val="20"/>
              </w:rPr>
            </w:pPr>
            <w:r w:rsidRPr="005E1C44">
              <w:rPr>
                <w:sz w:val="20"/>
                <w:szCs w:val="20"/>
              </w:rPr>
              <w:t>2</w:t>
            </w:r>
          </w:p>
        </w:tc>
        <w:tc>
          <w:tcPr>
            <w:tcW w:w="489" w:type="pct"/>
          </w:tcPr>
          <w:p w14:paraId="5E19C3DF" w14:textId="77777777" w:rsidR="00401F95" w:rsidRPr="005E1C44" w:rsidRDefault="00401F95" w:rsidP="00C17DC6">
            <w:pPr>
              <w:pStyle w:val="Restrictiontemplate"/>
              <w:rPr>
                <w:sz w:val="20"/>
                <w:szCs w:val="20"/>
              </w:rPr>
            </w:pPr>
            <w:r w:rsidRPr="005E1C44">
              <w:rPr>
                <w:sz w:val="20"/>
                <w:szCs w:val="20"/>
              </w:rPr>
              <w:t>2</w:t>
            </w:r>
          </w:p>
        </w:tc>
        <w:tc>
          <w:tcPr>
            <w:tcW w:w="393" w:type="pct"/>
          </w:tcPr>
          <w:p w14:paraId="1D7C3D7F" w14:textId="77777777" w:rsidR="00401F95" w:rsidRPr="005E1C44" w:rsidRDefault="00401F95" w:rsidP="00C17DC6">
            <w:pPr>
              <w:pStyle w:val="Restrictiontemplate"/>
              <w:rPr>
                <w:sz w:val="20"/>
                <w:szCs w:val="20"/>
              </w:rPr>
            </w:pPr>
            <w:r w:rsidRPr="005E1C44">
              <w:rPr>
                <w:sz w:val="20"/>
                <w:szCs w:val="20"/>
              </w:rPr>
              <w:t>8</w:t>
            </w:r>
          </w:p>
        </w:tc>
        <w:tc>
          <w:tcPr>
            <w:tcW w:w="915" w:type="pct"/>
          </w:tcPr>
          <w:p w14:paraId="424FF1CD" w14:textId="3534CE24" w:rsidR="00401F95" w:rsidRPr="005E1C44" w:rsidRDefault="00401F95" w:rsidP="00C17DC6">
            <w:pPr>
              <w:pStyle w:val="Restrictiontemplate"/>
              <w:rPr>
                <w:sz w:val="20"/>
                <w:szCs w:val="20"/>
              </w:rPr>
            </w:pPr>
            <w:r w:rsidRPr="005E1C44">
              <w:rPr>
                <w:sz w:val="20"/>
                <w:szCs w:val="20"/>
              </w:rPr>
              <w:t>Opdivo</w:t>
            </w:r>
            <w:r w:rsidR="00510671" w:rsidRPr="005E1C44">
              <w:rPr>
                <w:sz w:val="20"/>
                <w:szCs w:val="20"/>
              </w:rPr>
              <w:t xml:space="preserve"> </w:t>
            </w:r>
            <w:r w:rsidR="00510671" w:rsidRPr="005E1C44">
              <w:rPr>
                <w:i/>
                <w:iCs/>
                <w:sz w:val="20"/>
                <w:szCs w:val="20"/>
              </w:rPr>
              <w:t>SC</w:t>
            </w:r>
          </w:p>
        </w:tc>
      </w:tr>
      <w:tr w:rsidR="00401F95" w:rsidRPr="005E1C44" w14:paraId="48A3DF73" w14:textId="77777777">
        <w:trPr>
          <w:cantSplit/>
          <w:trHeight w:val="347"/>
        </w:trPr>
        <w:tc>
          <w:tcPr>
            <w:tcW w:w="2120" w:type="pct"/>
            <w:gridSpan w:val="2"/>
          </w:tcPr>
          <w:p w14:paraId="54E2C1E6" w14:textId="7E21CC4F" w:rsidR="00401F95" w:rsidRPr="005E1C44" w:rsidRDefault="002365B4" w:rsidP="00C17DC6">
            <w:pPr>
              <w:pStyle w:val="Restrictiontemplate"/>
              <w:rPr>
                <w:sz w:val="20"/>
                <w:szCs w:val="20"/>
              </w:rPr>
            </w:pPr>
            <w:r w:rsidRPr="005E1C44">
              <w:rPr>
                <w:sz w:val="20"/>
                <w:szCs w:val="20"/>
              </w:rPr>
              <w:t>n</w:t>
            </w:r>
            <w:r w:rsidR="00401F95" w:rsidRPr="005E1C44">
              <w:rPr>
                <w:sz w:val="20"/>
                <w:szCs w:val="20"/>
              </w:rPr>
              <w:t>ivolumab 600 mg/5 mL</w:t>
            </w:r>
            <w:r w:rsidR="00B75628" w:rsidRPr="005E1C44">
              <w:rPr>
                <w:rFonts w:cs="Arial"/>
                <w:i/>
                <w:iCs/>
                <w:sz w:val="20"/>
                <w:szCs w:val="20"/>
              </w:rPr>
              <w:t xml:space="preserve"> </w:t>
            </w:r>
            <w:r w:rsidR="00B75628" w:rsidRPr="005E1C44">
              <w:rPr>
                <w:i/>
                <w:sz w:val="20"/>
                <w:szCs w:val="20"/>
              </w:rPr>
              <w:t>injection</w:t>
            </w:r>
            <w:r w:rsidR="00C76B66" w:rsidRPr="005E1C44">
              <w:rPr>
                <w:i/>
                <w:iCs/>
                <w:sz w:val="20"/>
                <w:szCs w:val="20"/>
              </w:rPr>
              <w:t>,</w:t>
            </w:r>
            <w:r w:rsidR="00B75628" w:rsidRPr="005E1C44">
              <w:rPr>
                <w:i/>
                <w:iCs/>
                <w:sz w:val="20"/>
                <w:szCs w:val="20"/>
              </w:rPr>
              <w:t xml:space="preserve"> </w:t>
            </w:r>
            <w:r w:rsidR="00C76B66" w:rsidRPr="005E1C44">
              <w:rPr>
                <w:i/>
                <w:iCs/>
                <w:sz w:val="20"/>
                <w:szCs w:val="20"/>
              </w:rPr>
              <w:t>5</w:t>
            </w:r>
            <w:r w:rsidR="00B75628" w:rsidRPr="005E1C44">
              <w:rPr>
                <w:i/>
                <w:iCs/>
                <w:sz w:val="20"/>
                <w:szCs w:val="20"/>
              </w:rPr>
              <w:t xml:space="preserve"> </w:t>
            </w:r>
            <w:r w:rsidR="00C76B66" w:rsidRPr="005E1C44">
              <w:rPr>
                <w:i/>
                <w:iCs/>
                <w:sz w:val="20"/>
                <w:szCs w:val="20"/>
              </w:rPr>
              <w:t>mL vial</w:t>
            </w:r>
            <w:r w:rsidR="00401F95" w:rsidRPr="005E1C44">
              <w:rPr>
                <w:sz w:val="20"/>
                <w:szCs w:val="20"/>
              </w:rPr>
              <w:t xml:space="preserve"> </w:t>
            </w:r>
            <w:r w:rsidR="00401F95" w:rsidRPr="005E1C44">
              <w:rPr>
                <w:strike/>
                <w:sz w:val="20"/>
                <w:szCs w:val="20"/>
              </w:rPr>
              <w:t>solution for subcutaneous injection</w:t>
            </w:r>
          </w:p>
        </w:tc>
        <w:tc>
          <w:tcPr>
            <w:tcW w:w="614" w:type="pct"/>
          </w:tcPr>
          <w:p w14:paraId="1A357E5B" w14:textId="77777777" w:rsidR="00401F95" w:rsidRPr="005E1C44" w:rsidRDefault="00401F95" w:rsidP="00C17DC6">
            <w:pPr>
              <w:pStyle w:val="Restrictiontemplate"/>
              <w:rPr>
                <w:sz w:val="20"/>
                <w:szCs w:val="20"/>
              </w:rPr>
            </w:pPr>
            <w:r w:rsidRPr="005E1C44">
              <w:rPr>
                <w:sz w:val="20"/>
                <w:szCs w:val="20"/>
              </w:rPr>
              <w:t>NEW (GE)</w:t>
            </w:r>
          </w:p>
        </w:tc>
        <w:tc>
          <w:tcPr>
            <w:tcW w:w="469" w:type="pct"/>
          </w:tcPr>
          <w:p w14:paraId="113D2ED2" w14:textId="77777777" w:rsidR="00401F95" w:rsidRPr="005E1C44" w:rsidRDefault="00401F95" w:rsidP="00C17DC6">
            <w:pPr>
              <w:pStyle w:val="Restrictiontemplate"/>
              <w:rPr>
                <w:sz w:val="20"/>
                <w:szCs w:val="20"/>
              </w:rPr>
            </w:pPr>
            <w:r w:rsidRPr="005E1C44">
              <w:rPr>
                <w:sz w:val="20"/>
                <w:szCs w:val="20"/>
              </w:rPr>
              <w:t>2</w:t>
            </w:r>
          </w:p>
        </w:tc>
        <w:tc>
          <w:tcPr>
            <w:tcW w:w="489" w:type="pct"/>
          </w:tcPr>
          <w:p w14:paraId="7339E5E2" w14:textId="77777777" w:rsidR="00401F95" w:rsidRPr="005E1C44" w:rsidRDefault="00401F95" w:rsidP="00C17DC6">
            <w:pPr>
              <w:pStyle w:val="Restrictiontemplate"/>
              <w:rPr>
                <w:sz w:val="20"/>
                <w:szCs w:val="20"/>
              </w:rPr>
            </w:pPr>
            <w:r w:rsidRPr="005E1C44">
              <w:rPr>
                <w:sz w:val="20"/>
                <w:szCs w:val="20"/>
              </w:rPr>
              <w:t>2</w:t>
            </w:r>
          </w:p>
        </w:tc>
        <w:tc>
          <w:tcPr>
            <w:tcW w:w="393" w:type="pct"/>
          </w:tcPr>
          <w:p w14:paraId="0F3506C4" w14:textId="77777777" w:rsidR="00401F95" w:rsidRPr="005E1C44" w:rsidRDefault="00401F95" w:rsidP="00C17DC6">
            <w:pPr>
              <w:pStyle w:val="Restrictiontemplate"/>
              <w:rPr>
                <w:sz w:val="20"/>
                <w:szCs w:val="20"/>
              </w:rPr>
            </w:pPr>
            <w:r w:rsidRPr="005E1C44">
              <w:rPr>
                <w:sz w:val="20"/>
                <w:szCs w:val="20"/>
              </w:rPr>
              <w:t>8</w:t>
            </w:r>
          </w:p>
        </w:tc>
        <w:tc>
          <w:tcPr>
            <w:tcW w:w="915" w:type="pct"/>
          </w:tcPr>
          <w:p w14:paraId="005143D4" w14:textId="03AABE77" w:rsidR="00401F95" w:rsidRPr="005E1C44" w:rsidRDefault="00401F95" w:rsidP="00C17DC6">
            <w:pPr>
              <w:pStyle w:val="Restrictiontemplate"/>
              <w:rPr>
                <w:sz w:val="20"/>
                <w:szCs w:val="20"/>
              </w:rPr>
            </w:pPr>
            <w:r w:rsidRPr="005E1C44">
              <w:rPr>
                <w:sz w:val="20"/>
                <w:szCs w:val="20"/>
              </w:rPr>
              <w:t>Opdivo</w:t>
            </w:r>
            <w:r w:rsidR="00510671" w:rsidRPr="005E1C44">
              <w:rPr>
                <w:sz w:val="20"/>
                <w:szCs w:val="20"/>
              </w:rPr>
              <w:t xml:space="preserve"> </w:t>
            </w:r>
            <w:r w:rsidR="00510671" w:rsidRPr="005E1C44">
              <w:rPr>
                <w:i/>
                <w:iCs/>
                <w:sz w:val="20"/>
                <w:szCs w:val="20"/>
              </w:rPr>
              <w:t>SC</w:t>
            </w:r>
          </w:p>
        </w:tc>
      </w:tr>
      <w:tr w:rsidR="00401F95" w:rsidRPr="005E1C44" w14:paraId="543AA5E6" w14:textId="7777777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1C02AE6" w14:textId="77777777" w:rsidR="00401F95" w:rsidRPr="005E1C44" w:rsidRDefault="00401F95" w:rsidP="00C17DC6">
            <w:pPr>
              <w:pStyle w:val="Restrictiontemplate"/>
              <w:rPr>
                <w:sz w:val="20"/>
                <w:szCs w:val="20"/>
              </w:rPr>
            </w:pPr>
          </w:p>
        </w:tc>
      </w:tr>
      <w:tr w:rsidR="00401F95" w:rsidRPr="005E1C44" w14:paraId="0DEF032C" w14:textId="7777777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8FB5B6B" w14:textId="77777777" w:rsidR="00401F95" w:rsidRPr="005E1C44" w:rsidRDefault="00401F95" w:rsidP="00C17DC6">
            <w:pPr>
              <w:pStyle w:val="Restrictiontemplate"/>
              <w:rPr>
                <w:rFonts w:cs="Arial"/>
                <w:sz w:val="20"/>
                <w:szCs w:val="20"/>
              </w:rPr>
            </w:pPr>
            <w:r w:rsidRPr="005E1C44">
              <w:rPr>
                <w:sz w:val="20"/>
                <w:szCs w:val="20"/>
              </w:rPr>
              <w:t>Restriction Summary [New] / Treatment of Concept: [New]: Authority Required [STREAMLINED]</w:t>
            </w:r>
          </w:p>
        </w:tc>
      </w:tr>
      <w:tr w:rsidR="00401F95" w:rsidRPr="005E1C44" w14:paraId="0A252367" w14:textId="77777777">
        <w:tblPrEx>
          <w:tblCellMar>
            <w:top w:w="15" w:type="dxa"/>
            <w:left w:w="15" w:type="dxa"/>
            <w:bottom w:w="15" w:type="dxa"/>
            <w:right w:w="15" w:type="dxa"/>
          </w:tblCellMar>
        </w:tblPrEx>
        <w:tc>
          <w:tcPr>
            <w:tcW w:w="540" w:type="pct"/>
            <w:vAlign w:val="center"/>
          </w:tcPr>
          <w:p w14:paraId="255966A8" w14:textId="77777777" w:rsidR="00401F95" w:rsidRPr="005E1C44" w:rsidRDefault="00401F95" w:rsidP="00C17DC6">
            <w:pPr>
              <w:pStyle w:val="Restrictiontemplate"/>
              <w:rPr>
                <w:sz w:val="20"/>
                <w:szCs w:val="20"/>
              </w:rPr>
            </w:pPr>
          </w:p>
        </w:tc>
        <w:tc>
          <w:tcPr>
            <w:tcW w:w="4460" w:type="pct"/>
            <w:gridSpan w:val="6"/>
            <w:vAlign w:val="center"/>
            <w:hideMark/>
          </w:tcPr>
          <w:p w14:paraId="71C4134B" w14:textId="77777777" w:rsidR="00401F95" w:rsidRPr="005E1C44" w:rsidRDefault="00401F95" w:rsidP="00C17DC6">
            <w:pPr>
              <w:pStyle w:val="Restrictiontemplate"/>
              <w:rPr>
                <w:sz w:val="20"/>
                <w:szCs w:val="20"/>
              </w:rPr>
            </w:pPr>
            <w:r w:rsidRPr="005E1C44">
              <w:rPr>
                <w:b/>
                <w:bCs/>
                <w:sz w:val="20"/>
                <w:szCs w:val="20"/>
              </w:rPr>
              <w:t>Indication:</w:t>
            </w:r>
            <w:r w:rsidRPr="005E1C44">
              <w:rPr>
                <w:sz w:val="20"/>
                <w:szCs w:val="20"/>
              </w:rPr>
              <w:t xml:space="preserve"> Stage III or Stage IV malignant melanoma</w:t>
            </w:r>
          </w:p>
        </w:tc>
      </w:tr>
      <w:tr w:rsidR="00401F95" w:rsidRPr="005E1C44" w14:paraId="3C43D0E6"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4DCBE356" w14:textId="77777777" w:rsidR="00401F95" w:rsidRPr="005E1C44" w:rsidRDefault="00401F95" w:rsidP="00C17DC6">
            <w:pPr>
              <w:pStyle w:val="Restrictiontemplate"/>
              <w:rPr>
                <w:sz w:val="20"/>
                <w:szCs w:val="20"/>
              </w:rPr>
            </w:pPr>
          </w:p>
        </w:tc>
        <w:tc>
          <w:tcPr>
            <w:tcW w:w="4460" w:type="pct"/>
            <w:gridSpan w:val="6"/>
            <w:vAlign w:val="center"/>
          </w:tcPr>
          <w:p w14:paraId="21DD2792" w14:textId="77777777" w:rsidR="00401F95" w:rsidRPr="005E1C44" w:rsidRDefault="00401F95" w:rsidP="00C17DC6">
            <w:pPr>
              <w:pStyle w:val="Restrictiontemplate"/>
              <w:rPr>
                <w:sz w:val="20"/>
                <w:szCs w:val="20"/>
              </w:rPr>
            </w:pPr>
            <w:r w:rsidRPr="005E1C44">
              <w:rPr>
                <w:sz w:val="20"/>
                <w:szCs w:val="20"/>
              </w:rPr>
              <w:t>Treatment Phase: Initial treatment</w:t>
            </w:r>
          </w:p>
        </w:tc>
      </w:tr>
      <w:tr w:rsidR="00401F95" w:rsidRPr="005E1C44" w14:paraId="7813C838"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10B1DEA0" w14:textId="77777777" w:rsidR="00401F95" w:rsidRPr="005E1C44" w:rsidRDefault="00401F95" w:rsidP="00C17DC6">
            <w:pPr>
              <w:pStyle w:val="Restrictiontemplate"/>
              <w:rPr>
                <w:sz w:val="20"/>
                <w:szCs w:val="20"/>
              </w:rPr>
            </w:pPr>
          </w:p>
        </w:tc>
        <w:tc>
          <w:tcPr>
            <w:tcW w:w="4460" w:type="pct"/>
            <w:gridSpan w:val="6"/>
            <w:vAlign w:val="center"/>
          </w:tcPr>
          <w:p w14:paraId="12B65627" w14:textId="77777777" w:rsidR="00401F95" w:rsidRPr="005E1C44" w:rsidRDefault="00401F95" w:rsidP="00C17DC6">
            <w:pPr>
              <w:pStyle w:val="Restrictiontemplate"/>
              <w:rPr>
                <w:sz w:val="20"/>
                <w:szCs w:val="20"/>
              </w:rPr>
            </w:pPr>
          </w:p>
        </w:tc>
      </w:tr>
      <w:tr w:rsidR="00401F95" w:rsidRPr="005E1C44" w14:paraId="5470FFD7" w14:textId="77777777">
        <w:tblPrEx>
          <w:tblCellMar>
            <w:top w:w="15" w:type="dxa"/>
            <w:left w:w="15" w:type="dxa"/>
            <w:bottom w:w="15" w:type="dxa"/>
            <w:right w:w="15" w:type="dxa"/>
          </w:tblCellMar>
          <w:tblLook w:val="04A0" w:firstRow="1" w:lastRow="0" w:firstColumn="1" w:lastColumn="0" w:noHBand="0" w:noVBand="1"/>
        </w:tblPrEx>
        <w:tc>
          <w:tcPr>
            <w:tcW w:w="540" w:type="pct"/>
          </w:tcPr>
          <w:p w14:paraId="29F4F312" w14:textId="77777777" w:rsidR="00401F95" w:rsidRPr="005E1C44" w:rsidRDefault="00401F95" w:rsidP="00C17DC6">
            <w:pPr>
              <w:pStyle w:val="Restrictiontemplate"/>
              <w:rPr>
                <w:sz w:val="20"/>
                <w:szCs w:val="20"/>
              </w:rPr>
            </w:pPr>
          </w:p>
        </w:tc>
        <w:tc>
          <w:tcPr>
            <w:tcW w:w="4460" w:type="pct"/>
            <w:gridSpan w:val="6"/>
          </w:tcPr>
          <w:p w14:paraId="351DD494"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Clinical criteria:</w:t>
            </w:r>
          </w:p>
        </w:tc>
      </w:tr>
      <w:tr w:rsidR="00401F95" w:rsidRPr="005E1C44" w14:paraId="1C675DCC" w14:textId="77777777">
        <w:tblPrEx>
          <w:tblCellMar>
            <w:top w:w="15" w:type="dxa"/>
            <w:left w:w="15" w:type="dxa"/>
            <w:bottom w:w="15" w:type="dxa"/>
            <w:right w:w="15" w:type="dxa"/>
          </w:tblCellMar>
          <w:tblLook w:val="04A0" w:firstRow="1" w:lastRow="0" w:firstColumn="1" w:lastColumn="0" w:noHBand="0" w:noVBand="1"/>
        </w:tblPrEx>
        <w:tc>
          <w:tcPr>
            <w:tcW w:w="540" w:type="pct"/>
          </w:tcPr>
          <w:p w14:paraId="0E13BF4A" w14:textId="77777777" w:rsidR="00401F95" w:rsidRPr="005E1C44" w:rsidRDefault="00401F95" w:rsidP="00C17DC6">
            <w:pPr>
              <w:pStyle w:val="Restrictiontemplate"/>
              <w:rPr>
                <w:sz w:val="20"/>
                <w:szCs w:val="20"/>
              </w:rPr>
            </w:pPr>
          </w:p>
        </w:tc>
        <w:tc>
          <w:tcPr>
            <w:tcW w:w="4460" w:type="pct"/>
            <w:gridSpan w:val="6"/>
          </w:tcPr>
          <w:p w14:paraId="269E27BE" w14:textId="77777777" w:rsidR="00401F95" w:rsidRPr="005E1C44" w:rsidRDefault="00401F95" w:rsidP="00C17DC6">
            <w:pPr>
              <w:pStyle w:val="Restrictiontemplate"/>
              <w:rPr>
                <w:sz w:val="20"/>
                <w:szCs w:val="20"/>
              </w:rPr>
            </w:pPr>
            <w:r w:rsidRPr="005E1C44">
              <w:rPr>
                <w:sz w:val="20"/>
                <w:szCs w:val="20"/>
              </w:rPr>
              <w:t xml:space="preserve">Patient must not have received prior treatment with nivolumab plus relatlimab, ipilimumab or a PD-1 (programmed cell death-1) inhibitor for the treatment of unresectable Stage III or Stage IV malignant melanoma, </w:t>
            </w:r>
          </w:p>
        </w:tc>
      </w:tr>
      <w:tr w:rsidR="00401F95" w:rsidRPr="005E1C44" w14:paraId="54184222" w14:textId="77777777">
        <w:tblPrEx>
          <w:tblCellMar>
            <w:top w:w="15" w:type="dxa"/>
            <w:left w:w="15" w:type="dxa"/>
            <w:bottom w:w="15" w:type="dxa"/>
            <w:right w:w="15" w:type="dxa"/>
          </w:tblCellMar>
          <w:tblLook w:val="04A0" w:firstRow="1" w:lastRow="0" w:firstColumn="1" w:lastColumn="0" w:noHBand="0" w:noVBand="1"/>
        </w:tblPrEx>
        <w:tc>
          <w:tcPr>
            <w:tcW w:w="540" w:type="pct"/>
          </w:tcPr>
          <w:p w14:paraId="4486104F" w14:textId="77777777" w:rsidR="00401F95" w:rsidRPr="005E1C44" w:rsidRDefault="00401F95" w:rsidP="00C17DC6">
            <w:pPr>
              <w:pStyle w:val="Restrictiontemplate"/>
              <w:rPr>
                <w:sz w:val="20"/>
                <w:szCs w:val="20"/>
              </w:rPr>
            </w:pPr>
          </w:p>
        </w:tc>
        <w:tc>
          <w:tcPr>
            <w:tcW w:w="4460" w:type="pct"/>
            <w:gridSpan w:val="6"/>
          </w:tcPr>
          <w:p w14:paraId="662C7F30"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AND</w:t>
            </w:r>
          </w:p>
        </w:tc>
      </w:tr>
      <w:tr w:rsidR="00401F95" w:rsidRPr="005E1C44" w14:paraId="4151A0B8" w14:textId="77777777">
        <w:tblPrEx>
          <w:tblCellMar>
            <w:top w:w="15" w:type="dxa"/>
            <w:left w:w="15" w:type="dxa"/>
            <w:bottom w:w="15" w:type="dxa"/>
            <w:right w:w="15" w:type="dxa"/>
          </w:tblCellMar>
          <w:tblLook w:val="04A0" w:firstRow="1" w:lastRow="0" w:firstColumn="1" w:lastColumn="0" w:noHBand="0" w:noVBand="1"/>
        </w:tblPrEx>
        <w:tc>
          <w:tcPr>
            <w:tcW w:w="540" w:type="pct"/>
          </w:tcPr>
          <w:p w14:paraId="41ADE932" w14:textId="77777777" w:rsidR="00401F95" w:rsidRPr="005E1C44" w:rsidRDefault="00401F95" w:rsidP="00C17DC6">
            <w:pPr>
              <w:pStyle w:val="Restrictiontemplate"/>
              <w:rPr>
                <w:sz w:val="20"/>
                <w:szCs w:val="20"/>
              </w:rPr>
            </w:pPr>
          </w:p>
        </w:tc>
        <w:tc>
          <w:tcPr>
            <w:tcW w:w="4460" w:type="pct"/>
            <w:gridSpan w:val="6"/>
          </w:tcPr>
          <w:p w14:paraId="47D7EAA5" w14:textId="77777777" w:rsidR="00401F95" w:rsidRPr="005E1C44" w:rsidRDefault="00401F95" w:rsidP="00C17DC6">
            <w:pPr>
              <w:pStyle w:val="Restrictiontemplate"/>
              <w:rPr>
                <w:sz w:val="20"/>
                <w:szCs w:val="20"/>
              </w:rPr>
            </w:pPr>
            <w:r w:rsidRPr="005E1C44">
              <w:rPr>
                <w:sz w:val="20"/>
                <w:szCs w:val="20"/>
              </w:rPr>
              <w:t xml:space="preserve">Patient must not have experienced disease progression whilst on either: (i) PD-1 inhibitor treatment, (ii) CTLA-4 inhibitor treatment, if previously treated for resected or resectable melanoma, </w:t>
            </w:r>
            <w:r w:rsidRPr="005E1C44">
              <w:rPr>
                <w:b/>
                <w:bCs/>
                <w:sz w:val="20"/>
                <w:szCs w:val="20"/>
              </w:rPr>
              <w:t>OR</w:t>
            </w:r>
          </w:p>
        </w:tc>
      </w:tr>
      <w:tr w:rsidR="00401F95" w:rsidRPr="005E1C44" w14:paraId="0F272630" w14:textId="77777777">
        <w:tblPrEx>
          <w:tblCellMar>
            <w:top w:w="15" w:type="dxa"/>
            <w:left w:w="15" w:type="dxa"/>
            <w:bottom w:w="15" w:type="dxa"/>
            <w:right w:w="15" w:type="dxa"/>
          </w:tblCellMar>
          <w:tblLook w:val="04A0" w:firstRow="1" w:lastRow="0" w:firstColumn="1" w:lastColumn="0" w:noHBand="0" w:noVBand="1"/>
        </w:tblPrEx>
        <w:tc>
          <w:tcPr>
            <w:tcW w:w="540" w:type="pct"/>
          </w:tcPr>
          <w:p w14:paraId="738F9872" w14:textId="77777777" w:rsidR="00401F95" w:rsidRPr="005E1C44" w:rsidRDefault="00401F95" w:rsidP="00C17DC6">
            <w:pPr>
              <w:pStyle w:val="Restrictiontemplate"/>
              <w:rPr>
                <w:sz w:val="20"/>
                <w:szCs w:val="20"/>
              </w:rPr>
            </w:pPr>
          </w:p>
        </w:tc>
        <w:tc>
          <w:tcPr>
            <w:tcW w:w="4460" w:type="pct"/>
            <w:gridSpan w:val="6"/>
          </w:tcPr>
          <w:p w14:paraId="66D832F1" w14:textId="77777777" w:rsidR="00401F95" w:rsidRPr="005E1C44" w:rsidRDefault="00401F95" w:rsidP="00C17DC6">
            <w:pPr>
              <w:pStyle w:val="Restrictiontemplate"/>
              <w:rPr>
                <w:sz w:val="20"/>
                <w:szCs w:val="20"/>
              </w:rPr>
            </w:pPr>
            <w:r w:rsidRPr="005E1C44">
              <w:rPr>
                <w:sz w:val="20"/>
                <w:szCs w:val="20"/>
              </w:rPr>
              <w:t>Patient must not have experienced disease recurrence within 6 months of completing either: (i) PD-1 inhibitor treatment, (ii) CTLA-4 inhibitor treatment, if previously treated for resected or resectable melanoma,</w:t>
            </w:r>
          </w:p>
        </w:tc>
      </w:tr>
      <w:tr w:rsidR="00401F95" w:rsidRPr="005E1C44" w14:paraId="3C870F9B" w14:textId="77777777">
        <w:tblPrEx>
          <w:tblCellMar>
            <w:top w:w="15" w:type="dxa"/>
            <w:left w:w="15" w:type="dxa"/>
            <w:bottom w:w="15" w:type="dxa"/>
            <w:right w:w="15" w:type="dxa"/>
          </w:tblCellMar>
          <w:tblLook w:val="04A0" w:firstRow="1" w:lastRow="0" w:firstColumn="1" w:lastColumn="0" w:noHBand="0" w:noVBand="1"/>
        </w:tblPrEx>
        <w:tc>
          <w:tcPr>
            <w:tcW w:w="540" w:type="pct"/>
          </w:tcPr>
          <w:p w14:paraId="6BF0C2B9" w14:textId="77777777" w:rsidR="00401F95" w:rsidRPr="005E1C44" w:rsidRDefault="00401F95" w:rsidP="00C17DC6">
            <w:pPr>
              <w:pStyle w:val="Restrictiontemplate"/>
              <w:rPr>
                <w:sz w:val="20"/>
                <w:szCs w:val="20"/>
              </w:rPr>
            </w:pPr>
          </w:p>
        </w:tc>
        <w:tc>
          <w:tcPr>
            <w:tcW w:w="4460" w:type="pct"/>
            <w:gridSpan w:val="6"/>
          </w:tcPr>
          <w:p w14:paraId="0E6B1165"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AND</w:t>
            </w:r>
          </w:p>
        </w:tc>
      </w:tr>
      <w:tr w:rsidR="00401F95" w:rsidRPr="005E1C44" w14:paraId="4336E519" w14:textId="77777777">
        <w:tblPrEx>
          <w:tblCellMar>
            <w:top w:w="15" w:type="dxa"/>
            <w:left w:w="15" w:type="dxa"/>
            <w:bottom w:w="15" w:type="dxa"/>
            <w:right w:w="15" w:type="dxa"/>
          </w:tblCellMar>
          <w:tblLook w:val="04A0" w:firstRow="1" w:lastRow="0" w:firstColumn="1" w:lastColumn="0" w:noHBand="0" w:noVBand="1"/>
        </w:tblPrEx>
        <w:tc>
          <w:tcPr>
            <w:tcW w:w="540" w:type="pct"/>
          </w:tcPr>
          <w:p w14:paraId="246E84D4" w14:textId="77777777" w:rsidR="00401F95" w:rsidRPr="005E1C44" w:rsidRDefault="00401F95" w:rsidP="00C17DC6">
            <w:pPr>
              <w:pStyle w:val="Restrictiontemplate"/>
              <w:rPr>
                <w:sz w:val="20"/>
                <w:szCs w:val="20"/>
              </w:rPr>
            </w:pPr>
          </w:p>
        </w:tc>
        <w:tc>
          <w:tcPr>
            <w:tcW w:w="4460" w:type="pct"/>
            <w:gridSpan w:val="6"/>
          </w:tcPr>
          <w:p w14:paraId="3EEA727C" w14:textId="77777777" w:rsidR="00401F95" w:rsidRPr="005E1C44" w:rsidRDefault="00401F95" w:rsidP="00C17DC6">
            <w:pPr>
              <w:pStyle w:val="Restrictiontemplate"/>
              <w:rPr>
                <w:sz w:val="20"/>
                <w:szCs w:val="20"/>
              </w:rPr>
            </w:pPr>
            <w:r w:rsidRPr="005E1C44">
              <w:rPr>
                <w:sz w:val="20"/>
                <w:szCs w:val="20"/>
              </w:rPr>
              <w:t xml:space="preserve">The treatment must be the sole PBS-subsidised therapy for this condition. </w:t>
            </w:r>
          </w:p>
        </w:tc>
      </w:tr>
      <w:tr w:rsidR="00401F95" w:rsidRPr="005E1C44" w14:paraId="0060E117" w14:textId="77777777">
        <w:tblPrEx>
          <w:tblCellMar>
            <w:top w:w="15" w:type="dxa"/>
            <w:left w:w="15" w:type="dxa"/>
            <w:bottom w:w="15" w:type="dxa"/>
            <w:right w:w="15" w:type="dxa"/>
          </w:tblCellMar>
          <w:tblLook w:val="04A0" w:firstRow="1" w:lastRow="0" w:firstColumn="1" w:lastColumn="0" w:noHBand="0" w:noVBand="1"/>
        </w:tblPrEx>
        <w:tc>
          <w:tcPr>
            <w:tcW w:w="540" w:type="pct"/>
          </w:tcPr>
          <w:p w14:paraId="2BFFD90F" w14:textId="77777777" w:rsidR="00401F95" w:rsidRPr="005E1C44" w:rsidRDefault="00401F95" w:rsidP="00C17DC6">
            <w:pPr>
              <w:pStyle w:val="Restrictiontemplate"/>
              <w:rPr>
                <w:sz w:val="20"/>
                <w:szCs w:val="20"/>
              </w:rPr>
            </w:pPr>
          </w:p>
        </w:tc>
        <w:tc>
          <w:tcPr>
            <w:tcW w:w="4460" w:type="pct"/>
            <w:gridSpan w:val="6"/>
          </w:tcPr>
          <w:p w14:paraId="1136DA49" w14:textId="77777777" w:rsidR="00401F95" w:rsidRPr="005E1C44" w:rsidRDefault="00401F95" w:rsidP="00C17DC6">
            <w:pPr>
              <w:pStyle w:val="Restrictiontemplate"/>
              <w:rPr>
                <w:sz w:val="20"/>
                <w:szCs w:val="20"/>
              </w:rPr>
            </w:pPr>
          </w:p>
        </w:tc>
      </w:tr>
      <w:tr w:rsidR="00401F95" w:rsidRPr="005E1C44" w14:paraId="3C8C0DFA" w14:textId="77777777">
        <w:tblPrEx>
          <w:tblCellMar>
            <w:top w:w="15" w:type="dxa"/>
            <w:left w:w="15" w:type="dxa"/>
            <w:bottom w:w="15" w:type="dxa"/>
            <w:right w:w="15" w:type="dxa"/>
          </w:tblCellMar>
          <w:tblLook w:val="04A0" w:firstRow="1" w:lastRow="0" w:firstColumn="1" w:lastColumn="0" w:noHBand="0" w:noVBand="1"/>
        </w:tblPrEx>
        <w:tc>
          <w:tcPr>
            <w:tcW w:w="540" w:type="pct"/>
          </w:tcPr>
          <w:p w14:paraId="1FA7D62C" w14:textId="77777777" w:rsidR="00401F95" w:rsidRPr="005E1C44" w:rsidRDefault="00401F95" w:rsidP="00C17DC6">
            <w:pPr>
              <w:pStyle w:val="Restrictiontemplate"/>
              <w:rPr>
                <w:sz w:val="20"/>
                <w:szCs w:val="20"/>
              </w:rPr>
            </w:pPr>
          </w:p>
        </w:tc>
        <w:tc>
          <w:tcPr>
            <w:tcW w:w="4460" w:type="pct"/>
            <w:gridSpan w:val="6"/>
          </w:tcPr>
          <w:p w14:paraId="04D00CEA"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 xml:space="preserve">Prescribing instructions: </w:t>
            </w:r>
            <w:r w:rsidRPr="005E1C44">
              <w:rPr>
                <w:rStyle w:val="Strong"/>
                <w:rFonts w:cs="Open Sans"/>
                <w:b w:val="0"/>
                <w:bCs w:val="0"/>
                <w:color w:val="333333"/>
                <w:sz w:val="20"/>
                <w:szCs w:val="20"/>
                <w:bdr w:val="none" w:sz="0" w:space="0" w:color="auto" w:frame="1"/>
              </w:rPr>
              <w:t>Patients must only receive a maximum of 600 mg every two weeks or 1200 mg every four weeks under a flat dosing regimen.</w:t>
            </w:r>
          </w:p>
        </w:tc>
      </w:tr>
      <w:tr w:rsidR="00401F95" w:rsidRPr="005E1C44" w14:paraId="65DD5BF0" w14:textId="77777777">
        <w:tblPrEx>
          <w:tblCellMar>
            <w:top w:w="15" w:type="dxa"/>
            <w:left w:w="15" w:type="dxa"/>
            <w:bottom w:w="15" w:type="dxa"/>
            <w:right w:w="15" w:type="dxa"/>
          </w:tblCellMar>
          <w:tblLook w:val="04A0" w:firstRow="1" w:lastRow="0" w:firstColumn="1" w:lastColumn="0" w:noHBand="0" w:noVBand="1"/>
        </w:tblPrEx>
        <w:tc>
          <w:tcPr>
            <w:tcW w:w="540" w:type="pct"/>
          </w:tcPr>
          <w:p w14:paraId="640106A9" w14:textId="77777777" w:rsidR="00401F95" w:rsidRPr="005E1C44" w:rsidRDefault="00401F95" w:rsidP="00C17DC6">
            <w:pPr>
              <w:pStyle w:val="Restrictiontemplate"/>
              <w:rPr>
                <w:sz w:val="20"/>
                <w:szCs w:val="20"/>
              </w:rPr>
            </w:pPr>
          </w:p>
        </w:tc>
        <w:tc>
          <w:tcPr>
            <w:tcW w:w="4460" w:type="pct"/>
            <w:gridSpan w:val="6"/>
          </w:tcPr>
          <w:p w14:paraId="16696F3E" w14:textId="77777777" w:rsidR="00401F95" w:rsidRPr="00ED104C" w:rsidRDefault="00401F95" w:rsidP="00C17DC6">
            <w:pPr>
              <w:pStyle w:val="Restrictiontemplate"/>
              <w:rPr>
                <w:sz w:val="20"/>
                <w:szCs w:val="20"/>
              </w:rPr>
            </w:pPr>
          </w:p>
        </w:tc>
      </w:tr>
      <w:tr w:rsidR="00401F95" w:rsidRPr="005E1C44" w14:paraId="5F4D8E47" w14:textId="77777777">
        <w:tblPrEx>
          <w:tblCellMar>
            <w:top w:w="15" w:type="dxa"/>
            <w:left w:w="15" w:type="dxa"/>
            <w:bottom w:w="15" w:type="dxa"/>
            <w:right w:w="15" w:type="dxa"/>
          </w:tblCellMar>
        </w:tblPrEx>
        <w:tc>
          <w:tcPr>
            <w:tcW w:w="540" w:type="pct"/>
          </w:tcPr>
          <w:p w14:paraId="781CEBCA" w14:textId="77777777" w:rsidR="00401F95" w:rsidRPr="005E1C44" w:rsidRDefault="00401F95" w:rsidP="00C17DC6">
            <w:pPr>
              <w:pStyle w:val="Restrictiontemplate"/>
              <w:rPr>
                <w:sz w:val="20"/>
                <w:szCs w:val="20"/>
              </w:rPr>
            </w:pPr>
          </w:p>
        </w:tc>
        <w:tc>
          <w:tcPr>
            <w:tcW w:w="4460" w:type="pct"/>
            <w:gridSpan w:val="6"/>
            <w:vAlign w:val="center"/>
          </w:tcPr>
          <w:p w14:paraId="088E89EA" w14:textId="77777777" w:rsidR="00401F95" w:rsidRPr="00ED104C" w:rsidRDefault="00401F95" w:rsidP="00C17DC6">
            <w:pPr>
              <w:pStyle w:val="Restrictiontemplate"/>
              <w:rPr>
                <w:sz w:val="20"/>
                <w:szCs w:val="20"/>
              </w:rPr>
            </w:pPr>
            <w:r w:rsidRPr="005E1C44">
              <w:rPr>
                <w:b/>
                <w:bCs/>
                <w:sz w:val="20"/>
                <w:szCs w:val="20"/>
              </w:rPr>
              <w:t>Administrative Advice:</w:t>
            </w:r>
            <w:r w:rsidRPr="005E1C44">
              <w:rPr>
                <w:sz w:val="20"/>
                <w:szCs w:val="20"/>
              </w:rPr>
              <w:t xml:space="preserve"> No increase in the maximum number of repeats may be authorised.</w:t>
            </w:r>
          </w:p>
        </w:tc>
      </w:tr>
      <w:tr w:rsidR="00401F95" w:rsidRPr="005E1C44" w14:paraId="3A61D800" w14:textId="77777777">
        <w:tblPrEx>
          <w:tblCellMar>
            <w:top w:w="15" w:type="dxa"/>
            <w:left w:w="15" w:type="dxa"/>
            <w:bottom w:w="15" w:type="dxa"/>
            <w:right w:w="15" w:type="dxa"/>
          </w:tblCellMar>
          <w:tblLook w:val="04A0" w:firstRow="1" w:lastRow="0" w:firstColumn="1" w:lastColumn="0" w:noHBand="0" w:noVBand="1"/>
        </w:tblPrEx>
        <w:tc>
          <w:tcPr>
            <w:tcW w:w="540" w:type="pct"/>
          </w:tcPr>
          <w:p w14:paraId="3D582371" w14:textId="77777777" w:rsidR="00401F95" w:rsidRPr="005E1C44" w:rsidRDefault="00401F95" w:rsidP="00C17DC6">
            <w:pPr>
              <w:pStyle w:val="Restrictiontemplate"/>
              <w:rPr>
                <w:sz w:val="20"/>
                <w:szCs w:val="20"/>
              </w:rPr>
            </w:pPr>
          </w:p>
        </w:tc>
        <w:tc>
          <w:tcPr>
            <w:tcW w:w="4460" w:type="pct"/>
            <w:gridSpan w:val="6"/>
            <w:vAlign w:val="center"/>
          </w:tcPr>
          <w:p w14:paraId="7954843C" w14:textId="77777777" w:rsidR="00401F95" w:rsidRPr="005E1C44" w:rsidRDefault="00401F95" w:rsidP="00C17DC6">
            <w:pPr>
              <w:pStyle w:val="Restrictiontemplate"/>
              <w:rPr>
                <w:b/>
                <w:bCs/>
                <w:sz w:val="20"/>
                <w:szCs w:val="20"/>
              </w:rPr>
            </w:pPr>
            <w:r w:rsidRPr="005E1C44">
              <w:rPr>
                <w:b/>
                <w:bCs/>
                <w:sz w:val="20"/>
                <w:szCs w:val="20"/>
              </w:rPr>
              <w:t xml:space="preserve">Administrative Advice: </w:t>
            </w:r>
            <w:r w:rsidRPr="005E1C44">
              <w:rPr>
                <w:sz w:val="20"/>
                <w:szCs w:val="20"/>
              </w:rPr>
              <w:t>Special Pricing Arrangements apply.</w:t>
            </w:r>
          </w:p>
        </w:tc>
      </w:tr>
      <w:tr w:rsidR="00401F95" w:rsidRPr="005E1C44" w14:paraId="7CB63F3D" w14:textId="77777777">
        <w:tblPrEx>
          <w:tblCellMar>
            <w:top w:w="15" w:type="dxa"/>
            <w:left w:w="15" w:type="dxa"/>
            <w:bottom w:w="15" w:type="dxa"/>
            <w:right w:w="15" w:type="dxa"/>
          </w:tblCellMar>
          <w:tblLook w:val="04A0" w:firstRow="1" w:lastRow="0" w:firstColumn="1" w:lastColumn="0" w:noHBand="0" w:noVBand="1"/>
        </w:tblPrEx>
        <w:tc>
          <w:tcPr>
            <w:tcW w:w="540" w:type="pct"/>
          </w:tcPr>
          <w:p w14:paraId="56A8488C" w14:textId="77777777" w:rsidR="00401F95" w:rsidRPr="005E1C44" w:rsidRDefault="00401F95" w:rsidP="00C17DC6">
            <w:pPr>
              <w:pStyle w:val="Restrictiontemplate"/>
              <w:rPr>
                <w:sz w:val="20"/>
                <w:szCs w:val="20"/>
              </w:rPr>
            </w:pPr>
          </w:p>
        </w:tc>
        <w:tc>
          <w:tcPr>
            <w:tcW w:w="4460" w:type="pct"/>
            <w:gridSpan w:val="6"/>
            <w:vAlign w:val="center"/>
          </w:tcPr>
          <w:p w14:paraId="10F406D1" w14:textId="77777777" w:rsidR="00401F95" w:rsidRPr="005E1C44" w:rsidRDefault="00401F95" w:rsidP="00C17DC6">
            <w:pPr>
              <w:pStyle w:val="Restrictiontemplate"/>
              <w:rPr>
                <w:sz w:val="20"/>
                <w:szCs w:val="20"/>
              </w:rPr>
            </w:pPr>
          </w:p>
        </w:tc>
      </w:tr>
      <w:tr w:rsidR="00401F95" w:rsidRPr="005E1C44" w14:paraId="58E334B9" w14:textId="77777777">
        <w:tblPrEx>
          <w:tblCellMar>
            <w:top w:w="15" w:type="dxa"/>
            <w:left w:w="15" w:type="dxa"/>
            <w:bottom w:w="15" w:type="dxa"/>
            <w:right w:w="15" w:type="dxa"/>
          </w:tblCellMar>
          <w:tblLook w:val="04A0" w:firstRow="1" w:lastRow="0" w:firstColumn="1" w:lastColumn="0" w:noHBand="0" w:noVBand="1"/>
        </w:tblPrEx>
        <w:tc>
          <w:tcPr>
            <w:tcW w:w="540" w:type="pct"/>
          </w:tcPr>
          <w:p w14:paraId="76A4F3A7" w14:textId="77777777" w:rsidR="00401F95" w:rsidRPr="005E1C44" w:rsidRDefault="00401F95" w:rsidP="00C17DC6">
            <w:pPr>
              <w:pStyle w:val="Restrictiontemplate"/>
              <w:rPr>
                <w:sz w:val="20"/>
                <w:szCs w:val="20"/>
              </w:rPr>
            </w:pPr>
          </w:p>
        </w:tc>
        <w:tc>
          <w:tcPr>
            <w:tcW w:w="4460" w:type="pct"/>
            <w:gridSpan w:val="6"/>
            <w:vAlign w:val="center"/>
          </w:tcPr>
          <w:p w14:paraId="31244E79" w14:textId="77777777" w:rsidR="00401F95" w:rsidRPr="005E1C44" w:rsidRDefault="00401F95" w:rsidP="00C17DC6">
            <w:pPr>
              <w:pStyle w:val="Restrictiontemplate"/>
              <w:rPr>
                <w:sz w:val="20"/>
                <w:szCs w:val="20"/>
              </w:rPr>
            </w:pPr>
          </w:p>
        </w:tc>
      </w:tr>
      <w:tr w:rsidR="00401F95" w:rsidRPr="005E1C44" w14:paraId="7D507CD3" w14:textId="77777777">
        <w:trPr>
          <w:cantSplit/>
          <w:trHeight w:val="471"/>
        </w:trPr>
        <w:tc>
          <w:tcPr>
            <w:tcW w:w="2120" w:type="pct"/>
            <w:gridSpan w:val="2"/>
          </w:tcPr>
          <w:p w14:paraId="1F6A82F6" w14:textId="77777777" w:rsidR="00401F95" w:rsidRPr="005E1C44" w:rsidRDefault="00401F95" w:rsidP="00C17DC6">
            <w:pPr>
              <w:pStyle w:val="Restrictiontemplate"/>
              <w:rPr>
                <w:b/>
                <w:bCs/>
                <w:sz w:val="20"/>
                <w:szCs w:val="20"/>
              </w:rPr>
            </w:pPr>
            <w:r w:rsidRPr="005E1C44">
              <w:rPr>
                <w:b/>
                <w:bCs/>
                <w:sz w:val="20"/>
                <w:szCs w:val="20"/>
              </w:rPr>
              <w:t>MEDICINAL PRODUCT</w:t>
            </w:r>
          </w:p>
          <w:p w14:paraId="542EE478" w14:textId="77777777" w:rsidR="00401F95" w:rsidRPr="005E1C44" w:rsidRDefault="00401F95" w:rsidP="00C17DC6">
            <w:pPr>
              <w:pStyle w:val="Restrictiontemplate"/>
              <w:rPr>
                <w:b/>
                <w:bCs/>
                <w:sz w:val="20"/>
                <w:szCs w:val="20"/>
              </w:rPr>
            </w:pPr>
            <w:r w:rsidRPr="005E1C44">
              <w:rPr>
                <w:b/>
                <w:bCs/>
                <w:sz w:val="20"/>
                <w:szCs w:val="20"/>
              </w:rPr>
              <w:t>medicinal product pack</w:t>
            </w:r>
          </w:p>
        </w:tc>
        <w:tc>
          <w:tcPr>
            <w:tcW w:w="614" w:type="pct"/>
          </w:tcPr>
          <w:p w14:paraId="25FFA5EA" w14:textId="77777777" w:rsidR="00401F95" w:rsidRPr="005E1C44" w:rsidRDefault="00401F95" w:rsidP="00C17DC6">
            <w:pPr>
              <w:pStyle w:val="Restrictiontemplate"/>
              <w:rPr>
                <w:b/>
                <w:bCs/>
                <w:sz w:val="20"/>
                <w:szCs w:val="20"/>
              </w:rPr>
            </w:pPr>
            <w:r w:rsidRPr="005E1C44">
              <w:rPr>
                <w:b/>
                <w:bCs/>
                <w:sz w:val="20"/>
                <w:szCs w:val="20"/>
              </w:rPr>
              <w:t>PBS item code</w:t>
            </w:r>
          </w:p>
        </w:tc>
        <w:tc>
          <w:tcPr>
            <w:tcW w:w="469" w:type="pct"/>
          </w:tcPr>
          <w:p w14:paraId="5B8CBF13" w14:textId="77777777" w:rsidR="00401F95" w:rsidRPr="005E1C44" w:rsidRDefault="00401F95" w:rsidP="00C17DC6">
            <w:pPr>
              <w:pStyle w:val="Restrictiontemplate"/>
              <w:rPr>
                <w:b/>
                <w:bCs/>
                <w:sz w:val="20"/>
                <w:szCs w:val="20"/>
              </w:rPr>
            </w:pPr>
            <w:r w:rsidRPr="005E1C44">
              <w:rPr>
                <w:b/>
                <w:bCs/>
                <w:sz w:val="20"/>
                <w:szCs w:val="20"/>
              </w:rPr>
              <w:t>Max. qty packs</w:t>
            </w:r>
          </w:p>
        </w:tc>
        <w:tc>
          <w:tcPr>
            <w:tcW w:w="489" w:type="pct"/>
          </w:tcPr>
          <w:p w14:paraId="418B172A" w14:textId="77777777" w:rsidR="00401F95" w:rsidRPr="005E1C44" w:rsidRDefault="00401F95" w:rsidP="00C17DC6">
            <w:pPr>
              <w:pStyle w:val="Restrictiontemplate"/>
              <w:rPr>
                <w:b/>
                <w:bCs/>
                <w:sz w:val="20"/>
                <w:szCs w:val="20"/>
              </w:rPr>
            </w:pPr>
            <w:r w:rsidRPr="005E1C44">
              <w:rPr>
                <w:b/>
                <w:bCs/>
                <w:sz w:val="20"/>
                <w:szCs w:val="20"/>
              </w:rPr>
              <w:t>Max. qty units</w:t>
            </w:r>
          </w:p>
        </w:tc>
        <w:tc>
          <w:tcPr>
            <w:tcW w:w="393" w:type="pct"/>
          </w:tcPr>
          <w:p w14:paraId="1004893E" w14:textId="2895CF56" w:rsidR="00401F95" w:rsidRPr="005E1C44" w:rsidRDefault="00886624" w:rsidP="00C17DC6">
            <w:pPr>
              <w:pStyle w:val="Restrictiontemplate"/>
              <w:rPr>
                <w:b/>
                <w:bCs/>
                <w:sz w:val="20"/>
                <w:szCs w:val="20"/>
              </w:rPr>
            </w:pPr>
            <w:r w:rsidRPr="005E1C44">
              <w:rPr>
                <w:b/>
                <w:bCs/>
                <w:sz w:val="20"/>
                <w:szCs w:val="20"/>
              </w:rPr>
              <w:t>№. of</w:t>
            </w:r>
          </w:p>
          <w:p w14:paraId="1911C0FB" w14:textId="77777777" w:rsidR="00401F95" w:rsidRPr="005E1C44" w:rsidRDefault="00401F95" w:rsidP="00C17DC6">
            <w:pPr>
              <w:pStyle w:val="Restrictiontemplate"/>
              <w:rPr>
                <w:b/>
                <w:bCs/>
                <w:sz w:val="20"/>
                <w:szCs w:val="20"/>
              </w:rPr>
            </w:pPr>
            <w:r w:rsidRPr="005E1C44">
              <w:rPr>
                <w:b/>
                <w:bCs/>
                <w:sz w:val="20"/>
                <w:szCs w:val="20"/>
              </w:rPr>
              <w:t>Rpts</w:t>
            </w:r>
          </w:p>
        </w:tc>
        <w:tc>
          <w:tcPr>
            <w:tcW w:w="915" w:type="pct"/>
          </w:tcPr>
          <w:p w14:paraId="59250C2A" w14:textId="77777777" w:rsidR="00401F95" w:rsidRPr="005E1C44" w:rsidRDefault="00401F95" w:rsidP="00C17DC6">
            <w:pPr>
              <w:pStyle w:val="Restrictiontemplate"/>
              <w:rPr>
                <w:b/>
                <w:bCs/>
                <w:sz w:val="20"/>
                <w:szCs w:val="20"/>
                <w:lang w:val="fr-FR"/>
              </w:rPr>
            </w:pPr>
            <w:r w:rsidRPr="005E1C44">
              <w:rPr>
                <w:b/>
                <w:bCs/>
                <w:sz w:val="20"/>
                <w:szCs w:val="20"/>
              </w:rPr>
              <w:t>Available brands</w:t>
            </w:r>
          </w:p>
        </w:tc>
      </w:tr>
      <w:tr w:rsidR="00401F95" w:rsidRPr="005E1C44" w14:paraId="6A52CACF" w14:textId="77777777">
        <w:trPr>
          <w:cantSplit/>
          <w:trHeight w:val="224"/>
        </w:trPr>
        <w:tc>
          <w:tcPr>
            <w:tcW w:w="5000" w:type="pct"/>
            <w:gridSpan w:val="7"/>
          </w:tcPr>
          <w:p w14:paraId="13D19521" w14:textId="77777777" w:rsidR="00401F95" w:rsidRPr="005E1C44" w:rsidRDefault="00401F95" w:rsidP="00C17DC6">
            <w:pPr>
              <w:pStyle w:val="Restrictiontemplate"/>
              <w:rPr>
                <w:sz w:val="20"/>
                <w:szCs w:val="20"/>
              </w:rPr>
            </w:pPr>
            <w:r w:rsidRPr="005E1C44">
              <w:rPr>
                <w:sz w:val="20"/>
                <w:szCs w:val="20"/>
              </w:rPr>
              <w:t>NIVOLUMAB</w:t>
            </w:r>
          </w:p>
        </w:tc>
      </w:tr>
      <w:tr w:rsidR="00401F95" w:rsidRPr="005E1C44" w14:paraId="584FA578" w14:textId="77777777">
        <w:trPr>
          <w:cantSplit/>
          <w:trHeight w:val="347"/>
        </w:trPr>
        <w:tc>
          <w:tcPr>
            <w:tcW w:w="2120" w:type="pct"/>
            <w:gridSpan w:val="2"/>
          </w:tcPr>
          <w:p w14:paraId="053B4D68" w14:textId="41EB5840" w:rsidR="00401F95" w:rsidRPr="005E1C44" w:rsidRDefault="00401F95" w:rsidP="00C17DC6">
            <w:pPr>
              <w:pStyle w:val="Restrictiontemplate"/>
              <w:rPr>
                <w:sz w:val="20"/>
                <w:szCs w:val="20"/>
              </w:rPr>
            </w:pPr>
            <w:r w:rsidRPr="005E1C44">
              <w:rPr>
                <w:sz w:val="20"/>
                <w:szCs w:val="20"/>
              </w:rPr>
              <w:t>nivolumab 600 mg/5 mL</w:t>
            </w:r>
            <w:r w:rsidR="006D7977" w:rsidRPr="005E1C44">
              <w:rPr>
                <w:sz w:val="20"/>
                <w:szCs w:val="20"/>
              </w:rPr>
              <w:t xml:space="preserve"> </w:t>
            </w:r>
            <w:r w:rsidR="006D7977" w:rsidRPr="005E1C44">
              <w:rPr>
                <w:i/>
                <w:iCs/>
                <w:sz w:val="20"/>
                <w:szCs w:val="20"/>
              </w:rPr>
              <w:t>injection</w:t>
            </w:r>
            <w:r w:rsidR="005E212F" w:rsidRPr="005E1C44">
              <w:rPr>
                <w:sz w:val="20"/>
                <w:szCs w:val="20"/>
              </w:rPr>
              <w:t>,</w:t>
            </w:r>
            <w:r w:rsidR="005E212F" w:rsidRPr="005E1C44">
              <w:rPr>
                <w:i/>
                <w:iCs/>
                <w:sz w:val="20"/>
                <w:szCs w:val="20"/>
              </w:rPr>
              <w:t xml:space="preserve"> 5 mL vial</w:t>
            </w:r>
            <w:r w:rsidRPr="005E1C44">
              <w:rPr>
                <w:sz w:val="20"/>
                <w:szCs w:val="20"/>
              </w:rPr>
              <w:t xml:space="preserve"> </w:t>
            </w:r>
            <w:r w:rsidRPr="005E1C44">
              <w:rPr>
                <w:strike/>
                <w:sz w:val="20"/>
                <w:szCs w:val="20"/>
              </w:rPr>
              <w:t>solution for subcutaneous injection</w:t>
            </w:r>
          </w:p>
        </w:tc>
        <w:tc>
          <w:tcPr>
            <w:tcW w:w="614" w:type="pct"/>
          </w:tcPr>
          <w:p w14:paraId="4F1538F7" w14:textId="77777777" w:rsidR="00401F95" w:rsidRPr="005E1C44" w:rsidRDefault="00401F95" w:rsidP="00C17DC6">
            <w:pPr>
              <w:pStyle w:val="Restrictiontemplate"/>
              <w:rPr>
                <w:sz w:val="20"/>
                <w:szCs w:val="20"/>
              </w:rPr>
            </w:pPr>
            <w:r w:rsidRPr="005E1C44">
              <w:rPr>
                <w:sz w:val="20"/>
                <w:szCs w:val="20"/>
              </w:rPr>
              <w:t>NEW (CT)</w:t>
            </w:r>
          </w:p>
        </w:tc>
        <w:tc>
          <w:tcPr>
            <w:tcW w:w="469" w:type="pct"/>
          </w:tcPr>
          <w:p w14:paraId="7C373FAE" w14:textId="77777777" w:rsidR="00401F95" w:rsidRPr="005E1C44" w:rsidRDefault="00401F95" w:rsidP="00C17DC6">
            <w:pPr>
              <w:pStyle w:val="Restrictiontemplate"/>
              <w:rPr>
                <w:sz w:val="20"/>
                <w:szCs w:val="20"/>
              </w:rPr>
            </w:pPr>
            <w:r w:rsidRPr="005E1C44">
              <w:rPr>
                <w:sz w:val="20"/>
                <w:szCs w:val="20"/>
              </w:rPr>
              <w:t>2</w:t>
            </w:r>
          </w:p>
        </w:tc>
        <w:tc>
          <w:tcPr>
            <w:tcW w:w="489" w:type="pct"/>
          </w:tcPr>
          <w:p w14:paraId="6E930240" w14:textId="77777777" w:rsidR="00401F95" w:rsidRPr="005E1C44" w:rsidRDefault="00401F95" w:rsidP="00C17DC6">
            <w:pPr>
              <w:pStyle w:val="Restrictiontemplate"/>
              <w:rPr>
                <w:sz w:val="20"/>
                <w:szCs w:val="20"/>
              </w:rPr>
            </w:pPr>
            <w:r w:rsidRPr="005E1C44">
              <w:rPr>
                <w:sz w:val="20"/>
                <w:szCs w:val="20"/>
              </w:rPr>
              <w:t>2</w:t>
            </w:r>
          </w:p>
        </w:tc>
        <w:tc>
          <w:tcPr>
            <w:tcW w:w="393" w:type="pct"/>
          </w:tcPr>
          <w:p w14:paraId="18CA3DD3" w14:textId="77777777" w:rsidR="00401F95" w:rsidRPr="005E1C44" w:rsidRDefault="00401F95" w:rsidP="00C17DC6">
            <w:pPr>
              <w:pStyle w:val="Restrictiontemplate"/>
              <w:rPr>
                <w:sz w:val="20"/>
                <w:szCs w:val="20"/>
              </w:rPr>
            </w:pPr>
            <w:r w:rsidRPr="005E1C44">
              <w:rPr>
                <w:sz w:val="20"/>
                <w:szCs w:val="20"/>
              </w:rPr>
              <w:t>11</w:t>
            </w:r>
          </w:p>
        </w:tc>
        <w:tc>
          <w:tcPr>
            <w:tcW w:w="915" w:type="pct"/>
          </w:tcPr>
          <w:p w14:paraId="21B282C6" w14:textId="5A8A16FB" w:rsidR="00401F95" w:rsidRPr="005E1C44" w:rsidRDefault="00401F95" w:rsidP="00C17DC6">
            <w:pPr>
              <w:pStyle w:val="Restrictiontemplate"/>
              <w:rPr>
                <w:i/>
                <w:iCs/>
                <w:sz w:val="20"/>
                <w:szCs w:val="20"/>
              </w:rPr>
            </w:pPr>
            <w:r w:rsidRPr="005E1C44">
              <w:rPr>
                <w:sz w:val="20"/>
                <w:szCs w:val="20"/>
              </w:rPr>
              <w:t>Opdivo</w:t>
            </w:r>
            <w:r w:rsidR="005E212F" w:rsidRPr="005E1C44">
              <w:rPr>
                <w:i/>
                <w:iCs/>
                <w:sz w:val="20"/>
                <w:szCs w:val="20"/>
              </w:rPr>
              <w:t xml:space="preserve"> SC</w:t>
            </w:r>
          </w:p>
        </w:tc>
      </w:tr>
      <w:tr w:rsidR="00401F95" w:rsidRPr="005E1C44" w14:paraId="2E2EC9CF" w14:textId="77777777">
        <w:trPr>
          <w:cantSplit/>
          <w:trHeight w:val="347"/>
        </w:trPr>
        <w:tc>
          <w:tcPr>
            <w:tcW w:w="2120" w:type="pct"/>
            <w:gridSpan w:val="2"/>
          </w:tcPr>
          <w:p w14:paraId="028BC7A3" w14:textId="7F15BBFA" w:rsidR="00401F95" w:rsidRPr="005E1C44" w:rsidRDefault="00401F95" w:rsidP="00C17DC6">
            <w:pPr>
              <w:pStyle w:val="Restrictiontemplate"/>
              <w:rPr>
                <w:sz w:val="20"/>
                <w:szCs w:val="20"/>
              </w:rPr>
            </w:pPr>
            <w:r w:rsidRPr="005E1C44">
              <w:rPr>
                <w:sz w:val="20"/>
                <w:szCs w:val="20"/>
              </w:rPr>
              <w:t xml:space="preserve"> nivolumab 600 mg/5 mL</w:t>
            </w:r>
            <w:r w:rsidR="006D7977" w:rsidRPr="005E1C44">
              <w:rPr>
                <w:sz w:val="20"/>
                <w:szCs w:val="20"/>
              </w:rPr>
              <w:t xml:space="preserve"> </w:t>
            </w:r>
            <w:r w:rsidR="006D7977" w:rsidRPr="005E1C44">
              <w:rPr>
                <w:i/>
                <w:iCs/>
                <w:sz w:val="20"/>
                <w:szCs w:val="20"/>
              </w:rPr>
              <w:t>injection</w:t>
            </w:r>
            <w:r w:rsidR="005E212F" w:rsidRPr="005E1C44">
              <w:rPr>
                <w:sz w:val="20"/>
                <w:szCs w:val="20"/>
              </w:rPr>
              <w:t>,</w:t>
            </w:r>
            <w:r w:rsidR="005E212F" w:rsidRPr="005E1C44">
              <w:rPr>
                <w:i/>
                <w:iCs/>
                <w:sz w:val="20"/>
                <w:szCs w:val="20"/>
              </w:rPr>
              <w:t xml:space="preserve"> 5 mL vial</w:t>
            </w:r>
            <w:r w:rsidRPr="005E1C44">
              <w:rPr>
                <w:sz w:val="20"/>
                <w:szCs w:val="20"/>
              </w:rPr>
              <w:t xml:space="preserve"> </w:t>
            </w:r>
            <w:r w:rsidRPr="005E1C44">
              <w:rPr>
                <w:strike/>
                <w:sz w:val="20"/>
                <w:szCs w:val="20"/>
              </w:rPr>
              <w:t>solution for subcutaneous injection</w:t>
            </w:r>
          </w:p>
        </w:tc>
        <w:tc>
          <w:tcPr>
            <w:tcW w:w="614" w:type="pct"/>
          </w:tcPr>
          <w:p w14:paraId="47765FED" w14:textId="77777777" w:rsidR="00401F95" w:rsidRPr="005E1C44" w:rsidRDefault="00401F95" w:rsidP="00C17DC6">
            <w:pPr>
              <w:pStyle w:val="Restrictiontemplate"/>
              <w:rPr>
                <w:sz w:val="20"/>
                <w:szCs w:val="20"/>
              </w:rPr>
            </w:pPr>
            <w:r w:rsidRPr="005E1C44">
              <w:rPr>
                <w:sz w:val="20"/>
                <w:szCs w:val="20"/>
              </w:rPr>
              <w:t>NEW (GE)</w:t>
            </w:r>
          </w:p>
        </w:tc>
        <w:tc>
          <w:tcPr>
            <w:tcW w:w="469" w:type="pct"/>
          </w:tcPr>
          <w:p w14:paraId="234AEB48" w14:textId="77777777" w:rsidR="00401F95" w:rsidRPr="005E1C44" w:rsidRDefault="00401F95" w:rsidP="00C17DC6">
            <w:pPr>
              <w:pStyle w:val="Restrictiontemplate"/>
              <w:rPr>
                <w:sz w:val="20"/>
                <w:szCs w:val="20"/>
              </w:rPr>
            </w:pPr>
            <w:r w:rsidRPr="005E1C44">
              <w:rPr>
                <w:sz w:val="20"/>
                <w:szCs w:val="20"/>
              </w:rPr>
              <w:t>2</w:t>
            </w:r>
          </w:p>
        </w:tc>
        <w:tc>
          <w:tcPr>
            <w:tcW w:w="489" w:type="pct"/>
          </w:tcPr>
          <w:p w14:paraId="0C30EE05" w14:textId="77777777" w:rsidR="00401F95" w:rsidRPr="005E1C44" w:rsidRDefault="00401F95" w:rsidP="00C17DC6">
            <w:pPr>
              <w:pStyle w:val="Restrictiontemplate"/>
              <w:rPr>
                <w:sz w:val="20"/>
                <w:szCs w:val="20"/>
              </w:rPr>
            </w:pPr>
            <w:r w:rsidRPr="005E1C44">
              <w:rPr>
                <w:sz w:val="20"/>
                <w:szCs w:val="20"/>
              </w:rPr>
              <w:t>2</w:t>
            </w:r>
          </w:p>
        </w:tc>
        <w:tc>
          <w:tcPr>
            <w:tcW w:w="393" w:type="pct"/>
          </w:tcPr>
          <w:p w14:paraId="4C27E685" w14:textId="77777777" w:rsidR="00401F95" w:rsidRPr="005E1C44" w:rsidRDefault="00401F95" w:rsidP="00C17DC6">
            <w:pPr>
              <w:pStyle w:val="Restrictiontemplate"/>
              <w:rPr>
                <w:sz w:val="20"/>
                <w:szCs w:val="20"/>
              </w:rPr>
            </w:pPr>
            <w:r w:rsidRPr="005E1C44">
              <w:rPr>
                <w:sz w:val="20"/>
                <w:szCs w:val="20"/>
              </w:rPr>
              <w:t>11</w:t>
            </w:r>
          </w:p>
        </w:tc>
        <w:tc>
          <w:tcPr>
            <w:tcW w:w="915" w:type="pct"/>
          </w:tcPr>
          <w:p w14:paraId="31C358B4" w14:textId="54A58D36" w:rsidR="00401F95" w:rsidRPr="005E1C44" w:rsidRDefault="00401F95" w:rsidP="00C17DC6">
            <w:pPr>
              <w:pStyle w:val="Restrictiontemplate"/>
              <w:rPr>
                <w:sz w:val="20"/>
                <w:szCs w:val="20"/>
              </w:rPr>
            </w:pPr>
            <w:r w:rsidRPr="005E1C44">
              <w:rPr>
                <w:sz w:val="20"/>
                <w:szCs w:val="20"/>
              </w:rPr>
              <w:t>Opdivo</w:t>
            </w:r>
            <w:r w:rsidR="005E212F" w:rsidRPr="005E1C44">
              <w:rPr>
                <w:i/>
                <w:iCs/>
                <w:sz w:val="20"/>
                <w:szCs w:val="20"/>
              </w:rPr>
              <w:t xml:space="preserve"> SC</w:t>
            </w:r>
          </w:p>
        </w:tc>
      </w:tr>
      <w:tr w:rsidR="00401F95" w:rsidRPr="005E1C44" w14:paraId="3D67D147" w14:textId="7777777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400CA90" w14:textId="77777777" w:rsidR="00401F95" w:rsidRPr="005E1C44" w:rsidRDefault="00401F95" w:rsidP="00C17DC6">
            <w:pPr>
              <w:pStyle w:val="Restrictiontemplate"/>
              <w:rPr>
                <w:sz w:val="20"/>
                <w:szCs w:val="20"/>
              </w:rPr>
            </w:pPr>
          </w:p>
        </w:tc>
      </w:tr>
      <w:tr w:rsidR="00401F95" w:rsidRPr="005E1C44" w14:paraId="373CFADB" w14:textId="7777777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2D457E6" w14:textId="77777777" w:rsidR="00401F95" w:rsidRPr="005E1C44" w:rsidRDefault="00401F95" w:rsidP="00C17DC6">
            <w:pPr>
              <w:pStyle w:val="Restrictiontemplate"/>
              <w:rPr>
                <w:rFonts w:cs="Arial"/>
                <w:sz w:val="20"/>
                <w:szCs w:val="20"/>
              </w:rPr>
            </w:pPr>
            <w:r w:rsidRPr="005E1C44">
              <w:rPr>
                <w:sz w:val="20"/>
                <w:szCs w:val="20"/>
              </w:rPr>
              <w:t>Restriction Summary [New] / Treatment of Concept: [New] / Authority Required [STREAMLINED]</w:t>
            </w:r>
          </w:p>
        </w:tc>
      </w:tr>
      <w:tr w:rsidR="00401F95" w:rsidRPr="005E1C44" w14:paraId="12D438B6" w14:textId="77777777">
        <w:tblPrEx>
          <w:tblCellMar>
            <w:top w:w="15" w:type="dxa"/>
            <w:left w:w="15" w:type="dxa"/>
            <w:bottom w:w="15" w:type="dxa"/>
            <w:right w:w="15" w:type="dxa"/>
          </w:tblCellMar>
          <w:tblLook w:val="04A0" w:firstRow="1" w:lastRow="0" w:firstColumn="1" w:lastColumn="0" w:noHBand="0" w:noVBand="1"/>
        </w:tblPrEx>
        <w:trPr>
          <w:trHeight w:val="190"/>
        </w:trPr>
        <w:tc>
          <w:tcPr>
            <w:tcW w:w="540" w:type="pct"/>
            <w:tcBorders>
              <w:top w:val="single" w:sz="4" w:space="0" w:color="auto"/>
              <w:left w:val="single" w:sz="4" w:space="0" w:color="auto"/>
              <w:right w:val="single" w:sz="4" w:space="0" w:color="auto"/>
            </w:tcBorders>
          </w:tcPr>
          <w:p w14:paraId="39707767" w14:textId="77777777" w:rsidR="00401F95" w:rsidRPr="005E1C44" w:rsidRDefault="00401F95" w:rsidP="00C17DC6">
            <w:pPr>
              <w:pStyle w:val="Restrictiontemplate"/>
              <w:rPr>
                <w:sz w:val="20"/>
                <w:szCs w:val="20"/>
              </w:rPr>
            </w:pPr>
          </w:p>
        </w:tc>
        <w:tc>
          <w:tcPr>
            <w:tcW w:w="4460" w:type="pct"/>
            <w:gridSpan w:val="6"/>
            <w:tcBorders>
              <w:top w:val="single" w:sz="4" w:space="0" w:color="auto"/>
              <w:left w:val="single" w:sz="4" w:space="0" w:color="auto"/>
              <w:bottom w:val="single" w:sz="4" w:space="0" w:color="auto"/>
              <w:right w:val="single" w:sz="4" w:space="0" w:color="auto"/>
            </w:tcBorders>
            <w:vAlign w:val="center"/>
          </w:tcPr>
          <w:p w14:paraId="2AA18E13" w14:textId="77777777" w:rsidR="00401F95" w:rsidRPr="005E1C44" w:rsidRDefault="00401F95" w:rsidP="00C17DC6">
            <w:pPr>
              <w:pStyle w:val="Restrictiontemplate"/>
              <w:rPr>
                <w:rFonts w:cs="Arial"/>
                <w:sz w:val="20"/>
                <w:szCs w:val="20"/>
              </w:rPr>
            </w:pPr>
            <w:r w:rsidRPr="005E1C44">
              <w:rPr>
                <w:sz w:val="20"/>
                <w:szCs w:val="20"/>
              </w:rPr>
              <w:t>Unresectable Stage III or Stage IV malignant melanoma</w:t>
            </w:r>
          </w:p>
        </w:tc>
      </w:tr>
      <w:tr w:rsidR="00401F95" w:rsidRPr="005E1C44" w14:paraId="27F60BFF" w14:textId="77777777">
        <w:tblPrEx>
          <w:tblCellMar>
            <w:top w:w="15" w:type="dxa"/>
            <w:left w:w="15" w:type="dxa"/>
            <w:bottom w:w="15" w:type="dxa"/>
            <w:right w:w="15" w:type="dxa"/>
          </w:tblCellMar>
          <w:tblLook w:val="04A0" w:firstRow="1" w:lastRow="0" w:firstColumn="1" w:lastColumn="0" w:noHBand="0" w:noVBand="1"/>
        </w:tblPrEx>
        <w:trPr>
          <w:trHeight w:val="240"/>
        </w:trPr>
        <w:tc>
          <w:tcPr>
            <w:tcW w:w="540" w:type="pct"/>
            <w:tcBorders>
              <w:left w:val="single" w:sz="4" w:space="0" w:color="auto"/>
              <w:right w:val="single" w:sz="4" w:space="0" w:color="auto"/>
            </w:tcBorders>
          </w:tcPr>
          <w:p w14:paraId="72904E5E" w14:textId="77777777" w:rsidR="00401F95" w:rsidRPr="005E1C44" w:rsidRDefault="00401F95" w:rsidP="00C17DC6">
            <w:pPr>
              <w:pStyle w:val="Restrictiontemplate"/>
              <w:rPr>
                <w:sz w:val="20"/>
                <w:szCs w:val="20"/>
              </w:rPr>
            </w:pPr>
          </w:p>
        </w:tc>
        <w:tc>
          <w:tcPr>
            <w:tcW w:w="4460" w:type="pct"/>
            <w:gridSpan w:val="6"/>
            <w:tcBorders>
              <w:top w:val="single" w:sz="4" w:space="0" w:color="auto"/>
              <w:left w:val="single" w:sz="4" w:space="0" w:color="auto"/>
              <w:bottom w:val="single" w:sz="4" w:space="0" w:color="auto"/>
              <w:right w:val="single" w:sz="4" w:space="0" w:color="auto"/>
            </w:tcBorders>
            <w:vAlign w:val="center"/>
          </w:tcPr>
          <w:p w14:paraId="251B6B74" w14:textId="77777777" w:rsidR="00401F95" w:rsidRPr="005E1C44" w:rsidRDefault="00401F95" w:rsidP="00C17DC6">
            <w:pPr>
              <w:pStyle w:val="Restrictiontemplate"/>
              <w:rPr>
                <w:rFonts w:cs="Arial"/>
                <w:b/>
                <w:sz w:val="20"/>
                <w:szCs w:val="20"/>
              </w:rPr>
            </w:pPr>
            <w:r w:rsidRPr="005E1C44">
              <w:rPr>
                <w:b/>
                <w:bCs/>
                <w:sz w:val="20"/>
                <w:szCs w:val="20"/>
              </w:rPr>
              <w:t xml:space="preserve">Treatment Phase: </w:t>
            </w:r>
            <w:r w:rsidRPr="005E1C44">
              <w:rPr>
                <w:sz w:val="20"/>
                <w:szCs w:val="20"/>
              </w:rPr>
              <w:t>Continuing treatment</w:t>
            </w:r>
          </w:p>
        </w:tc>
      </w:tr>
      <w:tr w:rsidR="00401F95" w:rsidRPr="005E1C44" w14:paraId="505231F3" w14:textId="77777777">
        <w:tblPrEx>
          <w:tblCellMar>
            <w:top w:w="15" w:type="dxa"/>
            <w:left w:w="15" w:type="dxa"/>
            <w:bottom w:w="15" w:type="dxa"/>
            <w:right w:w="15" w:type="dxa"/>
          </w:tblCellMar>
          <w:tblLook w:val="04A0" w:firstRow="1" w:lastRow="0" w:firstColumn="1" w:lastColumn="0" w:noHBand="0" w:noVBand="1"/>
        </w:tblPrEx>
        <w:tc>
          <w:tcPr>
            <w:tcW w:w="540" w:type="pct"/>
            <w:tcBorders>
              <w:left w:val="single" w:sz="4" w:space="0" w:color="auto"/>
              <w:bottom w:val="single" w:sz="4" w:space="0" w:color="auto"/>
              <w:right w:val="single" w:sz="4" w:space="0" w:color="auto"/>
            </w:tcBorders>
          </w:tcPr>
          <w:p w14:paraId="2536FAB9" w14:textId="77777777" w:rsidR="00401F95" w:rsidRPr="005E1C44" w:rsidRDefault="00401F95" w:rsidP="00C17DC6">
            <w:pPr>
              <w:pStyle w:val="Restrictiontemplate"/>
              <w:rPr>
                <w:sz w:val="20"/>
                <w:szCs w:val="20"/>
              </w:rPr>
            </w:pPr>
          </w:p>
        </w:tc>
        <w:tc>
          <w:tcPr>
            <w:tcW w:w="4460" w:type="pct"/>
            <w:gridSpan w:val="6"/>
            <w:tcBorders>
              <w:top w:val="single" w:sz="4" w:space="0" w:color="auto"/>
              <w:left w:val="single" w:sz="4" w:space="0" w:color="auto"/>
              <w:bottom w:val="single" w:sz="4" w:space="0" w:color="auto"/>
              <w:right w:val="single" w:sz="4" w:space="0" w:color="auto"/>
            </w:tcBorders>
            <w:vAlign w:val="center"/>
          </w:tcPr>
          <w:p w14:paraId="493D50D1" w14:textId="77777777" w:rsidR="00401F95" w:rsidRPr="005E1C44" w:rsidRDefault="00401F95" w:rsidP="00C17DC6">
            <w:pPr>
              <w:pStyle w:val="Restrictiontemplate"/>
              <w:rPr>
                <w:sz w:val="20"/>
                <w:szCs w:val="20"/>
              </w:rPr>
            </w:pPr>
          </w:p>
        </w:tc>
      </w:tr>
      <w:tr w:rsidR="00401F95" w:rsidRPr="005E1C44" w14:paraId="68F87C03"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7C5310D0" w14:textId="77777777" w:rsidR="00401F95" w:rsidRPr="005E1C44" w:rsidRDefault="00401F95" w:rsidP="00C17DC6">
            <w:pPr>
              <w:pStyle w:val="Restrictiontemplate"/>
              <w:rPr>
                <w:sz w:val="20"/>
                <w:szCs w:val="20"/>
              </w:rPr>
            </w:pPr>
          </w:p>
        </w:tc>
        <w:tc>
          <w:tcPr>
            <w:tcW w:w="4460" w:type="pct"/>
            <w:gridSpan w:val="6"/>
          </w:tcPr>
          <w:p w14:paraId="19B8FE17"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Clinical criteria:</w:t>
            </w:r>
          </w:p>
        </w:tc>
      </w:tr>
      <w:tr w:rsidR="00401F95" w:rsidRPr="005E1C44" w14:paraId="1C386A8F"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1FBA801E" w14:textId="77777777" w:rsidR="00401F95" w:rsidRPr="005E1C44" w:rsidRDefault="00401F95" w:rsidP="00C17DC6">
            <w:pPr>
              <w:pStyle w:val="Restrictiontemplate"/>
              <w:rPr>
                <w:sz w:val="20"/>
                <w:szCs w:val="20"/>
              </w:rPr>
            </w:pPr>
          </w:p>
        </w:tc>
        <w:tc>
          <w:tcPr>
            <w:tcW w:w="4460" w:type="pct"/>
            <w:gridSpan w:val="6"/>
          </w:tcPr>
          <w:p w14:paraId="50D1D07F" w14:textId="77777777" w:rsidR="00401F95" w:rsidRPr="005E1C44" w:rsidRDefault="00401F95" w:rsidP="00C17DC6">
            <w:pPr>
              <w:pStyle w:val="Restrictiontemplate"/>
              <w:rPr>
                <w:sz w:val="20"/>
                <w:szCs w:val="20"/>
              </w:rPr>
            </w:pPr>
            <w:r w:rsidRPr="005E1C44">
              <w:rPr>
                <w:sz w:val="20"/>
                <w:szCs w:val="20"/>
              </w:rPr>
              <w:t xml:space="preserve">The treatment must be the sole PBS-subsidised therapy for this condition, </w:t>
            </w:r>
          </w:p>
        </w:tc>
      </w:tr>
      <w:tr w:rsidR="00401F95" w:rsidRPr="005E1C44" w14:paraId="5EDDC168"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3B5CC24C" w14:textId="77777777" w:rsidR="00401F95" w:rsidRPr="005E1C44" w:rsidRDefault="00401F95" w:rsidP="00C17DC6">
            <w:pPr>
              <w:pStyle w:val="Restrictiontemplate"/>
              <w:rPr>
                <w:sz w:val="20"/>
                <w:szCs w:val="20"/>
              </w:rPr>
            </w:pPr>
          </w:p>
        </w:tc>
        <w:tc>
          <w:tcPr>
            <w:tcW w:w="4460" w:type="pct"/>
            <w:gridSpan w:val="6"/>
          </w:tcPr>
          <w:p w14:paraId="7096A8FC"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AND</w:t>
            </w:r>
          </w:p>
        </w:tc>
      </w:tr>
      <w:tr w:rsidR="00401F95" w:rsidRPr="005E1C44" w14:paraId="0E136443"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7C51A857" w14:textId="77777777" w:rsidR="00401F95" w:rsidRPr="005E1C44" w:rsidRDefault="00401F95" w:rsidP="00C17DC6">
            <w:pPr>
              <w:pStyle w:val="Restrictiontemplate"/>
              <w:rPr>
                <w:sz w:val="20"/>
                <w:szCs w:val="20"/>
              </w:rPr>
            </w:pPr>
          </w:p>
        </w:tc>
        <w:tc>
          <w:tcPr>
            <w:tcW w:w="4460" w:type="pct"/>
            <w:gridSpan w:val="6"/>
          </w:tcPr>
          <w:p w14:paraId="63B41195" w14:textId="77777777" w:rsidR="00401F95" w:rsidRPr="005E1C44" w:rsidRDefault="00401F95" w:rsidP="00C17DC6">
            <w:pPr>
              <w:pStyle w:val="Restrictiontemplate"/>
              <w:rPr>
                <w:sz w:val="20"/>
                <w:szCs w:val="20"/>
              </w:rPr>
            </w:pPr>
            <w:r w:rsidRPr="005E1C44">
              <w:rPr>
                <w:sz w:val="20"/>
                <w:szCs w:val="20"/>
              </w:rPr>
              <w:t xml:space="preserve">Patient must have previously been issued with an authority prescription for this drug for this condition, </w:t>
            </w:r>
          </w:p>
        </w:tc>
      </w:tr>
      <w:tr w:rsidR="00401F95" w:rsidRPr="005E1C44" w14:paraId="6EFE9B96"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18FA1DBB" w14:textId="77777777" w:rsidR="00401F95" w:rsidRPr="005E1C44" w:rsidRDefault="00401F95" w:rsidP="00C17DC6">
            <w:pPr>
              <w:pStyle w:val="Restrictiontemplate"/>
              <w:rPr>
                <w:sz w:val="20"/>
                <w:szCs w:val="20"/>
              </w:rPr>
            </w:pPr>
          </w:p>
        </w:tc>
        <w:tc>
          <w:tcPr>
            <w:tcW w:w="4460" w:type="pct"/>
            <w:gridSpan w:val="6"/>
          </w:tcPr>
          <w:p w14:paraId="4E535C09"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AND</w:t>
            </w:r>
          </w:p>
        </w:tc>
      </w:tr>
      <w:tr w:rsidR="00401F95" w:rsidRPr="005E1C44" w14:paraId="46885D7D" w14:textId="77777777">
        <w:tblPrEx>
          <w:tblCellMar>
            <w:top w:w="15" w:type="dxa"/>
            <w:left w:w="15" w:type="dxa"/>
            <w:bottom w:w="15" w:type="dxa"/>
            <w:right w:w="15" w:type="dxa"/>
          </w:tblCellMar>
          <w:tblLook w:val="04A0" w:firstRow="1" w:lastRow="0" w:firstColumn="1" w:lastColumn="0" w:noHBand="0" w:noVBand="1"/>
        </w:tblPrEx>
        <w:tc>
          <w:tcPr>
            <w:tcW w:w="540" w:type="pct"/>
          </w:tcPr>
          <w:p w14:paraId="38A3ACEC" w14:textId="77777777" w:rsidR="00401F95" w:rsidRPr="005E1C44" w:rsidRDefault="00401F95" w:rsidP="00C17DC6">
            <w:pPr>
              <w:pStyle w:val="Restrictiontemplate"/>
              <w:rPr>
                <w:sz w:val="20"/>
                <w:szCs w:val="20"/>
              </w:rPr>
            </w:pPr>
          </w:p>
        </w:tc>
        <w:tc>
          <w:tcPr>
            <w:tcW w:w="4460" w:type="pct"/>
            <w:gridSpan w:val="6"/>
          </w:tcPr>
          <w:p w14:paraId="7A2DB512" w14:textId="77777777" w:rsidR="00401F95" w:rsidRPr="005E1C44" w:rsidRDefault="00401F95" w:rsidP="00C17DC6">
            <w:pPr>
              <w:pStyle w:val="Restrictiontemplate"/>
              <w:rPr>
                <w:sz w:val="20"/>
                <w:szCs w:val="20"/>
              </w:rPr>
            </w:pPr>
            <w:r w:rsidRPr="005E1C44">
              <w:rPr>
                <w:sz w:val="20"/>
                <w:szCs w:val="20"/>
              </w:rPr>
              <w:t xml:space="preserve">Patient must have stable or responding disease. </w:t>
            </w:r>
          </w:p>
        </w:tc>
      </w:tr>
      <w:tr w:rsidR="00401F95" w:rsidRPr="005E1C44" w14:paraId="27E1B606" w14:textId="77777777">
        <w:tblPrEx>
          <w:tblCellMar>
            <w:top w:w="15" w:type="dxa"/>
            <w:left w:w="15" w:type="dxa"/>
            <w:bottom w:w="15" w:type="dxa"/>
            <w:right w:w="15" w:type="dxa"/>
          </w:tblCellMar>
          <w:tblLook w:val="04A0" w:firstRow="1" w:lastRow="0" w:firstColumn="1" w:lastColumn="0" w:noHBand="0" w:noVBand="1"/>
        </w:tblPrEx>
        <w:tc>
          <w:tcPr>
            <w:tcW w:w="540" w:type="pct"/>
          </w:tcPr>
          <w:p w14:paraId="78775840" w14:textId="77777777" w:rsidR="00401F95" w:rsidRPr="005E1C44" w:rsidRDefault="00401F95" w:rsidP="00C17DC6">
            <w:pPr>
              <w:pStyle w:val="Restrictiontemplate"/>
              <w:rPr>
                <w:sz w:val="20"/>
                <w:szCs w:val="20"/>
              </w:rPr>
            </w:pPr>
          </w:p>
        </w:tc>
        <w:tc>
          <w:tcPr>
            <w:tcW w:w="4460" w:type="pct"/>
            <w:gridSpan w:val="6"/>
          </w:tcPr>
          <w:p w14:paraId="15819945" w14:textId="77777777" w:rsidR="00401F95" w:rsidRPr="005E1C44" w:rsidRDefault="00401F95" w:rsidP="00C17DC6">
            <w:pPr>
              <w:pStyle w:val="Restrictiontemplate"/>
              <w:rPr>
                <w:rStyle w:val="Strong"/>
                <w:rFonts w:cs="Open Sans"/>
                <w:color w:val="333333"/>
                <w:sz w:val="20"/>
                <w:szCs w:val="20"/>
                <w:bdr w:val="none" w:sz="0" w:space="0" w:color="auto" w:frame="1"/>
              </w:rPr>
            </w:pPr>
          </w:p>
        </w:tc>
      </w:tr>
      <w:tr w:rsidR="00401F95" w:rsidRPr="005E1C44" w14:paraId="4338EE25" w14:textId="77777777">
        <w:tblPrEx>
          <w:tblCellMar>
            <w:top w:w="15" w:type="dxa"/>
            <w:left w:w="15" w:type="dxa"/>
            <w:bottom w:w="15" w:type="dxa"/>
            <w:right w:w="15" w:type="dxa"/>
          </w:tblCellMar>
          <w:tblLook w:val="04A0" w:firstRow="1" w:lastRow="0" w:firstColumn="1" w:lastColumn="0" w:noHBand="0" w:noVBand="1"/>
        </w:tblPrEx>
        <w:tc>
          <w:tcPr>
            <w:tcW w:w="540" w:type="pct"/>
          </w:tcPr>
          <w:p w14:paraId="1910C25F" w14:textId="77777777" w:rsidR="00401F95" w:rsidRPr="005E1C44" w:rsidRDefault="00401F95" w:rsidP="00C17DC6">
            <w:pPr>
              <w:pStyle w:val="Restrictiontemplate"/>
              <w:rPr>
                <w:sz w:val="20"/>
                <w:szCs w:val="20"/>
              </w:rPr>
            </w:pPr>
          </w:p>
        </w:tc>
        <w:tc>
          <w:tcPr>
            <w:tcW w:w="4460" w:type="pct"/>
            <w:gridSpan w:val="6"/>
          </w:tcPr>
          <w:p w14:paraId="32FD8736" w14:textId="453046BB" w:rsidR="00401F95" w:rsidRPr="005E1C44" w:rsidRDefault="00401F95" w:rsidP="00C17DC6">
            <w:pPr>
              <w:pStyle w:val="Restrictiontemplate"/>
              <w:rPr>
                <w:rStyle w:val="Strong"/>
                <w:rFonts w:cs="Open Sans"/>
                <w:color w:val="333333"/>
                <w:sz w:val="20"/>
                <w:szCs w:val="20"/>
                <w:bdr w:val="none" w:sz="0" w:space="0" w:color="auto" w:frame="1"/>
              </w:rPr>
            </w:pPr>
            <w:r w:rsidRPr="005E1C44">
              <w:rPr>
                <w:rStyle w:val="Strong"/>
                <w:rFonts w:cs="Open Sans"/>
                <w:color w:val="333333"/>
                <w:sz w:val="20"/>
                <w:szCs w:val="20"/>
                <w:bdr w:val="none" w:sz="0" w:space="0" w:color="auto" w:frame="1"/>
              </w:rPr>
              <w:t xml:space="preserve">Prescribing instructions: </w:t>
            </w:r>
            <w:r w:rsidRPr="005E1C44">
              <w:rPr>
                <w:rStyle w:val="Strong"/>
                <w:rFonts w:cs="Open Sans"/>
                <w:b w:val="0"/>
                <w:bCs w:val="0"/>
                <w:color w:val="333333"/>
                <w:sz w:val="20"/>
                <w:szCs w:val="20"/>
                <w:bdr w:val="none" w:sz="0" w:space="0" w:color="auto" w:frame="1"/>
              </w:rPr>
              <w:t xml:space="preserve">Patients must only receive a maximum of 600 mg every two weeks or </w:t>
            </w:r>
            <w:r w:rsidRPr="005E1C44">
              <w:rPr>
                <w:rStyle w:val="Strong"/>
                <w:rFonts w:cs="Open Sans"/>
                <w:b w:val="0"/>
                <w:bCs w:val="0"/>
                <w:strike/>
                <w:color w:val="333333"/>
                <w:sz w:val="20"/>
                <w:szCs w:val="20"/>
                <w:bdr w:val="none" w:sz="0" w:space="0" w:color="auto" w:frame="1"/>
              </w:rPr>
              <w:t>480</w:t>
            </w:r>
            <w:r w:rsidRPr="005E1C44">
              <w:rPr>
                <w:rStyle w:val="Strong"/>
                <w:rFonts w:cs="Open Sans"/>
                <w:b w:val="0"/>
                <w:bCs w:val="0"/>
                <w:color w:val="333333"/>
                <w:sz w:val="20"/>
                <w:szCs w:val="20"/>
                <w:bdr w:val="none" w:sz="0" w:space="0" w:color="auto" w:frame="1"/>
              </w:rPr>
              <w:t xml:space="preserve"> </w:t>
            </w:r>
            <w:r w:rsidR="003A1C7D" w:rsidRPr="005E1C44">
              <w:rPr>
                <w:rStyle w:val="Strong"/>
                <w:rFonts w:cs="Open Sans"/>
                <w:b w:val="0"/>
                <w:bCs w:val="0"/>
                <w:i/>
                <w:iCs/>
                <w:color w:val="333333"/>
                <w:sz w:val="20"/>
                <w:szCs w:val="20"/>
                <w:bdr w:val="none" w:sz="0" w:space="0" w:color="auto" w:frame="1"/>
              </w:rPr>
              <w:t>1200</w:t>
            </w:r>
            <w:r w:rsidR="003A1C7D" w:rsidRPr="005E1C44">
              <w:rPr>
                <w:rStyle w:val="Strong"/>
                <w:rFonts w:cs="Open Sans"/>
                <w:b w:val="0"/>
                <w:bCs w:val="0"/>
                <w:color w:val="333333"/>
                <w:sz w:val="20"/>
                <w:szCs w:val="20"/>
                <w:bdr w:val="none" w:sz="0" w:space="0" w:color="auto" w:frame="1"/>
              </w:rPr>
              <w:t xml:space="preserve"> </w:t>
            </w:r>
            <w:r w:rsidRPr="005E1C44">
              <w:rPr>
                <w:rStyle w:val="Strong"/>
                <w:rFonts w:cs="Open Sans"/>
                <w:b w:val="0"/>
                <w:bCs w:val="0"/>
                <w:color w:val="333333"/>
                <w:sz w:val="20"/>
                <w:szCs w:val="20"/>
                <w:bdr w:val="none" w:sz="0" w:space="0" w:color="auto" w:frame="1"/>
              </w:rPr>
              <w:t>mg every four weeks under a flat dosing regimen.</w:t>
            </w:r>
          </w:p>
        </w:tc>
      </w:tr>
      <w:tr w:rsidR="00401F95" w:rsidRPr="005E1C44" w14:paraId="4604BB4F" w14:textId="77777777">
        <w:tblPrEx>
          <w:tblCellMar>
            <w:top w:w="15" w:type="dxa"/>
            <w:left w:w="15" w:type="dxa"/>
            <w:bottom w:w="15" w:type="dxa"/>
            <w:right w:w="15" w:type="dxa"/>
          </w:tblCellMar>
          <w:tblLook w:val="04A0" w:firstRow="1" w:lastRow="0" w:firstColumn="1" w:lastColumn="0" w:noHBand="0" w:noVBand="1"/>
        </w:tblPrEx>
        <w:tc>
          <w:tcPr>
            <w:tcW w:w="540" w:type="pct"/>
          </w:tcPr>
          <w:p w14:paraId="7A14DEE0" w14:textId="77777777" w:rsidR="00401F95" w:rsidRPr="005E1C44" w:rsidRDefault="00401F95" w:rsidP="00C17DC6">
            <w:pPr>
              <w:pStyle w:val="Restrictiontemplate"/>
              <w:rPr>
                <w:sz w:val="20"/>
                <w:szCs w:val="20"/>
              </w:rPr>
            </w:pPr>
          </w:p>
        </w:tc>
        <w:tc>
          <w:tcPr>
            <w:tcW w:w="4460" w:type="pct"/>
            <w:gridSpan w:val="6"/>
          </w:tcPr>
          <w:p w14:paraId="0DB724A0" w14:textId="77777777" w:rsidR="00401F95" w:rsidRPr="005E1C44" w:rsidRDefault="00401F95" w:rsidP="00C17DC6">
            <w:pPr>
              <w:pStyle w:val="Restrictiontemplate"/>
              <w:rPr>
                <w:rStyle w:val="Strong"/>
                <w:rFonts w:cs="Open Sans"/>
                <w:color w:val="333333"/>
                <w:sz w:val="20"/>
                <w:szCs w:val="20"/>
                <w:bdr w:val="none" w:sz="0" w:space="0" w:color="auto" w:frame="1"/>
              </w:rPr>
            </w:pPr>
          </w:p>
        </w:tc>
      </w:tr>
      <w:tr w:rsidR="00401F95" w:rsidRPr="005E1C44" w14:paraId="20690294" w14:textId="77777777">
        <w:tblPrEx>
          <w:tblCellMar>
            <w:top w:w="15" w:type="dxa"/>
            <w:left w:w="15" w:type="dxa"/>
            <w:bottom w:w="15" w:type="dxa"/>
            <w:right w:w="15" w:type="dxa"/>
          </w:tblCellMar>
          <w:tblLook w:val="04A0" w:firstRow="1" w:lastRow="0" w:firstColumn="1" w:lastColumn="0" w:noHBand="0" w:noVBand="1"/>
        </w:tblPrEx>
        <w:tc>
          <w:tcPr>
            <w:tcW w:w="540" w:type="pct"/>
          </w:tcPr>
          <w:p w14:paraId="3E928D7B" w14:textId="77777777" w:rsidR="00401F95" w:rsidRPr="005E1C44" w:rsidRDefault="00401F95" w:rsidP="00C17DC6">
            <w:pPr>
              <w:pStyle w:val="Restrictiontemplate"/>
              <w:rPr>
                <w:sz w:val="20"/>
                <w:szCs w:val="20"/>
              </w:rPr>
            </w:pPr>
          </w:p>
        </w:tc>
        <w:tc>
          <w:tcPr>
            <w:tcW w:w="4460" w:type="pct"/>
            <w:gridSpan w:val="6"/>
            <w:vAlign w:val="center"/>
          </w:tcPr>
          <w:p w14:paraId="174A81FA" w14:textId="77777777" w:rsidR="00401F95" w:rsidRPr="005E1C44" w:rsidRDefault="00401F95" w:rsidP="00C17DC6">
            <w:pPr>
              <w:pStyle w:val="Restrictiontemplate"/>
              <w:rPr>
                <w:rStyle w:val="Strong"/>
                <w:rFonts w:cs="Open Sans"/>
                <w:color w:val="333333"/>
                <w:sz w:val="20"/>
                <w:szCs w:val="20"/>
                <w:bdr w:val="none" w:sz="0" w:space="0" w:color="auto" w:frame="1"/>
              </w:rPr>
            </w:pPr>
            <w:r w:rsidRPr="005E1C44">
              <w:rPr>
                <w:b/>
                <w:bCs/>
                <w:sz w:val="20"/>
                <w:szCs w:val="20"/>
              </w:rPr>
              <w:t>Administrative Advice:</w:t>
            </w:r>
            <w:r w:rsidRPr="005E1C44">
              <w:rPr>
                <w:sz w:val="20"/>
                <w:szCs w:val="20"/>
              </w:rPr>
              <w:t xml:space="preserve"> No increase in the maximum number of repeats may be authorised.</w:t>
            </w:r>
          </w:p>
        </w:tc>
      </w:tr>
      <w:tr w:rsidR="00401F95" w:rsidRPr="005E1C44" w14:paraId="49CA0376" w14:textId="77777777">
        <w:tblPrEx>
          <w:tblCellMar>
            <w:top w:w="15" w:type="dxa"/>
            <w:left w:w="15" w:type="dxa"/>
            <w:bottom w:w="15" w:type="dxa"/>
            <w:right w:w="15" w:type="dxa"/>
          </w:tblCellMar>
          <w:tblLook w:val="04A0" w:firstRow="1" w:lastRow="0" w:firstColumn="1" w:lastColumn="0" w:noHBand="0" w:noVBand="1"/>
        </w:tblPrEx>
        <w:tc>
          <w:tcPr>
            <w:tcW w:w="540" w:type="pct"/>
          </w:tcPr>
          <w:p w14:paraId="7794A86D" w14:textId="77777777" w:rsidR="00401F95" w:rsidRPr="005E1C44" w:rsidRDefault="00401F95" w:rsidP="00C17DC6">
            <w:pPr>
              <w:pStyle w:val="Restrictiontemplate"/>
              <w:rPr>
                <w:sz w:val="20"/>
                <w:szCs w:val="20"/>
              </w:rPr>
            </w:pPr>
          </w:p>
        </w:tc>
        <w:tc>
          <w:tcPr>
            <w:tcW w:w="4460" w:type="pct"/>
            <w:gridSpan w:val="6"/>
            <w:vAlign w:val="center"/>
          </w:tcPr>
          <w:p w14:paraId="1D0E5470" w14:textId="77777777" w:rsidR="00401F95" w:rsidRPr="005E1C44" w:rsidRDefault="00401F95" w:rsidP="00C17DC6">
            <w:pPr>
              <w:pStyle w:val="Restrictiontemplate"/>
              <w:rPr>
                <w:rStyle w:val="Strong"/>
                <w:rFonts w:cs="Open Sans"/>
                <w:color w:val="333333"/>
                <w:sz w:val="20"/>
                <w:szCs w:val="20"/>
                <w:bdr w:val="none" w:sz="0" w:space="0" w:color="auto" w:frame="1"/>
              </w:rPr>
            </w:pPr>
            <w:r w:rsidRPr="005E1C44">
              <w:rPr>
                <w:b/>
                <w:bCs/>
                <w:sz w:val="20"/>
                <w:szCs w:val="20"/>
              </w:rPr>
              <w:t xml:space="preserve">Administrative Advice: </w:t>
            </w:r>
            <w:r w:rsidRPr="005E1C44">
              <w:rPr>
                <w:sz w:val="20"/>
                <w:szCs w:val="20"/>
              </w:rPr>
              <w:t>Special Pricing Arrangements apply.</w:t>
            </w:r>
          </w:p>
        </w:tc>
      </w:tr>
      <w:tr w:rsidR="00401F95" w:rsidRPr="005E1C44" w14:paraId="42FBD558" w14:textId="77777777">
        <w:tblPrEx>
          <w:tblCellMar>
            <w:top w:w="15" w:type="dxa"/>
            <w:left w:w="15" w:type="dxa"/>
            <w:bottom w:w="15" w:type="dxa"/>
            <w:right w:w="15" w:type="dxa"/>
          </w:tblCellMar>
          <w:tblLook w:val="04A0" w:firstRow="1" w:lastRow="0" w:firstColumn="1" w:lastColumn="0" w:noHBand="0" w:noVBand="1"/>
        </w:tblPrEx>
        <w:tc>
          <w:tcPr>
            <w:tcW w:w="540" w:type="pct"/>
          </w:tcPr>
          <w:p w14:paraId="65F3973D" w14:textId="77777777" w:rsidR="00401F95" w:rsidRPr="005E1C44" w:rsidRDefault="00401F95" w:rsidP="00C17DC6">
            <w:pPr>
              <w:pStyle w:val="Restrictiontemplate"/>
              <w:rPr>
                <w:sz w:val="20"/>
                <w:szCs w:val="20"/>
              </w:rPr>
            </w:pPr>
          </w:p>
        </w:tc>
        <w:tc>
          <w:tcPr>
            <w:tcW w:w="4460" w:type="pct"/>
            <w:gridSpan w:val="6"/>
            <w:vAlign w:val="center"/>
          </w:tcPr>
          <w:p w14:paraId="4CFDE30A" w14:textId="77777777" w:rsidR="00401F95" w:rsidRPr="005E1C44" w:rsidRDefault="00401F95" w:rsidP="00C17DC6">
            <w:pPr>
              <w:pStyle w:val="Restrictiontemplate"/>
              <w:rPr>
                <w:sz w:val="20"/>
                <w:szCs w:val="20"/>
              </w:rPr>
            </w:pPr>
          </w:p>
        </w:tc>
      </w:tr>
      <w:tr w:rsidR="00401F95" w:rsidRPr="005E1C44" w14:paraId="36123325" w14:textId="77777777">
        <w:tblPrEx>
          <w:tblCellMar>
            <w:top w:w="15" w:type="dxa"/>
            <w:left w:w="15" w:type="dxa"/>
            <w:bottom w:w="15" w:type="dxa"/>
            <w:right w:w="15" w:type="dxa"/>
          </w:tblCellMar>
          <w:tblLook w:val="04A0" w:firstRow="1" w:lastRow="0" w:firstColumn="1" w:lastColumn="0" w:noHBand="0" w:noVBand="1"/>
        </w:tblPrEx>
        <w:tc>
          <w:tcPr>
            <w:tcW w:w="540" w:type="pct"/>
          </w:tcPr>
          <w:p w14:paraId="52345B39" w14:textId="77777777" w:rsidR="00401F95" w:rsidRPr="005E1C44" w:rsidRDefault="00401F95" w:rsidP="00C17DC6">
            <w:pPr>
              <w:pStyle w:val="Restrictiontemplate"/>
              <w:rPr>
                <w:sz w:val="20"/>
                <w:szCs w:val="20"/>
              </w:rPr>
            </w:pPr>
          </w:p>
        </w:tc>
        <w:tc>
          <w:tcPr>
            <w:tcW w:w="4460" w:type="pct"/>
            <w:gridSpan w:val="6"/>
            <w:vAlign w:val="center"/>
          </w:tcPr>
          <w:p w14:paraId="3D9C73C5" w14:textId="77777777" w:rsidR="00401F95" w:rsidRPr="005E1C44" w:rsidRDefault="00401F95" w:rsidP="00C17DC6">
            <w:pPr>
              <w:pStyle w:val="Restrictiontemplate"/>
              <w:rPr>
                <w:sz w:val="20"/>
                <w:szCs w:val="20"/>
              </w:rPr>
            </w:pPr>
          </w:p>
        </w:tc>
      </w:tr>
      <w:tr w:rsidR="00401F95" w:rsidRPr="005E1C44" w14:paraId="1AC9CDF2" w14:textId="7777777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7340DF77" w14:textId="77777777" w:rsidR="00401F95" w:rsidRPr="005E1C44" w:rsidRDefault="00401F95" w:rsidP="00C17DC6">
            <w:pPr>
              <w:pStyle w:val="Restrictiontemplate"/>
              <w:rPr>
                <w:rFonts w:cs="Arial"/>
                <w:sz w:val="20"/>
                <w:szCs w:val="20"/>
              </w:rPr>
            </w:pPr>
            <w:r w:rsidRPr="005E1C44">
              <w:rPr>
                <w:sz w:val="20"/>
                <w:szCs w:val="20"/>
              </w:rPr>
              <w:t>Restriction Summary [New] / Treatment of Concept: [New] / Authority Required [STREAMLINED]</w:t>
            </w:r>
          </w:p>
        </w:tc>
      </w:tr>
      <w:tr w:rsidR="00401F95" w:rsidRPr="005E1C44" w14:paraId="453CBB45" w14:textId="77777777">
        <w:tblPrEx>
          <w:tblCellMar>
            <w:top w:w="15" w:type="dxa"/>
            <w:left w:w="15" w:type="dxa"/>
            <w:bottom w:w="15" w:type="dxa"/>
            <w:right w:w="15" w:type="dxa"/>
          </w:tblCellMar>
          <w:tblLook w:val="04A0" w:firstRow="1" w:lastRow="0" w:firstColumn="1" w:lastColumn="0" w:noHBand="0" w:noVBand="1"/>
        </w:tblPrEx>
        <w:trPr>
          <w:trHeight w:val="190"/>
        </w:trPr>
        <w:tc>
          <w:tcPr>
            <w:tcW w:w="540" w:type="pct"/>
            <w:tcBorders>
              <w:top w:val="single" w:sz="4" w:space="0" w:color="auto"/>
              <w:left w:val="single" w:sz="4" w:space="0" w:color="auto"/>
              <w:right w:val="single" w:sz="4" w:space="0" w:color="auto"/>
            </w:tcBorders>
          </w:tcPr>
          <w:p w14:paraId="4AEE7E2D" w14:textId="77777777" w:rsidR="00401F95" w:rsidRPr="005E1C44" w:rsidRDefault="00401F95" w:rsidP="00C17DC6">
            <w:pPr>
              <w:pStyle w:val="Restrictiontemplate"/>
              <w:rPr>
                <w:sz w:val="20"/>
                <w:szCs w:val="20"/>
              </w:rPr>
            </w:pPr>
          </w:p>
        </w:tc>
        <w:tc>
          <w:tcPr>
            <w:tcW w:w="4460" w:type="pct"/>
            <w:gridSpan w:val="6"/>
            <w:tcBorders>
              <w:top w:val="single" w:sz="4" w:space="0" w:color="auto"/>
              <w:left w:val="single" w:sz="4" w:space="0" w:color="auto"/>
              <w:bottom w:val="single" w:sz="4" w:space="0" w:color="auto"/>
              <w:right w:val="single" w:sz="4" w:space="0" w:color="auto"/>
            </w:tcBorders>
            <w:vAlign w:val="center"/>
          </w:tcPr>
          <w:p w14:paraId="3A6B6634" w14:textId="77777777" w:rsidR="00401F95" w:rsidRPr="005E1C44" w:rsidRDefault="00401F95" w:rsidP="00C17DC6">
            <w:pPr>
              <w:pStyle w:val="Restrictiontemplate"/>
              <w:rPr>
                <w:rFonts w:cs="Arial"/>
                <w:sz w:val="20"/>
                <w:szCs w:val="20"/>
              </w:rPr>
            </w:pPr>
            <w:r w:rsidRPr="005E1C44">
              <w:rPr>
                <w:sz w:val="20"/>
                <w:szCs w:val="20"/>
              </w:rPr>
              <w:t>Unresectable Stage III or Stage IV malignant melanoma</w:t>
            </w:r>
          </w:p>
        </w:tc>
      </w:tr>
      <w:tr w:rsidR="00401F95" w:rsidRPr="005E1C44" w14:paraId="281B885F" w14:textId="77777777">
        <w:tblPrEx>
          <w:tblCellMar>
            <w:top w:w="15" w:type="dxa"/>
            <w:left w:w="15" w:type="dxa"/>
            <w:bottom w:w="15" w:type="dxa"/>
            <w:right w:w="15" w:type="dxa"/>
          </w:tblCellMar>
          <w:tblLook w:val="04A0" w:firstRow="1" w:lastRow="0" w:firstColumn="1" w:lastColumn="0" w:noHBand="0" w:noVBand="1"/>
        </w:tblPrEx>
        <w:trPr>
          <w:trHeight w:val="240"/>
        </w:trPr>
        <w:tc>
          <w:tcPr>
            <w:tcW w:w="540" w:type="pct"/>
            <w:tcBorders>
              <w:left w:val="single" w:sz="4" w:space="0" w:color="auto"/>
              <w:right w:val="single" w:sz="4" w:space="0" w:color="auto"/>
            </w:tcBorders>
          </w:tcPr>
          <w:p w14:paraId="45E932DD" w14:textId="77777777" w:rsidR="00401F95" w:rsidRPr="005E1C44" w:rsidRDefault="00401F95" w:rsidP="00C17DC6">
            <w:pPr>
              <w:pStyle w:val="Restrictiontemplate"/>
              <w:rPr>
                <w:sz w:val="20"/>
                <w:szCs w:val="20"/>
              </w:rPr>
            </w:pPr>
          </w:p>
        </w:tc>
        <w:tc>
          <w:tcPr>
            <w:tcW w:w="4460" w:type="pct"/>
            <w:gridSpan w:val="6"/>
            <w:tcBorders>
              <w:top w:val="single" w:sz="4" w:space="0" w:color="auto"/>
              <w:left w:val="single" w:sz="4" w:space="0" w:color="auto"/>
              <w:bottom w:val="single" w:sz="4" w:space="0" w:color="auto"/>
              <w:right w:val="single" w:sz="4" w:space="0" w:color="auto"/>
            </w:tcBorders>
            <w:vAlign w:val="center"/>
          </w:tcPr>
          <w:p w14:paraId="1E51183C" w14:textId="77777777" w:rsidR="00401F95" w:rsidRPr="005E1C44" w:rsidRDefault="00401F95" w:rsidP="00C17DC6">
            <w:pPr>
              <w:pStyle w:val="Restrictiontemplate"/>
              <w:rPr>
                <w:rFonts w:cs="Arial"/>
                <w:b/>
                <w:sz w:val="20"/>
                <w:szCs w:val="20"/>
              </w:rPr>
            </w:pPr>
            <w:r w:rsidRPr="005E1C44">
              <w:rPr>
                <w:b/>
                <w:bCs/>
                <w:sz w:val="20"/>
                <w:szCs w:val="20"/>
              </w:rPr>
              <w:t xml:space="preserve">Treatment Phase: </w:t>
            </w:r>
            <w:r w:rsidRPr="005E1C44">
              <w:rPr>
                <w:sz w:val="20"/>
                <w:szCs w:val="20"/>
              </w:rPr>
              <w:t>Maintenance treatment</w:t>
            </w:r>
          </w:p>
        </w:tc>
      </w:tr>
      <w:tr w:rsidR="00401F95" w:rsidRPr="005E1C44" w14:paraId="6E5CFE1D" w14:textId="77777777">
        <w:tblPrEx>
          <w:tblCellMar>
            <w:top w:w="15" w:type="dxa"/>
            <w:left w:w="15" w:type="dxa"/>
            <w:bottom w:w="15" w:type="dxa"/>
            <w:right w:w="15" w:type="dxa"/>
          </w:tblCellMar>
          <w:tblLook w:val="04A0" w:firstRow="1" w:lastRow="0" w:firstColumn="1" w:lastColumn="0" w:noHBand="0" w:noVBand="1"/>
        </w:tblPrEx>
        <w:tc>
          <w:tcPr>
            <w:tcW w:w="540" w:type="pct"/>
            <w:tcBorders>
              <w:left w:val="single" w:sz="4" w:space="0" w:color="auto"/>
              <w:bottom w:val="single" w:sz="4" w:space="0" w:color="auto"/>
              <w:right w:val="single" w:sz="4" w:space="0" w:color="auto"/>
            </w:tcBorders>
          </w:tcPr>
          <w:p w14:paraId="434B5E6E" w14:textId="77777777" w:rsidR="00401F95" w:rsidRPr="005E1C44" w:rsidRDefault="00401F95" w:rsidP="00C17DC6">
            <w:pPr>
              <w:pStyle w:val="Restrictiontemplate"/>
              <w:rPr>
                <w:sz w:val="20"/>
                <w:szCs w:val="20"/>
              </w:rPr>
            </w:pPr>
          </w:p>
        </w:tc>
        <w:tc>
          <w:tcPr>
            <w:tcW w:w="4460" w:type="pct"/>
            <w:gridSpan w:val="6"/>
            <w:tcBorders>
              <w:top w:val="single" w:sz="4" w:space="0" w:color="auto"/>
              <w:left w:val="single" w:sz="4" w:space="0" w:color="auto"/>
              <w:bottom w:val="single" w:sz="4" w:space="0" w:color="auto"/>
              <w:right w:val="single" w:sz="4" w:space="0" w:color="auto"/>
            </w:tcBorders>
            <w:vAlign w:val="center"/>
          </w:tcPr>
          <w:p w14:paraId="3D728B76" w14:textId="77777777" w:rsidR="00401F95" w:rsidRPr="005E1C44" w:rsidRDefault="00401F95" w:rsidP="00C17DC6">
            <w:pPr>
              <w:pStyle w:val="Restrictiontemplate"/>
              <w:rPr>
                <w:sz w:val="20"/>
                <w:szCs w:val="20"/>
              </w:rPr>
            </w:pPr>
          </w:p>
        </w:tc>
      </w:tr>
      <w:tr w:rsidR="00401F95" w:rsidRPr="005E1C44" w14:paraId="5C106FEC"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008D8CFC" w14:textId="77777777" w:rsidR="00401F95" w:rsidRPr="005E1C44" w:rsidRDefault="00401F95" w:rsidP="00C17DC6">
            <w:pPr>
              <w:pStyle w:val="Restrictiontemplate"/>
              <w:rPr>
                <w:sz w:val="20"/>
                <w:szCs w:val="20"/>
              </w:rPr>
            </w:pPr>
          </w:p>
        </w:tc>
        <w:tc>
          <w:tcPr>
            <w:tcW w:w="4460" w:type="pct"/>
            <w:gridSpan w:val="6"/>
          </w:tcPr>
          <w:p w14:paraId="51664922"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Clinical criteria:</w:t>
            </w:r>
          </w:p>
        </w:tc>
      </w:tr>
      <w:tr w:rsidR="00401F95" w:rsidRPr="005E1C44" w14:paraId="312BBD3D"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7DA29C7A" w14:textId="77777777" w:rsidR="00401F95" w:rsidRPr="005E1C44" w:rsidRDefault="00401F95" w:rsidP="00C17DC6">
            <w:pPr>
              <w:pStyle w:val="Restrictiontemplate"/>
              <w:rPr>
                <w:sz w:val="20"/>
                <w:szCs w:val="20"/>
              </w:rPr>
            </w:pPr>
          </w:p>
        </w:tc>
        <w:tc>
          <w:tcPr>
            <w:tcW w:w="4460" w:type="pct"/>
            <w:gridSpan w:val="6"/>
          </w:tcPr>
          <w:p w14:paraId="6259FC2A" w14:textId="77777777" w:rsidR="00401F95" w:rsidRPr="005E1C44" w:rsidRDefault="00401F95" w:rsidP="00C17DC6">
            <w:pPr>
              <w:pStyle w:val="Restrictiontemplate"/>
              <w:rPr>
                <w:sz w:val="20"/>
                <w:szCs w:val="20"/>
              </w:rPr>
            </w:pPr>
            <w:r w:rsidRPr="005E1C44">
              <w:rPr>
                <w:sz w:val="20"/>
                <w:szCs w:val="20"/>
              </w:rPr>
              <w:t xml:space="preserve">Patient must have previously received of up to maximum 4 doses of PBS-subsidised combined therapy with nivolumab and ipilimumab as induction for this condition, </w:t>
            </w:r>
          </w:p>
        </w:tc>
      </w:tr>
      <w:tr w:rsidR="00401F95" w:rsidRPr="005E1C44" w14:paraId="2848FA03"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760788CD" w14:textId="77777777" w:rsidR="00401F95" w:rsidRPr="005E1C44" w:rsidRDefault="00401F95" w:rsidP="00C17DC6">
            <w:pPr>
              <w:pStyle w:val="Restrictiontemplate"/>
              <w:rPr>
                <w:sz w:val="20"/>
                <w:szCs w:val="20"/>
              </w:rPr>
            </w:pPr>
          </w:p>
        </w:tc>
        <w:tc>
          <w:tcPr>
            <w:tcW w:w="4460" w:type="pct"/>
            <w:gridSpan w:val="6"/>
          </w:tcPr>
          <w:p w14:paraId="1A1810CB"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AND</w:t>
            </w:r>
          </w:p>
        </w:tc>
      </w:tr>
      <w:tr w:rsidR="00401F95" w:rsidRPr="005E1C44" w14:paraId="4D668CE9"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12AC1CC2" w14:textId="77777777" w:rsidR="00401F95" w:rsidRPr="005E1C44" w:rsidRDefault="00401F95" w:rsidP="00C17DC6">
            <w:pPr>
              <w:pStyle w:val="Restrictiontemplate"/>
              <w:rPr>
                <w:sz w:val="20"/>
                <w:szCs w:val="20"/>
              </w:rPr>
            </w:pPr>
          </w:p>
        </w:tc>
        <w:tc>
          <w:tcPr>
            <w:tcW w:w="4460" w:type="pct"/>
            <w:gridSpan w:val="6"/>
          </w:tcPr>
          <w:p w14:paraId="6FD805E1" w14:textId="77777777" w:rsidR="00401F95" w:rsidRPr="005E1C44" w:rsidRDefault="00401F95" w:rsidP="00C17DC6">
            <w:pPr>
              <w:pStyle w:val="Restrictiontemplate"/>
              <w:rPr>
                <w:sz w:val="20"/>
                <w:szCs w:val="20"/>
              </w:rPr>
            </w:pPr>
            <w:r w:rsidRPr="005E1C44">
              <w:rPr>
                <w:sz w:val="20"/>
                <w:szCs w:val="20"/>
              </w:rPr>
              <w:t xml:space="preserve">The treatment must be as monotherapy for this condition, </w:t>
            </w:r>
          </w:p>
        </w:tc>
      </w:tr>
      <w:tr w:rsidR="00401F95" w:rsidRPr="005E1C44" w14:paraId="4D99CB34" w14:textId="77777777">
        <w:tblPrEx>
          <w:tblCellMar>
            <w:top w:w="15" w:type="dxa"/>
            <w:left w:w="15" w:type="dxa"/>
            <w:bottom w:w="15" w:type="dxa"/>
            <w:right w:w="15" w:type="dxa"/>
          </w:tblCellMar>
          <w:tblLook w:val="04A0" w:firstRow="1" w:lastRow="0" w:firstColumn="1" w:lastColumn="0" w:noHBand="0" w:noVBand="1"/>
        </w:tblPrEx>
        <w:tc>
          <w:tcPr>
            <w:tcW w:w="540" w:type="pct"/>
            <w:vAlign w:val="center"/>
          </w:tcPr>
          <w:p w14:paraId="7238B05E" w14:textId="77777777" w:rsidR="00401F95" w:rsidRPr="005E1C44" w:rsidRDefault="00401F95" w:rsidP="00C17DC6">
            <w:pPr>
              <w:pStyle w:val="Restrictiontemplate"/>
              <w:rPr>
                <w:sz w:val="20"/>
                <w:szCs w:val="20"/>
              </w:rPr>
            </w:pPr>
          </w:p>
        </w:tc>
        <w:tc>
          <w:tcPr>
            <w:tcW w:w="4460" w:type="pct"/>
            <w:gridSpan w:val="6"/>
          </w:tcPr>
          <w:p w14:paraId="03D2EB4E" w14:textId="77777777" w:rsidR="00401F95" w:rsidRPr="005E1C44" w:rsidRDefault="00401F95" w:rsidP="00C17DC6">
            <w:pPr>
              <w:pStyle w:val="Restrictiontemplate"/>
              <w:rPr>
                <w:sz w:val="20"/>
                <w:szCs w:val="20"/>
              </w:rPr>
            </w:pPr>
            <w:r w:rsidRPr="005E1C44">
              <w:rPr>
                <w:rStyle w:val="Strong"/>
                <w:rFonts w:cs="Open Sans"/>
                <w:color w:val="333333"/>
                <w:sz w:val="20"/>
                <w:szCs w:val="20"/>
                <w:bdr w:val="none" w:sz="0" w:space="0" w:color="auto" w:frame="1"/>
              </w:rPr>
              <w:t>AND</w:t>
            </w:r>
          </w:p>
        </w:tc>
      </w:tr>
      <w:tr w:rsidR="00401F95" w:rsidRPr="005E1C44" w14:paraId="3D33A05F" w14:textId="77777777">
        <w:tblPrEx>
          <w:tblCellMar>
            <w:top w:w="15" w:type="dxa"/>
            <w:left w:w="15" w:type="dxa"/>
            <w:bottom w:w="15" w:type="dxa"/>
            <w:right w:w="15" w:type="dxa"/>
          </w:tblCellMar>
          <w:tblLook w:val="04A0" w:firstRow="1" w:lastRow="0" w:firstColumn="1" w:lastColumn="0" w:noHBand="0" w:noVBand="1"/>
        </w:tblPrEx>
        <w:tc>
          <w:tcPr>
            <w:tcW w:w="540" w:type="pct"/>
          </w:tcPr>
          <w:p w14:paraId="201568C1" w14:textId="77777777" w:rsidR="00401F95" w:rsidRPr="005E1C44" w:rsidRDefault="00401F95" w:rsidP="00C17DC6">
            <w:pPr>
              <w:pStyle w:val="Restrictiontemplate"/>
              <w:rPr>
                <w:sz w:val="20"/>
                <w:szCs w:val="20"/>
              </w:rPr>
            </w:pPr>
          </w:p>
        </w:tc>
        <w:tc>
          <w:tcPr>
            <w:tcW w:w="4460" w:type="pct"/>
            <w:gridSpan w:val="6"/>
          </w:tcPr>
          <w:p w14:paraId="706065F0" w14:textId="77777777" w:rsidR="00401F95" w:rsidRPr="005E1C44" w:rsidRDefault="00401F95" w:rsidP="00C17DC6">
            <w:pPr>
              <w:pStyle w:val="Restrictiontemplate"/>
              <w:rPr>
                <w:sz w:val="20"/>
                <w:szCs w:val="20"/>
              </w:rPr>
            </w:pPr>
            <w:r w:rsidRPr="005E1C44">
              <w:rPr>
                <w:sz w:val="20"/>
                <w:szCs w:val="20"/>
              </w:rPr>
              <w:t xml:space="preserve">Patient must not have developed disease progression while receiving PBS-subsidised treatment with this drug for this PBS indication. </w:t>
            </w:r>
          </w:p>
        </w:tc>
      </w:tr>
      <w:tr w:rsidR="00401F95" w:rsidRPr="005E1C44" w14:paraId="7D441FDB" w14:textId="77777777">
        <w:tblPrEx>
          <w:tblCellMar>
            <w:top w:w="15" w:type="dxa"/>
            <w:left w:w="15" w:type="dxa"/>
            <w:bottom w:w="15" w:type="dxa"/>
            <w:right w:w="15" w:type="dxa"/>
          </w:tblCellMar>
          <w:tblLook w:val="04A0" w:firstRow="1" w:lastRow="0" w:firstColumn="1" w:lastColumn="0" w:noHBand="0" w:noVBand="1"/>
        </w:tblPrEx>
        <w:tc>
          <w:tcPr>
            <w:tcW w:w="540" w:type="pct"/>
          </w:tcPr>
          <w:p w14:paraId="009C43D8" w14:textId="77777777" w:rsidR="00401F95" w:rsidRPr="005E1C44" w:rsidRDefault="00401F95" w:rsidP="00C17DC6">
            <w:pPr>
              <w:pStyle w:val="Restrictiontemplate"/>
              <w:rPr>
                <w:sz w:val="20"/>
                <w:szCs w:val="20"/>
              </w:rPr>
            </w:pPr>
          </w:p>
        </w:tc>
        <w:tc>
          <w:tcPr>
            <w:tcW w:w="4460" w:type="pct"/>
            <w:gridSpan w:val="6"/>
          </w:tcPr>
          <w:p w14:paraId="05E35518" w14:textId="77777777" w:rsidR="00401F95" w:rsidRPr="005E1C44" w:rsidRDefault="00401F95" w:rsidP="00C17DC6">
            <w:pPr>
              <w:pStyle w:val="Restrictiontemplate"/>
              <w:rPr>
                <w:rStyle w:val="Strong"/>
                <w:rFonts w:cs="Open Sans"/>
                <w:color w:val="333333"/>
                <w:sz w:val="20"/>
                <w:szCs w:val="20"/>
                <w:bdr w:val="none" w:sz="0" w:space="0" w:color="auto" w:frame="1"/>
              </w:rPr>
            </w:pPr>
          </w:p>
        </w:tc>
      </w:tr>
      <w:tr w:rsidR="00401F95" w:rsidRPr="005E1C44" w14:paraId="714C670A" w14:textId="77777777">
        <w:tblPrEx>
          <w:tblCellMar>
            <w:top w:w="15" w:type="dxa"/>
            <w:left w:w="15" w:type="dxa"/>
            <w:bottom w:w="15" w:type="dxa"/>
            <w:right w:w="15" w:type="dxa"/>
          </w:tblCellMar>
          <w:tblLook w:val="04A0" w:firstRow="1" w:lastRow="0" w:firstColumn="1" w:lastColumn="0" w:noHBand="0" w:noVBand="1"/>
        </w:tblPrEx>
        <w:tc>
          <w:tcPr>
            <w:tcW w:w="540" w:type="pct"/>
          </w:tcPr>
          <w:p w14:paraId="39870B5A" w14:textId="77777777" w:rsidR="00401F95" w:rsidRPr="005E1C44" w:rsidRDefault="00401F95" w:rsidP="00C17DC6">
            <w:pPr>
              <w:pStyle w:val="Restrictiontemplate"/>
              <w:rPr>
                <w:sz w:val="20"/>
                <w:szCs w:val="20"/>
              </w:rPr>
            </w:pPr>
          </w:p>
        </w:tc>
        <w:tc>
          <w:tcPr>
            <w:tcW w:w="4460" w:type="pct"/>
            <w:gridSpan w:val="6"/>
          </w:tcPr>
          <w:p w14:paraId="0CCB60C7" w14:textId="54A468F2" w:rsidR="00401F95" w:rsidRPr="005E1C44" w:rsidRDefault="00401F95" w:rsidP="00C17DC6">
            <w:pPr>
              <w:pStyle w:val="Restrictiontemplate"/>
              <w:rPr>
                <w:rStyle w:val="Strong"/>
                <w:rFonts w:cs="Open Sans"/>
                <w:color w:val="333333"/>
                <w:sz w:val="20"/>
                <w:szCs w:val="20"/>
                <w:bdr w:val="none" w:sz="0" w:space="0" w:color="auto" w:frame="1"/>
              </w:rPr>
            </w:pPr>
            <w:r w:rsidRPr="005E1C44">
              <w:rPr>
                <w:rStyle w:val="Strong"/>
                <w:rFonts w:cs="Open Sans"/>
                <w:color w:val="333333"/>
                <w:sz w:val="20"/>
                <w:szCs w:val="20"/>
                <w:bdr w:val="none" w:sz="0" w:space="0" w:color="auto" w:frame="1"/>
              </w:rPr>
              <w:t xml:space="preserve">Prescribing instructions: </w:t>
            </w:r>
            <w:r w:rsidRPr="005E1C44">
              <w:rPr>
                <w:rStyle w:val="Strong"/>
                <w:rFonts w:cs="Open Sans"/>
                <w:b w:val="0"/>
                <w:bCs w:val="0"/>
                <w:color w:val="333333"/>
                <w:sz w:val="20"/>
                <w:szCs w:val="20"/>
                <w:bdr w:val="none" w:sz="0" w:space="0" w:color="auto" w:frame="1"/>
              </w:rPr>
              <w:t xml:space="preserve">Patients must only receive a maximum of 600 mg every two weeks or </w:t>
            </w:r>
            <w:r w:rsidRPr="005E1C44">
              <w:rPr>
                <w:rStyle w:val="Strong"/>
                <w:rFonts w:cs="Open Sans"/>
                <w:b w:val="0"/>
                <w:bCs w:val="0"/>
                <w:strike/>
                <w:color w:val="333333"/>
                <w:sz w:val="20"/>
                <w:szCs w:val="20"/>
                <w:bdr w:val="none" w:sz="0" w:space="0" w:color="auto" w:frame="1"/>
              </w:rPr>
              <w:t>480</w:t>
            </w:r>
            <w:r w:rsidRPr="005E1C44">
              <w:rPr>
                <w:rStyle w:val="Strong"/>
                <w:rFonts w:cs="Open Sans"/>
                <w:b w:val="0"/>
                <w:bCs w:val="0"/>
                <w:color w:val="333333"/>
                <w:sz w:val="20"/>
                <w:szCs w:val="20"/>
                <w:bdr w:val="none" w:sz="0" w:space="0" w:color="auto" w:frame="1"/>
              </w:rPr>
              <w:t xml:space="preserve"> </w:t>
            </w:r>
            <w:r w:rsidR="003A4BF1" w:rsidRPr="005E1C44">
              <w:rPr>
                <w:rStyle w:val="Strong"/>
                <w:rFonts w:cs="Open Sans"/>
                <w:b w:val="0"/>
                <w:bCs w:val="0"/>
                <w:i/>
                <w:iCs/>
                <w:color w:val="333333"/>
                <w:sz w:val="20"/>
                <w:szCs w:val="20"/>
                <w:bdr w:val="none" w:sz="0" w:space="0" w:color="auto" w:frame="1"/>
              </w:rPr>
              <w:t>1200</w:t>
            </w:r>
            <w:r w:rsidR="003A4BF1" w:rsidRPr="005E1C44">
              <w:rPr>
                <w:rStyle w:val="Strong"/>
                <w:rFonts w:cs="Open Sans"/>
                <w:b w:val="0"/>
                <w:bCs w:val="0"/>
                <w:color w:val="333333"/>
                <w:sz w:val="20"/>
                <w:szCs w:val="20"/>
                <w:bdr w:val="none" w:sz="0" w:space="0" w:color="auto" w:frame="1"/>
              </w:rPr>
              <w:t xml:space="preserve"> </w:t>
            </w:r>
            <w:r w:rsidRPr="005E1C44">
              <w:rPr>
                <w:rStyle w:val="Strong"/>
                <w:rFonts w:cs="Open Sans"/>
                <w:b w:val="0"/>
                <w:bCs w:val="0"/>
                <w:color w:val="333333"/>
                <w:sz w:val="20"/>
                <w:szCs w:val="20"/>
                <w:bdr w:val="none" w:sz="0" w:space="0" w:color="auto" w:frame="1"/>
              </w:rPr>
              <w:t>mg every four weeks under a flat dosing regimen.</w:t>
            </w:r>
          </w:p>
        </w:tc>
      </w:tr>
      <w:tr w:rsidR="00401F95" w:rsidRPr="005E1C44" w14:paraId="11A053C5" w14:textId="77777777">
        <w:tblPrEx>
          <w:tblCellMar>
            <w:top w:w="15" w:type="dxa"/>
            <w:left w:w="15" w:type="dxa"/>
            <w:bottom w:w="15" w:type="dxa"/>
            <w:right w:w="15" w:type="dxa"/>
          </w:tblCellMar>
          <w:tblLook w:val="04A0" w:firstRow="1" w:lastRow="0" w:firstColumn="1" w:lastColumn="0" w:noHBand="0" w:noVBand="1"/>
        </w:tblPrEx>
        <w:tc>
          <w:tcPr>
            <w:tcW w:w="540" w:type="pct"/>
          </w:tcPr>
          <w:p w14:paraId="1B19E60B" w14:textId="77777777" w:rsidR="00401F95" w:rsidRPr="005E1C44" w:rsidRDefault="00401F95" w:rsidP="00C17DC6">
            <w:pPr>
              <w:pStyle w:val="Restrictiontemplate"/>
              <w:rPr>
                <w:sz w:val="20"/>
                <w:szCs w:val="20"/>
              </w:rPr>
            </w:pPr>
          </w:p>
        </w:tc>
        <w:tc>
          <w:tcPr>
            <w:tcW w:w="4460" w:type="pct"/>
            <w:gridSpan w:val="6"/>
          </w:tcPr>
          <w:p w14:paraId="4B9AEDC4" w14:textId="77777777" w:rsidR="00401F95" w:rsidRPr="005E1C44" w:rsidRDefault="00401F95" w:rsidP="00C17DC6">
            <w:pPr>
              <w:pStyle w:val="Restrictiontemplate"/>
              <w:rPr>
                <w:rStyle w:val="Strong"/>
                <w:rFonts w:cs="Open Sans"/>
                <w:color w:val="333333"/>
                <w:sz w:val="20"/>
                <w:szCs w:val="20"/>
                <w:bdr w:val="none" w:sz="0" w:space="0" w:color="auto" w:frame="1"/>
              </w:rPr>
            </w:pPr>
          </w:p>
        </w:tc>
      </w:tr>
      <w:tr w:rsidR="00401F95" w:rsidRPr="005E1C44" w14:paraId="5D53A27A" w14:textId="77777777">
        <w:tblPrEx>
          <w:tblCellMar>
            <w:top w:w="15" w:type="dxa"/>
            <w:left w:w="15" w:type="dxa"/>
            <w:bottom w:w="15" w:type="dxa"/>
            <w:right w:w="15" w:type="dxa"/>
          </w:tblCellMar>
          <w:tblLook w:val="04A0" w:firstRow="1" w:lastRow="0" w:firstColumn="1" w:lastColumn="0" w:noHBand="0" w:noVBand="1"/>
        </w:tblPrEx>
        <w:tc>
          <w:tcPr>
            <w:tcW w:w="540" w:type="pct"/>
          </w:tcPr>
          <w:p w14:paraId="4EBA5EB1" w14:textId="77777777" w:rsidR="00401F95" w:rsidRPr="005E1C44" w:rsidRDefault="00401F95" w:rsidP="00C17DC6">
            <w:pPr>
              <w:pStyle w:val="Restrictiontemplate"/>
              <w:rPr>
                <w:sz w:val="20"/>
                <w:szCs w:val="20"/>
              </w:rPr>
            </w:pPr>
          </w:p>
        </w:tc>
        <w:tc>
          <w:tcPr>
            <w:tcW w:w="4460" w:type="pct"/>
            <w:gridSpan w:val="6"/>
            <w:vAlign w:val="center"/>
          </w:tcPr>
          <w:p w14:paraId="5ECF99FF" w14:textId="77777777" w:rsidR="00401F95" w:rsidRPr="005E1C44" w:rsidRDefault="00401F95" w:rsidP="00C17DC6">
            <w:pPr>
              <w:pStyle w:val="Restrictiontemplate"/>
              <w:rPr>
                <w:rStyle w:val="Strong"/>
                <w:rFonts w:cs="Open Sans"/>
                <w:color w:val="333333"/>
                <w:sz w:val="20"/>
                <w:szCs w:val="20"/>
                <w:bdr w:val="none" w:sz="0" w:space="0" w:color="auto" w:frame="1"/>
              </w:rPr>
            </w:pPr>
            <w:r w:rsidRPr="005E1C44">
              <w:rPr>
                <w:b/>
                <w:bCs/>
                <w:sz w:val="20"/>
                <w:szCs w:val="20"/>
              </w:rPr>
              <w:t>Administrative Advice:</w:t>
            </w:r>
            <w:r w:rsidRPr="005E1C44">
              <w:rPr>
                <w:sz w:val="20"/>
                <w:szCs w:val="20"/>
              </w:rPr>
              <w:t xml:space="preserve"> No increase in the maximum number of repeats may be authorised.</w:t>
            </w:r>
          </w:p>
        </w:tc>
      </w:tr>
      <w:tr w:rsidR="00401F95" w:rsidRPr="005E1C44" w14:paraId="19B83EF3" w14:textId="77777777">
        <w:tblPrEx>
          <w:tblCellMar>
            <w:top w:w="15" w:type="dxa"/>
            <w:left w:w="15" w:type="dxa"/>
            <w:bottom w:w="15" w:type="dxa"/>
            <w:right w:w="15" w:type="dxa"/>
          </w:tblCellMar>
          <w:tblLook w:val="04A0" w:firstRow="1" w:lastRow="0" w:firstColumn="1" w:lastColumn="0" w:noHBand="0" w:noVBand="1"/>
        </w:tblPrEx>
        <w:tc>
          <w:tcPr>
            <w:tcW w:w="540" w:type="pct"/>
          </w:tcPr>
          <w:p w14:paraId="6C8D102A" w14:textId="77777777" w:rsidR="00401F95" w:rsidRPr="005E1C44" w:rsidRDefault="00401F95" w:rsidP="00C17DC6">
            <w:pPr>
              <w:pStyle w:val="Restrictiontemplate"/>
              <w:rPr>
                <w:sz w:val="20"/>
                <w:szCs w:val="20"/>
              </w:rPr>
            </w:pPr>
          </w:p>
        </w:tc>
        <w:tc>
          <w:tcPr>
            <w:tcW w:w="4460" w:type="pct"/>
            <w:gridSpan w:val="6"/>
            <w:vAlign w:val="center"/>
          </w:tcPr>
          <w:p w14:paraId="7AB20008" w14:textId="77777777" w:rsidR="00401F95" w:rsidRPr="005E1C44" w:rsidRDefault="00401F95" w:rsidP="00C17DC6">
            <w:pPr>
              <w:pStyle w:val="Restrictiontemplate"/>
              <w:rPr>
                <w:rStyle w:val="Strong"/>
                <w:rFonts w:cs="Open Sans"/>
                <w:color w:val="333333"/>
                <w:sz w:val="20"/>
                <w:szCs w:val="20"/>
                <w:bdr w:val="none" w:sz="0" w:space="0" w:color="auto" w:frame="1"/>
              </w:rPr>
            </w:pPr>
            <w:r w:rsidRPr="005E1C44">
              <w:rPr>
                <w:b/>
                <w:bCs/>
                <w:sz w:val="20"/>
                <w:szCs w:val="20"/>
              </w:rPr>
              <w:t xml:space="preserve">Administrative Advice: </w:t>
            </w:r>
            <w:r w:rsidRPr="005E1C44">
              <w:rPr>
                <w:sz w:val="20"/>
                <w:szCs w:val="20"/>
              </w:rPr>
              <w:t>Special Pricing Arrangements apply.</w:t>
            </w:r>
          </w:p>
        </w:tc>
      </w:tr>
    </w:tbl>
    <w:p w14:paraId="5812051B" w14:textId="77777777" w:rsidR="00401F95" w:rsidRPr="00F87641" w:rsidRDefault="00401F95" w:rsidP="00C17DC6">
      <w:pPr>
        <w:pStyle w:val="3-BodyText"/>
        <w:numPr>
          <w:ilvl w:val="0"/>
          <w:numId w:val="0"/>
        </w:numPr>
        <w:rPr>
          <w:rFonts w:cstheme="minorHAnsi"/>
          <w:iCs/>
        </w:rPr>
      </w:pPr>
    </w:p>
    <w:p w14:paraId="79CCC765" w14:textId="77777777" w:rsidR="00845408" w:rsidRPr="00AA6DD6" w:rsidRDefault="00845408" w:rsidP="00C17DC6">
      <w:pPr>
        <w:pStyle w:val="3-BodyText"/>
        <w:rPr>
          <w:rFonts w:cstheme="minorHAnsi"/>
          <w:iCs/>
        </w:rPr>
      </w:pPr>
      <w:r w:rsidRPr="00AA6DD6">
        <w:rPr>
          <w:rFonts w:cstheme="minorHAnsi"/>
          <w:iCs/>
        </w:rPr>
        <w:t>The PB</w:t>
      </w:r>
      <w:r>
        <w:rPr>
          <w:rFonts w:cstheme="minorHAnsi"/>
          <w:iCs/>
        </w:rPr>
        <w:t>S</w:t>
      </w:r>
      <w:r w:rsidRPr="00AA6DD6">
        <w:rPr>
          <w:rFonts w:cstheme="minorHAnsi"/>
          <w:iCs/>
        </w:rPr>
        <w:t xml:space="preserve"> indications requested in the submission for NIVO SC are:</w:t>
      </w:r>
    </w:p>
    <w:p w14:paraId="400A5E9C" w14:textId="77777777" w:rsidR="00845408" w:rsidRPr="0049185D" w:rsidRDefault="00845408" w:rsidP="00C17DC6">
      <w:pPr>
        <w:pStyle w:val="ListParagraph"/>
        <w:rPr>
          <w:rFonts w:cstheme="minorHAnsi"/>
          <w:i/>
        </w:rPr>
      </w:pPr>
      <w:r>
        <w:rPr>
          <w:rFonts w:cstheme="minorHAnsi"/>
          <w:iCs/>
        </w:rPr>
        <w:t>Stage IIIB, IIIC, IIID, or Stage IV malignant melanoma</w:t>
      </w:r>
    </w:p>
    <w:p w14:paraId="68DC5652" w14:textId="31CAEBEF" w:rsidR="00845408" w:rsidRPr="0049185D" w:rsidRDefault="00845408" w:rsidP="00C17DC6">
      <w:pPr>
        <w:pStyle w:val="ListParagraph"/>
        <w:rPr>
          <w:rFonts w:cstheme="minorHAnsi"/>
          <w:i/>
        </w:rPr>
      </w:pPr>
      <w:r>
        <w:rPr>
          <w:rFonts w:cstheme="minorHAnsi"/>
          <w:iCs/>
        </w:rPr>
        <w:t>Unresectable Stage III or Stage IV malignant melanoma</w:t>
      </w:r>
    </w:p>
    <w:p w14:paraId="67E864D9" w14:textId="77777777" w:rsidR="00845408" w:rsidRPr="00961E62" w:rsidRDefault="00845408" w:rsidP="00C17DC6">
      <w:pPr>
        <w:pStyle w:val="ListParagraph"/>
        <w:rPr>
          <w:rFonts w:cstheme="minorHAnsi"/>
          <w:i/>
        </w:rPr>
      </w:pPr>
      <w:r>
        <w:rPr>
          <w:rFonts w:cstheme="minorHAnsi"/>
          <w:iCs/>
        </w:rPr>
        <w:t>Locally advanced or metastatic non-small cell lung cancer (NSCLC)</w:t>
      </w:r>
    </w:p>
    <w:p w14:paraId="5971C999" w14:textId="77777777" w:rsidR="00845408" w:rsidRPr="00961E62" w:rsidRDefault="00845408" w:rsidP="00C17DC6">
      <w:pPr>
        <w:pStyle w:val="ListParagraph"/>
        <w:rPr>
          <w:rFonts w:cstheme="minorHAnsi"/>
          <w:i/>
        </w:rPr>
      </w:pPr>
      <w:r>
        <w:rPr>
          <w:rFonts w:cstheme="minorHAnsi"/>
          <w:iCs/>
        </w:rPr>
        <w:t>Stage IV clear cell variant renal cell carcinoma (RCC)</w:t>
      </w:r>
    </w:p>
    <w:p w14:paraId="7D4FDA94" w14:textId="77777777" w:rsidR="00845408" w:rsidRPr="00961E62" w:rsidRDefault="00845408" w:rsidP="00C17DC6">
      <w:pPr>
        <w:pStyle w:val="ListParagraph"/>
        <w:rPr>
          <w:rFonts w:cstheme="minorHAnsi"/>
          <w:i/>
        </w:rPr>
      </w:pPr>
      <w:r>
        <w:rPr>
          <w:rFonts w:cstheme="minorHAnsi"/>
          <w:iCs/>
        </w:rPr>
        <w:t>Recurrent or metastatic squamous cell carcinoma of the oral cavity, pharynx or larynx</w:t>
      </w:r>
    </w:p>
    <w:p w14:paraId="7B816476" w14:textId="77777777" w:rsidR="00845408" w:rsidRPr="00961E62" w:rsidRDefault="00845408" w:rsidP="00C17DC6">
      <w:pPr>
        <w:pStyle w:val="ListParagraph"/>
        <w:rPr>
          <w:rFonts w:cstheme="minorHAnsi"/>
          <w:i/>
        </w:rPr>
      </w:pPr>
      <w:r>
        <w:rPr>
          <w:rFonts w:cstheme="minorHAnsi"/>
          <w:iCs/>
        </w:rPr>
        <w:t>Urothelial carcinoma</w:t>
      </w:r>
    </w:p>
    <w:p w14:paraId="2DF7F715" w14:textId="77777777" w:rsidR="00845408" w:rsidRPr="00D21496" w:rsidRDefault="00845408" w:rsidP="00C17DC6">
      <w:pPr>
        <w:pStyle w:val="ListParagraph"/>
        <w:rPr>
          <w:rFonts w:cstheme="minorHAnsi"/>
          <w:i/>
        </w:rPr>
      </w:pPr>
      <w:r>
        <w:rPr>
          <w:rFonts w:cstheme="minorHAnsi"/>
          <w:iCs/>
        </w:rPr>
        <w:t>Unresectable or metastatic urothelial carcinoma</w:t>
      </w:r>
    </w:p>
    <w:p w14:paraId="1CCEAFFB" w14:textId="77777777" w:rsidR="00845408" w:rsidRPr="00340AD9" w:rsidRDefault="00845408" w:rsidP="00C17DC6">
      <w:pPr>
        <w:pStyle w:val="ListParagraph"/>
        <w:rPr>
          <w:rFonts w:cstheme="minorHAnsi"/>
          <w:i/>
        </w:rPr>
      </w:pPr>
      <w:r>
        <w:rPr>
          <w:rFonts w:cstheme="minorHAnsi"/>
          <w:iCs/>
        </w:rPr>
        <w:t>Advanced or metastatic gastro-oesophageal cancers</w:t>
      </w:r>
    </w:p>
    <w:p w14:paraId="4041F15F" w14:textId="77777777" w:rsidR="00845408" w:rsidRPr="00B972CE" w:rsidRDefault="00845408" w:rsidP="00C17DC6">
      <w:pPr>
        <w:pStyle w:val="ListParagraph"/>
        <w:rPr>
          <w:rFonts w:cstheme="minorHAnsi"/>
          <w:i/>
        </w:rPr>
      </w:pPr>
      <w:r>
        <w:rPr>
          <w:rFonts w:cstheme="minorHAnsi"/>
          <w:iCs/>
        </w:rPr>
        <w:t>Adjuvant treatment of Stage II or III oesophageal cancer or gastro-oesophageal junction cancer</w:t>
      </w:r>
    </w:p>
    <w:p w14:paraId="30BDE1A4" w14:textId="0392A837" w:rsidR="00E02C75" w:rsidRDefault="00D53366" w:rsidP="00C17DC6">
      <w:pPr>
        <w:pStyle w:val="3-BodyText"/>
      </w:pPr>
      <w:r>
        <w:t xml:space="preserve">Noting that the </w:t>
      </w:r>
      <w:r w:rsidR="00474D07">
        <w:t>‘</w:t>
      </w:r>
      <w:r>
        <w:t>broad listing</w:t>
      </w:r>
      <w:r w:rsidR="00474D07">
        <w:t>’</w:t>
      </w:r>
      <w:r w:rsidR="00727F55">
        <w:t xml:space="preserve"> was anticipated to be implemented in early 2026,</w:t>
      </w:r>
      <w:r w:rsidR="00474D07">
        <w:t xml:space="preserve"> </w:t>
      </w:r>
      <w:r w:rsidR="00E02C75">
        <w:t>the submission</w:t>
      </w:r>
      <w:r w:rsidR="00252C19">
        <w:t xml:space="preserve"> also</w:t>
      </w:r>
      <w:r w:rsidR="00905B13">
        <w:t xml:space="preserve"> </w:t>
      </w:r>
      <w:r w:rsidR="000D7714">
        <w:t>requested ‘</w:t>
      </w:r>
      <w:r w:rsidR="007B1CFE">
        <w:t>broad listing’ restrictions</w:t>
      </w:r>
      <w:r w:rsidR="00AC6A6F">
        <w:t xml:space="preserve"> for NIVO SC as set out below.</w:t>
      </w:r>
      <w:r w:rsidR="00E02C75">
        <w:t xml:space="preserve"> </w:t>
      </w:r>
    </w:p>
    <w:p w14:paraId="657FF95B" w14:textId="051F922A" w:rsidR="00AE3A4B" w:rsidRDefault="004C6432" w:rsidP="00C17DC6">
      <w:pPr>
        <w:pStyle w:val="3-BodyText"/>
      </w:pPr>
      <w:r w:rsidRPr="004C6432">
        <w:t>The proposed</w:t>
      </w:r>
      <w:r w:rsidR="001F4775">
        <w:t xml:space="preserve"> ‘broad listing’</w:t>
      </w:r>
      <w:r w:rsidRPr="004C6432">
        <w:t xml:space="preserve"> restriction</w:t>
      </w:r>
      <w:r w:rsidR="005208E0">
        <w:t xml:space="preserve"> </w:t>
      </w:r>
      <w:r w:rsidR="000D7714">
        <w:t>wording</w:t>
      </w:r>
      <w:r w:rsidR="000D7714" w:rsidRPr="004C6432">
        <w:t>’</w:t>
      </w:r>
      <w:r w:rsidRPr="004C6432">
        <w:t xml:space="preserve"> is based on the recommended </w:t>
      </w:r>
      <w:r w:rsidR="00DD04F4">
        <w:t xml:space="preserve">listing in the July 2025 </w:t>
      </w:r>
      <w:r w:rsidR="006144CF">
        <w:t>nivolumab</w:t>
      </w:r>
      <w:r w:rsidR="000F3499">
        <w:t xml:space="preserve"> and ipilimumab</w:t>
      </w:r>
      <w:r w:rsidR="006144CF">
        <w:t xml:space="preserve"> PSD with September 2025 addendum</w:t>
      </w:r>
      <w:r w:rsidR="00DD04F4" w:rsidRPr="004C6432">
        <w:t xml:space="preserve"> </w:t>
      </w:r>
      <w:r w:rsidRPr="004C6432">
        <w:t>for the ‘</w:t>
      </w:r>
      <w:r w:rsidR="000D7714" w:rsidRPr="004C6432">
        <w:t>broad listing</w:t>
      </w:r>
      <w:r w:rsidRPr="004C6432">
        <w:t>’.</w:t>
      </w:r>
      <w:r w:rsidR="00C17DC6">
        <w:t xml:space="preserve"> </w:t>
      </w:r>
    </w:p>
    <w:p w14:paraId="6227BBD1" w14:textId="77777777" w:rsidR="00AE3A4B" w:rsidRDefault="00AE3A4B" w:rsidP="00C17DC6">
      <w:pPr>
        <w:jc w:val="left"/>
        <w:rPr>
          <w:rFonts w:asciiTheme="minorHAnsi" w:eastAsiaTheme="minorHAnsi" w:hAnsiTheme="minorHAnsi" w:cstheme="minorBidi"/>
          <w:szCs w:val="22"/>
        </w:rPr>
      </w:pPr>
      <w:r>
        <w:br w:type="page"/>
      </w:r>
    </w:p>
    <w:p w14:paraId="34D3AA0F" w14:textId="5D70797C" w:rsidR="00E32FF7" w:rsidRDefault="00AC6A6F" w:rsidP="00C17DC6">
      <w:pPr>
        <w:pStyle w:val="3-BodyText"/>
      </w:pPr>
      <w:r>
        <w:lastRenderedPageBreak/>
        <w:t xml:space="preserve">An outline of the proposed NIVO SC restrictions with the Secretariat suggested </w:t>
      </w:r>
      <w:r w:rsidR="00A00435">
        <w:t xml:space="preserve">changes in </w:t>
      </w:r>
      <w:r w:rsidR="00A00435" w:rsidRPr="007617A5">
        <w:rPr>
          <w:i/>
          <w:iCs/>
        </w:rPr>
        <w:t>italics</w:t>
      </w:r>
      <w:r w:rsidR="00A00435">
        <w:t xml:space="preserve"> and </w:t>
      </w:r>
      <w:r w:rsidR="009D0077">
        <w:t xml:space="preserve">amendments in </w:t>
      </w:r>
      <w:r w:rsidR="009D0077" w:rsidRPr="007617A5">
        <w:rPr>
          <w:strike/>
        </w:rPr>
        <w:t>strikethrough</w:t>
      </w:r>
      <w:r w:rsidR="009D0077">
        <w:t xml:space="preserve"> from the restrictions above:</w:t>
      </w:r>
      <w:r w:rsidR="00A0043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3.8 An outline of the proposed NIVO SC restrictions with the Secretariat suggested changes in italics and amendments in strikethrough from the restrictions above"/>
      </w:tblPr>
      <w:tblGrid>
        <w:gridCol w:w="1269"/>
        <w:gridCol w:w="1825"/>
        <w:gridCol w:w="1973"/>
        <w:gridCol w:w="1973"/>
        <w:gridCol w:w="1976"/>
      </w:tblGrid>
      <w:tr w:rsidR="00E34C33" w:rsidRPr="00E34C33" w14:paraId="1F77F4A8" w14:textId="77777777" w:rsidTr="0094413B">
        <w:trPr>
          <w:cantSplit/>
          <w:trHeight w:val="20"/>
        </w:trPr>
        <w:tc>
          <w:tcPr>
            <w:tcW w:w="1716" w:type="pct"/>
            <w:gridSpan w:val="2"/>
            <w:vAlign w:val="center"/>
          </w:tcPr>
          <w:p w14:paraId="58CDFD77"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MEDICINAL PRODUCT</w:t>
            </w:r>
          </w:p>
          <w:p w14:paraId="71819824"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Form</w:t>
            </w:r>
          </w:p>
        </w:tc>
        <w:tc>
          <w:tcPr>
            <w:tcW w:w="1094" w:type="pct"/>
            <w:vAlign w:val="center"/>
          </w:tcPr>
          <w:p w14:paraId="13B69C16"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PBS item code</w:t>
            </w:r>
          </w:p>
        </w:tc>
        <w:tc>
          <w:tcPr>
            <w:tcW w:w="1094" w:type="pct"/>
            <w:vAlign w:val="center"/>
          </w:tcPr>
          <w:p w14:paraId="5F8EA6F8"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Max. Amount</w:t>
            </w:r>
          </w:p>
        </w:tc>
        <w:tc>
          <w:tcPr>
            <w:tcW w:w="1096" w:type="pct"/>
            <w:vAlign w:val="center"/>
          </w:tcPr>
          <w:p w14:paraId="7EA87406" w14:textId="75C33FA8" w:rsidR="00E34C33" w:rsidRPr="00E34C33" w:rsidRDefault="00715825" w:rsidP="00C17DC6">
            <w:pPr>
              <w:rPr>
                <w:rFonts w:ascii="Arial Narrow" w:hAnsi="Arial Narrow"/>
                <w:sz w:val="18"/>
                <w:szCs w:val="18"/>
              </w:rPr>
            </w:pPr>
            <w:r w:rsidRPr="00E34C33">
              <w:rPr>
                <w:rFonts w:ascii="Arial Narrow" w:hAnsi="Arial Narrow"/>
                <w:sz w:val="18"/>
                <w:szCs w:val="18"/>
              </w:rPr>
              <w:t>№. of</w:t>
            </w:r>
            <w:r w:rsidR="00E34C33" w:rsidRPr="00E34C33">
              <w:rPr>
                <w:rFonts w:ascii="Arial Narrow" w:hAnsi="Arial Narrow"/>
                <w:sz w:val="18"/>
                <w:szCs w:val="18"/>
              </w:rPr>
              <w:t xml:space="preserve"> Rpts</w:t>
            </w:r>
          </w:p>
        </w:tc>
      </w:tr>
      <w:tr w:rsidR="00E34C33" w:rsidRPr="00E34C33" w14:paraId="1ECA41EF" w14:textId="77777777" w:rsidTr="0094413B">
        <w:trPr>
          <w:cantSplit/>
          <w:trHeight w:val="20"/>
        </w:trPr>
        <w:tc>
          <w:tcPr>
            <w:tcW w:w="1716" w:type="pct"/>
            <w:gridSpan w:val="2"/>
            <w:vAlign w:val="center"/>
          </w:tcPr>
          <w:p w14:paraId="57F188DA"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NIVOLUMAB subcutaneous injection</w:t>
            </w:r>
          </w:p>
        </w:tc>
        <w:tc>
          <w:tcPr>
            <w:tcW w:w="1094" w:type="pct"/>
            <w:vAlign w:val="center"/>
          </w:tcPr>
          <w:p w14:paraId="681BF965"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NEW (CT)</w:t>
            </w:r>
          </w:p>
          <w:p w14:paraId="143B8E9B"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NEW (GE)</w:t>
            </w:r>
          </w:p>
        </w:tc>
        <w:tc>
          <w:tcPr>
            <w:tcW w:w="1094" w:type="pct"/>
            <w:vAlign w:val="center"/>
          </w:tcPr>
          <w:p w14:paraId="4BDA8DE6"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1200mg</w:t>
            </w:r>
          </w:p>
        </w:tc>
        <w:tc>
          <w:tcPr>
            <w:tcW w:w="1096" w:type="pct"/>
            <w:vAlign w:val="center"/>
          </w:tcPr>
          <w:p w14:paraId="1A82963C" w14:textId="77777777" w:rsidR="00E34C33" w:rsidRPr="00E34C33" w:rsidRDefault="00E34C33" w:rsidP="00C17DC6">
            <w:pPr>
              <w:rPr>
                <w:rFonts w:ascii="Arial Narrow" w:hAnsi="Arial Narrow"/>
                <w:i/>
                <w:iCs/>
                <w:sz w:val="18"/>
                <w:szCs w:val="18"/>
              </w:rPr>
            </w:pPr>
            <w:r w:rsidRPr="00E34C33">
              <w:rPr>
                <w:rFonts w:ascii="Arial Narrow" w:hAnsi="Arial Narrow"/>
                <w:sz w:val="18"/>
                <w:szCs w:val="18"/>
              </w:rPr>
              <w:t>13</w:t>
            </w:r>
          </w:p>
        </w:tc>
      </w:tr>
      <w:tr w:rsidR="00E34C33" w:rsidRPr="00E34C33" w14:paraId="2D31579D" w14:textId="77777777" w:rsidTr="0094413B">
        <w:trPr>
          <w:cantSplit/>
          <w:trHeight w:val="20"/>
        </w:trPr>
        <w:tc>
          <w:tcPr>
            <w:tcW w:w="5000" w:type="pct"/>
            <w:gridSpan w:val="5"/>
            <w:vAlign w:val="center"/>
          </w:tcPr>
          <w:p w14:paraId="505021E6"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 xml:space="preserve">Available brands </w:t>
            </w:r>
          </w:p>
        </w:tc>
      </w:tr>
      <w:tr w:rsidR="00E34C33" w:rsidRPr="00E34C33" w14:paraId="2A9B8BBA" w14:textId="77777777" w:rsidTr="0094413B">
        <w:trPr>
          <w:cantSplit/>
          <w:trHeight w:val="20"/>
        </w:trPr>
        <w:tc>
          <w:tcPr>
            <w:tcW w:w="5000" w:type="pct"/>
            <w:gridSpan w:val="5"/>
          </w:tcPr>
          <w:p w14:paraId="58FADA74"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nivolumab 600 mg/5 mL solution for subcutaneous injection</w:t>
            </w:r>
          </w:p>
        </w:tc>
      </w:tr>
      <w:tr w:rsidR="00E34C33" w:rsidRPr="00E34C33" w14:paraId="02876C8C" w14:textId="77777777" w:rsidTr="0094413B">
        <w:trPr>
          <w:cantSplit/>
          <w:trHeight w:val="20"/>
        </w:trPr>
        <w:tc>
          <w:tcPr>
            <w:tcW w:w="5000" w:type="pct"/>
            <w:gridSpan w:val="5"/>
            <w:vAlign w:val="center"/>
          </w:tcPr>
          <w:p w14:paraId="2C4C3484" w14:textId="77777777" w:rsidR="00E34C33" w:rsidRPr="00E34C33" w:rsidRDefault="00E34C33" w:rsidP="00C17DC6">
            <w:pPr>
              <w:rPr>
                <w:rFonts w:ascii="Arial Narrow" w:hAnsi="Arial Narrow"/>
                <w:sz w:val="18"/>
                <w:szCs w:val="18"/>
              </w:rPr>
            </w:pPr>
          </w:p>
        </w:tc>
      </w:tr>
      <w:tr w:rsidR="00E34C33" w:rsidRPr="00E34C33" w14:paraId="7EC7131B" w14:textId="77777777" w:rsidTr="0094413B">
        <w:trPr>
          <w:cantSplit/>
          <w:trHeight w:val="20"/>
        </w:trPr>
        <w:tc>
          <w:tcPr>
            <w:tcW w:w="5000" w:type="pct"/>
            <w:gridSpan w:val="5"/>
            <w:vAlign w:val="center"/>
          </w:tcPr>
          <w:p w14:paraId="205BDA01" w14:textId="77777777" w:rsidR="00E34C33" w:rsidRPr="00E34C33" w:rsidRDefault="00E34C33" w:rsidP="00C17DC6">
            <w:pPr>
              <w:rPr>
                <w:rFonts w:ascii="Arial Narrow" w:hAnsi="Arial Narrow"/>
                <w:color w:val="FF0000"/>
                <w:sz w:val="18"/>
                <w:szCs w:val="18"/>
              </w:rPr>
            </w:pPr>
            <w:r w:rsidRPr="00E34C33">
              <w:rPr>
                <w:rFonts w:ascii="Arial Narrow" w:hAnsi="Arial Narrow"/>
                <w:sz w:val="18"/>
                <w:szCs w:val="18"/>
              </w:rPr>
              <w:t>Restriction Summary [new1] / Treatment of Concept: [new1A]</w:t>
            </w:r>
          </w:p>
        </w:tc>
      </w:tr>
      <w:tr w:rsidR="00E34C33" w:rsidRPr="00E34C33" w14:paraId="25E68EA5" w14:textId="77777777" w:rsidTr="0094413B">
        <w:tblPrEx>
          <w:tblCellMar>
            <w:top w:w="15" w:type="dxa"/>
            <w:bottom w:w="15" w:type="dxa"/>
          </w:tblCellMar>
          <w:tblLook w:val="04A0" w:firstRow="1" w:lastRow="0" w:firstColumn="1" w:lastColumn="0" w:noHBand="0" w:noVBand="1"/>
        </w:tblPrEx>
        <w:trPr>
          <w:cantSplit/>
          <w:trHeight w:val="20"/>
        </w:trPr>
        <w:tc>
          <w:tcPr>
            <w:tcW w:w="704" w:type="pct"/>
            <w:vMerge w:val="restart"/>
          </w:tcPr>
          <w:p w14:paraId="3634F33D" w14:textId="77777777" w:rsidR="00E34C33" w:rsidRPr="00E34C33" w:rsidRDefault="00E34C33" w:rsidP="00C17DC6">
            <w:pPr>
              <w:rPr>
                <w:rFonts w:ascii="Arial Narrow" w:hAnsi="Arial Narrow"/>
                <w:sz w:val="18"/>
                <w:szCs w:val="18"/>
              </w:rPr>
            </w:pPr>
          </w:p>
        </w:tc>
        <w:tc>
          <w:tcPr>
            <w:tcW w:w="4296" w:type="pct"/>
            <w:gridSpan w:val="4"/>
          </w:tcPr>
          <w:p w14:paraId="28642B86" w14:textId="77777777" w:rsidR="00E34C33" w:rsidRPr="00E34C33" w:rsidRDefault="00E34C33" w:rsidP="00C17DC6">
            <w:pPr>
              <w:rPr>
                <w:rFonts w:ascii="Arial Narrow" w:hAnsi="Arial Narrow"/>
                <w:sz w:val="18"/>
                <w:szCs w:val="18"/>
              </w:rPr>
            </w:pPr>
            <w:r w:rsidRPr="00E34C33">
              <w:rPr>
                <w:rFonts w:ascii="Arial Narrow" w:hAnsi="Arial Narrow"/>
                <w:b/>
                <w:sz w:val="18"/>
                <w:szCs w:val="18"/>
              </w:rPr>
              <w:t xml:space="preserve">Category / Program: </w:t>
            </w:r>
            <w:r w:rsidRPr="00E34C33">
              <w:rPr>
                <w:rFonts w:ascii="Arial Narrow" w:hAnsi="Arial Narrow"/>
                <w:sz w:val="18"/>
                <w:szCs w:val="18"/>
              </w:rPr>
              <w:t>Section 100 – Chemotherapy Related Benefits (CT) and General Schedule (GE)</w:t>
            </w:r>
          </w:p>
        </w:tc>
      </w:tr>
      <w:tr w:rsidR="00E34C33" w:rsidRPr="00E34C33" w14:paraId="44559A3D" w14:textId="77777777" w:rsidTr="0094413B">
        <w:tblPrEx>
          <w:tblCellMar>
            <w:top w:w="15" w:type="dxa"/>
            <w:bottom w:w="15" w:type="dxa"/>
          </w:tblCellMar>
          <w:tblLook w:val="04A0" w:firstRow="1" w:lastRow="0" w:firstColumn="1" w:lastColumn="0" w:noHBand="0" w:noVBand="1"/>
        </w:tblPrEx>
        <w:trPr>
          <w:cantSplit/>
          <w:trHeight w:val="20"/>
        </w:trPr>
        <w:tc>
          <w:tcPr>
            <w:tcW w:w="704" w:type="pct"/>
            <w:vMerge/>
          </w:tcPr>
          <w:p w14:paraId="18FB170D" w14:textId="77777777" w:rsidR="00E34C33" w:rsidRPr="00E34C33" w:rsidRDefault="00E34C33" w:rsidP="00C17DC6">
            <w:pPr>
              <w:rPr>
                <w:rFonts w:ascii="Arial Narrow" w:hAnsi="Arial Narrow"/>
                <w:sz w:val="18"/>
                <w:szCs w:val="18"/>
              </w:rPr>
            </w:pPr>
          </w:p>
        </w:tc>
        <w:tc>
          <w:tcPr>
            <w:tcW w:w="4296" w:type="pct"/>
            <w:gridSpan w:val="4"/>
          </w:tcPr>
          <w:p w14:paraId="73B00FA8" w14:textId="77777777" w:rsidR="00E34C33" w:rsidRPr="00E34C33" w:rsidRDefault="00E34C33" w:rsidP="00C17DC6">
            <w:pPr>
              <w:rPr>
                <w:rFonts w:ascii="Arial Narrow" w:hAnsi="Arial Narrow"/>
                <w:b/>
                <w:sz w:val="18"/>
                <w:szCs w:val="18"/>
              </w:rPr>
            </w:pPr>
            <w:r w:rsidRPr="00E34C33">
              <w:rPr>
                <w:rFonts w:ascii="Arial Narrow" w:hAnsi="Arial Narrow"/>
                <w:b/>
                <w:sz w:val="18"/>
                <w:szCs w:val="18"/>
              </w:rPr>
              <w:t xml:space="preserve">Prescriber type: </w:t>
            </w:r>
            <w:r w:rsidRPr="00E34C33">
              <w:rPr>
                <w:rFonts w:ascii="Arial Narrow" w:hAnsi="Arial Narrow"/>
                <w:sz w:val="18"/>
                <w:szCs w:val="18"/>
              </w:rPr>
              <w:fldChar w:fldCharType="begin">
                <w:ffData>
                  <w:name w:val=""/>
                  <w:enabled/>
                  <w:calcOnExit w:val="0"/>
                  <w:checkBox>
                    <w:sizeAuto/>
                    <w:default w:val="1"/>
                  </w:checkBox>
                </w:ffData>
              </w:fldChar>
            </w:r>
            <w:r w:rsidRPr="00E34C33">
              <w:rPr>
                <w:rFonts w:ascii="Arial Narrow" w:hAnsi="Arial Narrow"/>
                <w:sz w:val="18"/>
                <w:szCs w:val="18"/>
              </w:rPr>
              <w:instrText xml:space="preserve"> FORMCHECKBOX </w:instrText>
            </w:r>
            <w:r w:rsidRPr="00E34C33">
              <w:rPr>
                <w:rFonts w:ascii="Arial Narrow" w:hAnsi="Arial Narrow"/>
                <w:sz w:val="18"/>
                <w:szCs w:val="18"/>
              </w:rPr>
            </w:r>
            <w:r w:rsidRPr="00E34C33">
              <w:rPr>
                <w:rFonts w:ascii="Arial Narrow" w:hAnsi="Arial Narrow"/>
                <w:sz w:val="18"/>
                <w:szCs w:val="18"/>
              </w:rPr>
              <w:fldChar w:fldCharType="separate"/>
            </w:r>
            <w:r w:rsidRPr="00E34C33">
              <w:rPr>
                <w:rFonts w:ascii="Arial Narrow" w:hAnsi="Arial Narrow"/>
                <w:sz w:val="18"/>
                <w:szCs w:val="18"/>
              </w:rPr>
              <w:fldChar w:fldCharType="end"/>
            </w:r>
            <w:r w:rsidRPr="00E34C33">
              <w:rPr>
                <w:rFonts w:ascii="Arial Narrow" w:hAnsi="Arial Narrow"/>
                <w:sz w:val="18"/>
                <w:szCs w:val="18"/>
              </w:rPr>
              <w:t xml:space="preserve">Medical Practitioners </w:t>
            </w:r>
          </w:p>
        </w:tc>
      </w:tr>
      <w:tr w:rsidR="00E34C33" w:rsidRPr="00E34C33" w14:paraId="58E99671" w14:textId="77777777" w:rsidTr="0094413B">
        <w:tblPrEx>
          <w:tblCellMar>
            <w:top w:w="15" w:type="dxa"/>
            <w:bottom w:w="15" w:type="dxa"/>
          </w:tblCellMar>
          <w:tblLook w:val="04A0" w:firstRow="1" w:lastRow="0" w:firstColumn="1" w:lastColumn="0" w:noHBand="0" w:noVBand="1"/>
        </w:tblPrEx>
        <w:trPr>
          <w:cantSplit/>
          <w:trHeight w:val="20"/>
        </w:trPr>
        <w:tc>
          <w:tcPr>
            <w:tcW w:w="704" w:type="pct"/>
            <w:vMerge/>
          </w:tcPr>
          <w:p w14:paraId="230AF9E4" w14:textId="77777777" w:rsidR="00E34C33" w:rsidRPr="00E34C33" w:rsidRDefault="00E34C33" w:rsidP="00C17DC6">
            <w:pPr>
              <w:rPr>
                <w:rFonts w:ascii="Arial Narrow" w:hAnsi="Arial Narrow"/>
                <w:sz w:val="18"/>
                <w:szCs w:val="18"/>
              </w:rPr>
            </w:pPr>
          </w:p>
        </w:tc>
        <w:tc>
          <w:tcPr>
            <w:tcW w:w="4296" w:type="pct"/>
            <w:gridSpan w:val="4"/>
          </w:tcPr>
          <w:p w14:paraId="77217099" w14:textId="77777777" w:rsidR="00E34C33" w:rsidRPr="00E34C33" w:rsidRDefault="00E34C33" w:rsidP="00C17DC6">
            <w:pPr>
              <w:rPr>
                <w:rFonts w:ascii="Arial Narrow" w:hAnsi="Arial Narrow"/>
                <w:sz w:val="18"/>
                <w:szCs w:val="18"/>
              </w:rPr>
            </w:pPr>
            <w:r w:rsidRPr="00E34C33">
              <w:rPr>
                <w:rFonts w:ascii="Arial Narrow" w:hAnsi="Arial Narrow"/>
                <w:b/>
                <w:sz w:val="18"/>
                <w:szCs w:val="18"/>
              </w:rPr>
              <w:t xml:space="preserve">Restriction type: </w:t>
            </w:r>
            <w:r w:rsidRPr="00E34C33">
              <w:rPr>
                <w:rFonts w:ascii="Arial Narrow" w:hAnsi="Arial Narrow"/>
                <w:sz w:val="18"/>
                <w:szCs w:val="18"/>
              </w:rPr>
              <w:fldChar w:fldCharType="begin">
                <w:ffData>
                  <w:name w:val=""/>
                  <w:enabled/>
                  <w:calcOnExit w:val="0"/>
                  <w:checkBox>
                    <w:sizeAuto/>
                    <w:default w:val="1"/>
                  </w:checkBox>
                </w:ffData>
              </w:fldChar>
            </w:r>
            <w:r w:rsidRPr="00E34C33">
              <w:rPr>
                <w:rFonts w:ascii="Arial Narrow" w:hAnsi="Arial Narrow"/>
                <w:sz w:val="18"/>
                <w:szCs w:val="18"/>
              </w:rPr>
              <w:instrText xml:space="preserve"> FORMCHECKBOX </w:instrText>
            </w:r>
            <w:r w:rsidRPr="00E34C33">
              <w:rPr>
                <w:rFonts w:ascii="Arial Narrow" w:hAnsi="Arial Narrow"/>
                <w:sz w:val="18"/>
                <w:szCs w:val="18"/>
              </w:rPr>
            </w:r>
            <w:r w:rsidRPr="00E34C33">
              <w:rPr>
                <w:rFonts w:ascii="Arial Narrow" w:hAnsi="Arial Narrow"/>
                <w:sz w:val="18"/>
                <w:szCs w:val="18"/>
              </w:rPr>
              <w:fldChar w:fldCharType="separate"/>
            </w:r>
            <w:r w:rsidRPr="00E34C33">
              <w:rPr>
                <w:rFonts w:ascii="Arial Narrow" w:hAnsi="Arial Narrow"/>
                <w:sz w:val="18"/>
                <w:szCs w:val="18"/>
              </w:rPr>
              <w:fldChar w:fldCharType="end"/>
            </w:r>
            <w:r w:rsidRPr="00E34C33">
              <w:rPr>
                <w:rFonts w:ascii="Arial Narrow" w:hAnsi="Arial Narrow"/>
                <w:sz w:val="18"/>
                <w:szCs w:val="18"/>
              </w:rPr>
              <w:t xml:space="preserve">Authority Required (STREAMLINED) [NEW] </w:t>
            </w:r>
          </w:p>
        </w:tc>
      </w:tr>
      <w:tr w:rsidR="00E34C33" w:rsidRPr="00E34C33" w14:paraId="39BD0E8C" w14:textId="77777777" w:rsidTr="0094413B">
        <w:tblPrEx>
          <w:tblCellMar>
            <w:top w:w="15" w:type="dxa"/>
            <w:bottom w:w="15" w:type="dxa"/>
          </w:tblCellMar>
        </w:tblPrEx>
        <w:trPr>
          <w:cantSplit/>
          <w:trHeight w:val="20"/>
        </w:trPr>
        <w:tc>
          <w:tcPr>
            <w:tcW w:w="704" w:type="pct"/>
            <w:vAlign w:val="center"/>
          </w:tcPr>
          <w:p w14:paraId="143D4671" w14:textId="77777777" w:rsidR="00E34C33" w:rsidRPr="00E34C33" w:rsidRDefault="00E34C33" w:rsidP="00C17DC6">
            <w:pPr>
              <w:rPr>
                <w:rFonts w:ascii="Arial Narrow" w:hAnsi="Arial Narrow"/>
                <w:sz w:val="18"/>
                <w:szCs w:val="18"/>
              </w:rPr>
            </w:pPr>
          </w:p>
        </w:tc>
        <w:tc>
          <w:tcPr>
            <w:tcW w:w="4296" w:type="pct"/>
            <w:gridSpan w:val="4"/>
            <w:vAlign w:val="center"/>
            <w:hideMark/>
          </w:tcPr>
          <w:p w14:paraId="0DC42B48" w14:textId="77777777" w:rsidR="00E34C33" w:rsidRPr="00E34C33" w:rsidRDefault="00E34C33" w:rsidP="00C17DC6">
            <w:pPr>
              <w:rPr>
                <w:rFonts w:ascii="Arial Narrow" w:hAnsi="Arial Narrow"/>
                <w:sz w:val="18"/>
                <w:szCs w:val="18"/>
              </w:rPr>
            </w:pPr>
            <w:r w:rsidRPr="00E34C33">
              <w:rPr>
                <w:rFonts w:ascii="Arial Narrow" w:hAnsi="Arial Narrow"/>
                <w:b/>
                <w:bCs/>
                <w:sz w:val="18"/>
                <w:szCs w:val="18"/>
              </w:rPr>
              <w:t>Indication:</w:t>
            </w:r>
            <w:r w:rsidRPr="00E34C33">
              <w:rPr>
                <w:rFonts w:ascii="Arial Narrow" w:hAnsi="Arial Narrow"/>
                <w:sz w:val="18"/>
                <w:szCs w:val="18"/>
              </w:rPr>
              <w:t xml:space="preserve"> Immunotherapy sensitive advanced or metastatic cancer</w:t>
            </w:r>
          </w:p>
        </w:tc>
      </w:tr>
      <w:tr w:rsidR="00E34C33" w:rsidRPr="00E34C33" w14:paraId="7AB874A4" w14:textId="77777777" w:rsidTr="0094413B">
        <w:tblPrEx>
          <w:tblCellMar>
            <w:top w:w="15" w:type="dxa"/>
            <w:bottom w:w="15" w:type="dxa"/>
          </w:tblCellMar>
          <w:tblLook w:val="04A0" w:firstRow="1" w:lastRow="0" w:firstColumn="1" w:lastColumn="0" w:noHBand="0" w:noVBand="1"/>
        </w:tblPrEx>
        <w:trPr>
          <w:cantSplit/>
          <w:trHeight w:val="20"/>
        </w:trPr>
        <w:tc>
          <w:tcPr>
            <w:tcW w:w="704" w:type="pct"/>
            <w:vAlign w:val="center"/>
          </w:tcPr>
          <w:p w14:paraId="24E3DCD7" w14:textId="77777777" w:rsidR="00E34C33" w:rsidRPr="00E34C33" w:rsidRDefault="00E34C33" w:rsidP="00C17DC6">
            <w:pPr>
              <w:rPr>
                <w:rFonts w:ascii="Arial Narrow" w:hAnsi="Arial Narrow"/>
                <w:sz w:val="18"/>
                <w:szCs w:val="18"/>
              </w:rPr>
            </w:pPr>
          </w:p>
        </w:tc>
        <w:tc>
          <w:tcPr>
            <w:tcW w:w="4296" w:type="pct"/>
            <w:gridSpan w:val="4"/>
            <w:vAlign w:val="center"/>
          </w:tcPr>
          <w:p w14:paraId="549BDEA0"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 xml:space="preserve">Clinical criteria: </w:t>
            </w:r>
          </w:p>
        </w:tc>
      </w:tr>
      <w:tr w:rsidR="00E34C33" w:rsidRPr="00E34C33" w14:paraId="0B7E36E7" w14:textId="77777777" w:rsidTr="0094413B">
        <w:tblPrEx>
          <w:tblCellMar>
            <w:top w:w="15" w:type="dxa"/>
            <w:bottom w:w="15" w:type="dxa"/>
          </w:tblCellMar>
          <w:tblLook w:val="04A0" w:firstRow="1" w:lastRow="0" w:firstColumn="1" w:lastColumn="0" w:noHBand="0" w:noVBand="1"/>
        </w:tblPrEx>
        <w:trPr>
          <w:cantSplit/>
          <w:trHeight w:val="20"/>
        </w:trPr>
        <w:tc>
          <w:tcPr>
            <w:tcW w:w="704" w:type="pct"/>
            <w:vAlign w:val="center"/>
          </w:tcPr>
          <w:p w14:paraId="115FB396" w14:textId="77777777" w:rsidR="00E34C33" w:rsidRPr="00E34C33" w:rsidRDefault="00E34C33" w:rsidP="00C17DC6">
            <w:pPr>
              <w:rPr>
                <w:rFonts w:ascii="Arial Narrow" w:hAnsi="Arial Narrow"/>
                <w:sz w:val="18"/>
                <w:szCs w:val="18"/>
              </w:rPr>
            </w:pPr>
          </w:p>
        </w:tc>
        <w:tc>
          <w:tcPr>
            <w:tcW w:w="4296" w:type="pct"/>
            <w:gridSpan w:val="4"/>
            <w:vAlign w:val="center"/>
          </w:tcPr>
          <w:p w14:paraId="1F794CA6"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Patient must not have developed disease progression while receiving PBS-subsidised treatment with this drug for the condition which treatment was commenced for.</w:t>
            </w:r>
          </w:p>
        </w:tc>
      </w:tr>
      <w:tr w:rsidR="00E34C33" w:rsidRPr="00E34C33" w14:paraId="5A42B51B" w14:textId="77777777" w:rsidTr="0094413B">
        <w:tblPrEx>
          <w:tblCellMar>
            <w:top w:w="15" w:type="dxa"/>
            <w:bottom w:w="15" w:type="dxa"/>
          </w:tblCellMar>
          <w:tblLook w:val="04A0" w:firstRow="1" w:lastRow="0" w:firstColumn="1" w:lastColumn="0" w:noHBand="0" w:noVBand="1"/>
        </w:tblPrEx>
        <w:trPr>
          <w:cantSplit/>
          <w:trHeight w:val="20"/>
        </w:trPr>
        <w:tc>
          <w:tcPr>
            <w:tcW w:w="704" w:type="pct"/>
            <w:vAlign w:val="center"/>
          </w:tcPr>
          <w:p w14:paraId="040CF10C" w14:textId="77777777" w:rsidR="00E34C33" w:rsidRPr="00E34C33" w:rsidRDefault="00E34C33" w:rsidP="00C17DC6">
            <w:pPr>
              <w:rPr>
                <w:rFonts w:ascii="Arial Narrow" w:hAnsi="Arial Narrow"/>
                <w:sz w:val="18"/>
                <w:szCs w:val="18"/>
              </w:rPr>
            </w:pPr>
          </w:p>
        </w:tc>
        <w:tc>
          <w:tcPr>
            <w:tcW w:w="4296" w:type="pct"/>
            <w:gridSpan w:val="4"/>
            <w:vAlign w:val="center"/>
          </w:tcPr>
          <w:p w14:paraId="7F880484" w14:textId="77777777" w:rsidR="00E34C33" w:rsidRPr="00E34C33" w:rsidRDefault="00E34C33" w:rsidP="00C17DC6">
            <w:pPr>
              <w:rPr>
                <w:rFonts w:ascii="Arial Narrow" w:hAnsi="Arial Narrow"/>
                <w:sz w:val="18"/>
                <w:szCs w:val="18"/>
              </w:rPr>
            </w:pPr>
            <w:r w:rsidRPr="00E34C33">
              <w:rPr>
                <w:rFonts w:ascii="Arial Narrow" w:hAnsi="Arial Narrow"/>
                <w:sz w:val="18"/>
                <w:szCs w:val="18"/>
              </w:rPr>
              <w:t xml:space="preserve">Prescribing instruction </w:t>
            </w:r>
          </w:p>
          <w:p w14:paraId="20222DC5" w14:textId="77777777" w:rsidR="00E34C33" w:rsidRPr="00E34C33" w:rsidRDefault="00E34C33" w:rsidP="00C17DC6">
            <w:pPr>
              <w:rPr>
                <w:rFonts w:ascii="Arial Narrow" w:hAnsi="Arial Narrow"/>
                <w:b/>
                <w:bCs/>
                <w:sz w:val="18"/>
                <w:szCs w:val="18"/>
              </w:rPr>
            </w:pPr>
            <w:r w:rsidRPr="00E34C33">
              <w:rPr>
                <w:rFonts w:ascii="Arial Narrow" w:hAnsi="Arial Narrow"/>
                <w:sz w:val="18"/>
                <w:szCs w:val="18"/>
              </w:rPr>
              <w:t>Patients must only receive 600 mg every two weeks or 1200 mg every four weeks under a flat dosing regimen.</w:t>
            </w:r>
          </w:p>
        </w:tc>
      </w:tr>
      <w:tr w:rsidR="00E34C33" w:rsidRPr="00E34C33" w14:paraId="06264CB7" w14:textId="77777777" w:rsidTr="0094413B">
        <w:tblPrEx>
          <w:tblCellMar>
            <w:top w:w="15" w:type="dxa"/>
            <w:bottom w:w="15" w:type="dxa"/>
          </w:tblCellMar>
          <w:tblLook w:val="04A0" w:firstRow="1" w:lastRow="0" w:firstColumn="1" w:lastColumn="0" w:noHBand="0" w:noVBand="1"/>
        </w:tblPrEx>
        <w:trPr>
          <w:cantSplit/>
          <w:trHeight w:val="20"/>
        </w:trPr>
        <w:tc>
          <w:tcPr>
            <w:tcW w:w="704" w:type="pct"/>
            <w:vAlign w:val="center"/>
          </w:tcPr>
          <w:p w14:paraId="4C2AC525" w14:textId="77777777" w:rsidR="00E34C33" w:rsidRPr="00E34C33" w:rsidRDefault="00E34C33" w:rsidP="00C17DC6">
            <w:pPr>
              <w:rPr>
                <w:rFonts w:ascii="Arial Narrow" w:hAnsi="Arial Narrow"/>
                <w:sz w:val="18"/>
                <w:szCs w:val="18"/>
              </w:rPr>
            </w:pPr>
          </w:p>
        </w:tc>
        <w:tc>
          <w:tcPr>
            <w:tcW w:w="4296" w:type="pct"/>
            <w:gridSpan w:val="4"/>
            <w:vAlign w:val="center"/>
          </w:tcPr>
          <w:p w14:paraId="1FD9EB58" w14:textId="77777777" w:rsidR="00E34C33" w:rsidRPr="00E34C33" w:rsidRDefault="00E34C33" w:rsidP="00C17DC6">
            <w:pPr>
              <w:rPr>
                <w:rFonts w:ascii="Arial Narrow" w:hAnsi="Arial Narrow"/>
                <w:color w:val="333333"/>
                <w:sz w:val="18"/>
                <w:szCs w:val="18"/>
              </w:rPr>
            </w:pPr>
            <w:r w:rsidRPr="00E34C33">
              <w:rPr>
                <w:rFonts w:ascii="Arial Narrow" w:hAnsi="Arial Narrow"/>
                <w:b/>
                <w:bCs/>
                <w:color w:val="333333"/>
                <w:sz w:val="18"/>
                <w:szCs w:val="18"/>
              </w:rPr>
              <w:t xml:space="preserve">Administrative Advice: </w:t>
            </w:r>
            <w:r w:rsidRPr="00E34C33">
              <w:rPr>
                <w:rFonts w:ascii="Arial Narrow" w:hAnsi="Arial Narrow"/>
                <w:sz w:val="18"/>
                <w:szCs w:val="18"/>
              </w:rPr>
              <w:t>No increase in the maximum number of repeats may be authorised.</w:t>
            </w:r>
          </w:p>
        </w:tc>
      </w:tr>
      <w:tr w:rsidR="00E34C33" w:rsidRPr="00E34C33" w14:paraId="38A2839B" w14:textId="77777777" w:rsidTr="0094413B">
        <w:tblPrEx>
          <w:tblCellMar>
            <w:top w:w="15" w:type="dxa"/>
            <w:bottom w:w="15" w:type="dxa"/>
          </w:tblCellMar>
          <w:tblLook w:val="04A0" w:firstRow="1" w:lastRow="0" w:firstColumn="1" w:lastColumn="0" w:noHBand="0" w:noVBand="1"/>
        </w:tblPrEx>
        <w:trPr>
          <w:cantSplit/>
          <w:trHeight w:val="20"/>
        </w:trPr>
        <w:tc>
          <w:tcPr>
            <w:tcW w:w="704" w:type="pct"/>
            <w:vAlign w:val="center"/>
          </w:tcPr>
          <w:p w14:paraId="0659AF5F" w14:textId="77777777" w:rsidR="00E34C33" w:rsidRPr="00E34C33" w:rsidRDefault="00E34C33" w:rsidP="00C17DC6">
            <w:pPr>
              <w:rPr>
                <w:rFonts w:ascii="Arial Narrow" w:hAnsi="Arial Narrow"/>
                <w:sz w:val="18"/>
                <w:szCs w:val="18"/>
              </w:rPr>
            </w:pPr>
          </w:p>
        </w:tc>
        <w:tc>
          <w:tcPr>
            <w:tcW w:w="4296" w:type="pct"/>
            <w:gridSpan w:val="4"/>
            <w:vAlign w:val="center"/>
          </w:tcPr>
          <w:p w14:paraId="39A98D67" w14:textId="77777777" w:rsidR="00E34C33" w:rsidRPr="00E34C33" w:rsidRDefault="00E34C33" w:rsidP="00C17DC6">
            <w:pPr>
              <w:rPr>
                <w:rFonts w:ascii="Arial Narrow" w:hAnsi="Arial Narrow"/>
                <w:color w:val="333333"/>
                <w:sz w:val="18"/>
                <w:szCs w:val="18"/>
              </w:rPr>
            </w:pPr>
            <w:r w:rsidRPr="00E34C33">
              <w:rPr>
                <w:rFonts w:ascii="Arial Narrow" w:hAnsi="Arial Narrow"/>
                <w:b/>
                <w:sz w:val="18"/>
                <w:szCs w:val="18"/>
              </w:rPr>
              <w:t>Administrative advice:</w:t>
            </w:r>
            <w:r w:rsidRPr="00E34C33">
              <w:rPr>
                <w:rFonts w:ascii="Arial Narrow" w:hAnsi="Arial Narrow"/>
                <w:sz w:val="18"/>
                <w:szCs w:val="18"/>
              </w:rPr>
              <w:t xml:space="preserve"> Special Pricing Arrangements apply.</w:t>
            </w:r>
          </w:p>
        </w:tc>
      </w:tr>
    </w:tbl>
    <w:p w14:paraId="4BF8D753" w14:textId="77777777" w:rsidR="00E32FF7" w:rsidRDefault="00E32FF7" w:rsidP="00C17DC6">
      <w:pPr>
        <w:pStyle w:val="3-BodyText"/>
        <w:numPr>
          <w:ilvl w:val="0"/>
          <w:numId w:val="0"/>
        </w:numPr>
      </w:pPr>
    </w:p>
    <w:p w14:paraId="3CD5A466" w14:textId="59E9E16A" w:rsidR="00845408" w:rsidRPr="002352C3" w:rsidRDefault="00B972CE" w:rsidP="00C17DC6">
      <w:pPr>
        <w:pStyle w:val="3-BodyText"/>
      </w:pPr>
      <w:r>
        <w:t>The submission</w:t>
      </w:r>
      <w:r w:rsidRPr="00130F08">
        <w:t xml:space="preserve"> also request</w:t>
      </w:r>
      <w:r w:rsidR="00A07F4E">
        <w:t>ed</w:t>
      </w:r>
      <w:r w:rsidRPr="00130F08">
        <w:t xml:space="preserve"> that any new PBS listings for NIVO dosed at 2- or 4- weekly intervals include both the intravenous (maximum 480 mg) and subcutaneous (maximum 2 vials = 1200 mg) methods of administration.</w:t>
      </w:r>
    </w:p>
    <w:p w14:paraId="27DEEA7F" w14:textId="044E71DF" w:rsidR="00A02769" w:rsidRPr="002352C3" w:rsidRDefault="00A02769" w:rsidP="00C17DC6">
      <w:pPr>
        <w:pStyle w:val="3-BodyText"/>
      </w:pPr>
      <w:r w:rsidRPr="002352C3">
        <w:t xml:space="preserve">The </w:t>
      </w:r>
      <w:r w:rsidR="00B32DD0">
        <w:t>Secretariat</w:t>
      </w:r>
      <w:r w:rsidR="00B32DD0" w:rsidRPr="002352C3">
        <w:t xml:space="preserve"> </w:t>
      </w:r>
      <w:r w:rsidRPr="002352C3">
        <w:t xml:space="preserve">noted that, while </w:t>
      </w:r>
      <w:r w:rsidR="00A11AA9" w:rsidRPr="002352C3">
        <w:t xml:space="preserve">the submission </w:t>
      </w:r>
      <w:r w:rsidR="00335D24">
        <w:t xml:space="preserve">requested </w:t>
      </w:r>
      <w:r w:rsidR="005B7AE4">
        <w:t>that NIVO SC be listed</w:t>
      </w:r>
      <w:r w:rsidR="006E1656">
        <w:t xml:space="preserve"> for </w:t>
      </w:r>
      <w:r w:rsidR="00EE5338" w:rsidRPr="002352C3">
        <w:t>indications</w:t>
      </w:r>
      <w:r w:rsidR="00A11AA9" w:rsidRPr="002352C3">
        <w:t xml:space="preserve"> where ipilimumab is not used in combination with nivolumab</w:t>
      </w:r>
      <w:r w:rsidR="00EE5338" w:rsidRPr="002352C3">
        <w:t xml:space="preserve"> and for flat dosing regimens</w:t>
      </w:r>
      <w:r w:rsidR="00A11AA9" w:rsidRPr="002352C3">
        <w:t xml:space="preserve">, this </w:t>
      </w:r>
      <w:r w:rsidR="00EE5338" w:rsidRPr="002352C3">
        <w:t xml:space="preserve">limitation </w:t>
      </w:r>
      <w:r w:rsidR="00A11AA9" w:rsidRPr="002352C3">
        <w:t xml:space="preserve">could not be enforced should NIVO SC </w:t>
      </w:r>
      <w:r w:rsidR="00EE5338" w:rsidRPr="002352C3">
        <w:t>be included in the advanced and metastatic cancers (broad) listing</w:t>
      </w:r>
      <w:r w:rsidR="001B2294">
        <w:t>.</w:t>
      </w:r>
      <w:r w:rsidR="00231882">
        <w:t xml:space="preserve"> As a result,</w:t>
      </w:r>
      <w:r w:rsidR="00EE5338" w:rsidRPr="002352C3">
        <w:t xml:space="preserve"> there would be potential for its use both in </w:t>
      </w:r>
      <w:r w:rsidR="00203774" w:rsidRPr="002352C3">
        <w:t>weight-based</w:t>
      </w:r>
      <w:r w:rsidR="00EE5338" w:rsidRPr="002352C3">
        <w:t xml:space="preserve"> dosing regimens and in combination with ipilimumab under the proposed listing.</w:t>
      </w:r>
      <w:r w:rsidR="00A11AA9" w:rsidRPr="002352C3">
        <w:t xml:space="preserve"> </w:t>
      </w:r>
      <w:r w:rsidR="00FA7E5E">
        <w:t xml:space="preserve">The pre-PBAC Response </w:t>
      </w:r>
      <w:r w:rsidR="006C1AD3">
        <w:t xml:space="preserve">proposed </w:t>
      </w:r>
      <w:r w:rsidR="006C1AD3" w:rsidRPr="006C1AD3">
        <w:t xml:space="preserve">prescribing instructions specifying that patients must only receive 600 mg every two weeks or 1200 mg every four weeks under a flat dosing regimen </w:t>
      </w:r>
      <w:r w:rsidR="00901DC2">
        <w:t xml:space="preserve">to </w:t>
      </w:r>
      <w:r w:rsidR="00BF2963" w:rsidRPr="00BF2963">
        <w:t xml:space="preserve">restrict </w:t>
      </w:r>
      <w:r w:rsidR="00C70C0B">
        <w:t>to use as part</w:t>
      </w:r>
      <w:r w:rsidR="00BF2963" w:rsidRPr="00BF2963">
        <w:t xml:space="preserve"> of a flat dos</w:t>
      </w:r>
      <w:r w:rsidR="00C70C0B">
        <w:t>in</w:t>
      </w:r>
      <w:r w:rsidR="00782281">
        <w:t>g regimen</w:t>
      </w:r>
      <w:r w:rsidR="00BF2963" w:rsidRPr="00BF2963">
        <w:t xml:space="preserve"> given on a 2- or 4-weekly basis</w:t>
      </w:r>
      <w:r w:rsidR="00782281">
        <w:t xml:space="preserve"> and prevent use in combination with ipilimumab</w:t>
      </w:r>
      <w:r w:rsidR="00BF2963" w:rsidRPr="00BF2963">
        <w:t>.</w:t>
      </w:r>
      <w:r w:rsidR="00C17DC6">
        <w:t xml:space="preserve"> </w:t>
      </w:r>
    </w:p>
    <w:p w14:paraId="29A96004" w14:textId="77777777" w:rsidR="00C27C1C" w:rsidRPr="00A6439B" w:rsidRDefault="00C27C1C" w:rsidP="00C17DC6">
      <w:pPr>
        <w:pStyle w:val="2-SectionHeading"/>
        <w:rPr>
          <w:color w:val="FF0000"/>
        </w:rPr>
      </w:pPr>
      <w:r w:rsidRPr="002E3FD4">
        <w:t>Comparator</w:t>
      </w:r>
      <w:r w:rsidRPr="00A6439B">
        <w:t xml:space="preserve"> </w:t>
      </w:r>
    </w:p>
    <w:p w14:paraId="5A35AD53" w14:textId="349DA793" w:rsidR="00C27C1C" w:rsidRPr="00375031" w:rsidRDefault="00C27C1C" w:rsidP="00C17DC6">
      <w:pPr>
        <w:pStyle w:val="3-BodyText"/>
        <w:rPr>
          <w:i/>
        </w:rPr>
      </w:pPr>
      <w:r w:rsidRPr="00DD2E9D">
        <w:t xml:space="preserve">The submission proposes a </w:t>
      </w:r>
      <w:r w:rsidR="007371CE" w:rsidRPr="00A6379A">
        <w:t xml:space="preserve">new form and strength </w:t>
      </w:r>
      <w:r w:rsidRPr="00DD2E9D">
        <w:t xml:space="preserve">of </w:t>
      </w:r>
      <w:r w:rsidR="00FD15B3" w:rsidRPr="00A6379A">
        <w:t>nivolumab</w:t>
      </w:r>
      <w:r w:rsidR="00FD15B3" w:rsidRPr="00DD2E9D">
        <w:t xml:space="preserve"> </w:t>
      </w:r>
      <w:r w:rsidR="00A6379A">
        <w:t>(</w:t>
      </w:r>
      <w:r w:rsidR="00A6379A" w:rsidRPr="00A6379A">
        <w:t>solution for subcutaneous injection 600 mg in 5</w:t>
      </w:r>
      <w:r w:rsidR="00425F99">
        <w:t xml:space="preserve"> </w:t>
      </w:r>
      <w:r w:rsidR="00A6379A" w:rsidRPr="00A6379A">
        <w:t>mL)</w:t>
      </w:r>
      <w:r w:rsidR="00A6379A">
        <w:t xml:space="preserve"> </w:t>
      </w:r>
      <w:r w:rsidR="00FD15B3" w:rsidRPr="00DD2E9D">
        <w:t>and</w:t>
      </w:r>
      <w:r w:rsidRPr="00DD2E9D">
        <w:t xml:space="preserve"> compares this to the currently listed </w:t>
      </w:r>
      <w:r w:rsidR="00A6379A" w:rsidRPr="00A6379A">
        <w:t xml:space="preserve">100 mg/10 mL injection, 10 mL vial </w:t>
      </w:r>
      <w:r w:rsidRPr="00DD2E9D">
        <w:t xml:space="preserve">of </w:t>
      </w:r>
      <w:r w:rsidR="00DB2AFB">
        <w:t>nivolumab</w:t>
      </w:r>
      <w:r w:rsidRPr="00DD2E9D">
        <w:t>.</w:t>
      </w:r>
    </w:p>
    <w:p w14:paraId="1527D817" w14:textId="1F326FEC" w:rsidR="007371E7" w:rsidRPr="009A261F" w:rsidRDefault="009A261F" w:rsidP="00C17DC6">
      <w:pPr>
        <w:pStyle w:val="3-BodyText"/>
        <w:rPr>
          <w:i/>
        </w:rPr>
      </w:pPr>
      <w:r w:rsidRPr="009A261F">
        <w:t>Given the proposed intervention of NIVO SC at a flat dose of 600 mg Q2W or 1200 mg Q4W, flat dose NIVO IV administered 2- or 4- weekly (240 mg or 480 mg respectively)</w:t>
      </w:r>
      <w:r w:rsidR="00A034BD">
        <w:t xml:space="preserve"> is the appropriate comparator</w:t>
      </w:r>
      <w:r w:rsidRPr="009A261F">
        <w:t>.</w:t>
      </w:r>
    </w:p>
    <w:p w14:paraId="6ADEB9AA" w14:textId="7590F1A8" w:rsidR="009A261F" w:rsidRDefault="000A2263" w:rsidP="00C17DC6">
      <w:pPr>
        <w:pStyle w:val="3-BodyText"/>
        <w:rPr>
          <w:iCs/>
        </w:rPr>
      </w:pPr>
      <w:r w:rsidRPr="000A2263">
        <w:rPr>
          <w:iCs/>
        </w:rPr>
        <w:lastRenderedPageBreak/>
        <w:t xml:space="preserve">The </w:t>
      </w:r>
      <w:r w:rsidR="00207B60">
        <w:rPr>
          <w:iCs/>
        </w:rPr>
        <w:t>submission</w:t>
      </w:r>
      <w:r w:rsidRPr="000A2263">
        <w:rPr>
          <w:iCs/>
        </w:rPr>
        <w:t xml:space="preserve"> noted that se</w:t>
      </w:r>
      <w:r>
        <w:rPr>
          <w:iCs/>
        </w:rPr>
        <w:t xml:space="preserve">lection of NIVO IV as the main comparator is supported by precedent </w:t>
      </w:r>
      <w:r w:rsidR="0096013A">
        <w:rPr>
          <w:iCs/>
        </w:rPr>
        <w:t xml:space="preserve">from </w:t>
      </w:r>
      <w:r>
        <w:rPr>
          <w:iCs/>
        </w:rPr>
        <w:t xml:space="preserve">previous PBAC </w:t>
      </w:r>
      <w:r w:rsidR="00B31F09">
        <w:rPr>
          <w:iCs/>
        </w:rPr>
        <w:t xml:space="preserve">decisions </w:t>
      </w:r>
      <w:r w:rsidR="0096013A">
        <w:rPr>
          <w:iCs/>
        </w:rPr>
        <w:t xml:space="preserve">for </w:t>
      </w:r>
      <w:r w:rsidR="00B31F09">
        <w:rPr>
          <w:iCs/>
        </w:rPr>
        <w:t xml:space="preserve">SC formulations of existing IV </w:t>
      </w:r>
      <w:r w:rsidR="00886624">
        <w:rPr>
          <w:iCs/>
        </w:rPr>
        <w:t>medicines</w:t>
      </w:r>
      <w:r w:rsidR="00EF7EAD">
        <w:rPr>
          <w:iCs/>
        </w:rPr>
        <w:t xml:space="preserve">, including </w:t>
      </w:r>
      <w:r w:rsidR="00A14163" w:rsidRPr="003B346F">
        <w:rPr>
          <w:iCs/>
        </w:rPr>
        <w:t>atezolizumab</w:t>
      </w:r>
      <w:r w:rsidR="003B346F" w:rsidRPr="003B346F">
        <w:rPr>
          <w:iCs/>
        </w:rPr>
        <w:t xml:space="preserve"> SC (March 2024 PBAC meeting), daratumumab (July 2021 PBAC meeting), trastuzumab SC (July 2015 PBAC meeting) and rituximab (November 2014 PBAC meeting).</w:t>
      </w:r>
    </w:p>
    <w:p w14:paraId="070C6526" w14:textId="65BBA23B" w:rsidR="00E7131B" w:rsidRPr="00250208" w:rsidRDefault="00183768" w:rsidP="00C17DC6">
      <w:pPr>
        <w:pStyle w:val="3-BodyText"/>
        <w:rPr>
          <w:iCs/>
        </w:rPr>
      </w:pPr>
      <w:r>
        <w:rPr>
          <w:iCs/>
        </w:rPr>
        <w:t>IV flat dosing was approved by the TGA in December 2018 as an alternative dosing schedule to IV weight-based dosing. Flat dosing at 2- or 4-weekly intervals was subsequently recommended by the PBA</w:t>
      </w:r>
      <w:r w:rsidR="000543AD">
        <w:rPr>
          <w:iCs/>
        </w:rPr>
        <w:t xml:space="preserve">C </w:t>
      </w:r>
      <w:r>
        <w:rPr>
          <w:iCs/>
        </w:rPr>
        <w:t xml:space="preserve">at the March </w:t>
      </w:r>
      <w:r w:rsidR="000543AD">
        <w:rPr>
          <w:iCs/>
        </w:rPr>
        <w:t xml:space="preserve">2019 </w:t>
      </w:r>
      <w:r w:rsidR="00E7131B">
        <w:rPr>
          <w:iCs/>
        </w:rPr>
        <w:t>meeting</w:t>
      </w:r>
      <w:r w:rsidR="000543AD">
        <w:rPr>
          <w:iCs/>
        </w:rPr>
        <w:t xml:space="preserve"> as an alternative</w:t>
      </w:r>
      <w:r w:rsidR="000A2863">
        <w:rPr>
          <w:iCs/>
        </w:rPr>
        <w:t xml:space="preserve"> to the existing 3 mg/kg Q2W weight-based dosing regimen for all existing and future PBS indications were nivolumab monotherapy is used</w:t>
      </w:r>
      <w:r w:rsidR="0014721E">
        <w:rPr>
          <w:iCs/>
        </w:rPr>
        <w:t xml:space="preserve"> (paragraph</w:t>
      </w:r>
      <w:r w:rsidR="00291D08">
        <w:rPr>
          <w:iCs/>
        </w:rPr>
        <w:t xml:space="preserve"> 5.1, nivolumab PSD, March 2019).</w:t>
      </w:r>
      <w:r w:rsidR="00C17DC6">
        <w:rPr>
          <w:iCs/>
        </w:rPr>
        <w:t xml:space="preserve"> </w:t>
      </w:r>
      <w:r w:rsidR="00E7131B" w:rsidRPr="00250208">
        <w:rPr>
          <w:iCs/>
        </w:rPr>
        <w:t xml:space="preserve">The PBAC concluded that “…based on overall evidence…the efficacy and safety of the flat and </w:t>
      </w:r>
      <w:r w:rsidR="0004170C" w:rsidRPr="00250208">
        <w:rPr>
          <w:iCs/>
        </w:rPr>
        <w:t>weight-based</w:t>
      </w:r>
      <w:r w:rsidR="00E7131B" w:rsidRPr="00250208">
        <w:rPr>
          <w:iCs/>
        </w:rPr>
        <w:t xml:space="preserve"> dosing regimens would likely be comparable” </w:t>
      </w:r>
      <w:r w:rsidR="00291D08">
        <w:rPr>
          <w:iCs/>
        </w:rPr>
        <w:t>(</w:t>
      </w:r>
      <w:r w:rsidR="00291D08" w:rsidRPr="00291D08">
        <w:rPr>
          <w:iCs/>
        </w:rPr>
        <w:t>paragraph 5.</w:t>
      </w:r>
      <w:r w:rsidR="00291D08">
        <w:rPr>
          <w:iCs/>
        </w:rPr>
        <w:t>2</w:t>
      </w:r>
      <w:r w:rsidR="00291D08" w:rsidRPr="00291D08">
        <w:rPr>
          <w:iCs/>
        </w:rPr>
        <w:t>, nivolumab PSD, March 2019).</w:t>
      </w:r>
    </w:p>
    <w:p w14:paraId="0436B7D8" w14:textId="77777777" w:rsidR="00C27C1C" w:rsidRDefault="00C27C1C" w:rsidP="00C17DC6">
      <w:pPr>
        <w:pStyle w:val="Heading1"/>
        <w:keepLines/>
        <w:numPr>
          <w:ilvl w:val="0"/>
          <w:numId w:val="1"/>
        </w:numPr>
        <w:spacing w:before="240"/>
        <w:ind w:left="709" w:hanging="709"/>
        <w:rPr>
          <w:sz w:val="32"/>
          <w:szCs w:val="32"/>
        </w:rPr>
      </w:pPr>
      <w:r w:rsidRPr="00A6439B">
        <w:rPr>
          <w:sz w:val="32"/>
          <w:szCs w:val="32"/>
        </w:rPr>
        <w:t>Consideration of the evidence</w:t>
      </w:r>
    </w:p>
    <w:p w14:paraId="01FA8BD1" w14:textId="34B90DA7" w:rsidR="00573F89" w:rsidRDefault="00573F89" w:rsidP="00C17DC6">
      <w:pPr>
        <w:pStyle w:val="4-SubsectionHeading"/>
        <w:keepNext w:val="0"/>
        <w:rPr>
          <w:lang w:eastAsia="en-US"/>
        </w:rPr>
      </w:pPr>
      <w:r>
        <w:rPr>
          <w:lang w:eastAsia="en-US"/>
        </w:rPr>
        <w:t xml:space="preserve">Sponsor hearing </w:t>
      </w:r>
    </w:p>
    <w:p w14:paraId="4DFB626A" w14:textId="108093BE" w:rsidR="00573F89" w:rsidRDefault="003A06C7" w:rsidP="00C17DC6">
      <w:r>
        <w:t>There was no hearing for this item.</w:t>
      </w:r>
    </w:p>
    <w:p w14:paraId="50F5C0C5" w14:textId="31E732A7" w:rsidR="00A238BA" w:rsidRDefault="003A06C7" w:rsidP="00C17DC6">
      <w:pPr>
        <w:pStyle w:val="4-SubsectionHeading"/>
        <w:keepNext w:val="0"/>
        <w:rPr>
          <w:lang w:eastAsia="en-US"/>
        </w:rPr>
      </w:pPr>
      <w:r>
        <w:rPr>
          <w:lang w:eastAsia="en-US"/>
        </w:rPr>
        <w:t>Consumer input</w:t>
      </w:r>
    </w:p>
    <w:p w14:paraId="4DD50BE5" w14:textId="59D77E24" w:rsidR="003A06C7" w:rsidRDefault="003244AA" w:rsidP="00C17DC6">
      <w:pPr>
        <w:pStyle w:val="3-BodyText"/>
      </w:pPr>
      <w:r>
        <w:t xml:space="preserve">The PBAC noted and welcomed the </w:t>
      </w:r>
      <w:r w:rsidR="00FA1249">
        <w:t xml:space="preserve">input from individuals </w:t>
      </w:r>
      <w:r w:rsidR="00765423">
        <w:t>(</w:t>
      </w:r>
      <w:r w:rsidR="00C9330C">
        <w:t>4), health care professionals (2)</w:t>
      </w:r>
      <w:r w:rsidR="003738CC">
        <w:t xml:space="preserve"> and organisations (11) via the Office of Health Technology Assessment Consultation Hub</w:t>
      </w:r>
      <w:r w:rsidR="00127016">
        <w:t>. The inputs described a range of benefits of treatment with NIVO S</w:t>
      </w:r>
      <w:r w:rsidR="00DF2904">
        <w:t>C including the reduction in treatment time</w:t>
      </w:r>
      <w:r w:rsidR="00D078C6">
        <w:t>,</w:t>
      </w:r>
      <w:r w:rsidR="00EA3E22">
        <w:t xml:space="preserve"> less invasive mode of administration, </w:t>
      </w:r>
      <w:r w:rsidR="00EF6367">
        <w:t>no additional system burden</w:t>
      </w:r>
      <w:r w:rsidR="00B26E00">
        <w:t xml:space="preserve"> and</w:t>
      </w:r>
      <w:r w:rsidR="00EF6367">
        <w:t xml:space="preserve"> the </w:t>
      </w:r>
      <w:r w:rsidR="00DF2904">
        <w:t xml:space="preserve">avoidance of </w:t>
      </w:r>
      <w:r w:rsidR="00D078C6">
        <w:t>infusion chair utilisation</w:t>
      </w:r>
      <w:r w:rsidR="00B26E00">
        <w:t xml:space="preserve">. </w:t>
      </w:r>
      <w:r w:rsidR="00E85B44">
        <w:t>Some inputs also</w:t>
      </w:r>
      <w:r w:rsidR="00AF4562">
        <w:t xml:space="preserve"> expressed that</w:t>
      </w:r>
      <w:r w:rsidR="000D3B99" w:rsidRPr="000D3B99">
        <w:t xml:space="preserve"> </w:t>
      </w:r>
      <w:r w:rsidR="00EE3A7A">
        <w:t>NIVO SC should only be listed under the</w:t>
      </w:r>
      <w:r w:rsidR="00920A38">
        <w:t xml:space="preserve"> Section 100 </w:t>
      </w:r>
      <w:r w:rsidR="00DE282E">
        <w:t>(EFC</w:t>
      </w:r>
      <w:r w:rsidR="00E25607">
        <w:t xml:space="preserve"> – Public/</w:t>
      </w:r>
      <w:r w:rsidR="00DE282E">
        <w:t>Private Hospital)</w:t>
      </w:r>
      <w:r w:rsidR="00E25607">
        <w:t xml:space="preserve"> Schedule </w:t>
      </w:r>
      <w:r w:rsidR="0084593D">
        <w:t xml:space="preserve">noting the higher patient co-payments associated with General Schedule </w:t>
      </w:r>
      <w:r w:rsidR="00E25607">
        <w:t>and Section 100 (EFC</w:t>
      </w:r>
      <w:r w:rsidR="003714B2">
        <w:t xml:space="preserve"> – Related Benefits) </w:t>
      </w:r>
      <w:r w:rsidR="0084593D">
        <w:t xml:space="preserve">listings </w:t>
      </w:r>
      <w:r w:rsidR="00CA68BA">
        <w:t xml:space="preserve">and that </w:t>
      </w:r>
      <w:r w:rsidR="006D4511">
        <w:t>compounding</w:t>
      </w:r>
      <w:r w:rsidR="003E24A8">
        <w:t>-</w:t>
      </w:r>
      <w:r w:rsidR="006D4511">
        <w:t xml:space="preserve">related activities </w:t>
      </w:r>
      <w:r w:rsidR="006B3E5A" w:rsidRPr="006B3E5A">
        <w:t>involved in the safe preparation, handling, dispensing, and distribution of hazardous cancer medicines</w:t>
      </w:r>
      <w:r w:rsidR="006B3E5A">
        <w:t xml:space="preserve"> are not re</w:t>
      </w:r>
      <w:r w:rsidR="00273B81">
        <w:t>munerated under General Schedule</w:t>
      </w:r>
      <w:r w:rsidR="00A96741">
        <w:t xml:space="preserve"> and Section 100 (EFC – Related Benefits)</w:t>
      </w:r>
      <w:r w:rsidR="00273B81">
        <w:t xml:space="preserve"> listings. </w:t>
      </w:r>
    </w:p>
    <w:p w14:paraId="3F679FE9" w14:textId="77777777" w:rsidR="00C27C1C" w:rsidRPr="00A6439B" w:rsidRDefault="00C27C1C" w:rsidP="00C17DC6">
      <w:pPr>
        <w:pStyle w:val="4-SubsectionHeading"/>
        <w:keepNext w:val="0"/>
        <w:rPr>
          <w:lang w:eastAsia="en-US"/>
        </w:rPr>
      </w:pPr>
      <w:r w:rsidRPr="00A6439B">
        <w:rPr>
          <w:lang w:eastAsia="en-US"/>
        </w:rPr>
        <w:t xml:space="preserve">Clinical trials </w:t>
      </w:r>
    </w:p>
    <w:p w14:paraId="1DE8826B" w14:textId="7BCD0DA9" w:rsidR="005F7FAF" w:rsidRDefault="00C27C1C" w:rsidP="00C17DC6">
      <w:pPr>
        <w:pStyle w:val="3-BodyText"/>
      </w:pPr>
      <w:bookmarkStart w:id="0" w:name="_Hlk86163265"/>
      <w:r w:rsidRPr="00A6439B">
        <w:t xml:space="preserve">The submission was based on </w:t>
      </w:r>
      <w:r w:rsidR="00E77384">
        <w:t>the head-to-head clinical trial, CM67T of NIVO SC versus NIVO IV in pretreated patients with</w:t>
      </w:r>
      <w:r w:rsidR="00F75CC3" w:rsidRPr="00F75CC3">
        <w:t xml:space="preserve"> clear cell renal cell carcinoma</w:t>
      </w:r>
      <w:r w:rsidR="00E77384">
        <w:t xml:space="preserve"> </w:t>
      </w:r>
      <w:r w:rsidR="00F75CC3">
        <w:t>(</w:t>
      </w:r>
      <w:r w:rsidR="00E77384">
        <w:t>ccRCC</w:t>
      </w:r>
      <w:r w:rsidR="00F75CC3">
        <w:t>)</w:t>
      </w:r>
      <w:r w:rsidR="00E77384">
        <w:t xml:space="preserve">. </w:t>
      </w:r>
      <w:r w:rsidR="00DC5777" w:rsidRPr="00DC5777">
        <w:t xml:space="preserve">The primary aim was to demonstrate the </w:t>
      </w:r>
      <w:r w:rsidR="00CA1E04">
        <w:t>pharmacokinetic</w:t>
      </w:r>
      <w:r w:rsidR="00E8785F">
        <w:t xml:space="preserve"> (</w:t>
      </w:r>
      <w:r w:rsidR="00DC5777" w:rsidRPr="00DC5777">
        <w:t>PK</w:t>
      </w:r>
      <w:r w:rsidR="0040695B">
        <w:t>)</w:t>
      </w:r>
      <w:r w:rsidR="00DC5777" w:rsidRPr="00DC5777">
        <w:t xml:space="preserve"> non</w:t>
      </w:r>
      <w:r w:rsidR="003037EB">
        <w:t>-</w:t>
      </w:r>
      <w:r w:rsidR="00DC5777" w:rsidRPr="00DC5777">
        <w:t>inferiority of the 2 methods of administration.</w:t>
      </w:r>
      <w:r w:rsidR="00C17DC6">
        <w:t xml:space="preserve"> </w:t>
      </w:r>
      <w:r w:rsidR="00DC5777" w:rsidRPr="00DC5777">
        <w:t>Secondary endpoints investigating treatment efficacy and safety between the 2 methods of administration were also investigated.</w:t>
      </w:r>
      <w:r w:rsidR="00C17DC6">
        <w:t xml:space="preserve"> </w:t>
      </w:r>
      <w:r w:rsidR="00DC5777" w:rsidRPr="00DC5777">
        <w:t>A claim of non</w:t>
      </w:r>
      <w:r w:rsidR="003037EB">
        <w:t>-</w:t>
      </w:r>
      <w:r w:rsidR="00DC5777" w:rsidRPr="00DC5777">
        <w:t>inferiority is made on the available PK and clinical data outlined in Section 2.5.1</w:t>
      </w:r>
      <w:r w:rsidR="00291D08">
        <w:t xml:space="preserve"> of the submission</w:t>
      </w:r>
      <w:r w:rsidR="00DC5777" w:rsidRPr="00DC5777">
        <w:t xml:space="preserve">. Supplementary PK and safety information is provided from </w:t>
      </w:r>
      <w:r w:rsidR="00056247">
        <w:t xml:space="preserve">study </w:t>
      </w:r>
      <w:r w:rsidR="00DC5777" w:rsidRPr="00DC5777">
        <w:t>CA8KX.</w:t>
      </w:r>
    </w:p>
    <w:p w14:paraId="41AD44E6" w14:textId="37597594" w:rsidR="00DC5777" w:rsidRPr="00692C67" w:rsidRDefault="0002553D" w:rsidP="00C17DC6">
      <w:pPr>
        <w:pStyle w:val="3-BodyText"/>
      </w:pPr>
      <w:r>
        <w:lastRenderedPageBreak/>
        <w:t xml:space="preserve">The submission </w:t>
      </w:r>
      <w:r w:rsidR="0032622D">
        <w:t xml:space="preserve">conducted a </w:t>
      </w:r>
      <w:r w:rsidR="00AA0F78">
        <w:t>bridging</w:t>
      </w:r>
      <w:r w:rsidR="0032622D">
        <w:t xml:space="preserve"> analysis </w:t>
      </w:r>
      <w:r w:rsidR="00CE2CF9">
        <w:t xml:space="preserve">to establish similar </w:t>
      </w:r>
      <w:r w:rsidR="009D14C1" w:rsidRPr="009D14C1">
        <w:t>clinical pharmacological profile for weight-based dosing (3 mg/kg) used in treatment experienced ccRCC in CM67T to the different NIVO SC flat dosed regimens (1200 mg Q4W and 600 mg Q2W) and to establish the non-inferiority of PK of each regimen to the analogous approved indications for NIVO IV</w:t>
      </w:r>
      <w:r w:rsidR="009D14C1">
        <w:t xml:space="preserve">. </w:t>
      </w:r>
      <w:r w:rsidR="0042038A">
        <w:t xml:space="preserve">The </w:t>
      </w:r>
      <w:r w:rsidR="00701A2B">
        <w:t>submission stated that the Clinical Evaluation Report</w:t>
      </w:r>
      <w:r w:rsidR="00005A05">
        <w:t xml:space="preserve"> </w:t>
      </w:r>
      <w:r w:rsidR="003147CF">
        <w:t xml:space="preserve">analysis </w:t>
      </w:r>
      <w:r w:rsidR="003147CF" w:rsidRPr="00005A05">
        <w:t xml:space="preserve">was sufficient </w:t>
      </w:r>
      <w:r w:rsidR="001D5F72" w:rsidRPr="00005A05">
        <w:t>to bridge from nivolumab SC in 2L</w:t>
      </w:r>
      <w:r w:rsidR="00685D51" w:rsidRPr="00005A05">
        <w:t xml:space="preserve"> RCC being evaluated in the Phase 3 study</w:t>
      </w:r>
      <w:r w:rsidR="002025BB" w:rsidRPr="00005A05">
        <w:t xml:space="preserve"> CA20967T to the proposed therapeutic indications for this submission (all currently approved adult solid tumour indications for nivolumab IV, where nivolumab SC is to be used as monotherapy or in combination with certain chemotherapies or cabozantinib, but not in combination with ipilimumab</w:t>
      </w:r>
      <w:r w:rsidR="00005A05">
        <w:rPr>
          <w:i/>
          <w:iCs/>
        </w:rPr>
        <w:t>.</w:t>
      </w:r>
    </w:p>
    <w:p w14:paraId="5DCC8899" w14:textId="0CFD2AB6" w:rsidR="00393FF7" w:rsidRDefault="00781ABF" w:rsidP="00C17DC6">
      <w:pPr>
        <w:pStyle w:val="3-BodyText"/>
      </w:pPr>
      <w:r>
        <w:t xml:space="preserve">The </w:t>
      </w:r>
      <w:r w:rsidR="0017291E">
        <w:t xml:space="preserve">CheckMate </w:t>
      </w:r>
      <w:r w:rsidR="004D3670">
        <w:t>67T (</w:t>
      </w:r>
      <w:r>
        <w:t>CM67T</w:t>
      </w:r>
      <w:r w:rsidR="004D3670">
        <w:t>)</w:t>
      </w:r>
      <w:r>
        <w:t xml:space="preserve"> is a </w:t>
      </w:r>
      <w:r w:rsidR="009E49A7">
        <w:t>multicentre</w:t>
      </w:r>
      <w:r>
        <w:t xml:space="preserve">, randomised, open-label study </w:t>
      </w:r>
      <w:r w:rsidR="009E49A7">
        <w:t>evaluating</w:t>
      </w:r>
      <w:r>
        <w:t xml:space="preserve"> </w:t>
      </w:r>
      <w:r w:rsidR="00156362">
        <w:t>PK</w:t>
      </w:r>
      <w:r>
        <w:t xml:space="preserve"> and efficacy </w:t>
      </w:r>
      <w:r w:rsidR="00622BD7">
        <w:t xml:space="preserve">of VIVO SC vs NIVO IV and safety and tolerability of NIVO SC in subjects with advanced or metastatic ccRCC who </w:t>
      </w:r>
      <w:r w:rsidR="00C40A12">
        <w:t>have</w:t>
      </w:r>
      <w:r w:rsidR="00622BD7">
        <w:t xml:space="preserve"> evidence of progression after having received no </w:t>
      </w:r>
      <w:r w:rsidR="00C40A12">
        <w:t>more</w:t>
      </w:r>
      <w:r w:rsidR="00622BD7">
        <w:t xml:space="preserve"> </w:t>
      </w:r>
      <w:r w:rsidR="00C40A12">
        <w:t>than</w:t>
      </w:r>
      <w:r w:rsidR="00622BD7">
        <w:t xml:space="preserve"> 2 prior systemic treatment regimens</w:t>
      </w:r>
      <w:r w:rsidR="00CB5DFE">
        <w:t>.</w:t>
      </w:r>
      <w:r w:rsidR="009E49A7">
        <w:t xml:space="preserve"> </w:t>
      </w:r>
    </w:p>
    <w:p w14:paraId="59F19DEA" w14:textId="34740210" w:rsidR="00CB5DFE" w:rsidRDefault="004D3670" w:rsidP="00C17DC6">
      <w:pPr>
        <w:pStyle w:val="3-BodyText"/>
      </w:pPr>
      <w:r>
        <w:t>The CheckMate 8KX</w:t>
      </w:r>
      <w:r w:rsidR="00AD4A09">
        <w:t xml:space="preserve"> </w:t>
      </w:r>
      <w:r>
        <w:t>(</w:t>
      </w:r>
      <w:r w:rsidR="00AD4A09">
        <w:t>CA8KX</w:t>
      </w:r>
      <w:r>
        <w:t xml:space="preserve">) </w:t>
      </w:r>
      <w:r w:rsidR="00AD4A09">
        <w:t xml:space="preserve">is a </w:t>
      </w:r>
      <w:r w:rsidR="009E49A7">
        <w:t>multicentre</w:t>
      </w:r>
      <w:r w:rsidR="00AD4A09">
        <w:t xml:space="preserve">, randomised, open-label, Phase </w:t>
      </w:r>
      <w:r w:rsidR="00A456B3">
        <w:t xml:space="preserve">½ </w:t>
      </w:r>
      <w:r w:rsidR="00AD4A09">
        <w:t xml:space="preserve">study </w:t>
      </w:r>
      <w:r w:rsidR="00A456B3">
        <w:t>evaluating</w:t>
      </w:r>
      <w:r w:rsidR="00AD4A09">
        <w:t xml:space="preserve"> the PK, safety and tolerability of NIVO SC administered with and without</w:t>
      </w:r>
      <w:r w:rsidR="00C40A12">
        <w:t xml:space="preserve"> recombinant human hyaluro</w:t>
      </w:r>
      <w:r w:rsidR="009A3A84">
        <w:t xml:space="preserve">nidase (rHuuPH20) subcutaneously in subjects with 1 of the following tumour types: metastatic non-small cell cancer (NSCLC), advanced </w:t>
      </w:r>
      <w:r w:rsidR="00F44FAE">
        <w:t>or metastatic renal cell carcinoma (RCC), unresectable or metastatic melanoma, hepatocellular carcinoma (HCC), or metastatic colorectal cancer (CRC)</w:t>
      </w:r>
      <w:r w:rsidR="00595750">
        <w:t>. In addition to the above tumours, Part E included subjects with metastatic urothelial carcinoma (mUC)</w:t>
      </w:r>
      <w:r w:rsidR="007B27CA">
        <w:t>.</w:t>
      </w:r>
    </w:p>
    <w:p w14:paraId="295632C1" w14:textId="0A934949" w:rsidR="00D454A2" w:rsidRPr="00A6439B" w:rsidRDefault="00D454A2" w:rsidP="00C17DC6">
      <w:pPr>
        <w:pStyle w:val="Caption"/>
        <w:rPr>
          <w:rStyle w:val="CommentReference"/>
          <w:b w:val="0"/>
          <w:sz w:val="20"/>
          <w:szCs w:val="20"/>
        </w:rPr>
      </w:pPr>
      <w:r>
        <w:t xml:space="preserve">Table </w:t>
      </w:r>
      <w:fldSimple w:instr=" SEQ Table \* ARABIC ">
        <w:r w:rsidR="00BB69C0">
          <w:rPr>
            <w:noProof/>
          </w:rPr>
          <w:t>1</w:t>
        </w:r>
      </w:fldSimple>
      <w:r w:rsidR="00D4166D">
        <w:t xml:space="preserve">: </w:t>
      </w:r>
      <w:r w:rsidR="00D4166D" w:rsidRPr="00D4166D">
        <w:t>CheckMate 67T</w:t>
      </w:r>
      <w:r w:rsidR="00D4166D">
        <w:t xml:space="preserve">, </w:t>
      </w:r>
      <w:r w:rsidR="00D4166D" w:rsidRPr="00D4166D">
        <w:t>CheckMate 8KX</w:t>
      </w:r>
      <w:r w:rsidR="00D4166D">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CheckMate 67T, CheckMate 8KX and associated reports presented in the submission"/>
      </w:tblPr>
      <w:tblGrid>
        <w:gridCol w:w="1434"/>
        <w:gridCol w:w="5054"/>
        <w:gridCol w:w="2528"/>
      </w:tblGrid>
      <w:tr w:rsidR="00B6533B" w:rsidRPr="00A6439B" w14:paraId="77468B9B" w14:textId="77777777" w:rsidTr="00C14F69">
        <w:trPr>
          <w:cantSplit/>
          <w:tblHeader/>
        </w:trPr>
        <w:tc>
          <w:tcPr>
            <w:tcW w:w="795" w:type="pct"/>
            <w:tcBorders>
              <w:bottom w:val="single" w:sz="4" w:space="0" w:color="auto"/>
            </w:tcBorders>
            <w:vAlign w:val="center"/>
          </w:tcPr>
          <w:p w14:paraId="06990072" w14:textId="77777777" w:rsidR="00B6533B" w:rsidRPr="00A6439B" w:rsidRDefault="00B6533B" w:rsidP="00C17DC6">
            <w:pPr>
              <w:pStyle w:val="In-tableHeading"/>
              <w:jc w:val="center"/>
              <w:rPr>
                <w:lang w:val="en-AU"/>
              </w:rPr>
            </w:pPr>
            <w:r w:rsidRPr="00A6439B">
              <w:rPr>
                <w:lang w:val="en-AU"/>
              </w:rPr>
              <w:t>Trial ID</w:t>
            </w:r>
          </w:p>
        </w:tc>
        <w:tc>
          <w:tcPr>
            <w:tcW w:w="2803" w:type="pct"/>
            <w:tcBorders>
              <w:bottom w:val="single" w:sz="4" w:space="0" w:color="auto"/>
            </w:tcBorders>
            <w:vAlign w:val="center"/>
          </w:tcPr>
          <w:p w14:paraId="36B2C658" w14:textId="77777777" w:rsidR="00B6533B" w:rsidRPr="00A6439B" w:rsidRDefault="00B6533B" w:rsidP="00C17DC6">
            <w:pPr>
              <w:pStyle w:val="In-tableHeading"/>
              <w:rPr>
                <w:lang w:val="en-AU"/>
              </w:rPr>
            </w:pPr>
            <w:r w:rsidRPr="00A6439B">
              <w:rPr>
                <w:lang w:val="en-AU"/>
              </w:rPr>
              <w:t>Protocol title/ Publication title</w:t>
            </w:r>
          </w:p>
        </w:tc>
        <w:tc>
          <w:tcPr>
            <w:tcW w:w="1402" w:type="pct"/>
            <w:tcBorders>
              <w:bottom w:val="single" w:sz="4" w:space="0" w:color="auto"/>
            </w:tcBorders>
            <w:vAlign w:val="center"/>
          </w:tcPr>
          <w:p w14:paraId="036FE8E7" w14:textId="77777777" w:rsidR="00B6533B" w:rsidRPr="00A6439B" w:rsidRDefault="00B6533B" w:rsidP="00C17DC6">
            <w:pPr>
              <w:pStyle w:val="In-tableHeading"/>
              <w:rPr>
                <w:lang w:val="en-AU"/>
              </w:rPr>
            </w:pPr>
            <w:r w:rsidRPr="00A6439B">
              <w:rPr>
                <w:lang w:val="en-AU"/>
              </w:rPr>
              <w:t>Publication citation</w:t>
            </w:r>
          </w:p>
        </w:tc>
      </w:tr>
      <w:tr w:rsidR="00B6533B" w:rsidRPr="00A6439B" w14:paraId="071CAD22" w14:textId="77777777">
        <w:trPr>
          <w:cantSplit/>
        </w:trPr>
        <w:tc>
          <w:tcPr>
            <w:tcW w:w="795" w:type="pct"/>
            <w:vMerge w:val="restart"/>
            <w:vAlign w:val="center"/>
          </w:tcPr>
          <w:p w14:paraId="4C7BE8C2" w14:textId="77777777" w:rsidR="00414119" w:rsidRDefault="00414119" w:rsidP="00C17DC6">
            <w:pPr>
              <w:pStyle w:val="TableText0"/>
              <w:jc w:val="center"/>
            </w:pPr>
            <w:r>
              <w:t xml:space="preserve">CheckMate 67T </w:t>
            </w:r>
          </w:p>
          <w:p w14:paraId="44417271" w14:textId="489D3D15" w:rsidR="00B6533B" w:rsidRPr="00A6439B" w:rsidRDefault="00414119" w:rsidP="00C17DC6">
            <w:pPr>
              <w:pStyle w:val="TableText0"/>
              <w:jc w:val="center"/>
              <w:rPr>
                <w:szCs w:val="20"/>
              </w:rPr>
            </w:pPr>
            <w:r>
              <w:t>CA209-67T NCT04810078</w:t>
            </w:r>
          </w:p>
        </w:tc>
        <w:tc>
          <w:tcPr>
            <w:tcW w:w="2803" w:type="pct"/>
            <w:tcBorders>
              <w:bottom w:val="nil"/>
            </w:tcBorders>
            <w:vAlign w:val="center"/>
          </w:tcPr>
          <w:p w14:paraId="1DD03D02" w14:textId="1DF36B2D" w:rsidR="00B6533B" w:rsidRPr="00A6439B" w:rsidRDefault="00866FC2" w:rsidP="00C17DC6">
            <w:pPr>
              <w:pStyle w:val="TableText0"/>
            </w:pPr>
            <w:r w:rsidRPr="00866FC2">
              <w:t>CheckMate 67T</w:t>
            </w:r>
          </w:p>
        </w:tc>
        <w:tc>
          <w:tcPr>
            <w:tcW w:w="1402" w:type="pct"/>
            <w:tcBorders>
              <w:bottom w:val="nil"/>
            </w:tcBorders>
            <w:vAlign w:val="center"/>
          </w:tcPr>
          <w:p w14:paraId="58C1350A" w14:textId="50594972" w:rsidR="00B6533B" w:rsidRPr="00A6439B" w:rsidRDefault="00C94422" w:rsidP="00C17DC6">
            <w:pPr>
              <w:pStyle w:val="TableText0"/>
              <w:rPr>
                <w:rFonts w:ascii="Times" w:hAnsi="Times"/>
              </w:rPr>
            </w:pPr>
            <w:r>
              <w:t>19 December 2023</w:t>
            </w:r>
          </w:p>
        </w:tc>
      </w:tr>
      <w:tr w:rsidR="00B6533B" w:rsidRPr="00A6439B" w14:paraId="46EC551B" w14:textId="77777777">
        <w:trPr>
          <w:cantSplit/>
        </w:trPr>
        <w:tc>
          <w:tcPr>
            <w:tcW w:w="795" w:type="pct"/>
            <w:vMerge/>
            <w:vAlign w:val="center"/>
          </w:tcPr>
          <w:p w14:paraId="722AA56D" w14:textId="77777777" w:rsidR="00B6533B" w:rsidRPr="00A6439B" w:rsidRDefault="00B6533B" w:rsidP="00C17DC6">
            <w:pPr>
              <w:pStyle w:val="TableText0"/>
              <w:jc w:val="center"/>
            </w:pPr>
          </w:p>
        </w:tc>
        <w:tc>
          <w:tcPr>
            <w:tcW w:w="2803" w:type="pct"/>
            <w:tcBorders>
              <w:top w:val="nil"/>
              <w:bottom w:val="nil"/>
            </w:tcBorders>
            <w:vAlign w:val="center"/>
          </w:tcPr>
          <w:p w14:paraId="691929A7" w14:textId="7130E461" w:rsidR="00B6533B" w:rsidRPr="00A6439B" w:rsidRDefault="00F6431F" w:rsidP="00C17DC6">
            <w:pPr>
              <w:pStyle w:val="TableText0"/>
            </w:pPr>
            <w:proofErr w:type="spellStart"/>
            <w:r w:rsidRPr="00F6431F">
              <w:t>Albiges</w:t>
            </w:r>
            <w:proofErr w:type="spellEnd"/>
            <w:r w:rsidRPr="00F6431F">
              <w:t xml:space="preserve"> L, </w:t>
            </w:r>
            <w:proofErr w:type="spellStart"/>
            <w:r w:rsidRPr="00F6431F">
              <w:t>Bourlon</w:t>
            </w:r>
            <w:proofErr w:type="spellEnd"/>
            <w:r w:rsidRPr="00F6431F">
              <w:t xml:space="preserve"> MT, Chacon M et al.</w:t>
            </w:r>
            <w:r w:rsidR="00C17DC6">
              <w:t xml:space="preserve"> </w:t>
            </w:r>
            <w:r w:rsidRPr="00F6431F">
              <w:t>Subcutaneous versus intravenous nivolumab for renal cell carcinoma.</w:t>
            </w:r>
          </w:p>
        </w:tc>
        <w:tc>
          <w:tcPr>
            <w:tcW w:w="1402" w:type="pct"/>
            <w:tcBorders>
              <w:top w:val="nil"/>
              <w:bottom w:val="nil"/>
            </w:tcBorders>
            <w:vAlign w:val="center"/>
          </w:tcPr>
          <w:p w14:paraId="055FCA9B" w14:textId="1C627E4A" w:rsidR="00B6533B" w:rsidRPr="00A6439B" w:rsidRDefault="00287AF5" w:rsidP="00C17DC6">
            <w:pPr>
              <w:pStyle w:val="TableText0"/>
            </w:pPr>
            <w:r w:rsidRPr="00287AF5">
              <w:rPr>
                <w:i/>
              </w:rPr>
              <w:t>Annals of Oncol 2024: in press.</w:t>
            </w:r>
            <w:r w:rsidR="00C17DC6">
              <w:rPr>
                <w:i/>
              </w:rPr>
              <w:t xml:space="preserve"> </w:t>
            </w:r>
          </w:p>
        </w:tc>
      </w:tr>
      <w:tr w:rsidR="00B6533B" w:rsidRPr="00A6439B" w14:paraId="27970BFF" w14:textId="77777777">
        <w:trPr>
          <w:cantSplit/>
        </w:trPr>
        <w:tc>
          <w:tcPr>
            <w:tcW w:w="795" w:type="pct"/>
            <w:vMerge/>
            <w:tcBorders>
              <w:bottom w:val="nil"/>
            </w:tcBorders>
            <w:vAlign w:val="center"/>
          </w:tcPr>
          <w:p w14:paraId="7389BA82" w14:textId="77777777" w:rsidR="00B6533B" w:rsidRPr="00A6439B" w:rsidRDefault="00B6533B" w:rsidP="00C17DC6">
            <w:pPr>
              <w:pStyle w:val="TableText0"/>
              <w:jc w:val="center"/>
            </w:pPr>
          </w:p>
        </w:tc>
        <w:tc>
          <w:tcPr>
            <w:tcW w:w="2803" w:type="pct"/>
            <w:tcBorders>
              <w:top w:val="nil"/>
              <w:bottom w:val="nil"/>
            </w:tcBorders>
            <w:vAlign w:val="center"/>
          </w:tcPr>
          <w:p w14:paraId="05C4F4EE" w14:textId="77777777" w:rsidR="00B6533B" w:rsidRPr="00A6439B" w:rsidRDefault="00B6533B" w:rsidP="00C17DC6">
            <w:pPr>
              <w:pStyle w:val="TableText0"/>
            </w:pPr>
            <w:r w:rsidRPr="00A6439B">
              <w:t>Author(s). Title.</w:t>
            </w:r>
          </w:p>
        </w:tc>
        <w:tc>
          <w:tcPr>
            <w:tcW w:w="1402" w:type="pct"/>
            <w:tcBorders>
              <w:top w:val="nil"/>
              <w:bottom w:val="nil"/>
            </w:tcBorders>
            <w:vAlign w:val="center"/>
          </w:tcPr>
          <w:p w14:paraId="6FF510EB" w14:textId="77777777" w:rsidR="00B6533B" w:rsidRPr="00A6439B" w:rsidRDefault="00B6533B" w:rsidP="00C17DC6">
            <w:pPr>
              <w:pStyle w:val="TableText0"/>
              <w:rPr>
                <w:i/>
              </w:rPr>
            </w:pPr>
            <w:r w:rsidRPr="00A6439B">
              <w:rPr>
                <w:i/>
              </w:rPr>
              <w:t>Journal</w:t>
            </w:r>
            <w:r w:rsidRPr="00A6439B">
              <w:t xml:space="preserve"> Year; Vol(No.): pages</w:t>
            </w:r>
          </w:p>
        </w:tc>
      </w:tr>
      <w:tr w:rsidR="00B6533B" w:rsidRPr="00A6439B" w14:paraId="4837E5E3" w14:textId="77777777">
        <w:trPr>
          <w:cantSplit/>
        </w:trPr>
        <w:tc>
          <w:tcPr>
            <w:tcW w:w="795" w:type="pct"/>
            <w:vMerge w:val="restart"/>
            <w:vAlign w:val="center"/>
          </w:tcPr>
          <w:p w14:paraId="7CDAC7C3" w14:textId="77777777" w:rsidR="00E201E7" w:rsidRDefault="00E201E7" w:rsidP="00C17DC6">
            <w:pPr>
              <w:pStyle w:val="TableText0"/>
              <w:jc w:val="center"/>
            </w:pPr>
            <w:r>
              <w:t>CheckMate 8KX</w:t>
            </w:r>
          </w:p>
          <w:p w14:paraId="68B3FC97" w14:textId="702E828A" w:rsidR="00B6533B" w:rsidRPr="00A6439B" w:rsidRDefault="00E201E7" w:rsidP="00C17DC6">
            <w:pPr>
              <w:pStyle w:val="TableText0"/>
              <w:jc w:val="center"/>
              <w:rPr>
                <w:rFonts w:ascii="Times" w:hAnsi="Times"/>
              </w:rPr>
            </w:pPr>
            <w:r>
              <w:t>CA209-8KX NCT03656718</w:t>
            </w:r>
          </w:p>
        </w:tc>
        <w:tc>
          <w:tcPr>
            <w:tcW w:w="2803" w:type="pct"/>
            <w:tcBorders>
              <w:bottom w:val="nil"/>
            </w:tcBorders>
            <w:vAlign w:val="center"/>
          </w:tcPr>
          <w:p w14:paraId="5BEE2D95" w14:textId="48DFB6CC" w:rsidR="00B6533B" w:rsidRPr="00A6439B" w:rsidRDefault="00866FC2" w:rsidP="00C17DC6">
            <w:pPr>
              <w:pStyle w:val="TableText0"/>
              <w:rPr>
                <w:rFonts w:ascii="Times" w:hAnsi="Times"/>
              </w:rPr>
            </w:pPr>
            <w:r w:rsidRPr="00866FC2">
              <w:t>CheckMate 8KX</w:t>
            </w:r>
          </w:p>
        </w:tc>
        <w:tc>
          <w:tcPr>
            <w:tcW w:w="1402" w:type="pct"/>
            <w:tcBorders>
              <w:bottom w:val="nil"/>
            </w:tcBorders>
            <w:vAlign w:val="center"/>
          </w:tcPr>
          <w:p w14:paraId="5B578937" w14:textId="48402EAE" w:rsidR="00B6533B" w:rsidRPr="00A6439B" w:rsidRDefault="00C94422" w:rsidP="00C17DC6">
            <w:pPr>
              <w:pStyle w:val="TableText0"/>
            </w:pPr>
            <w:r>
              <w:t>August 7 2023</w:t>
            </w:r>
          </w:p>
        </w:tc>
      </w:tr>
      <w:tr w:rsidR="00B6533B" w:rsidRPr="00A6439B" w14:paraId="650DDFCA" w14:textId="77777777">
        <w:trPr>
          <w:cantSplit/>
        </w:trPr>
        <w:tc>
          <w:tcPr>
            <w:tcW w:w="795" w:type="pct"/>
            <w:vMerge/>
            <w:vAlign w:val="center"/>
          </w:tcPr>
          <w:p w14:paraId="237B0651" w14:textId="77777777" w:rsidR="00B6533B" w:rsidRPr="00A6439B" w:rsidRDefault="00B6533B" w:rsidP="00C17DC6">
            <w:pPr>
              <w:pStyle w:val="TableText0"/>
              <w:jc w:val="center"/>
            </w:pPr>
          </w:p>
        </w:tc>
        <w:tc>
          <w:tcPr>
            <w:tcW w:w="2803" w:type="pct"/>
            <w:tcBorders>
              <w:top w:val="nil"/>
              <w:bottom w:val="nil"/>
            </w:tcBorders>
            <w:vAlign w:val="center"/>
          </w:tcPr>
          <w:p w14:paraId="41AE0487" w14:textId="7D7D666F" w:rsidR="00B6533B" w:rsidRPr="00A6439B" w:rsidRDefault="00F77EA6" w:rsidP="00C17DC6">
            <w:pPr>
              <w:pStyle w:val="TableText0"/>
            </w:pPr>
            <w:proofErr w:type="spellStart"/>
            <w:r w:rsidRPr="00F77EA6">
              <w:t>Lonardi</w:t>
            </w:r>
            <w:proofErr w:type="spellEnd"/>
            <w:r w:rsidRPr="00F77EA6">
              <w:t xml:space="preserve"> S, </w:t>
            </w:r>
            <w:proofErr w:type="spellStart"/>
            <w:r w:rsidRPr="00F77EA6">
              <w:t>Kugowska</w:t>
            </w:r>
            <w:proofErr w:type="spellEnd"/>
            <w:r w:rsidRPr="00F77EA6">
              <w:t xml:space="preserve"> I, O’Donnell A et al.</w:t>
            </w:r>
            <w:r w:rsidR="00C17DC6">
              <w:t xml:space="preserve"> </w:t>
            </w:r>
            <w:r w:rsidRPr="00F77EA6">
              <w:t>Pharmacokinetics and safety of subcutaneous nivolumab: Results from the phase I/II CheckMate 8KX study</w:t>
            </w:r>
          </w:p>
        </w:tc>
        <w:tc>
          <w:tcPr>
            <w:tcW w:w="1402" w:type="pct"/>
            <w:tcBorders>
              <w:top w:val="nil"/>
              <w:bottom w:val="nil"/>
            </w:tcBorders>
            <w:vAlign w:val="center"/>
          </w:tcPr>
          <w:p w14:paraId="4BF0843C" w14:textId="6411B6DF" w:rsidR="00B6533B" w:rsidRPr="00A6439B" w:rsidRDefault="000176A0" w:rsidP="00C17DC6">
            <w:pPr>
              <w:pStyle w:val="TableText0"/>
              <w:rPr>
                <w:i/>
              </w:rPr>
            </w:pPr>
            <w:r w:rsidRPr="000176A0">
              <w:rPr>
                <w:i/>
              </w:rPr>
              <w:t xml:space="preserve">J </w:t>
            </w:r>
            <w:proofErr w:type="spellStart"/>
            <w:r w:rsidRPr="000176A0">
              <w:rPr>
                <w:i/>
              </w:rPr>
              <w:t>ImmunoTher</w:t>
            </w:r>
            <w:proofErr w:type="spellEnd"/>
            <w:r w:rsidRPr="000176A0">
              <w:rPr>
                <w:i/>
              </w:rPr>
              <w:t xml:space="preserve"> </w:t>
            </w:r>
            <w:proofErr w:type="spellStart"/>
            <w:r w:rsidRPr="000176A0">
              <w:rPr>
                <w:i/>
              </w:rPr>
              <w:t>Canc</w:t>
            </w:r>
            <w:proofErr w:type="spellEnd"/>
            <w:r w:rsidRPr="000176A0">
              <w:rPr>
                <w:i/>
              </w:rPr>
              <w:t xml:space="preserve"> 2025, 13 (10)</w:t>
            </w:r>
          </w:p>
        </w:tc>
      </w:tr>
      <w:tr w:rsidR="00B6533B" w:rsidRPr="00A6439B" w14:paraId="32687208" w14:textId="77777777" w:rsidTr="00C14F69">
        <w:trPr>
          <w:cantSplit/>
        </w:trPr>
        <w:tc>
          <w:tcPr>
            <w:tcW w:w="795" w:type="pct"/>
            <w:vMerge/>
            <w:tcBorders>
              <w:bottom w:val="single" w:sz="4" w:space="0" w:color="auto"/>
            </w:tcBorders>
            <w:vAlign w:val="center"/>
          </w:tcPr>
          <w:p w14:paraId="604F3B19" w14:textId="77777777" w:rsidR="00B6533B" w:rsidRPr="00A6439B" w:rsidRDefault="00B6533B" w:rsidP="00C17DC6">
            <w:pPr>
              <w:pStyle w:val="TableText0"/>
              <w:jc w:val="center"/>
            </w:pPr>
          </w:p>
        </w:tc>
        <w:tc>
          <w:tcPr>
            <w:tcW w:w="2803" w:type="pct"/>
            <w:tcBorders>
              <w:top w:val="nil"/>
              <w:bottom w:val="single" w:sz="4" w:space="0" w:color="auto"/>
            </w:tcBorders>
            <w:vAlign w:val="center"/>
          </w:tcPr>
          <w:p w14:paraId="5A9B0B71" w14:textId="77777777" w:rsidR="00B6533B" w:rsidRPr="00A6439B" w:rsidRDefault="00B6533B" w:rsidP="00C17DC6">
            <w:pPr>
              <w:pStyle w:val="TableText0"/>
            </w:pPr>
            <w:r w:rsidRPr="00A6439B">
              <w:t>Author(s). Title.</w:t>
            </w:r>
          </w:p>
        </w:tc>
        <w:tc>
          <w:tcPr>
            <w:tcW w:w="1402" w:type="pct"/>
            <w:tcBorders>
              <w:top w:val="nil"/>
              <w:bottom w:val="single" w:sz="4" w:space="0" w:color="auto"/>
            </w:tcBorders>
            <w:vAlign w:val="center"/>
          </w:tcPr>
          <w:p w14:paraId="0912D455" w14:textId="77777777" w:rsidR="00B6533B" w:rsidRPr="00A6439B" w:rsidRDefault="00B6533B" w:rsidP="00C17DC6">
            <w:pPr>
              <w:pStyle w:val="TableText0"/>
              <w:rPr>
                <w:rFonts w:ascii="Times" w:hAnsi="Times"/>
              </w:rPr>
            </w:pPr>
            <w:r w:rsidRPr="00A6439B">
              <w:rPr>
                <w:i/>
              </w:rPr>
              <w:t>Journal</w:t>
            </w:r>
            <w:r w:rsidRPr="00A6439B">
              <w:t xml:space="preserve"> Year; Vol(No.): pages</w:t>
            </w:r>
          </w:p>
        </w:tc>
      </w:tr>
    </w:tbl>
    <w:p w14:paraId="0D78E536" w14:textId="4A61FB64" w:rsidR="00B6533B" w:rsidRPr="00A6439B" w:rsidRDefault="00B6533B" w:rsidP="00C17DC6">
      <w:pPr>
        <w:pStyle w:val="FooterTableFigure"/>
        <w:rPr>
          <w:sz w:val="20"/>
        </w:rPr>
      </w:pPr>
      <w:r w:rsidRPr="00A6439B">
        <w:t xml:space="preserve">Source: </w:t>
      </w:r>
      <w:r w:rsidR="00927411">
        <w:t>Table 15</w:t>
      </w:r>
      <w:r w:rsidR="00E34971">
        <w:t xml:space="preserve">, p54 </w:t>
      </w:r>
      <w:r w:rsidRPr="00A6439B">
        <w:t>of the submission</w:t>
      </w:r>
    </w:p>
    <w:bookmarkEnd w:id="0"/>
    <w:p w14:paraId="402A7776" w14:textId="77777777" w:rsidR="00C27C1C" w:rsidRDefault="00C27C1C" w:rsidP="00C17DC6">
      <w:pPr>
        <w:pStyle w:val="4-SubsectionHeading"/>
        <w:rPr>
          <w:lang w:eastAsia="en-US"/>
        </w:rPr>
      </w:pPr>
      <w:r w:rsidRPr="00A6439B">
        <w:rPr>
          <w:lang w:eastAsia="en-US"/>
        </w:rPr>
        <w:t>Comparative effectiveness</w:t>
      </w:r>
    </w:p>
    <w:p w14:paraId="2680D9FE" w14:textId="1632BF33" w:rsidR="00B11830" w:rsidRPr="00B11830" w:rsidRDefault="00B11830" w:rsidP="00C17DC6">
      <w:pPr>
        <w:pStyle w:val="5-SubsectionSubheading"/>
        <w:rPr>
          <w:lang w:eastAsia="en-US"/>
        </w:rPr>
      </w:pPr>
      <w:r>
        <w:rPr>
          <w:lang w:eastAsia="en-US"/>
        </w:rPr>
        <w:t>CM67T</w:t>
      </w:r>
    </w:p>
    <w:p w14:paraId="7EE38F98" w14:textId="63C169F2" w:rsidR="000F0527" w:rsidRDefault="00EB160A" w:rsidP="00C17DC6">
      <w:pPr>
        <w:pStyle w:val="3-BodyText"/>
        <w:rPr>
          <w:lang w:eastAsia="en-US"/>
        </w:rPr>
      </w:pPr>
      <w:r w:rsidRPr="00EB160A">
        <w:rPr>
          <w:lang w:eastAsia="en-US"/>
        </w:rPr>
        <w:t>The co-primary PK endpoints for the study were average serum concentration over 28 days (Cavgd28) and trough serum concentration at a steady state (</w:t>
      </w:r>
      <w:proofErr w:type="spellStart"/>
      <w:r w:rsidRPr="00EB160A">
        <w:rPr>
          <w:lang w:eastAsia="en-US"/>
        </w:rPr>
        <w:t>Cminss</w:t>
      </w:r>
      <w:proofErr w:type="spellEnd"/>
      <w:r w:rsidRPr="00EB160A">
        <w:rPr>
          <w:lang w:eastAsia="en-US"/>
        </w:rPr>
        <w:t xml:space="preserve">). </w:t>
      </w:r>
      <w:r w:rsidR="00416256" w:rsidRPr="00416256">
        <w:rPr>
          <w:lang w:eastAsia="en-US"/>
        </w:rPr>
        <w:t>The primary analysis was performed with stratification factors as recorded in the CRF (</w:t>
      </w:r>
      <w:r w:rsidR="008D430F" w:rsidRPr="00416256">
        <w:rPr>
          <w:lang w:eastAsia="en-US"/>
        </w:rPr>
        <w:t>i.e.</w:t>
      </w:r>
      <w:r w:rsidR="00416256" w:rsidRPr="00416256">
        <w:rPr>
          <w:lang w:eastAsia="en-US"/>
        </w:rPr>
        <w:t>, weight category [&lt; 80 kg or ≥ 80 kg] and IMDC risk group [favourable, intermediate, or poor]) and treatment (NIVO SC or NIVO IV) as fixed effects</w:t>
      </w:r>
      <w:r w:rsidR="00416256">
        <w:rPr>
          <w:lang w:eastAsia="en-US"/>
        </w:rPr>
        <w:t>.</w:t>
      </w:r>
    </w:p>
    <w:p w14:paraId="07B71B0F" w14:textId="336DBE26" w:rsidR="00EB160A" w:rsidRDefault="00EB160A" w:rsidP="00C17DC6">
      <w:pPr>
        <w:pStyle w:val="3-BodyText"/>
        <w:rPr>
          <w:lang w:eastAsia="en-US"/>
        </w:rPr>
      </w:pPr>
      <w:r w:rsidRPr="00EB160A">
        <w:rPr>
          <w:lang w:eastAsia="en-US"/>
        </w:rPr>
        <w:t>The key secondary efficacy endpoint for CM67T was objective response rate (ORR)</w:t>
      </w:r>
      <w:r w:rsidR="00B47BA9">
        <w:rPr>
          <w:lang w:eastAsia="en-US"/>
        </w:rPr>
        <w:t>. ORR was</w:t>
      </w:r>
      <w:r w:rsidRPr="00EB160A">
        <w:rPr>
          <w:lang w:eastAsia="en-US"/>
        </w:rPr>
        <w:t xml:space="preserve"> defined as the sum of those patients </w:t>
      </w:r>
      <w:r w:rsidR="00B47BA9">
        <w:rPr>
          <w:lang w:eastAsia="en-US"/>
        </w:rPr>
        <w:t xml:space="preserve">achieving </w:t>
      </w:r>
      <w:r w:rsidR="00E17EAB" w:rsidRPr="00E17EAB">
        <w:rPr>
          <w:lang w:eastAsia="en-US"/>
        </w:rPr>
        <w:t xml:space="preserve">a best overall response (BOR) </w:t>
      </w:r>
      <w:r w:rsidR="00E17EAB" w:rsidRPr="00E17EAB">
        <w:rPr>
          <w:lang w:eastAsia="en-US"/>
        </w:rPr>
        <w:lastRenderedPageBreak/>
        <w:t>of complete response (CR) or partial response (PR) and was assessed once a minimum follow-up time of 6 months was reached.</w:t>
      </w:r>
      <w:r w:rsidR="00C17DC6">
        <w:rPr>
          <w:lang w:eastAsia="en-US"/>
        </w:rPr>
        <w:t xml:space="preserve"> </w:t>
      </w:r>
    </w:p>
    <w:p w14:paraId="293E38C7" w14:textId="567C0093" w:rsidR="00DA009E" w:rsidRDefault="00DA009E" w:rsidP="00C17DC6">
      <w:pPr>
        <w:pStyle w:val="3-BodyText"/>
        <w:rPr>
          <w:lang w:eastAsia="en-US"/>
        </w:rPr>
      </w:pPr>
      <w:r w:rsidRPr="00DA009E">
        <w:rPr>
          <w:lang w:eastAsia="en-US"/>
        </w:rPr>
        <w:t xml:space="preserve">NIVO SC demonstrated non-inferiority to NIVO IV across both key PK measures (Cavgd28 and </w:t>
      </w:r>
      <w:proofErr w:type="spellStart"/>
      <w:r w:rsidRPr="00DA009E">
        <w:rPr>
          <w:lang w:eastAsia="en-US"/>
        </w:rPr>
        <w:t>Cminss</w:t>
      </w:r>
      <w:proofErr w:type="spellEnd"/>
      <w:r w:rsidRPr="00DA009E">
        <w:rPr>
          <w:lang w:eastAsia="en-US"/>
        </w:rPr>
        <w:t>).</w:t>
      </w:r>
      <w:r w:rsidR="00C17DC6">
        <w:rPr>
          <w:lang w:eastAsia="en-US"/>
        </w:rPr>
        <w:t xml:space="preserve"> </w:t>
      </w:r>
      <w:r w:rsidR="00EC3213">
        <w:rPr>
          <w:lang w:eastAsia="en-US"/>
        </w:rPr>
        <w:t>In the primary analysis</w:t>
      </w:r>
      <w:r w:rsidR="00EC3213" w:rsidRPr="00EC3213">
        <w:rPr>
          <w:lang w:eastAsia="en-US"/>
        </w:rPr>
        <w:t xml:space="preserve">, noninferiority of NIVO SC to NIVO IV was concluded for a Cavgd28 </w:t>
      </w:r>
      <w:r w:rsidR="009D238A">
        <w:rPr>
          <w:lang w:eastAsia="en-US"/>
        </w:rPr>
        <w:t>geometric mean ratio (</w:t>
      </w:r>
      <w:r w:rsidR="00EC3213" w:rsidRPr="00EC3213">
        <w:rPr>
          <w:lang w:eastAsia="en-US"/>
        </w:rPr>
        <w:t>GMR</w:t>
      </w:r>
      <w:r w:rsidR="009D238A">
        <w:rPr>
          <w:lang w:eastAsia="en-US"/>
        </w:rPr>
        <w:t>)</w:t>
      </w:r>
      <w:r w:rsidR="00EC3213" w:rsidRPr="00EC3213">
        <w:rPr>
          <w:lang w:eastAsia="en-US"/>
        </w:rPr>
        <w:t xml:space="preserve"> (90% CI) of 2.098 (2.001, 2.200) and a </w:t>
      </w:r>
      <w:proofErr w:type="spellStart"/>
      <w:r w:rsidR="00EC3213" w:rsidRPr="00EC3213">
        <w:rPr>
          <w:lang w:eastAsia="en-US"/>
        </w:rPr>
        <w:t>Cminss</w:t>
      </w:r>
      <w:proofErr w:type="spellEnd"/>
      <w:r w:rsidR="00EC3213" w:rsidRPr="00EC3213">
        <w:rPr>
          <w:lang w:eastAsia="en-US"/>
        </w:rPr>
        <w:t xml:space="preserve"> GMR (90% CI) of 1.774 (1.633, 1.927) as the lower bounds of the 2-sided 90% CIs for both endpoints were above 0.8.</w:t>
      </w:r>
    </w:p>
    <w:p w14:paraId="3A5455A4" w14:textId="5DE6148A" w:rsidR="00EC3213" w:rsidRDefault="006458B6" w:rsidP="00C17DC6">
      <w:pPr>
        <w:pStyle w:val="3-BodyText"/>
        <w:rPr>
          <w:lang w:eastAsia="en-US"/>
        </w:rPr>
      </w:pPr>
      <w:r w:rsidRPr="006458B6">
        <w:rPr>
          <w:lang w:eastAsia="en-US"/>
        </w:rPr>
        <w:t xml:space="preserve">NIVO SC demonstrated non-inferiority to NIVO IV for the secondary efficacy endpoint of ORR </w:t>
      </w:r>
      <w:r w:rsidR="00EC5430" w:rsidRPr="006458B6">
        <w:rPr>
          <w:lang w:eastAsia="en-US"/>
        </w:rPr>
        <w:t>per</w:t>
      </w:r>
      <w:r w:rsidR="00EC5430">
        <w:rPr>
          <w:lang w:eastAsia="en-US"/>
        </w:rPr>
        <w:t xml:space="preserve"> </w:t>
      </w:r>
      <w:r w:rsidR="00EC5430" w:rsidRPr="006458B6">
        <w:rPr>
          <w:lang w:eastAsia="en-US"/>
        </w:rPr>
        <w:t>blinded</w:t>
      </w:r>
      <w:r w:rsidR="00EC5430" w:rsidRPr="00EC5430">
        <w:rPr>
          <w:lang w:eastAsia="en-US"/>
        </w:rPr>
        <w:t xml:space="preserve"> independent central review </w:t>
      </w:r>
      <w:r w:rsidR="00EC5430">
        <w:rPr>
          <w:lang w:eastAsia="en-US"/>
        </w:rPr>
        <w:t>(</w:t>
      </w:r>
      <w:r w:rsidRPr="006458B6">
        <w:rPr>
          <w:lang w:eastAsia="en-US"/>
        </w:rPr>
        <w:t>BICR</w:t>
      </w:r>
      <w:r w:rsidR="00EC5430">
        <w:rPr>
          <w:lang w:eastAsia="en-US"/>
        </w:rPr>
        <w:t>)</w:t>
      </w:r>
      <w:r w:rsidR="00751908">
        <w:rPr>
          <w:lang w:eastAsia="en-US"/>
        </w:rPr>
        <w:t xml:space="preserve">. </w:t>
      </w:r>
      <w:r w:rsidR="00751908" w:rsidRPr="00751908">
        <w:rPr>
          <w:lang w:eastAsia="en-US"/>
        </w:rPr>
        <w:t>Within a minimum of 15 months follow-up, the ORR for patients who received NIVO SC was 26.6% (n=66/248, 95%CI 21.2, 32.6) compared with 20.6% (n=51/247, 95%CI 15.8, 26.2) for patients who received NIVO IV.</w:t>
      </w:r>
      <w:r w:rsidR="00C17DC6">
        <w:rPr>
          <w:lang w:eastAsia="en-US"/>
        </w:rPr>
        <w:t xml:space="preserve"> </w:t>
      </w:r>
      <w:r w:rsidR="00751908" w:rsidRPr="00751908">
        <w:rPr>
          <w:lang w:eastAsia="en-US"/>
        </w:rPr>
        <w:t>To declare non-inferiority, the lower boundary of the 95%CI of the relative risk of ORR had to be 0.60 or greater: the relative risk ratio for ORR between the two groups was 1.28 (95%CI 0.93, 1.77).</w:t>
      </w:r>
      <w:r w:rsidR="00C17DC6">
        <w:rPr>
          <w:lang w:eastAsia="en-US"/>
        </w:rPr>
        <w:t xml:space="preserve"> </w:t>
      </w:r>
      <w:r w:rsidR="00751908" w:rsidRPr="00751908">
        <w:rPr>
          <w:lang w:eastAsia="en-US"/>
        </w:rPr>
        <w:t>NIVO SC therefore met its key powered secondary endpoint and demonstrated non-inferiority of ORR by BICR versus NIVO IV.</w:t>
      </w:r>
    </w:p>
    <w:p w14:paraId="6D36302C" w14:textId="7562DE52" w:rsidR="00E52766" w:rsidRPr="00D92845" w:rsidRDefault="0058589E" w:rsidP="00C17DC6">
      <w:pPr>
        <w:pStyle w:val="3-BodyText"/>
        <w:rPr>
          <w:lang w:eastAsia="en-US"/>
        </w:rPr>
      </w:pPr>
      <w:r w:rsidRPr="0058589E">
        <w:rPr>
          <w:lang w:eastAsia="en-US"/>
        </w:rPr>
        <w:t>The secondary efficacy endpoints of PFS, DCR and TTR were consistent and similar between the NIVO SC and NIVO IV arms.</w:t>
      </w:r>
      <w:r w:rsidR="00C17DC6">
        <w:rPr>
          <w:lang w:eastAsia="en-US"/>
        </w:rPr>
        <w:t xml:space="preserve"> </w:t>
      </w:r>
      <w:r w:rsidRPr="0058589E">
        <w:rPr>
          <w:lang w:eastAsia="en-US"/>
        </w:rPr>
        <w:t>These outcomes, with a minimum follow-up of 15 months show that NIVO SC shows efficacy consistent with its IV formulation.</w:t>
      </w:r>
      <w:r w:rsidR="00C17DC6">
        <w:rPr>
          <w:lang w:eastAsia="en-US"/>
        </w:rPr>
        <w:t xml:space="preserve"> </w:t>
      </w:r>
    </w:p>
    <w:p w14:paraId="058972E5" w14:textId="77777777" w:rsidR="00C27C1C" w:rsidRDefault="00C27C1C" w:rsidP="00C17DC6">
      <w:pPr>
        <w:pStyle w:val="4-SubsectionHeading"/>
        <w:rPr>
          <w:lang w:eastAsia="en-US"/>
        </w:rPr>
      </w:pPr>
      <w:r w:rsidRPr="00A6439B">
        <w:rPr>
          <w:lang w:eastAsia="en-US"/>
        </w:rPr>
        <w:t>Comparative harms</w:t>
      </w:r>
    </w:p>
    <w:p w14:paraId="1D75616B" w14:textId="769849BA" w:rsidR="0058589E" w:rsidRDefault="00647262" w:rsidP="00C17DC6">
      <w:pPr>
        <w:pStyle w:val="5-SubsectionSubheading"/>
        <w:rPr>
          <w:lang w:eastAsia="en-US"/>
        </w:rPr>
      </w:pPr>
      <w:r>
        <w:rPr>
          <w:lang w:eastAsia="en-US"/>
        </w:rPr>
        <w:t>CM67T</w:t>
      </w:r>
    </w:p>
    <w:p w14:paraId="0B7A1E5B" w14:textId="0D8B3D64" w:rsidR="00647262" w:rsidRDefault="00647262" w:rsidP="00C17DC6">
      <w:pPr>
        <w:pStyle w:val="3-BodyText"/>
        <w:rPr>
          <w:lang w:eastAsia="en-US"/>
        </w:rPr>
      </w:pPr>
      <w:r w:rsidRPr="00647262">
        <w:rPr>
          <w:lang w:eastAsia="en-US"/>
        </w:rPr>
        <w:t>Overall, NIVO SC demonstrated a manageable safety profile, consistent with the well-documented safety profile of nivolumab IV, with no new safety signals or concerns identified across trials.</w:t>
      </w:r>
      <w:r w:rsidR="00C17DC6">
        <w:rPr>
          <w:lang w:eastAsia="en-US"/>
        </w:rPr>
        <w:t xml:space="preserve"> </w:t>
      </w:r>
      <w:r w:rsidRPr="00647262">
        <w:rPr>
          <w:lang w:eastAsia="en-US"/>
        </w:rPr>
        <w:t>The safety profile was manageable based on the already established management guidelines.</w:t>
      </w:r>
      <w:r w:rsidR="00C17DC6">
        <w:rPr>
          <w:lang w:eastAsia="en-US"/>
        </w:rPr>
        <w:t xml:space="preserve"> </w:t>
      </w:r>
    </w:p>
    <w:p w14:paraId="5DBF6640" w14:textId="4069FBF9" w:rsidR="00D82B43" w:rsidRDefault="00E5544D" w:rsidP="00C17DC6">
      <w:pPr>
        <w:pStyle w:val="5-SubsectionSubheading"/>
        <w:rPr>
          <w:lang w:eastAsia="en-US"/>
        </w:rPr>
      </w:pPr>
      <w:r w:rsidRPr="00E5544D">
        <w:rPr>
          <w:lang w:eastAsia="en-US"/>
        </w:rPr>
        <w:t>CA8KX</w:t>
      </w:r>
    </w:p>
    <w:p w14:paraId="1E9E66EA" w14:textId="17EA290F" w:rsidR="008735CE" w:rsidRPr="0058589E" w:rsidRDefault="00562DE0" w:rsidP="00C17DC6">
      <w:pPr>
        <w:pStyle w:val="3-BodyText"/>
        <w:rPr>
          <w:lang w:eastAsia="en-US"/>
        </w:rPr>
      </w:pPr>
      <w:r w:rsidRPr="00562DE0">
        <w:rPr>
          <w:lang w:eastAsia="en-US"/>
        </w:rPr>
        <w:t>Most treatment related adverse events (TRAEs) were low grade and manageable: there were no injection site treatment related adverse events ≥ grade 3, there were no treatment related deaths were reported.</w:t>
      </w:r>
    </w:p>
    <w:p w14:paraId="2CDF3682" w14:textId="77777777" w:rsidR="00C27C1C" w:rsidRPr="00A6439B" w:rsidRDefault="00C27C1C" w:rsidP="00C17DC6">
      <w:pPr>
        <w:pStyle w:val="4-SubsectionHeading"/>
        <w:rPr>
          <w:lang w:eastAsia="en-US"/>
        </w:rPr>
      </w:pPr>
      <w:r w:rsidRPr="00A6439B">
        <w:rPr>
          <w:lang w:eastAsia="en-US"/>
        </w:rPr>
        <w:t>Clinical claim</w:t>
      </w:r>
    </w:p>
    <w:p w14:paraId="0436CFE0" w14:textId="737E12C8" w:rsidR="00C27C1C" w:rsidRPr="00673A94" w:rsidRDefault="00C27C1C" w:rsidP="00C17DC6">
      <w:pPr>
        <w:pStyle w:val="3-BodyText"/>
      </w:pPr>
      <w:bookmarkStart w:id="1" w:name="_Hlk221026065"/>
      <w:r w:rsidRPr="00A6439B">
        <w:t xml:space="preserve">The submission claimed </w:t>
      </w:r>
      <w:r w:rsidRPr="00C12972">
        <w:t xml:space="preserve">non-inferior </w:t>
      </w:r>
      <w:r w:rsidRPr="00A6439B">
        <w:t xml:space="preserve">comparative effectiveness and </w:t>
      </w:r>
      <w:r w:rsidRPr="00C12972">
        <w:t>non-inferior</w:t>
      </w:r>
      <w:r w:rsidR="00C12972" w:rsidRPr="00C12972">
        <w:t xml:space="preserve"> </w:t>
      </w:r>
      <w:r w:rsidRPr="00C12972">
        <w:t xml:space="preserve">comparative safety of </w:t>
      </w:r>
      <w:r w:rsidR="00C12972" w:rsidRPr="00C12972">
        <w:t>NIVO SC</w:t>
      </w:r>
      <w:r w:rsidR="00CB3AEE">
        <w:t xml:space="preserve"> </w:t>
      </w:r>
      <w:r w:rsidR="00CB3AEE" w:rsidRPr="00CB3AEE">
        <w:t>600 mg Q2W or 1200 mg Q4W</w:t>
      </w:r>
      <w:r w:rsidRPr="00C12972">
        <w:t xml:space="preserve"> compared with </w:t>
      </w:r>
      <w:r w:rsidR="00C12972" w:rsidRPr="00C12972">
        <w:t xml:space="preserve">NIVO </w:t>
      </w:r>
      <w:r w:rsidR="00B00ACE" w:rsidRPr="00C12972">
        <w:t>IV</w:t>
      </w:r>
      <w:r w:rsidR="00B00ACE">
        <w:t xml:space="preserve"> Q</w:t>
      </w:r>
      <w:r w:rsidR="00B00ACE" w:rsidRPr="00B00ACE">
        <w:t>2W or 480 mg Q4W, respectively</w:t>
      </w:r>
      <w:r w:rsidR="00C12972" w:rsidRPr="00C12972">
        <w:t>.</w:t>
      </w:r>
      <w:r w:rsidRPr="00C12972">
        <w:rPr>
          <w:i/>
        </w:rPr>
        <w:t xml:space="preserve"> </w:t>
      </w:r>
    </w:p>
    <w:bookmarkEnd w:id="1"/>
    <w:p w14:paraId="6FD71DE8" w14:textId="04CC0344" w:rsidR="00673A94" w:rsidRPr="002D02F4" w:rsidRDefault="00673A94" w:rsidP="00C17DC6">
      <w:pPr>
        <w:pStyle w:val="3-BodyText"/>
      </w:pPr>
      <w:r w:rsidRPr="00673A94">
        <w:t xml:space="preserve">NIVO SC demonstrated non-inferiority to NIVO IV across key PK measures (Cavgd28 and </w:t>
      </w:r>
      <w:proofErr w:type="spellStart"/>
      <w:r w:rsidRPr="00673A94">
        <w:t>Cminss</w:t>
      </w:r>
      <w:proofErr w:type="spellEnd"/>
      <w:r w:rsidRPr="00673A94">
        <w:t>) and secondary efficacy endpoint, ORR by BICR</w:t>
      </w:r>
      <w:r w:rsidR="00D1377F">
        <w:t xml:space="preserve"> in study</w:t>
      </w:r>
      <w:r w:rsidR="00D1377F" w:rsidRPr="00D1377F">
        <w:t xml:space="preserve"> CM67T</w:t>
      </w:r>
      <w:r w:rsidRPr="00673A94">
        <w:t>.</w:t>
      </w:r>
      <w:r w:rsidR="00C17DC6">
        <w:t xml:space="preserve"> </w:t>
      </w:r>
      <w:r w:rsidRPr="00673A94">
        <w:t xml:space="preserve"> </w:t>
      </w:r>
    </w:p>
    <w:p w14:paraId="1C0719F9" w14:textId="77ECA204" w:rsidR="002D02F4" w:rsidRDefault="00D82B43" w:rsidP="00C17DC6">
      <w:pPr>
        <w:pStyle w:val="3-BodyText"/>
      </w:pPr>
      <w:r w:rsidRPr="00D82B43">
        <w:t>NIVO SC demonstrated manageable and comparable safety profile across both trials</w:t>
      </w:r>
      <w:r w:rsidR="00650D23">
        <w:t>. N</w:t>
      </w:r>
      <w:r w:rsidRPr="00D82B43">
        <w:t>o new safety signals or concerns</w:t>
      </w:r>
      <w:r w:rsidR="00734E24">
        <w:t xml:space="preserve"> were identified for NIVO SC compared to NIVO IV</w:t>
      </w:r>
      <w:r w:rsidRPr="00D82B43">
        <w:t>.</w:t>
      </w:r>
      <w:r w:rsidR="00C17DC6">
        <w:t xml:space="preserve"> </w:t>
      </w:r>
    </w:p>
    <w:p w14:paraId="60A4FDE2" w14:textId="32AF8CA8" w:rsidR="004429BB" w:rsidRDefault="004429BB" w:rsidP="00C17DC6">
      <w:pPr>
        <w:pStyle w:val="3-BodyText"/>
      </w:pPr>
      <w:r>
        <w:t xml:space="preserve">The PBAC considered that the claim of non-inferior comparative effectiveness </w:t>
      </w:r>
      <w:r w:rsidR="00727576">
        <w:t xml:space="preserve">and safety </w:t>
      </w:r>
      <w:r>
        <w:t>was reasonable.</w:t>
      </w:r>
    </w:p>
    <w:p w14:paraId="45D181E4" w14:textId="77777777" w:rsidR="00C27C1C" w:rsidRPr="00A6439B" w:rsidRDefault="00C27C1C" w:rsidP="00C17DC6">
      <w:pPr>
        <w:pStyle w:val="4-SubsectionHeading"/>
        <w:rPr>
          <w:lang w:eastAsia="en-US"/>
        </w:rPr>
      </w:pPr>
      <w:r w:rsidRPr="00A6439B">
        <w:rPr>
          <w:lang w:eastAsia="en-US"/>
        </w:rPr>
        <w:lastRenderedPageBreak/>
        <w:t xml:space="preserve">Economic analysis </w:t>
      </w:r>
    </w:p>
    <w:p w14:paraId="531BBEC0" w14:textId="4959DA03" w:rsidR="0081116E" w:rsidRPr="00E0580F" w:rsidRDefault="0081116E" w:rsidP="00C17DC6">
      <w:pPr>
        <w:pStyle w:val="3-BodyText"/>
        <w:rPr>
          <w:rFonts w:cstheme="minorHAnsi"/>
          <w:i/>
          <w:szCs w:val="24"/>
        </w:rPr>
      </w:pPr>
      <w:r>
        <w:rPr>
          <w:iCs/>
        </w:rPr>
        <w:t>As a Category 4 submission</w:t>
      </w:r>
      <w:r w:rsidR="00E0580F">
        <w:rPr>
          <w:iCs/>
        </w:rPr>
        <w:t>, the economic analysis has not been independently evaluated.</w:t>
      </w:r>
    </w:p>
    <w:p w14:paraId="7CC836C0" w14:textId="2F5138D9" w:rsidR="00E0580F" w:rsidRPr="00153009" w:rsidRDefault="00E0580F" w:rsidP="00C17DC6">
      <w:pPr>
        <w:pStyle w:val="3-BodyText"/>
        <w:rPr>
          <w:rFonts w:cstheme="minorHAnsi"/>
          <w:i/>
          <w:szCs w:val="24"/>
        </w:rPr>
      </w:pPr>
      <w:bookmarkStart w:id="2" w:name="_Hlk221026484"/>
      <w:r>
        <w:rPr>
          <w:iCs/>
        </w:rPr>
        <w:t xml:space="preserve">The submission presented </w:t>
      </w:r>
      <w:r w:rsidR="004E4D14">
        <w:rPr>
          <w:iCs/>
        </w:rPr>
        <w:t xml:space="preserve">a cost-minimisation approach of </w:t>
      </w:r>
      <w:r w:rsidR="004766C4" w:rsidRPr="004766C4">
        <w:rPr>
          <w:iCs/>
        </w:rPr>
        <w:t>NIVO SC</w:t>
      </w:r>
      <w:r w:rsidR="004766C4">
        <w:rPr>
          <w:iCs/>
        </w:rPr>
        <w:t xml:space="preserve"> compared with </w:t>
      </w:r>
      <w:r w:rsidR="00C93BB7" w:rsidRPr="00C93BB7">
        <w:rPr>
          <w:iCs/>
        </w:rPr>
        <w:t>NIVO IV</w:t>
      </w:r>
      <w:r w:rsidR="00874EAF">
        <w:rPr>
          <w:iCs/>
        </w:rPr>
        <w:t xml:space="preserve">, assuming a 1:1 substitution as a 2- or 4-weekly weekly infusion. </w:t>
      </w:r>
      <w:r w:rsidR="002F5DA7">
        <w:rPr>
          <w:iCs/>
        </w:rPr>
        <w:t>The submission</w:t>
      </w:r>
      <w:r w:rsidR="00874EAF">
        <w:rPr>
          <w:iCs/>
        </w:rPr>
        <w:t xml:space="preserve"> assumed that </w:t>
      </w:r>
      <w:r w:rsidR="004A37EB" w:rsidRPr="004A37EB">
        <w:rPr>
          <w:iCs/>
        </w:rPr>
        <w:t xml:space="preserve">the introduction of NIVO SC will not result in any </w:t>
      </w:r>
      <w:r w:rsidR="00204460">
        <w:rPr>
          <w:iCs/>
        </w:rPr>
        <w:t>change</w:t>
      </w:r>
      <w:r w:rsidR="004A37EB" w:rsidRPr="004A37EB">
        <w:rPr>
          <w:iCs/>
        </w:rPr>
        <w:t xml:space="preserve"> in the </w:t>
      </w:r>
      <w:r w:rsidR="002A6AC3">
        <w:rPr>
          <w:iCs/>
        </w:rPr>
        <w:t>utilisation of nivolumab</w:t>
      </w:r>
      <w:r w:rsidR="004A37EB" w:rsidRPr="004A37EB">
        <w:rPr>
          <w:iCs/>
        </w:rPr>
        <w:t>.</w:t>
      </w:r>
      <w:r w:rsidR="00C17DC6">
        <w:rPr>
          <w:iCs/>
        </w:rPr>
        <w:t xml:space="preserve"> </w:t>
      </w:r>
    </w:p>
    <w:bookmarkEnd w:id="2"/>
    <w:p w14:paraId="0EEAEC31" w14:textId="1C07B89A" w:rsidR="00CD14C9" w:rsidRPr="00237F15" w:rsidRDefault="0007360F" w:rsidP="00C17DC6">
      <w:pPr>
        <w:pStyle w:val="3-BodyText"/>
        <w:rPr>
          <w:rFonts w:cstheme="minorHAnsi"/>
          <w:szCs w:val="24"/>
        </w:rPr>
      </w:pPr>
      <w:r>
        <w:rPr>
          <w:rFonts w:eastAsia="Times New Roman" w:cstheme="minorHAnsi"/>
          <w:iCs/>
          <w:snapToGrid w:val="0"/>
          <w:szCs w:val="24"/>
          <w:lang w:eastAsia="en-US"/>
        </w:rPr>
        <w:t>The proposed equi-effective dose</w:t>
      </w:r>
      <w:r w:rsidR="00D21DA2">
        <w:rPr>
          <w:rFonts w:eastAsia="Times New Roman" w:cstheme="minorHAnsi"/>
          <w:iCs/>
          <w:snapToGrid w:val="0"/>
          <w:szCs w:val="24"/>
          <w:lang w:eastAsia="en-US"/>
        </w:rPr>
        <w:t>s</w:t>
      </w:r>
      <w:r>
        <w:rPr>
          <w:rFonts w:eastAsia="Times New Roman" w:cstheme="minorHAnsi"/>
          <w:iCs/>
          <w:snapToGrid w:val="0"/>
          <w:szCs w:val="24"/>
          <w:lang w:eastAsia="en-US"/>
        </w:rPr>
        <w:t xml:space="preserve"> </w:t>
      </w:r>
      <w:r w:rsidR="00D21DA2">
        <w:rPr>
          <w:rFonts w:eastAsia="Times New Roman" w:cstheme="minorHAnsi"/>
          <w:iCs/>
          <w:snapToGrid w:val="0"/>
          <w:szCs w:val="24"/>
          <w:lang w:eastAsia="en-US"/>
        </w:rPr>
        <w:t xml:space="preserve">are </w:t>
      </w:r>
      <w:r w:rsidR="00CD14C9">
        <w:rPr>
          <w:rFonts w:eastAsia="Times New Roman" w:cstheme="minorHAnsi"/>
          <w:iCs/>
          <w:snapToGrid w:val="0"/>
          <w:szCs w:val="24"/>
          <w:lang w:eastAsia="en-US"/>
        </w:rPr>
        <w:t>1200 mg NIVO SC = 480 mg NIVO IV.</w:t>
      </w:r>
    </w:p>
    <w:p w14:paraId="56EEA46D" w14:textId="52482992" w:rsidR="00B53058" w:rsidRDefault="00F872B5" w:rsidP="00C17DC6">
      <w:pPr>
        <w:pStyle w:val="3-BodyText"/>
        <w:rPr>
          <w:rFonts w:cs="Calibri"/>
        </w:rPr>
      </w:pPr>
      <w:r>
        <w:rPr>
          <w:rFonts w:cs="Calibri"/>
        </w:rPr>
        <w:t>The submission</w:t>
      </w:r>
      <w:r w:rsidR="003F3A61">
        <w:rPr>
          <w:rFonts w:cs="Calibri"/>
        </w:rPr>
        <w:t>’s</w:t>
      </w:r>
      <w:r>
        <w:rPr>
          <w:rFonts w:cs="Calibri"/>
        </w:rPr>
        <w:t xml:space="preserve"> </w:t>
      </w:r>
      <w:r w:rsidR="00C444D0">
        <w:rPr>
          <w:rFonts w:cs="Calibri"/>
        </w:rPr>
        <w:t xml:space="preserve">calculation </w:t>
      </w:r>
      <w:r w:rsidR="002B66F0">
        <w:rPr>
          <w:rFonts w:cs="Calibri"/>
        </w:rPr>
        <w:t xml:space="preserve">of </w:t>
      </w:r>
      <w:r w:rsidR="003F3A61">
        <w:rPr>
          <w:rFonts w:cs="Calibri"/>
        </w:rPr>
        <w:t xml:space="preserve">the </w:t>
      </w:r>
      <w:r w:rsidR="002B66F0">
        <w:rPr>
          <w:rFonts w:cs="Calibri"/>
        </w:rPr>
        <w:t xml:space="preserve">cost-minimising factor </w:t>
      </w:r>
      <w:r w:rsidR="003F3A61">
        <w:rPr>
          <w:rFonts w:cs="Calibri"/>
        </w:rPr>
        <w:t xml:space="preserve">is </w:t>
      </w:r>
      <w:r w:rsidR="002B66F0">
        <w:rPr>
          <w:rFonts w:cs="Calibri"/>
        </w:rPr>
        <w:t>presented in</w:t>
      </w:r>
      <w:r w:rsidR="007B27CA">
        <w:rPr>
          <w:rFonts w:cs="Calibri"/>
        </w:rPr>
        <w:t xml:space="preserve"> </w:t>
      </w:r>
      <w:r w:rsidR="007B27CA">
        <w:rPr>
          <w:rFonts w:cs="Calibri"/>
        </w:rPr>
        <w:fldChar w:fldCharType="begin"/>
      </w:r>
      <w:r w:rsidR="007B27CA">
        <w:rPr>
          <w:rFonts w:cs="Calibri"/>
        </w:rPr>
        <w:instrText xml:space="preserve"> REF _Ref226017850 \h </w:instrText>
      </w:r>
      <w:r w:rsidR="007B27CA">
        <w:rPr>
          <w:rFonts w:cs="Calibri"/>
        </w:rPr>
      </w:r>
      <w:r w:rsidR="007B27CA">
        <w:rPr>
          <w:rFonts w:cs="Calibri"/>
        </w:rPr>
        <w:fldChar w:fldCharType="separate"/>
      </w:r>
      <w:r w:rsidR="007B27CA">
        <w:t xml:space="preserve">Table </w:t>
      </w:r>
      <w:r w:rsidR="007B27CA">
        <w:rPr>
          <w:noProof/>
        </w:rPr>
        <w:t>2</w:t>
      </w:r>
      <w:r w:rsidR="007B27CA">
        <w:rPr>
          <w:rFonts w:cs="Calibri"/>
        </w:rPr>
        <w:fldChar w:fldCharType="end"/>
      </w:r>
      <w:r w:rsidR="002B66F0">
        <w:rPr>
          <w:rFonts w:cs="Calibri"/>
        </w:rPr>
        <w:t>.</w:t>
      </w:r>
      <w:r w:rsidR="00675886">
        <w:rPr>
          <w:rFonts w:cs="Calibri"/>
        </w:rPr>
        <w:t xml:space="preserve"> As shown below,</w:t>
      </w:r>
      <w:r w:rsidR="002B66F0">
        <w:rPr>
          <w:rFonts w:cs="Calibri"/>
        </w:rPr>
        <w:t xml:space="preserve"> </w:t>
      </w:r>
      <w:r>
        <w:rPr>
          <w:rFonts w:cs="Calibri"/>
        </w:rPr>
        <w:t>the cost-</w:t>
      </w:r>
      <w:r w:rsidR="00B92FC6">
        <w:rPr>
          <w:rFonts w:cs="Calibri"/>
        </w:rPr>
        <w:t>minimising</w:t>
      </w:r>
      <w:r>
        <w:rPr>
          <w:rFonts w:cs="Calibri"/>
        </w:rPr>
        <w:t xml:space="preserve"> </w:t>
      </w:r>
      <w:r w:rsidR="00CC6578">
        <w:rPr>
          <w:rFonts w:cs="Calibri"/>
        </w:rPr>
        <w:t xml:space="preserve">AEMP </w:t>
      </w:r>
      <w:r>
        <w:rPr>
          <w:rFonts w:cs="Calibri"/>
        </w:rPr>
        <w:t>of a NIVO SC 600</w:t>
      </w:r>
      <w:r w:rsidR="00675886">
        <w:rPr>
          <w:rFonts w:cs="Calibri"/>
        </w:rPr>
        <w:t xml:space="preserve"> </w:t>
      </w:r>
      <w:r>
        <w:rPr>
          <w:rFonts w:cs="Calibri"/>
        </w:rPr>
        <w:t>mg vial</w:t>
      </w:r>
      <w:r w:rsidR="00B92FC6">
        <w:rPr>
          <w:rFonts w:cs="Calibri"/>
        </w:rPr>
        <w:t xml:space="preserve"> is equivalent to 2.4 times </w:t>
      </w:r>
      <w:r w:rsidR="00610409">
        <w:rPr>
          <w:rFonts w:cs="Calibri"/>
        </w:rPr>
        <w:t>that of</w:t>
      </w:r>
      <w:r w:rsidR="00921E61">
        <w:rPr>
          <w:rFonts w:cs="Calibri"/>
        </w:rPr>
        <w:t xml:space="preserve"> a</w:t>
      </w:r>
      <w:r w:rsidR="00610409">
        <w:rPr>
          <w:rFonts w:cs="Calibri"/>
        </w:rPr>
        <w:t xml:space="preserve"> </w:t>
      </w:r>
      <w:r w:rsidR="00B92FC6">
        <w:rPr>
          <w:rFonts w:cs="Calibri"/>
        </w:rPr>
        <w:t>NIVO IV 100</w:t>
      </w:r>
      <w:r w:rsidR="00EE327E">
        <w:rPr>
          <w:rFonts w:cs="Calibri"/>
        </w:rPr>
        <w:t xml:space="preserve"> </w:t>
      </w:r>
      <w:r w:rsidR="00B92FC6">
        <w:rPr>
          <w:rFonts w:cs="Calibri"/>
        </w:rPr>
        <w:t>mg vial</w:t>
      </w:r>
      <w:r w:rsidR="00863851">
        <w:rPr>
          <w:rFonts w:cs="Calibri"/>
        </w:rPr>
        <w:t>.</w:t>
      </w:r>
      <w:r w:rsidR="00716F8E">
        <w:rPr>
          <w:rFonts w:cs="Calibri"/>
        </w:rPr>
        <w:t xml:space="preserve"> </w:t>
      </w:r>
    </w:p>
    <w:p w14:paraId="4F2DAE7D" w14:textId="2483A42E" w:rsidR="004C2896" w:rsidRDefault="004C2896" w:rsidP="00C17DC6">
      <w:pPr>
        <w:pStyle w:val="Caption"/>
        <w:rPr>
          <w:rFonts w:cs="Calibri"/>
        </w:rPr>
      </w:pPr>
      <w:bookmarkStart w:id="3" w:name="_Ref226017850"/>
      <w:bookmarkStart w:id="4" w:name="_Ref226017841"/>
      <w:r>
        <w:t xml:space="preserve">Table </w:t>
      </w:r>
      <w:fldSimple w:instr=" SEQ Table \* ARABIC ">
        <w:r w:rsidR="00BB69C0">
          <w:rPr>
            <w:noProof/>
          </w:rPr>
          <w:t>2</w:t>
        </w:r>
      </w:fldSimple>
      <w:bookmarkEnd w:id="3"/>
      <w:r w:rsidR="007B27CA">
        <w:t xml:space="preserve">: </w:t>
      </w:r>
      <w:r w:rsidR="00BA3EFC">
        <w:t>Calculation of cost-minimising factor</w:t>
      </w:r>
      <w:bookmarkEnd w:id="4"/>
      <w:r w:rsidR="00BA3EF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2: Calculation of cost-minimising factor "/>
      </w:tblPr>
      <w:tblGrid>
        <w:gridCol w:w="782"/>
        <w:gridCol w:w="3152"/>
        <w:gridCol w:w="1248"/>
        <w:gridCol w:w="1248"/>
        <w:gridCol w:w="2586"/>
      </w:tblGrid>
      <w:tr w:rsidR="004C2896" w:rsidRPr="00FE62CA" w14:paraId="7A0BA8D8" w14:textId="77777777" w:rsidTr="00B44F44">
        <w:trPr>
          <w:trHeight w:val="93"/>
        </w:trPr>
        <w:tc>
          <w:tcPr>
            <w:tcW w:w="434" w:type="pct"/>
          </w:tcPr>
          <w:p w14:paraId="758055BC" w14:textId="77777777" w:rsidR="004C2896" w:rsidRPr="007617A5" w:rsidRDefault="004C2896" w:rsidP="00C17DC6">
            <w:pPr>
              <w:pStyle w:val="TableHeading0"/>
              <w:rPr>
                <w:rFonts w:ascii="Arial Narrow" w:hAnsi="Arial Narrow"/>
              </w:rPr>
            </w:pPr>
            <w:r w:rsidRPr="007617A5">
              <w:rPr>
                <w:rFonts w:ascii="Arial Narrow" w:hAnsi="Arial Narrow"/>
              </w:rPr>
              <w:t>Row</w:t>
            </w:r>
          </w:p>
        </w:tc>
        <w:tc>
          <w:tcPr>
            <w:tcW w:w="1748" w:type="pct"/>
          </w:tcPr>
          <w:p w14:paraId="57660D6C" w14:textId="77777777" w:rsidR="004C2896" w:rsidRPr="007617A5" w:rsidRDefault="004C2896" w:rsidP="00C17DC6">
            <w:pPr>
              <w:pStyle w:val="TableHeading0"/>
              <w:rPr>
                <w:rFonts w:ascii="Arial Narrow" w:hAnsi="Arial Narrow"/>
              </w:rPr>
            </w:pPr>
          </w:p>
        </w:tc>
        <w:tc>
          <w:tcPr>
            <w:tcW w:w="692" w:type="pct"/>
          </w:tcPr>
          <w:p w14:paraId="011DD975" w14:textId="77777777" w:rsidR="004C2896" w:rsidRPr="007617A5" w:rsidRDefault="004C2896" w:rsidP="00C17DC6">
            <w:pPr>
              <w:pStyle w:val="TableHeading0"/>
              <w:rPr>
                <w:rFonts w:ascii="Arial Narrow" w:hAnsi="Arial Narrow"/>
              </w:rPr>
            </w:pPr>
            <w:r w:rsidRPr="007617A5">
              <w:rPr>
                <w:rFonts w:ascii="Arial Narrow" w:hAnsi="Arial Narrow"/>
              </w:rPr>
              <w:t>IV</w:t>
            </w:r>
          </w:p>
        </w:tc>
        <w:tc>
          <w:tcPr>
            <w:tcW w:w="692" w:type="pct"/>
          </w:tcPr>
          <w:p w14:paraId="712BFC39" w14:textId="77777777" w:rsidR="004C2896" w:rsidRPr="007617A5" w:rsidRDefault="004C2896" w:rsidP="00C17DC6">
            <w:pPr>
              <w:pStyle w:val="TableHeading0"/>
              <w:rPr>
                <w:rFonts w:ascii="Arial Narrow" w:hAnsi="Arial Narrow"/>
              </w:rPr>
            </w:pPr>
            <w:r w:rsidRPr="007617A5">
              <w:rPr>
                <w:rFonts w:ascii="Arial Narrow" w:hAnsi="Arial Narrow"/>
              </w:rPr>
              <w:t>SC</w:t>
            </w:r>
          </w:p>
        </w:tc>
        <w:tc>
          <w:tcPr>
            <w:tcW w:w="1434" w:type="pct"/>
          </w:tcPr>
          <w:p w14:paraId="3F7802AE" w14:textId="77777777" w:rsidR="004C2896" w:rsidRPr="007617A5" w:rsidRDefault="004C2896" w:rsidP="00C17DC6">
            <w:pPr>
              <w:pStyle w:val="TableHeading0"/>
              <w:rPr>
                <w:rFonts w:ascii="Arial Narrow" w:hAnsi="Arial Narrow"/>
              </w:rPr>
            </w:pPr>
            <w:r w:rsidRPr="007617A5">
              <w:rPr>
                <w:rFonts w:ascii="Arial Narrow" w:hAnsi="Arial Narrow"/>
              </w:rPr>
              <w:t>Source</w:t>
            </w:r>
          </w:p>
        </w:tc>
      </w:tr>
      <w:tr w:rsidR="004C2896" w:rsidRPr="00FE62CA" w14:paraId="28354E9D" w14:textId="77777777" w:rsidTr="00B44F44">
        <w:trPr>
          <w:trHeight w:val="93"/>
        </w:trPr>
        <w:tc>
          <w:tcPr>
            <w:tcW w:w="434" w:type="pct"/>
          </w:tcPr>
          <w:p w14:paraId="2C596C4B" w14:textId="77777777" w:rsidR="004C2896" w:rsidRPr="007617A5" w:rsidRDefault="004C2896" w:rsidP="00C17DC6">
            <w:pPr>
              <w:pStyle w:val="TableText1"/>
              <w:rPr>
                <w:rFonts w:ascii="Arial Narrow" w:hAnsi="Arial Narrow"/>
              </w:rPr>
            </w:pPr>
            <w:r w:rsidRPr="007617A5">
              <w:rPr>
                <w:rFonts w:ascii="Arial Narrow" w:hAnsi="Arial Narrow"/>
              </w:rPr>
              <w:t>A</w:t>
            </w:r>
          </w:p>
        </w:tc>
        <w:tc>
          <w:tcPr>
            <w:tcW w:w="1748" w:type="pct"/>
          </w:tcPr>
          <w:p w14:paraId="7D9C3C9A" w14:textId="77777777" w:rsidR="004C2896" w:rsidRPr="007617A5" w:rsidRDefault="004C2896" w:rsidP="00C17DC6">
            <w:pPr>
              <w:pStyle w:val="TableText1"/>
              <w:rPr>
                <w:rFonts w:ascii="Arial Narrow" w:hAnsi="Arial Narrow"/>
              </w:rPr>
            </w:pPr>
            <w:r w:rsidRPr="007617A5">
              <w:rPr>
                <w:rFonts w:ascii="Arial Narrow" w:hAnsi="Arial Narrow"/>
              </w:rPr>
              <w:t>Equi-effective dose (mg, Q4W)</w:t>
            </w:r>
          </w:p>
        </w:tc>
        <w:tc>
          <w:tcPr>
            <w:tcW w:w="692" w:type="pct"/>
          </w:tcPr>
          <w:p w14:paraId="6DCDEB76" w14:textId="77777777" w:rsidR="004C2896" w:rsidRPr="007617A5" w:rsidRDefault="004C2896" w:rsidP="00C17DC6">
            <w:pPr>
              <w:pStyle w:val="TableText1"/>
              <w:rPr>
                <w:rFonts w:ascii="Arial Narrow" w:hAnsi="Arial Narrow"/>
              </w:rPr>
            </w:pPr>
            <w:r w:rsidRPr="007617A5">
              <w:rPr>
                <w:rFonts w:ascii="Arial Narrow" w:hAnsi="Arial Narrow"/>
              </w:rPr>
              <w:t>480</w:t>
            </w:r>
          </w:p>
        </w:tc>
        <w:tc>
          <w:tcPr>
            <w:tcW w:w="692" w:type="pct"/>
          </w:tcPr>
          <w:p w14:paraId="0FCEF01A" w14:textId="77777777" w:rsidR="004C2896" w:rsidRPr="007617A5" w:rsidRDefault="004C2896" w:rsidP="00C17DC6">
            <w:pPr>
              <w:pStyle w:val="TableText1"/>
              <w:rPr>
                <w:rFonts w:ascii="Arial Narrow" w:hAnsi="Arial Narrow"/>
              </w:rPr>
            </w:pPr>
            <w:r w:rsidRPr="007617A5">
              <w:rPr>
                <w:rFonts w:ascii="Arial Narrow" w:hAnsi="Arial Narrow"/>
              </w:rPr>
              <w:t>1200</w:t>
            </w:r>
          </w:p>
        </w:tc>
        <w:tc>
          <w:tcPr>
            <w:tcW w:w="1434" w:type="pct"/>
          </w:tcPr>
          <w:p w14:paraId="10DDCE05" w14:textId="2931F468" w:rsidR="004C2896" w:rsidRPr="007617A5" w:rsidRDefault="008D595C" w:rsidP="00C17DC6">
            <w:pPr>
              <w:pStyle w:val="TableText1"/>
              <w:rPr>
                <w:rFonts w:ascii="Arial Narrow" w:hAnsi="Arial Narrow"/>
              </w:rPr>
            </w:pPr>
            <w:r w:rsidRPr="007617A5">
              <w:rPr>
                <w:rFonts w:ascii="Arial Narrow" w:hAnsi="Arial Narrow"/>
              </w:rPr>
              <w:t>study CM67T</w:t>
            </w:r>
          </w:p>
        </w:tc>
      </w:tr>
      <w:tr w:rsidR="004C2896" w:rsidRPr="00FE62CA" w14:paraId="4D92D56D" w14:textId="77777777" w:rsidTr="00B44F44">
        <w:trPr>
          <w:trHeight w:val="93"/>
        </w:trPr>
        <w:tc>
          <w:tcPr>
            <w:tcW w:w="434" w:type="pct"/>
          </w:tcPr>
          <w:p w14:paraId="2015AABD" w14:textId="77777777" w:rsidR="004C2896" w:rsidRPr="007617A5" w:rsidRDefault="004C2896" w:rsidP="00C17DC6">
            <w:pPr>
              <w:pStyle w:val="TableText1"/>
              <w:rPr>
                <w:rFonts w:ascii="Arial Narrow" w:hAnsi="Arial Narrow"/>
              </w:rPr>
            </w:pPr>
            <w:r w:rsidRPr="007617A5">
              <w:rPr>
                <w:rFonts w:ascii="Arial Narrow" w:hAnsi="Arial Narrow"/>
              </w:rPr>
              <w:t>B</w:t>
            </w:r>
          </w:p>
        </w:tc>
        <w:tc>
          <w:tcPr>
            <w:tcW w:w="1748" w:type="pct"/>
          </w:tcPr>
          <w:p w14:paraId="7A43D5FF" w14:textId="77777777" w:rsidR="004C2896" w:rsidRPr="007617A5" w:rsidRDefault="004C2896" w:rsidP="00C17DC6">
            <w:pPr>
              <w:pStyle w:val="TableText1"/>
              <w:rPr>
                <w:rFonts w:ascii="Arial Narrow" w:hAnsi="Arial Narrow"/>
              </w:rPr>
            </w:pPr>
            <w:r w:rsidRPr="007617A5">
              <w:rPr>
                <w:rFonts w:ascii="Arial Narrow" w:hAnsi="Arial Narrow"/>
              </w:rPr>
              <w:t xml:space="preserve">AEMP cost parity per dose </w:t>
            </w:r>
          </w:p>
        </w:tc>
        <w:tc>
          <w:tcPr>
            <w:tcW w:w="692" w:type="pct"/>
          </w:tcPr>
          <w:p w14:paraId="17758077" w14:textId="05322DB8" w:rsidR="004C2896" w:rsidRPr="007617A5" w:rsidRDefault="004C2896" w:rsidP="00C17DC6">
            <w:pPr>
              <w:pStyle w:val="TableText1"/>
              <w:rPr>
                <w:rFonts w:ascii="Arial Narrow" w:hAnsi="Arial Narrow"/>
              </w:rPr>
            </w:pPr>
            <w:r w:rsidRPr="007617A5">
              <w:rPr>
                <w:rFonts w:ascii="Arial Narrow" w:hAnsi="Arial Narrow"/>
              </w:rPr>
              <w:t>$</w:t>
            </w:r>
            <w:r w:rsidR="009D7A63" w:rsidRPr="009D7A63">
              <w:rPr>
                <w:rFonts w:ascii="Arial Narrow" w:hAnsi="Arial Narrow"/>
                <w:sz w:val="2"/>
                <w:highlight w:val="black"/>
              </w:rPr>
              <w:t>redacted content</w:t>
            </w:r>
          </w:p>
        </w:tc>
        <w:tc>
          <w:tcPr>
            <w:tcW w:w="692" w:type="pct"/>
          </w:tcPr>
          <w:p w14:paraId="11CE0D34" w14:textId="246F6D77" w:rsidR="004C2896" w:rsidRPr="007617A5" w:rsidRDefault="004C2896" w:rsidP="00C17DC6">
            <w:pPr>
              <w:pStyle w:val="TableText1"/>
              <w:rPr>
                <w:rFonts w:ascii="Arial Narrow" w:hAnsi="Arial Narrow"/>
              </w:rPr>
            </w:pPr>
            <w:r w:rsidRPr="007617A5">
              <w:rPr>
                <w:rFonts w:ascii="Arial Narrow" w:hAnsi="Arial Narrow"/>
              </w:rPr>
              <w:t>$</w:t>
            </w:r>
            <w:r w:rsidR="009D7A63" w:rsidRPr="009D7A63">
              <w:rPr>
                <w:rFonts w:ascii="Arial Narrow" w:hAnsi="Arial Narrow"/>
                <w:sz w:val="2"/>
                <w:highlight w:val="black"/>
              </w:rPr>
              <w:t>redacted content</w:t>
            </w:r>
          </w:p>
        </w:tc>
        <w:tc>
          <w:tcPr>
            <w:tcW w:w="1434" w:type="pct"/>
          </w:tcPr>
          <w:p w14:paraId="28DD51AB" w14:textId="77777777" w:rsidR="004C2896" w:rsidRPr="007617A5" w:rsidRDefault="004C2896" w:rsidP="00C17DC6">
            <w:pPr>
              <w:pStyle w:val="TableText1"/>
              <w:rPr>
                <w:rFonts w:ascii="Arial Narrow" w:hAnsi="Arial Narrow"/>
              </w:rPr>
            </w:pPr>
            <w:r w:rsidRPr="007617A5">
              <w:rPr>
                <w:rFonts w:ascii="Arial Narrow" w:hAnsi="Arial Narrow"/>
              </w:rPr>
              <w:t>Example</w:t>
            </w:r>
          </w:p>
        </w:tc>
      </w:tr>
      <w:tr w:rsidR="004C2896" w:rsidRPr="00FE62CA" w14:paraId="1FACB213" w14:textId="77777777" w:rsidTr="00B44F44">
        <w:trPr>
          <w:trHeight w:val="93"/>
        </w:trPr>
        <w:tc>
          <w:tcPr>
            <w:tcW w:w="434" w:type="pct"/>
          </w:tcPr>
          <w:p w14:paraId="15129B4E" w14:textId="77777777" w:rsidR="004C2896" w:rsidRPr="007617A5" w:rsidRDefault="004C2896" w:rsidP="00C17DC6">
            <w:pPr>
              <w:pStyle w:val="TableText1"/>
              <w:rPr>
                <w:rFonts w:ascii="Arial Narrow" w:hAnsi="Arial Narrow"/>
              </w:rPr>
            </w:pPr>
            <w:r w:rsidRPr="007617A5">
              <w:rPr>
                <w:rFonts w:ascii="Arial Narrow" w:hAnsi="Arial Narrow"/>
              </w:rPr>
              <w:t>C</w:t>
            </w:r>
          </w:p>
        </w:tc>
        <w:tc>
          <w:tcPr>
            <w:tcW w:w="1748" w:type="pct"/>
          </w:tcPr>
          <w:p w14:paraId="05DCB79C" w14:textId="77777777" w:rsidR="004C2896" w:rsidRPr="007617A5" w:rsidRDefault="004C2896" w:rsidP="00C17DC6">
            <w:pPr>
              <w:pStyle w:val="TableText1"/>
              <w:rPr>
                <w:rFonts w:ascii="Arial Narrow" w:hAnsi="Arial Narrow"/>
              </w:rPr>
            </w:pPr>
            <w:r w:rsidRPr="007617A5">
              <w:rPr>
                <w:rFonts w:ascii="Arial Narrow" w:hAnsi="Arial Narrow"/>
              </w:rPr>
              <w:t>Cost per mg</w:t>
            </w:r>
          </w:p>
        </w:tc>
        <w:tc>
          <w:tcPr>
            <w:tcW w:w="692" w:type="pct"/>
          </w:tcPr>
          <w:p w14:paraId="7F7C9EF4" w14:textId="31FFD06C" w:rsidR="004C2896" w:rsidRPr="00F31BFD" w:rsidRDefault="004C2896" w:rsidP="00C17DC6">
            <w:pPr>
              <w:pStyle w:val="TableText1"/>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692" w:type="pct"/>
          </w:tcPr>
          <w:p w14:paraId="6AEAFB30" w14:textId="12BDFB2E" w:rsidR="004C2896" w:rsidRPr="00F31BFD" w:rsidRDefault="004C2896" w:rsidP="00C17DC6">
            <w:pPr>
              <w:pStyle w:val="TableText1"/>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1434" w:type="pct"/>
          </w:tcPr>
          <w:p w14:paraId="53B346B7" w14:textId="77777777" w:rsidR="004C2896" w:rsidRPr="007617A5" w:rsidRDefault="004C2896" w:rsidP="00C17DC6">
            <w:pPr>
              <w:pStyle w:val="TableText1"/>
              <w:rPr>
                <w:rFonts w:ascii="Arial Narrow" w:hAnsi="Arial Narrow"/>
              </w:rPr>
            </w:pPr>
            <w:r w:rsidRPr="007617A5">
              <w:rPr>
                <w:rFonts w:ascii="Arial Narrow" w:hAnsi="Arial Narrow"/>
              </w:rPr>
              <w:t>= B / A</w:t>
            </w:r>
          </w:p>
        </w:tc>
      </w:tr>
      <w:tr w:rsidR="004C2896" w:rsidRPr="00FE62CA" w14:paraId="0CEE7346" w14:textId="77777777" w:rsidTr="00B44F44">
        <w:trPr>
          <w:trHeight w:val="93"/>
        </w:trPr>
        <w:tc>
          <w:tcPr>
            <w:tcW w:w="434" w:type="pct"/>
          </w:tcPr>
          <w:p w14:paraId="3F384357" w14:textId="77777777" w:rsidR="004C2896" w:rsidRPr="007617A5" w:rsidRDefault="004C2896" w:rsidP="00C17DC6">
            <w:pPr>
              <w:pStyle w:val="TableText1"/>
              <w:rPr>
                <w:rFonts w:ascii="Arial Narrow" w:hAnsi="Arial Narrow"/>
              </w:rPr>
            </w:pPr>
            <w:r w:rsidRPr="007617A5">
              <w:rPr>
                <w:rFonts w:ascii="Arial Narrow" w:hAnsi="Arial Narrow"/>
              </w:rPr>
              <w:t>D</w:t>
            </w:r>
          </w:p>
        </w:tc>
        <w:tc>
          <w:tcPr>
            <w:tcW w:w="1748" w:type="pct"/>
          </w:tcPr>
          <w:p w14:paraId="6C7C4289" w14:textId="77777777" w:rsidR="004C2896" w:rsidRPr="007617A5" w:rsidRDefault="004C2896" w:rsidP="00C17DC6">
            <w:pPr>
              <w:pStyle w:val="TableText1"/>
              <w:rPr>
                <w:rFonts w:ascii="Arial Narrow" w:hAnsi="Arial Narrow"/>
              </w:rPr>
            </w:pPr>
            <w:r w:rsidRPr="007617A5">
              <w:rPr>
                <w:rFonts w:ascii="Arial Narrow" w:hAnsi="Arial Narrow"/>
              </w:rPr>
              <w:t>Presentation per vial (mg)</w:t>
            </w:r>
          </w:p>
        </w:tc>
        <w:tc>
          <w:tcPr>
            <w:tcW w:w="692" w:type="pct"/>
          </w:tcPr>
          <w:p w14:paraId="76116B1E" w14:textId="77777777" w:rsidR="004C2896" w:rsidRPr="007617A5" w:rsidRDefault="004C2896" w:rsidP="00C17DC6">
            <w:pPr>
              <w:pStyle w:val="TableText1"/>
              <w:rPr>
                <w:rFonts w:ascii="Arial Narrow" w:hAnsi="Arial Narrow"/>
              </w:rPr>
            </w:pPr>
            <w:r w:rsidRPr="007617A5">
              <w:rPr>
                <w:rFonts w:ascii="Arial Narrow" w:hAnsi="Arial Narrow"/>
              </w:rPr>
              <w:t>100</w:t>
            </w:r>
          </w:p>
        </w:tc>
        <w:tc>
          <w:tcPr>
            <w:tcW w:w="692" w:type="pct"/>
          </w:tcPr>
          <w:p w14:paraId="154746BA" w14:textId="77777777" w:rsidR="004C2896" w:rsidRPr="007617A5" w:rsidRDefault="004C2896" w:rsidP="00C17DC6">
            <w:pPr>
              <w:pStyle w:val="TableText1"/>
              <w:rPr>
                <w:rFonts w:ascii="Arial Narrow" w:hAnsi="Arial Narrow"/>
              </w:rPr>
            </w:pPr>
            <w:r w:rsidRPr="007617A5">
              <w:rPr>
                <w:rFonts w:ascii="Arial Narrow" w:hAnsi="Arial Narrow"/>
              </w:rPr>
              <w:t>600</w:t>
            </w:r>
          </w:p>
        </w:tc>
        <w:tc>
          <w:tcPr>
            <w:tcW w:w="1434" w:type="pct"/>
          </w:tcPr>
          <w:p w14:paraId="6A71058A" w14:textId="7C7A0561" w:rsidR="004C2896" w:rsidRPr="007617A5" w:rsidRDefault="004C2896" w:rsidP="00C17DC6">
            <w:pPr>
              <w:pStyle w:val="TableText1"/>
              <w:rPr>
                <w:rFonts w:ascii="Arial Narrow" w:hAnsi="Arial Narrow"/>
              </w:rPr>
            </w:pPr>
            <w:r w:rsidRPr="007617A5">
              <w:rPr>
                <w:rFonts w:ascii="Arial Narrow" w:hAnsi="Arial Narrow"/>
              </w:rPr>
              <w:t>Product Information</w:t>
            </w:r>
          </w:p>
        </w:tc>
      </w:tr>
      <w:tr w:rsidR="004C2896" w:rsidRPr="00FE62CA" w14:paraId="7E347EC6" w14:textId="77777777" w:rsidTr="00B44F44">
        <w:trPr>
          <w:trHeight w:val="93"/>
        </w:trPr>
        <w:tc>
          <w:tcPr>
            <w:tcW w:w="434" w:type="pct"/>
          </w:tcPr>
          <w:p w14:paraId="32C90CBD" w14:textId="77777777" w:rsidR="004C2896" w:rsidRPr="007617A5" w:rsidRDefault="004C2896" w:rsidP="00C17DC6">
            <w:pPr>
              <w:pStyle w:val="TableText1"/>
              <w:rPr>
                <w:rFonts w:ascii="Arial Narrow" w:hAnsi="Arial Narrow"/>
              </w:rPr>
            </w:pPr>
            <w:r w:rsidRPr="007617A5">
              <w:rPr>
                <w:rFonts w:ascii="Arial Narrow" w:hAnsi="Arial Narrow"/>
              </w:rPr>
              <w:t>E</w:t>
            </w:r>
          </w:p>
        </w:tc>
        <w:tc>
          <w:tcPr>
            <w:tcW w:w="1748" w:type="pct"/>
          </w:tcPr>
          <w:p w14:paraId="65FA6D00" w14:textId="77777777" w:rsidR="004C2896" w:rsidRPr="007617A5" w:rsidRDefault="004C2896" w:rsidP="00C17DC6">
            <w:pPr>
              <w:pStyle w:val="TableText1"/>
              <w:rPr>
                <w:rFonts w:ascii="Arial Narrow" w:hAnsi="Arial Narrow"/>
              </w:rPr>
            </w:pPr>
            <w:r w:rsidRPr="007617A5">
              <w:rPr>
                <w:rFonts w:ascii="Arial Narrow" w:hAnsi="Arial Narrow"/>
              </w:rPr>
              <w:t>AEMP per vial</w:t>
            </w:r>
          </w:p>
        </w:tc>
        <w:tc>
          <w:tcPr>
            <w:tcW w:w="692" w:type="pct"/>
          </w:tcPr>
          <w:p w14:paraId="533477A2" w14:textId="1A29B7DE" w:rsidR="004C2896" w:rsidRPr="00F31BFD" w:rsidRDefault="004C2896" w:rsidP="00C17DC6">
            <w:pPr>
              <w:pStyle w:val="TableText1"/>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692" w:type="pct"/>
          </w:tcPr>
          <w:p w14:paraId="1EDE6B81" w14:textId="3061826A" w:rsidR="004C2896" w:rsidRPr="00F31BFD" w:rsidRDefault="004C2896" w:rsidP="00C17DC6">
            <w:pPr>
              <w:pStyle w:val="TableText1"/>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1434" w:type="pct"/>
          </w:tcPr>
          <w:p w14:paraId="55CEEBAF" w14:textId="77777777" w:rsidR="004C2896" w:rsidRPr="007617A5" w:rsidRDefault="004C2896" w:rsidP="00C17DC6">
            <w:pPr>
              <w:pStyle w:val="TableText1"/>
              <w:rPr>
                <w:rFonts w:ascii="Arial Narrow" w:hAnsi="Arial Narrow"/>
              </w:rPr>
            </w:pPr>
            <w:r w:rsidRPr="007617A5">
              <w:rPr>
                <w:rFonts w:ascii="Arial Narrow" w:hAnsi="Arial Narrow"/>
              </w:rPr>
              <w:t>= C * D</w:t>
            </w:r>
          </w:p>
        </w:tc>
      </w:tr>
      <w:tr w:rsidR="004C2896" w:rsidRPr="00FE62CA" w14:paraId="133128E8" w14:textId="77777777" w:rsidTr="00B44F44">
        <w:trPr>
          <w:trHeight w:val="93"/>
        </w:trPr>
        <w:tc>
          <w:tcPr>
            <w:tcW w:w="434" w:type="pct"/>
          </w:tcPr>
          <w:p w14:paraId="3EF068D7" w14:textId="77777777" w:rsidR="004C2896" w:rsidRPr="007617A5" w:rsidRDefault="004C2896" w:rsidP="00C17DC6">
            <w:pPr>
              <w:pStyle w:val="TableText1"/>
              <w:rPr>
                <w:rFonts w:ascii="Arial Narrow" w:hAnsi="Arial Narrow"/>
              </w:rPr>
            </w:pPr>
            <w:r w:rsidRPr="007617A5">
              <w:rPr>
                <w:rFonts w:ascii="Arial Narrow" w:hAnsi="Arial Narrow"/>
              </w:rPr>
              <w:t>F</w:t>
            </w:r>
          </w:p>
        </w:tc>
        <w:tc>
          <w:tcPr>
            <w:tcW w:w="1748" w:type="pct"/>
          </w:tcPr>
          <w:p w14:paraId="27F2E423" w14:textId="77777777" w:rsidR="004C2896" w:rsidRPr="00AC39A3" w:rsidRDefault="004C2896" w:rsidP="00C17DC6">
            <w:pPr>
              <w:pStyle w:val="TableText1"/>
              <w:rPr>
                <w:rFonts w:ascii="Arial Narrow" w:hAnsi="Arial Narrow"/>
              </w:rPr>
            </w:pPr>
            <w:r w:rsidRPr="00AC39A3">
              <w:rPr>
                <w:rFonts w:ascii="Arial Narrow" w:hAnsi="Arial Narrow"/>
              </w:rPr>
              <w:t>Conversion factor</w:t>
            </w:r>
          </w:p>
        </w:tc>
        <w:tc>
          <w:tcPr>
            <w:tcW w:w="1384" w:type="pct"/>
            <w:gridSpan w:val="2"/>
          </w:tcPr>
          <w:p w14:paraId="2C26D900" w14:textId="77777777" w:rsidR="004C2896" w:rsidRPr="00AC39A3" w:rsidRDefault="004C2896" w:rsidP="00C17DC6">
            <w:pPr>
              <w:pStyle w:val="TableText1"/>
              <w:rPr>
                <w:rFonts w:ascii="Arial Narrow" w:hAnsi="Arial Narrow"/>
              </w:rPr>
            </w:pPr>
            <w:r w:rsidRPr="00AC39A3">
              <w:rPr>
                <w:rFonts w:ascii="Arial Narrow" w:hAnsi="Arial Narrow"/>
              </w:rPr>
              <w:t>2.4</w:t>
            </w:r>
          </w:p>
        </w:tc>
        <w:tc>
          <w:tcPr>
            <w:tcW w:w="1434" w:type="pct"/>
          </w:tcPr>
          <w:p w14:paraId="695F9702" w14:textId="2D4D831E" w:rsidR="004C2896" w:rsidRPr="007617A5" w:rsidRDefault="004C2896" w:rsidP="00C17DC6">
            <w:pPr>
              <w:pStyle w:val="TableText1"/>
              <w:rPr>
                <w:rFonts w:ascii="Arial Narrow" w:hAnsi="Arial Narrow"/>
              </w:rPr>
            </w:pPr>
            <w:r w:rsidRPr="007617A5">
              <w:rPr>
                <w:rFonts w:ascii="Arial Narrow" w:hAnsi="Arial Narrow"/>
              </w:rPr>
              <w:t>= $</w:t>
            </w:r>
            <w:r w:rsidR="009D7A63" w:rsidRPr="009D7A63">
              <w:rPr>
                <w:rFonts w:ascii="Arial Narrow" w:hAnsi="Arial Narrow"/>
                <w:sz w:val="2"/>
                <w:highlight w:val="black"/>
              </w:rPr>
              <w:t>redacted content</w:t>
            </w:r>
            <w:r w:rsidRPr="007617A5">
              <w:rPr>
                <w:rFonts w:ascii="Arial Narrow" w:hAnsi="Arial Narrow"/>
              </w:rPr>
              <w:t xml:space="preserve"> / $</w:t>
            </w:r>
            <w:r w:rsidR="009D7A63" w:rsidRPr="009D7A63">
              <w:rPr>
                <w:rFonts w:ascii="Arial Narrow" w:hAnsi="Arial Narrow"/>
                <w:sz w:val="2"/>
                <w:highlight w:val="black"/>
              </w:rPr>
              <w:t>redacted content</w:t>
            </w:r>
          </w:p>
        </w:tc>
      </w:tr>
    </w:tbl>
    <w:p w14:paraId="5FFB0573" w14:textId="77777777" w:rsidR="004C2896" w:rsidRDefault="004C2896" w:rsidP="00C17DC6">
      <w:pPr>
        <w:pStyle w:val="Tablenotes0"/>
      </w:pPr>
      <w:r>
        <w:t>Abbreviations: AEMP = Approved ex-manufacturer price, mg = milligram.</w:t>
      </w:r>
    </w:p>
    <w:p w14:paraId="3C0CFD52" w14:textId="270A2609" w:rsidR="004C2896" w:rsidRDefault="004C2896" w:rsidP="00C17DC6">
      <w:pPr>
        <w:pStyle w:val="Tablenotes0"/>
      </w:pPr>
      <w:r w:rsidRPr="00F0662C">
        <w:t xml:space="preserve">Source: </w:t>
      </w:r>
      <w:r w:rsidR="00BA3EFC">
        <w:t>p1</w:t>
      </w:r>
      <w:r w:rsidR="008106EA">
        <w:t xml:space="preserve">50 of the submission; </w:t>
      </w:r>
      <w:r>
        <w:t>NIVO SC_CMA</w:t>
      </w:r>
      <w:r w:rsidRPr="00F0662C">
        <w:t>, CMA tab (N5:P13).</w:t>
      </w:r>
    </w:p>
    <w:p w14:paraId="0F52C5F1" w14:textId="2FFF2ACC" w:rsidR="004C2896" w:rsidRPr="00D457EC" w:rsidRDefault="00DF1BD8" w:rsidP="00C17DC6">
      <w:pPr>
        <w:pStyle w:val="3-BodyText"/>
      </w:pPr>
      <w:r>
        <w:t>As shown in</w:t>
      </w:r>
      <w:r w:rsidR="007B27CA">
        <w:t xml:space="preserve"> </w:t>
      </w:r>
      <w:r w:rsidR="007B27CA">
        <w:fldChar w:fldCharType="begin"/>
      </w:r>
      <w:r w:rsidR="007B27CA">
        <w:instrText xml:space="preserve"> REF _Ref226017873 \h </w:instrText>
      </w:r>
      <w:r w:rsidR="007B27CA">
        <w:fldChar w:fldCharType="separate"/>
      </w:r>
      <w:r w:rsidR="007B27CA">
        <w:t xml:space="preserve">Table </w:t>
      </w:r>
      <w:r w:rsidR="007B27CA">
        <w:rPr>
          <w:noProof/>
        </w:rPr>
        <w:t>3</w:t>
      </w:r>
      <w:r w:rsidR="007B27CA">
        <w:fldChar w:fldCharType="end"/>
      </w:r>
      <w:r>
        <w:t>, the submission applied the conversion factor to the NIVO IV 100</w:t>
      </w:r>
      <w:r w:rsidR="00AF710F">
        <w:t xml:space="preserve"> </w:t>
      </w:r>
      <w:r>
        <w:t>mg AEMP price per indication to calculate the corresponding cost-</w:t>
      </w:r>
      <w:r w:rsidR="00662B78">
        <w:t>minim</w:t>
      </w:r>
      <w:r w:rsidR="005F2854">
        <w:t>is</w:t>
      </w:r>
      <w:r w:rsidR="00662B78">
        <w:t>ed</w:t>
      </w:r>
      <w:r w:rsidR="005F2854">
        <w:t xml:space="preserve"> </w:t>
      </w:r>
      <w:r>
        <w:t xml:space="preserve">price per </w:t>
      </w:r>
      <w:r w:rsidR="00D457EC">
        <w:t>NIVO SC 600</w:t>
      </w:r>
      <w:r w:rsidR="00AF710F">
        <w:t xml:space="preserve"> </w:t>
      </w:r>
      <w:r w:rsidR="00D457EC">
        <w:t>mg vial per indication</w:t>
      </w:r>
      <w:r w:rsidR="0055303C">
        <w:t xml:space="preserve">. </w:t>
      </w:r>
      <w:r w:rsidR="00900F79">
        <w:t>The Secret</w:t>
      </w:r>
      <w:r w:rsidR="005C0D72">
        <w:t xml:space="preserve">ariat noted that </w:t>
      </w:r>
      <w:r w:rsidR="005F16B5">
        <w:t>in the submission, the</w:t>
      </w:r>
      <w:r w:rsidR="00EC4C6E">
        <w:t xml:space="preserve"> AEMP for NIVO IV</w:t>
      </w:r>
      <w:r w:rsidR="00D65376">
        <w:t xml:space="preserve"> 100</w:t>
      </w:r>
      <w:r w:rsidR="004B23A9">
        <w:t xml:space="preserve"> </w:t>
      </w:r>
      <w:r w:rsidR="009B2693">
        <w:t>mg</w:t>
      </w:r>
      <w:r w:rsidR="005F16B5">
        <w:t xml:space="preserve"> and NIVO SC 600</w:t>
      </w:r>
      <w:r w:rsidR="004B23A9">
        <w:t xml:space="preserve"> </w:t>
      </w:r>
      <w:r w:rsidR="005F16B5">
        <w:t>mg</w:t>
      </w:r>
      <w:r w:rsidR="009B2693">
        <w:t xml:space="preserve"> </w:t>
      </w:r>
      <w:r w:rsidR="00570661">
        <w:t xml:space="preserve">in </w:t>
      </w:r>
      <w:r w:rsidR="005F16B5">
        <w:t>first- and second-line</w:t>
      </w:r>
      <w:r w:rsidR="00570661">
        <w:t xml:space="preserve"> </w:t>
      </w:r>
      <w:r w:rsidR="00834B61">
        <w:t xml:space="preserve">treatment of RCC were </w:t>
      </w:r>
      <w:r w:rsidR="005F16B5">
        <w:t>interchanged. This has been amended below.</w:t>
      </w:r>
    </w:p>
    <w:p w14:paraId="2FB1B26B" w14:textId="6328F87D" w:rsidR="009C7D1F" w:rsidRPr="009C7D1F" w:rsidRDefault="009C7D1F" w:rsidP="00C17DC6">
      <w:pPr>
        <w:pStyle w:val="Caption"/>
        <w:keepNext/>
        <w:keepLines/>
        <w:rPr>
          <w:rFonts w:cs="Calibri"/>
        </w:rPr>
      </w:pPr>
      <w:bookmarkStart w:id="5" w:name="_Ref226017873"/>
      <w:r>
        <w:lastRenderedPageBreak/>
        <w:t xml:space="preserve">Table </w:t>
      </w:r>
      <w:fldSimple w:instr=" SEQ Table \* ARABIC ">
        <w:r w:rsidR="00BB69C0">
          <w:rPr>
            <w:noProof/>
          </w:rPr>
          <w:t>3</w:t>
        </w:r>
      </w:fldSimple>
      <w:bookmarkEnd w:id="5"/>
      <w:r w:rsidR="007B27CA">
        <w:t xml:space="preserve">: </w:t>
      </w:r>
      <w:r>
        <w:t>Cost-</w:t>
      </w:r>
      <w:r w:rsidR="00662B78">
        <w:t xml:space="preserve">minimised </w:t>
      </w:r>
      <w:r>
        <w:t>price for NIVO SC 600</w:t>
      </w:r>
      <w:r w:rsidR="005F2854">
        <w:t xml:space="preserve"> </w:t>
      </w:r>
      <w:r w:rsidR="00220F76">
        <w:t>mg vial per indication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3: Cost-minimised price for NIVO SC 600 mg vial per indication"/>
      </w:tblPr>
      <w:tblGrid>
        <w:gridCol w:w="1441"/>
        <w:gridCol w:w="4331"/>
        <w:gridCol w:w="1623"/>
        <w:gridCol w:w="1621"/>
      </w:tblGrid>
      <w:tr w:rsidR="009C7D1F" w14:paraId="7296BB24" w14:textId="77777777">
        <w:trPr>
          <w:trHeight w:val="93"/>
        </w:trPr>
        <w:tc>
          <w:tcPr>
            <w:tcW w:w="799" w:type="pct"/>
            <w:vAlign w:val="center"/>
          </w:tcPr>
          <w:p w14:paraId="797487B9" w14:textId="77777777" w:rsidR="009C7D1F" w:rsidRPr="007617A5" w:rsidRDefault="009C7D1F" w:rsidP="00C17DC6">
            <w:pPr>
              <w:pStyle w:val="TableHeading0"/>
              <w:keepNext/>
              <w:keepLines/>
              <w:rPr>
                <w:rFonts w:ascii="Arial Narrow" w:hAnsi="Arial Narrow"/>
              </w:rPr>
            </w:pPr>
            <w:r w:rsidRPr="007617A5">
              <w:rPr>
                <w:rFonts w:ascii="Arial Narrow" w:hAnsi="Arial Narrow"/>
              </w:rPr>
              <w:t>Disease Area</w:t>
            </w:r>
          </w:p>
        </w:tc>
        <w:tc>
          <w:tcPr>
            <w:tcW w:w="2402" w:type="pct"/>
            <w:vAlign w:val="center"/>
          </w:tcPr>
          <w:p w14:paraId="0687B9D9" w14:textId="77777777" w:rsidR="009C7D1F" w:rsidRPr="007617A5" w:rsidRDefault="009C7D1F" w:rsidP="00C17DC6">
            <w:pPr>
              <w:pStyle w:val="TableHeading0"/>
              <w:keepNext/>
              <w:keepLines/>
              <w:rPr>
                <w:rFonts w:ascii="Arial Narrow" w:hAnsi="Arial Narrow"/>
              </w:rPr>
            </w:pPr>
            <w:r w:rsidRPr="007617A5">
              <w:rPr>
                <w:rFonts w:ascii="Arial Narrow" w:hAnsi="Arial Narrow"/>
              </w:rPr>
              <w:t>PBS indication</w:t>
            </w:r>
          </w:p>
        </w:tc>
        <w:tc>
          <w:tcPr>
            <w:tcW w:w="900" w:type="pct"/>
            <w:vAlign w:val="center"/>
          </w:tcPr>
          <w:p w14:paraId="1FF17434" w14:textId="77777777" w:rsidR="009C7D1F" w:rsidRPr="007617A5" w:rsidRDefault="009C7D1F" w:rsidP="00C17DC6">
            <w:pPr>
              <w:pStyle w:val="TableHeading0"/>
              <w:keepNext/>
              <w:keepLines/>
              <w:rPr>
                <w:rFonts w:ascii="Arial Narrow" w:hAnsi="Arial Narrow"/>
              </w:rPr>
            </w:pPr>
            <w:r w:rsidRPr="007617A5">
              <w:rPr>
                <w:rFonts w:ascii="Arial Narrow" w:hAnsi="Arial Narrow"/>
              </w:rPr>
              <w:t xml:space="preserve">NIVO IV AEMP </w:t>
            </w:r>
          </w:p>
          <w:p w14:paraId="0D03B57A" w14:textId="083E4C89" w:rsidR="009C7D1F" w:rsidRPr="007617A5" w:rsidRDefault="009C7D1F" w:rsidP="00C17DC6">
            <w:pPr>
              <w:pStyle w:val="TableHeading0"/>
              <w:keepNext/>
              <w:keepLines/>
              <w:rPr>
                <w:rFonts w:ascii="Arial Narrow" w:hAnsi="Arial Narrow"/>
              </w:rPr>
            </w:pPr>
            <w:r w:rsidRPr="007617A5">
              <w:rPr>
                <w:rFonts w:ascii="Arial Narrow" w:hAnsi="Arial Narrow"/>
              </w:rPr>
              <w:t>100</w:t>
            </w:r>
            <w:r w:rsidR="005F2854" w:rsidRPr="007617A5">
              <w:rPr>
                <w:rFonts w:ascii="Arial Narrow" w:hAnsi="Arial Narrow"/>
              </w:rPr>
              <w:t xml:space="preserve"> </w:t>
            </w:r>
            <w:r w:rsidRPr="007617A5">
              <w:rPr>
                <w:rFonts w:ascii="Arial Narrow" w:hAnsi="Arial Narrow"/>
              </w:rPr>
              <w:t>mg</w:t>
            </w:r>
          </w:p>
        </w:tc>
        <w:tc>
          <w:tcPr>
            <w:tcW w:w="899" w:type="pct"/>
            <w:vAlign w:val="center"/>
          </w:tcPr>
          <w:p w14:paraId="6255C0D7" w14:textId="77777777" w:rsidR="009C7D1F" w:rsidRPr="007617A5" w:rsidRDefault="009C7D1F" w:rsidP="00C17DC6">
            <w:pPr>
              <w:pStyle w:val="TableHeading0"/>
              <w:keepNext/>
              <w:keepLines/>
              <w:rPr>
                <w:rFonts w:ascii="Arial Narrow" w:hAnsi="Arial Narrow"/>
              </w:rPr>
            </w:pPr>
            <w:r w:rsidRPr="007617A5">
              <w:rPr>
                <w:rFonts w:ascii="Arial Narrow" w:hAnsi="Arial Narrow"/>
              </w:rPr>
              <w:t xml:space="preserve">NIVO SC AEMP </w:t>
            </w:r>
          </w:p>
          <w:p w14:paraId="0ED3E8CD" w14:textId="4B5B7191" w:rsidR="009C7D1F" w:rsidRPr="007617A5" w:rsidRDefault="009C7D1F" w:rsidP="00C17DC6">
            <w:pPr>
              <w:pStyle w:val="TableHeading0"/>
              <w:keepNext/>
              <w:keepLines/>
              <w:rPr>
                <w:rFonts w:ascii="Arial Narrow" w:hAnsi="Arial Narrow"/>
              </w:rPr>
            </w:pPr>
            <w:r w:rsidRPr="007617A5">
              <w:rPr>
                <w:rFonts w:ascii="Arial Narrow" w:hAnsi="Arial Narrow"/>
              </w:rPr>
              <w:t>600</w:t>
            </w:r>
            <w:r w:rsidR="005F2854" w:rsidRPr="007617A5">
              <w:rPr>
                <w:rFonts w:ascii="Arial Narrow" w:hAnsi="Arial Narrow"/>
              </w:rPr>
              <w:t xml:space="preserve"> </w:t>
            </w:r>
            <w:r w:rsidRPr="007617A5">
              <w:rPr>
                <w:rFonts w:ascii="Arial Narrow" w:hAnsi="Arial Narrow"/>
              </w:rPr>
              <w:t>mg</w:t>
            </w:r>
          </w:p>
        </w:tc>
      </w:tr>
      <w:tr w:rsidR="009C7D1F" w14:paraId="4E287822" w14:textId="77777777">
        <w:trPr>
          <w:trHeight w:val="93"/>
        </w:trPr>
        <w:tc>
          <w:tcPr>
            <w:tcW w:w="799" w:type="pct"/>
            <w:vMerge w:val="restart"/>
            <w:vAlign w:val="center"/>
          </w:tcPr>
          <w:p w14:paraId="1B963689" w14:textId="77777777" w:rsidR="009C7D1F" w:rsidRPr="007617A5" w:rsidRDefault="009C7D1F" w:rsidP="00C17DC6">
            <w:pPr>
              <w:pStyle w:val="TableText1"/>
              <w:keepNext/>
              <w:keepLines/>
              <w:rPr>
                <w:rFonts w:ascii="Arial Narrow" w:hAnsi="Arial Narrow"/>
              </w:rPr>
            </w:pPr>
            <w:r w:rsidRPr="007617A5">
              <w:rPr>
                <w:rFonts w:ascii="Arial Narrow" w:hAnsi="Arial Narrow"/>
              </w:rPr>
              <w:t>Melanoma</w:t>
            </w:r>
          </w:p>
        </w:tc>
        <w:tc>
          <w:tcPr>
            <w:tcW w:w="2402" w:type="pct"/>
            <w:vAlign w:val="center"/>
          </w:tcPr>
          <w:p w14:paraId="6CB6F351" w14:textId="77777777" w:rsidR="009C7D1F" w:rsidRPr="007617A5" w:rsidRDefault="009C7D1F" w:rsidP="00C17DC6">
            <w:pPr>
              <w:pStyle w:val="TableText1"/>
              <w:keepNext/>
              <w:keepLines/>
              <w:rPr>
                <w:rFonts w:ascii="Arial Narrow" w:hAnsi="Arial Narrow"/>
              </w:rPr>
            </w:pPr>
            <w:r w:rsidRPr="007617A5">
              <w:rPr>
                <w:rFonts w:ascii="Arial Narrow" w:hAnsi="Arial Narrow"/>
              </w:rPr>
              <w:t>Resected Stage IIIB, IIIC, IIID or Stage IV malignant melanoma</w:t>
            </w:r>
          </w:p>
        </w:tc>
        <w:tc>
          <w:tcPr>
            <w:tcW w:w="900" w:type="pct"/>
            <w:vMerge w:val="restart"/>
            <w:vAlign w:val="center"/>
          </w:tcPr>
          <w:p w14:paraId="41A16A8E" w14:textId="0BF678E3"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899" w:type="pct"/>
            <w:vMerge w:val="restart"/>
            <w:vAlign w:val="center"/>
          </w:tcPr>
          <w:p w14:paraId="68819470" w14:textId="4F07CFDC"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r>
      <w:tr w:rsidR="009C7D1F" w:rsidRPr="00FE62CA" w14:paraId="52673B36" w14:textId="77777777">
        <w:trPr>
          <w:trHeight w:val="93"/>
        </w:trPr>
        <w:tc>
          <w:tcPr>
            <w:tcW w:w="799" w:type="pct"/>
            <w:vMerge/>
            <w:vAlign w:val="center"/>
          </w:tcPr>
          <w:p w14:paraId="01959C54" w14:textId="77777777" w:rsidR="009C7D1F" w:rsidRPr="007617A5" w:rsidRDefault="009C7D1F" w:rsidP="00C17DC6">
            <w:pPr>
              <w:pStyle w:val="TableText1"/>
              <w:keepNext/>
              <w:keepLines/>
              <w:rPr>
                <w:rFonts w:ascii="Arial Narrow" w:hAnsi="Arial Narrow"/>
              </w:rPr>
            </w:pPr>
          </w:p>
        </w:tc>
        <w:tc>
          <w:tcPr>
            <w:tcW w:w="2402" w:type="pct"/>
            <w:vAlign w:val="center"/>
          </w:tcPr>
          <w:p w14:paraId="639AEC2D" w14:textId="77777777" w:rsidR="009C7D1F" w:rsidRPr="007617A5" w:rsidRDefault="009C7D1F" w:rsidP="00C17DC6">
            <w:pPr>
              <w:pStyle w:val="TableText1"/>
              <w:keepNext/>
              <w:keepLines/>
              <w:rPr>
                <w:rFonts w:ascii="Arial Narrow" w:hAnsi="Arial Narrow"/>
              </w:rPr>
            </w:pPr>
            <w:r w:rsidRPr="007617A5">
              <w:rPr>
                <w:rFonts w:ascii="Arial Narrow" w:hAnsi="Arial Narrow"/>
              </w:rPr>
              <w:t>Unresectable Stage III or Stage IV malignant melanoma</w:t>
            </w:r>
          </w:p>
        </w:tc>
        <w:tc>
          <w:tcPr>
            <w:tcW w:w="900" w:type="pct"/>
            <w:vMerge/>
            <w:vAlign w:val="center"/>
          </w:tcPr>
          <w:p w14:paraId="496353E3" w14:textId="77777777" w:rsidR="009C7D1F" w:rsidRPr="00F31BFD" w:rsidRDefault="009C7D1F" w:rsidP="00C17DC6">
            <w:pPr>
              <w:pStyle w:val="TableText1"/>
              <w:keepNext/>
              <w:keepLines/>
              <w:rPr>
                <w:rFonts w:ascii="Arial Narrow" w:hAnsi="Arial Narrow"/>
                <w:highlight w:val="lightGray"/>
              </w:rPr>
            </w:pPr>
          </w:p>
        </w:tc>
        <w:tc>
          <w:tcPr>
            <w:tcW w:w="899" w:type="pct"/>
            <w:vMerge/>
            <w:vAlign w:val="center"/>
          </w:tcPr>
          <w:p w14:paraId="02961318" w14:textId="77777777" w:rsidR="009C7D1F" w:rsidRPr="00F31BFD" w:rsidRDefault="009C7D1F" w:rsidP="00C17DC6">
            <w:pPr>
              <w:pStyle w:val="TableText1"/>
              <w:keepNext/>
              <w:keepLines/>
              <w:rPr>
                <w:rFonts w:ascii="Arial Narrow" w:hAnsi="Arial Narrow"/>
                <w:highlight w:val="lightGray"/>
              </w:rPr>
            </w:pPr>
          </w:p>
        </w:tc>
      </w:tr>
      <w:tr w:rsidR="009C7D1F" w:rsidRPr="00FE62CA" w14:paraId="25C2F747" w14:textId="77777777">
        <w:trPr>
          <w:trHeight w:val="93"/>
        </w:trPr>
        <w:tc>
          <w:tcPr>
            <w:tcW w:w="799" w:type="pct"/>
            <w:vAlign w:val="center"/>
          </w:tcPr>
          <w:p w14:paraId="5D576900" w14:textId="77777777" w:rsidR="009C7D1F" w:rsidRPr="007617A5" w:rsidRDefault="009C7D1F" w:rsidP="00C17DC6">
            <w:pPr>
              <w:pStyle w:val="TableText1"/>
              <w:keepNext/>
              <w:keepLines/>
              <w:rPr>
                <w:rFonts w:ascii="Arial Narrow" w:hAnsi="Arial Narrow"/>
              </w:rPr>
            </w:pPr>
            <w:r w:rsidRPr="007617A5">
              <w:rPr>
                <w:rFonts w:ascii="Arial Narrow" w:hAnsi="Arial Narrow"/>
              </w:rPr>
              <w:t>NSCLC</w:t>
            </w:r>
          </w:p>
        </w:tc>
        <w:tc>
          <w:tcPr>
            <w:tcW w:w="2402" w:type="pct"/>
            <w:vAlign w:val="center"/>
          </w:tcPr>
          <w:p w14:paraId="7D64026F" w14:textId="77777777" w:rsidR="009C7D1F" w:rsidRPr="007617A5" w:rsidRDefault="009C7D1F" w:rsidP="00C17DC6">
            <w:pPr>
              <w:pStyle w:val="TableText1"/>
              <w:keepNext/>
              <w:keepLines/>
              <w:rPr>
                <w:rFonts w:ascii="Arial Narrow" w:hAnsi="Arial Narrow"/>
              </w:rPr>
            </w:pPr>
            <w:r w:rsidRPr="007617A5">
              <w:rPr>
                <w:rFonts w:ascii="Arial Narrow" w:hAnsi="Arial Narrow"/>
              </w:rPr>
              <w:t>Locally advanced or metastatic non-small cell lung cancer</w:t>
            </w:r>
          </w:p>
        </w:tc>
        <w:tc>
          <w:tcPr>
            <w:tcW w:w="900" w:type="pct"/>
            <w:vAlign w:val="center"/>
          </w:tcPr>
          <w:p w14:paraId="00BE4993" w14:textId="0842901B"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1F193996" w14:textId="7ACFCF92"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r>
      <w:tr w:rsidR="009C7D1F" w14:paraId="1494F671" w14:textId="77777777">
        <w:trPr>
          <w:trHeight w:val="505"/>
        </w:trPr>
        <w:tc>
          <w:tcPr>
            <w:tcW w:w="799" w:type="pct"/>
            <w:vMerge w:val="restart"/>
            <w:vAlign w:val="center"/>
          </w:tcPr>
          <w:p w14:paraId="43951E38" w14:textId="77777777" w:rsidR="009C7D1F" w:rsidRPr="007617A5" w:rsidRDefault="009C7D1F" w:rsidP="00C17DC6">
            <w:pPr>
              <w:pStyle w:val="TableText1"/>
              <w:keepNext/>
              <w:keepLines/>
              <w:rPr>
                <w:rFonts w:ascii="Arial Narrow" w:hAnsi="Arial Narrow"/>
              </w:rPr>
            </w:pPr>
            <w:r w:rsidRPr="007617A5">
              <w:rPr>
                <w:rFonts w:ascii="Arial Narrow" w:hAnsi="Arial Narrow"/>
              </w:rPr>
              <w:t>RCC</w:t>
            </w:r>
          </w:p>
        </w:tc>
        <w:tc>
          <w:tcPr>
            <w:tcW w:w="2402" w:type="pct"/>
            <w:vAlign w:val="center"/>
          </w:tcPr>
          <w:p w14:paraId="4AB52E1C" w14:textId="77777777" w:rsidR="009C7D1F" w:rsidRPr="007617A5" w:rsidRDefault="009C7D1F" w:rsidP="00C17DC6">
            <w:pPr>
              <w:pStyle w:val="TableText1"/>
              <w:keepNext/>
              <w:keepLines/>
              <w:rPr>
                <w:rFonts w:ascii="Arial Narrow" w:hAnsi="Arial Narrow"/>
              </w:rPr>
            </w:pPr>
            <w:r w:rsidRPr="007617A5">
              <w:rPr>
                <w:rFonts w:ascii="Arial Narrow" w:hAnsi="Arial Narrow"/>
              </w:rPr>
              <w:t>Stage IV clear cell variant renal cell carcinoma – 1L</w:t>
            </w:r>
          </w:p>
        </w:tc>
        <w:tc>
          <w:tcPr>
            <w:tcW w:w="900" w:type="pct"/>
            <w:vAlign w:val="center"/>
          </w:tcPr>
          <w:p w14:paraId="23B6CF93" w14:textId="6D9A667A" w:rsidR="009C7D1F" w:rsidRPr="00F31BFD" w:rsidRDefault="00C312B7"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3746075B" w14:textId="3BD6711F" w:rsidR="009C7D1F" w:rsidRPr="00F31BFD" w:rsidRDefault="00492D04"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r>
      <w:tr w:rsidR="009C7D1F" w14:paraId="3C6247E2" w14:textId="77777777">
        <w:trPr>
          <w:trHeight w:val="381"/>
        </w:trPr>
        <w:tc>
          <w:tcPr>
            <w:tcW w:w="799" w:type="pct"/>
            <w:vMerge/>
            <w:vAlign w:val="center"/>
          </w:tcPr>
          <w:p w14:paraId="31BF125C" w14:textId="77777777" w:rsidR="009C7D1F" w:rsidRPr="007617A5" w:rsidRDefault="009C7D1F" w:rsidP="00C17DC6">
            <w:pPr>
              <w:pStyle w:val="TableText1"/>
              <w:keepNext/>
              <w:keepLines/>
              <w:rPr>
                <w:rFonts w:ascii="Arial Narrow" w:hAnsi="Arial Narrow"/>
              </w:rPr>
            </w:pPr>
          </w:p>
        </w:tc>
        <w:tc>
          <w:tcPr>
            <w:tcW w:w="2402" w:type="pct"/>
            <w:vAlign w:val="center"/>
          </w:tcPr>
          <w:p w14:paraId="0A302DF0" w14:textId="77777777" w:rsidR="009C7D1F" w:rsidRPr="007617A5" w:rsidRDefault="009C7D1F" w:rsidP="00C17DC6">
            <w:pPr>
              <w:pStyle w:val="TableText1"/>
              <w:keepNext/>
              <w:keepLines/>
              <w:rPr>
                <w:rFonts w:ascii="Arial Narrow" w:hAnsi="Arial Narrow"/>
              </w:rPr>
            </w:pPr>
            <w:r w:rsidRPr="007617A5">
              <w:rPr>
                <w:rFonts w:ascii="Arial Narrow" w:hAnsi="Arial Narrow"/>
              </w:rPr>
              <w:t>Stage IV clear cell variant renal cell carcinoma – 2L</w:t>
            </w:r>
          </w:p>
        </w:tc>
        <w:tc>
          <w:tcPr>
            <w:tcW w:w="900" w:type="pct"/>
            <w:vAlign w:val="center"/>
          </w:tcPr>
          <w:p w14:paraId="755F13D8" w14:textId="21B05A0C" w:rsidR="00492D04" w:rsidRPr="00F31BFD" w:rsidRDefault="00492D04"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5B89467E" w14:textId="640DFB13" w:rsidR="00492D04" w:rsidRPr="00F31BFD" w:rsidRDefault="001211FA"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r>
      <w:tr w:rsidR="009C7D1F" w14:paraId="41E35D8E" w14:textId="77777777">
        <w:trPr>
          <w:trHeight w:val="93"/>
        </w:trPr>
        <w:tc>
          <w:tcPr>
            <w:tcW w:w="799" w:type="pct"/>
            <w:vAlign w:val="center"/>
          </w:tcPr>
          <w:p w14:paraId="216C8976" w14:textId="77777777" w:rsidR="009C7D1F" w:rsidRPr="007617A5" w:rsidRDefault="009C7D1F" w:rsidP="00C17DC6">
            <w:pPr>
              <w:pStyle w:val="TableText1"/>
              <w:keepNext/>
              <w:keepLines/>
              <w:rPr>
                <w:rFonts w:ascii="Arial Narrow" w:hAnsi="Arial Narrow"/>
              </w:rPr>
            </w:pPr>
            <w:r w:rsidRPr="007617A5">
              <w:rPr>
                <w:rFonts w:ascii="Arial Narrow" w:hAnsi="Arial Narrow"/>
              </w:rPr>
              <w:t>SCCHN</w:t>
            </w:r>
          </w:p>
        </w:tc>
        <w:tc>
          <w:tcPr>
            <w:tcW w:w="2402" w:type="pct"/>
            <w:vAlign w:val="center"/>
          </w:tcPr>
          <w:p w14:paraId="5BE23DF8" w14:textId="77777777" w:rsidR="009C7D1F" w:rsidRPr="007617A5" w:rsidRDefault="009C7D1F" w:rsidP="00C17DC6">
            <w:pPr>
              <w:pStyle w:val="TableText1"/>
              <w:keepNext/>
              <w:keepLines/>
              <w:rPr>
                <w:rFonts w:ascii="Arial Narrow" w:hAnsi="Arial Narrow"/>
              </w:rPr>
            </w:pPr>
            <w:r w:rsidRPr="007617A5">
              <w:rPr>
                <w:rFonts w:ascii="Arial Narrow" w:hAnsi="Arial Narrow"/>
              </w:rPr>
              <w:t>Recurrent or metastatic squamous cell carcinoma of the oral cavity, pharynx or larynx</w:t>
            </w:r>
          </w:p>
        </w:tc>
        <w:tc>
          <w:tcPr>
            <w:tcW w:w="900" w:type="pct"/>
            <w:vAlign w:val="center"/>
          </w:tcPr>
          <w:p w14:paraId="11704596" w14:textId="6C16163C"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1B2A53F3" w14:textId="485F5FAF"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r>
      <w:tr w:rsidR="009C7D1F" w14:paraId="1BA6E537" w14:textId="77777777">
        <w:trPr>
          <w:trHeight w:val="369"/>
        </w:trPr>
        <w:tc>
          <w:tcPr>
            <w:tcW w:w="799" w:type="pct"/>
            <w:vMerge w:val="restart"/>
            <w:vAlign w:val="center"/>
          </w:tcPr>
          <w:p w14:paraId="4A88E6FA" w14:textId="77777777" w:rsidR="009C7D1F" w:rsidRPr="007617A5" w:rsidRDefault="009C7D1F" w:rsidP="00C17DC6">
            <w:pPr>
              <w:pStyle w:val="TableText1"/>
              <w:keepNext/>
              <w:keepLines/>
              <w:rPr>
                <w:rFonts w:ascii="Arial Narrow" w:hAnsi="Arial Narrow"/>
              </w:rPr>
            </w:pPr>
            <w:r w:rsidRPr="007617A5">
              <w:rPr>
                <w:rFonts w:ascii="Arial Narrow" w:hAnsi="Arial Narrow"/>
              </w:rPr>
              <w:t>UC</w:t>
            </w:r>
          </w:p>
        </w:tc>
        <w:tc>
          <w:tcPr>
            <w:tcW w:w="2402" w:type="pct"/>
            <w:vAlign w:val="center"/>
          </w:tcPr>
          <w:p w14:paraId="0111EF39" w14:textId="77777777" w:rsidR="009C7D1F" w:rsidRPr="007617A5" w:rsidRDefault="009C7D1F" w:rsidP="00C17DC6">
            <w:pPr>
              <w:pStyle w:val="TableText1"/>
              <w:keepNext/>
              <w:keepLines/>
              <w:rPr>
                <w:rFonts w:ascii="Arial Narrow" w:hAnsi="Arial Narrow"/>
              </w:rPr>
            </w:pPr>
            <w:r w:rsidRPr="007617A5">
              <w:rPr>
                <w:rFonts w:ascii="Arial Narrow" w:hAnsi="Arial Narrow"/>
              </w:rPr>
              <w:t>Urothelial carcinoma</w:t>
            </w:r>
          </w:p>
        </w:tc>
        <w:tc>
          <w:tcPr>
            <w:tcW w:w="900" w:type="pct"/>
            <w:vAlign w:val="center"/>
          </w:tcPr>
          <w:p w14:paraId="28130E7D" w14:textId="6386C245"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7E1F8E66" w14:textId="4839849C"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r>
      <w:tr w:rsidR="009C7D1F" w14:paraId="095C273A" w14:textId="77777777">
        <w:trPr>
          <w:trHeight w:val="369"/>
        </w:trPr>
        <w:tc>
          <w:tcPr>
            <w:tcW w:w="799" w:type="pct"/>
            <w:vMerge/>
            <w:vAlign w:val="center"/>
          </w:tcPr>
          <w:p w14:paraId="6CB43E7A" w14:textId="77777777" w:rsidR="009C7D1F" w:rsidRPr="007617A5" w:rsidRDefault="009C7D1F" w:rsidP="00C17DC6">
            <w:pPr>
              <w:pStyle w:val="TableText1"/>
              <w:keepNext/>
              <w:keepLines/>
              <w:rPr>
                <w:rFonts w:ascii="Arial Narrow" w:hAnsi="Arial Narrow"/>
              </w:rPr>
            </w:pPr>
          </w:p>
        </w:tc>
        <w:tc>
          <w:tcPr>
            <w:tcW w:w="2402" w:type="pct"/>
            <w:vAlign w:val="center"/>
          </w:tcPr>
          <w:p w14:paraId="59CDC3CE" w14:textId="77777777" w:rsidR="009C7D1F" w:rsidRPr="007617A5" w:rsidRDefault="009C7D1F" w:rsidP="00C17DC6">
            <w:pPr>
              <w:pStyle w:val="TableText1"/>
              <w:keepNext/>
              <w:keepLines/>
              <w:rPr>
                <w:rFonts w:ascii="Arial Narrow" w:hAnsi="Arial Narrow"/>
              </w:rPr>
            </w:pPr>
            <w:r w:rsidRPr="007617A5">
              <w:rPr>
                <w:rFonts w:ascii="Arial Narrow" w:hAnsi="Arial Narrow"/>
              </w:rPr>
              <w:t>Unresectable or metastatic urothelial carcinoma</w:t>
            </w:r>
          </w:p>
        </w:tc>
        <w:tc>
          <w:tcPr>
            <w:tcW w:w="900" w:type="pct"/>
            <w:vAlign w:val="center"/>
          </w:tcPr>
          <w:p w14:paraId="45DDAED8" w14:textId="017932A2"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64897BB8" w14:textId="65CD4FA4"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r>
      <w:tr w:rsidR="009C7D1F" w14:paraId="796C59AE" w14:textId="77777777">
        <w:trPr>
          <w:trHeight w:val="369"/>
        </w:trPr>
        <w:tc>
          <w:tcPr>
            <w:tcW w:w="799" w:type="pct"/>
            <w:vAlign w:val="center"/>
          </w:tcPr>
          <w:p w14:paraId="2F598655" w14:textId="77777777" w:rsidR="009C7D1F" w:rsidRPr="007617A5" w:rsidRDefault="009C7D1F" w:rsidP="00C17DC6">
            <w:pPr>
              <w:pStyle w:val="TableText1"/>
              <w:keepNext/>
              <w:keepLines/>
              <w:rPr>
                <w:rFonts w:ascii="Arial Narrow" w:hAnsi="Arial Narrow"/>
              </w:rPr>
            </w:pPr>
            <w:r w:rsidRPr="007617A5">
              <w:rPr>
                <w:rFonts w:ascii="Arial Narrow" w:hAnsi="Arial Narrow"/>
              </w:rPr>
              <w:t>OSCC</w:t>
            </w:r>
          </w:p>
        </w:tc>
        <w:tc>
          <w:tcPr>
            <w:tcW w:w="2402" w:type="pct"/>
            <w:vMerge w:val="restart"/>
            <w:vAlign w:val="center"/>
          </w:tcPr>
          <w:p w14:paraId="18832F71" w14:textId="77777777" w:rsidR="009C7D1F" w:rsidRPr="007617A5" w:rsidRDefault="009C7D1F" w:rsidP="00C17DC6">
            <w:pPr>
              <w:pStyle w:val="TableText1"/>
              <w:keepNext/>
              <w:keepLines/>
              <w:rPr>
                <w:rFonts w:ascii="Arial Narrow" w:hAnsi="Arial Narrow"/>
              </w:rPr>
            </w:pPr>
            <w:r w:rsidRPr="007617A5">
              <w:rPr>
                <w:rFonts w:ascii="Arial Narrow" w:hAnsi="Arial Narrow"/>
              </w:rPr>
              <w:t>Advanced or metastatic gastro-oesophageal cancers</w:t>
            </w:r>
          </w:p>
        </w:tc>
        <w:tc>
          <w:tcPr>
            <w:tcW w:w="900" w:type="pct"/>
            <w:vMerge w:val="restart"/>
            <w:vAlign w:val="center"/>
          </w:tcPr>
          <w:p w14:paraId="7BBFBD3E" w14:textId="7D673104"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899" w:type="pct"/>
            <w:vMerge w:val="restart"/>
            <w:vAlign w:val="center"/>
          </w:tcPr>
          <w:p w14:paraId="05CBE066" w14:textId="28D982F3"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r>
      <w:tr w:rsidR="009C7D1F" w14:paraId="07E95036" w14:textId="77777777">
        <w:trPr>
          <w:trHeight w:val="369"/>
        </w:trPr>
        <w:tc>
          <w:tcPr>
            <w:tcW w:w="799" w:type="pct"/>
            <w:vAlign w:val="center"/>
          </w:tcPr>
          <w:p w14:paraId="4CB963FE" w14:textId="77777777" w:rsidR="009C7D1F" w:rsidRPr="007617A5" w:rsidRDefault="009C7D1F" w:rsidP="00C17DC6">
            <w:pPr>
              <w:pStyle w:val="TableText1"/>
              <w:keepNext/>
              <w:keepLines/>
              <w:rPr>
                <w:rFonts w:ascii="Arial Narrow" w:hAnsi="Arial Narrow"/>
              </w:rPr>
            </w:pPr>
            <w:r w:rsidRPr="007617A5">
              <w:rPr>
                <w:rFonts w:ascii="Arial Narrow" w:hAnsi="Arial Narrow"/>
              </w:rPr>
              <w:t>GC/GOJC/OAC</w:t>
            </w:r>
          </w:p>
        </w:tc>
        <w:tc>
          <w:tcPr>
            <w:tcW w:w="2402" w:type="pct"/>
            <w:vMerge/>
            <w:vAlign w:val="center"/>
          </w:tcPr>
          <w:p w14:paraId="7F3DE3CE" w14:textId="77777777" w:rsidR="009C7D1F" w:rsidRPr="007617A5" w:rsidRDefault="009C7D1F" w:rsidP="00C17DC6">
            <w:pPr>
              <w:pStyle w:val="TableText1"/>
              <w:keepNext/>
              <w:keepLines/>
              <w:rPr>
                <w:rFonts w:ascii="Arial Narrow" w:hAnsi="Arial Narrow"/>
              </w:rPr>
            </w:pPr>
          </w:p>
        </w:tc>
        <w:tc>
          <w:tcPr>
            <w:tcW w:w="900" w:type="pct"/>
            <w:vMerge/>
            <w:vAlign w:val="center"/>
          </w:tcPr>
          <w:p w14:paraId="0459628E" w14:textId="77777777" w:rsidR="009C7D1F" w:rsidRPr="00F31BFD" w:rsidRDefault="009C7D1F" w:rsidP="00C17DC6">
            <w:pPr>
              <w:pStyle w:val="TableText1"/>
              <w:keepNext/>
              <w:keepLines/>
              <w:rPr>
                <w:rFonts w:ascii="Arial Narrow" w:hAnsi="Arial Narrow"/>
                <w:highlight w:val="lightGray"/>
              </w:rPr>
            </w:pPr>
          </w:p>
        </w:tc>
        <w:tc>
          <w:tcPr>
            <w:tcW w:w="899" w:type="pct"/>
            <w:vMerge/>
            <w:vAlign w:val="center"/>
          </w:tcPr>
          <w:p w14:paraId="742699DB" w14:textId="77777777" w:rsidR="009C7D1F" w:rsidRPr="00F31BFD" w:rsidRDefault="009C7D1F" w:rsidP="00C17DC6">
            <w:pPr>
              <w:pStyle w:val="TableText1"/>
              <w:keepNext/>
              <w:keepLines/>
              <w:rPr>
                <w:rFonts w:ascii="Arial Narrow" w:hAnsi="Arial Narrow"/>
                <w:highlight w:val="lightGray"/>
              </w:rPr>
            </w:pPr>
          </w:p>
        </w:tc>
      </w:tr>
      <w:tr w:rsidR="009C7D1F" w14:paraId="60764F6E" w14:textId="77777777">
        <w:trPr>
          <w:trHeight w:val="641"/>
        </w:trPr>
        <w:tc>
          <w:tcPr>
            <w:tcW w:w="799" w:type="pct"/>
            <w:vAlign w:val="center"/>
          </w:tcPr>
          <w:p w14:paraId="1CB6DF97" w14:textId="77777777" w:rsidR="009C7D1F" w:rsidRPr="007617A5" w:rsidRDefault="009C7D1F" w:rsidP="00C17DC6">
            <w:pPr>
              <w:pStyle w:val="TableText1"/>
              <w:keepNext/>
              <w:keepLines/>
              <w:rPr>
                <w:rFonts w:ascii="Arial Narrow" w:hAnsi="Arial Narrow"/>
              </w:rPr>
            </w:pPr>
            <w:r w:rsidRPr="007617A5">
              <w:rPr>
                <w:rFonts w:ascii="Arial Narrow" w:hAnsi="Arial Narrow"/>
              </w:rPr>
              <w:t>OC/GOJC</w:t>
            </w:r>
          </w:p>
        </w:tc>
        <w:tc>
          <w:tcPr>
            <w:tcW w:w="2402" w:type="pct"/>
            <w:vAlign w:val="center"/>
          </w:tcPr>
          <w:p w14:paraId="2EAC71A2" w14:textId="77777777" w:rsidR="009C7D1F" w:rsidRPr="007617A5" w:rsidRDefault="009C7D1F" w:rsidP="00C17DC6">
            <w:pPr>
              <w:pStyle w:val="TableText1"/>
              <w:keepNext/>
              <w:keepLines/>
              <w:rPr>
                <w:rFonts w:ascii="Arial Narrow" w:hAnsi="Arial Narrow"/>
              </w:rPr>
            </w:pPr>
            <w:r w:rsidRPr="007617A5">
              <w:rPr>
                <w:rFonts w:ascii="Arial Narrow" w:hAnsi="Arial Narrow"/>
              </w:rPr>
              <w:t>Adjuvant treatment of stage II or III oesophageal cancer or gastro-oesophageal junction cancer</w:t>
            </w:r>
          </w:p>
        </w:tc>
        <w:tc>
          <w:tcPr>
            <w:tcW w:w="900" w:type="pct"/>
            <w:vAlign w:val="center"/>
          </w:tcPr>
          <w:p w14:paraId="28901C29" w14:textId="71DB960D"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3B950F3C" w14:textId="12276313" w:rsidR="009C7D1F" w:rsidRPr="00F31BFD" w:rsidRDefault="009C7D1F" w:rsidP="00C17DC6">
            <w:pPr>
              <w:pStyle w:val="TableText1"/>
              <w:keepNext/>
              <w:keepLines/>
              <w:rPr>
                <w:rFonts w:ascii="Arial Narrow" w:hAnsi="Arial Narrow"/>
                <w:highlight w:val="lightGray"/>
              </w:rPr>
            </w:pPr>
            <w:r w:rsidRPr="005F5426">
              <w:rPr>
                <w:rFonts w:ascii="Arial Narrow" w:hAnsi="Arial Narrow"/>
              </w:rPr>
              <w:t>$</w:t>
            </w:r>
            <w:r w:rsidR="009D7A63" w:rsidRPr="009D7A63">
              <w:rPr>
                <w:rFonts w:ascii="Arial Narrow" w:hAnsi="Arial Narrow"/>
                <w:sz w:val="2"/>
                <w:highlight w:val="black"/>
              </w:rPr>
              <w:t>redacted content</w:t>
            </w:r>
          </w:p>
        </w:tc>
      </w:tr>
    </w:tbl>
    <w:p w14:paraId="2E3DD7A4" w14:textId="77777777" w:rsidR="008A26BD" w:rsidRPr="007617A5" w:rsidRDefault="008A26BD" w:rsidP="00C17DC6">
      <w:pPr>
        <w:pStyle w:val="Tablenotes0"/>
        <w:keepNext/>
        <w:keepLines/>
        <w:rPr>
          <w:rFonts w:ascii="Arial Narrow" w:hAnsi="Arial Narrow"/>
        </w:rPr>
      </w:pPr>
      <w:r w:rsidRPr="007617A5">
        <w:rPr>
          <w:rFonts w:ascii="Arial Narrow" w:hAnsi="Arial Narrow"/>
        </w:rPr>
        <w:t>Abbreviations: AEMP = Approved ex-manufacturer price, mg = milligram.</w:t>
      </w:r>
    </w:p>
    <w:p w14:paraId="629B435F" w14:textId="0F7A4294" w:rsidR="009C7D1F" w:rsidRPr="007617A5" w:rsidRDefault="008A26BD" w:rsidP="00C17DC6">
      <w:pPr>
        <w:pStyle w:val="Tablenotes0"/>
        <w:keepNext/>
        <w:keepLines/>
        <w:rPr>
          <w:rFonts w:ascii="Arial Narrow" w:hAnsi="Arial Narrow"/>
        </w:rPr>
      </w:pPr>
      <w:r w:rsidRPr="007617A5">
        <w:rPr>
          <w:rFonts w:ascii="Arial Narrow" w:hAnsi="Arial Narrow"/>
        </w:rPr>
        <w:t>Source: p150 of the submission; NIVO SC_CMA, CMA tab (N5:P13).</w:t>
      </w:r>
    </w:p>
    <w:p w14:paraId="26EA189D" w14:textId="77777777" w:rsidR="00AA0583" w:rsidRDefault="00AA0583" w:rsidP="00C17DC6">
      <w:pPr>
        <w:pStyle w:val="Tablenotes0"/>
      </w:pPr>
    </w:p>
    <w:p w14:paraId="2392446F" w14:textId="6B824F10" w:rsidR="00AA0583" w:rsidRDefault="008C3E72" w:rsidP="00C17DC6">
      <w:pPr>
        <w:pStyle w:val="3-BodyText"/>
        <w:numPr>
          <w:ilvl w:val="1"/>
          <w:numId w:val="1"/>
        </w:numPr>
      </w:pPr>
      <w:r>
        <w:t>T</w:t>
      </w:r>
      <w:r w:rsidR="000847F6" w:rsidRPr="000847F6">
        <w:t>he submission</w:t>
      </w:r>
      <w:r w:rsidR="00042843">
        <w:t xml:space="preserve"> provided cost-</w:t>
      </w:r>
      <w:r w:rsidR="009A1E64">
        <w:t xml:space="preserve">minimised </w:t>
      </w:r>
      <w:r w:rsidR="00042843">
        <w:t xml:space="preserve">prices </w:t>
      </w:r>
      <w:r w:rsidR="00A43C77" w:rsidRPr="00A43C77">
        <w:t>consistent with the PBAC recommended indication ‘immunotherapy sensitive advanced or metastatic cancer’</w:t>
      </w:r>
      <w:r w:rsidR="00A43C77">
        <w:t>. These</w:t>
      </w:r>
      <w:r w:rsidR="00870C57">
        <w:t xml:space="preserve"> were calculated using</w:t>
      </w:r>
      <w:r w:rsidR="000847F6" w:rsidRPr="000847F6">
        <w:t xml:space="preserve"> the</w:t>
      </w:r>
      <w:r w:rsidR="000847F6">
        <w:t xml:space="preserve"> </w:t>
      </w:r>
      <w:r w:rsidR="000847F6" w:rsidRPr="000847F6">
        <w:t>conversion factor</w:t>
      </w:r>
      <w:r w:rsidR="006C14F1">
        <w:t xml:space="preserve"> from</w:t>
      </w:r>
      <w:r w:rsidR="007B27CA">
        <w:t xml:space="preserve"> </w:t>
      </w:r>
      <w:r w:rsidR="007B27CA">
        <w:fldChar w:fldCharType="begin"/>
      </w:r>
      <w:r w:rsidR="007B27CA">
        <w:instrText xml:space="preserve"> REF _Ref226017850 \h </w:instrText>
      </w:r>
      <w:r w:rsidR="007B27CA">
        <w:fldChar w:fldCharType="separate"/>
      </w:r>
      <w:r w:rsidR="007B27CA">
        <w:t xml:space="preserve">Table </w:t>
      </w:r>
      <w:r w:rsidR="007B27CA">
        <w:rPr>
          <w:noProof/>
        </w:rPr>
        <w:t>2</w:t>
      </w:r>
      <w:r w:rsidR="007B27CA">
        <w:fldChar w:fldCharType="end"/>
      </w:r>
      <w:r w:rsidR="00A43C77">
        <w:t>.</w:t>
      </w:r>
    </w:p>
    <w:p w14:paraId="642CD5D9" w14:textId="63BB59CF" w:rsidR="00BB69C0" w:rsidRDefault="00BB69C0" w:rsidP="00C17DC6">
      <w:pPr>
        <w:pStyle w:val="Caption"/>
      </w:pPr>
      <w:r>
        <w:t xml:space="preserve">Table </w:t>
      </w:r>
      <w:fldSimple w:instr=" SEQ Table \* ARABIC ">
        <w:r>
          <w:rPr>
            <w:noProof/>
          </w:rPr>
          <w:t>4</w:t>
        </w:r>
      </w:fldSimple>
      <w:r>
        <w:t>: Cost-minimising price for NIVO SC 600mg vial per indication (broad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4: Cost-minimising price for NIVO SC 600mg vial per indication (broad listing)"/>
      </w:tblPr>
      <w:tblGrid>
        <w:gridCol w:w="1441"/>
        <w:gridCol w:w="4331"/>
        <w:gridCol w:w="1623"/>
        <w:gridCol w:w="1621"/>
      </w:tblGrid>
      <w:tr w:rsidR="00BB69C0" w:rsidRPr="00FE62CA" w14:paraId="6B409A9D" w14:textId="77777777">
        <w:trPr>
          <w:trHeight w:val="93"/>
        </w:trPr>
        <w:tc>
          <w:tcPr>
            <w:tcW w:w="799" w:type="pct"/>
            <w:vAlign w:val="center"/>
          </w:tcPr>
          <w:p w14:paraId="73EC46A3" w14:textId="77777777" w:rsidR="00BB69C0" w:rsidRPr="00F31BFD" w:rsidRDefault="00BB69C0" w:rsidP="00C17DC6">
            <w:pPr>
              <w:pStyle w:val="TableHeading0"/>
              <w:rPr>
                <w:rFonts w:ascii="Arial Narrow" w:hAnsi="Arial Narrow"/>
              </w:rPr>
            </w:pPr>
            <w:r w:rsidRPr="00F31BFD">
              <w:rPr>
                <w:rFonts w:ascii="Arial Narrow" w:hAnsi="Arial Narrow"/>
              </w:rPr>
              <w:t>Disease Area</w:t>
            </w:r>
          </w:p>
        </w:tc>
        <w:tc>
          <w:tcPr>
            <w:tcW w:w="2402" w:type="pct"/>
            <w:vAlign w:val="center"/>
          </w:tcPr>
          <w:p w14:paraId="4A5EC1A4" w14:textId="77777777" w:rsidR="00BB69C0" w:rsidRPr="00F31BFD" w:rsidRDefault="00BB69C0" w:rsidP="00C17DC6">
            <w:pPr>
              <w:pStyle w:val="TableHeading0"/>
              <w:rPr>
                <w:rFonts w:ascii="Arial Narrow" w:hAnsi="Arial Narrow"/>
              </w:rPr>
            </w:pPr>
            <w:r w:rsidRPr="00F31BFD">
              <w:rPr>
                <w:rFonts w:ascii="Arial Narrow" w:hAnsi="Arial Narrow"/>
              </w:rPr>
              <w:t>PBS indication</w:t>
            </w:r>
          </w:p>
        </w:tc>
        <w:tc>
          <w:tcPr>
            <w:tcW w:w="900" w:type="pct"/>
            <w:vAlign w:val="center"/>
          </w:tcPr>
          <w:p w14:paraId="3037961B" w14:textId="77777777" w:rsidR="00BB69C0" w:rsidRPr="00F31BFD" w:rsidRDefault="00BB69C0" w:rsidP="00C17DC6">
            <w:pPr>
              <w:pStyle w:val="TableHeading0"/>
              <w:rPr>
                <w:rFonts w:ascii="Arial Narrow" w:hAnsi="Arial Narrow"/>
              </w:rPr>
            </w:pPr>
            <w:r w:rsidRPr="00F31BFD">
              <w:rPr>
                <w:rFonts w:ascii="Arial Narrow" w:hAnsi="Arial Narrow"/>
              </w:rPr>
              <w:t xml:space="preserve">NIVO IV AEMP </w:t>
            </w:r>
          </w:p>
          <w:p w14:paraId="5F86685E" w14:textId="77777777" w:rsidR="00BB69C0" w:rsidRPr="00F31BFD" w:rsidRDefault="00BB69C0" w:rsidP="00C17DC6">
            <w:pPr>
              <w:pStyle w:val="TableHeading0"/>
              <w:rPr>
                <w:rFonts w:ascii="Arial Narrow" w:hAnsi="Arial Narrow"/>
              </w:rPr>
            </w:pPr>
            <w:r w:rsidRPr="00F31BFD">
              <w:rPr>
                <w:rFonts w:ascii="Arial Narrow" w:hAnsi="Arial Narrow"/>
              </w:rPr>
              <w:t>100mg</w:t>
            </w:r>
          </w:p>
        </w:tc>
        <w:tc>
          <w:tcPr>
            <w:tcW w:w="899" w:type="pct"/>
            <w:vAlign w:val="center"/>
          </w:tcPr>
          <w:p w14:paraId="425EC0D4" w14:textId="77777777" w:rsidR="00BB69C0" w:rsidRPr="00F31BFD" w:rsidRDefault="00BB69C0" w:rsidP="00C17DC6">
            <w:pPr>
              <w:pStyle w:val="TableHeading0"/>
              <w:rPr>
                <w:rFonts w:ascii="Arial Narrow" w:hAnsi="Arial Narrow"/>
              </w:rPr>
            </w:pPr>
            <w:r w:rsidRPr="00F31BFD">
              <w:rPr>
                <w:rFonts w:ascii="Arial Narrow" w:hAnsi="Arial Narrow"/>
              </w:rPr>
              <w:t xml:space="preserve">NIVO SC AEMP </w:t>
            </w:r>
          </w:p>
          <w:p w14:paraId="48186752" w14:textId="77777777" w:rsidR="00BB69C0" w:rsidRPr="00F31BFD" w:rsidRDefault="00BB69C0" w:rsidP="00C17DC6">
            <w:pPr>
              <w:pStyle w:val="TableHeading0"/>
              <w:rPr>
                <w:rFonts w:ascii="Arial Narrow" w:hAnsi="Arial Narrow"/>
              </w:rPr>
            </w:pPr>
            <w:r w:rsidRPr="00F31BFD">
              <w:rPr>
                <w:rFonts w:ascii="Arial Narrow" w:hAnsi="Arial Narrow"/>
              </w:rPr>
              <w:t>600mg</w:t>
            </w:r>
          </w:p>
        </w:tc>
      </w:tr>
      <w:tr w:rsidR="00BB69C0" w:rsidRPr="00FE62CA" w14:paraId="29CEAD7E" w14:textId="77777777">
        <w:trPr>
          <w:trHeight w:val="498"/>
        </w:trPr>
        <w:tc>
          <w:tcPr>
            <w:tcW w:w="799" w:type="pct"/>
            <w:vAlign w:val="center"/>
          </w:tcPr>
          <w:p w14:paraId="28787378" w14:textId="77777777" w:rsidR="00BB69C0" w:rsidRPr="00F31BFD" w:rsidRDefault="00BB69C0" w:rsidP="00C17DC6">
            <w:pPr>
              <w:pStyle w:val="TableText1"/>
              <w:rPr>
                <w:rFonts w:ascii="Arial Narrow" w:hAnsi="Arial Narrow"/>
              </w:rPr>
            </w:pPr>
            <w:r w:rsidRPr="00F31BFD">
              <w:rPr>
                <w:rFonts w:ascii="Arial Narrow" w:hAnsi="Arial Narrow"/>
              </w:rPr>
              <w:t>Melanoma</w:t>
            </w:r>
          </w:p>
        </w:tc>
        <w:tc>
          <w:tcPr>
            <w:tcW w:w="2402" w:type="pct"/>
            <w:vAlign w:val="center"/>
          </w:tcPr>
          <w:p w14:paraId="2FF294F1" w14:textId="77777777" w:rsidR="00BB69C0" w:rsidRPr="00F31BFD" w:rsidRDefault="00BB69C0" w:rsidP="00C17DC6">
            <w:pPr>
              <w:pStyle w:val="TableText1"/>
              <w:rPr>
                <w:rFonts w:ascii="Arial Narrow" w:hAnsi="Arial Narrow"/>
              </w:rPr>
            </w:pPr>
            <w:r w:rsidRPr="00F31BFD">
              <w:rPr>
                <w:rFonts w:ascii="Arial Narrow" w:hAnsi="Arial Narrow"/>
              </w:rPr>
              <w:t>Stage IIIB, IIIC, IIID or Stage IV malignant melanoma</w:t>
            </w:r>
          </w:p>
        </w:tc>
        <w:tc>
          <w:tcPr>
            <w:tcW w:w="900" w:type="pct"/>
            <w:vAlign w:val="center"/>
          </w:tcPr>
          <w:p w14:paraId="0848ACEF" w14:textId="731F344B" w:rsidR="00BB69C0" w:rsidRPr="00F31BFD" w:rsidRDefault="00BB69C0" w:rsidP="00C17DC6">
            <w:pPr>
              <w:pStyle w:val="TableText1"/>
              <w:rPr>
                <w:rFonts w:ascii="Arial Narrow" w:hAnsi="Arial Narrow"/>
                <w:highlight w:val="lightGray"/>
              </w:rPr>
            </w:pPr>
            <w:r w:rsidRPr="00F31BFD">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671EF5F5" w14:textId="415A5314" w:rsidR="00BB69C0" w:rsidRPr="00F31BFD" w:rsidRDefault="00BB69C0" w:rsidP="00C17DC6">
            <w:pPr>
              <w:pStyle w:val="TableText1"/>
              <w:rPr>
                <w:rFonts w:ascii="Arial Narrow" w:hAnsi="Arial Narrow"/>
                <w:highlight w:val="lightGray"/>
              </w:rPr>
            </w:pPr>
            <w:r w:rsidRPr="00F31BFD">
              <w:rPr>
                <w:rFonts w:ascii="Arial Narrow" w:hAnsi="Arial Narrow"/>
              </w:rPr>
              <w:t>$</w:t>
            </w:r>
            <w:r w:rsidR="009D7A63" w:rsidRPr="009D7A63">
              <w:rPr>
                <w:rFonts w:ascii="Arial Narrow" w:hAnsi="Arial Narrow"/>
                <w:sz w:val="2"/>
                <w:highlight w:val="black"/>
              </w:rPr>
              <w:t>redacted content</w:t>
            </w:r>
          </w:p>
        </w:tc>
      </w:tr>
      <w:tr w:rsidR="00BB69C0" w:rsidRPr="00FE62CA" w14:paraId="7576DE3A" w14:textId="77777777">
        <w:trPr>
          <w:trHeight w:val="369"/>
        </w:trPr>
        <w:tc>
          <w:tcPr>
            <w:tcW w:w="799" w:type="pct"/>
            <w:vAlign w:val="center"/>
          </w:tcPr>
          <w:p w14:paraId="78E28D6B" w14:textId="77777777" w:rsidR="00BB69C0" w:rsidRPr="00F31BFD" w:rsidRDefault="00BB69C0" w:rsidP="00C17DC6">
            <w:pPr>
              <w:pStyle w:val="TableText1"/>
              <w:rPr>
                <w:rFonts w:ascii="Arial Narrow" w:hAnsi="Arial Narrow"/>
              </w:rPr>
            </w:pPr>
            <w:r w:rsidRPr="00F31BFD">
              <w:rPr>
                <w:rFonts w:ascii="Arial Narrow" w:hAnsi="Arial Narrow"/>
              </w:rPr>
              <w:t>UC</w:t>
            </w:r>
          </w:p>
        </w:tc>
        <w:tc>
          <w:tcPr>
            <w:tcW w:w="2402" w:type="pct"/>
            <w:vAlign w:val="center"/>
          </w:tcPr>
          <w:p w14:paraId="26582920" w14:textId="77777777" w:rsidR="00BB69C0" w:rsidRPr="00F31BFD" w:rsidRDefault="00BB69C0" w:rsidP="00C17DC6">
            <w:pPr>
              <w:pStyle w:val="TableText1"/>
              <w:rPr>
                <w:rFonts w:ascii="Arial Narrow" w:hAnsi="Arial Narrow"/>
              </w:rPr>
            </w:pPr>
            <w:r w:rsidRPr="00F31BFD">
              <w:rPr>
                <w:rFonts w:ascii="Arial Narrow" w:hAnsi="Arial Narrow"/>
              </w:rPr>
              <w:t>Urothelial carcinoma</w:t>
            </w:r>
          </w:p>
        </w:tc>
        <w:tc>
          <w:tcPr>
            <w:tcW w:w="900" w:type="pct"/>
            <w:vAlign w:val="center"/>
          </w:tcPr>
          <w:p w14:paraId="1F2E6FCB" w14:textId="36157F2A" w:rsidR="00BB69C0" w:rsidRPr="00F31BFD" w:rsidRDefault="00BB69C0" w:rsidP="00C17DC6">
            <w:pPr>
              <w:pStyle w:val="TableText1"/>
              <w:rPr>
                <w:rFonts w:ascii="Arial Narrow" w:hAnsi="Arial Narrow"/>
                <w:highlight w:val="lightGray"/>
              </w:rPr>
            </w:pPr>
            <w:r w:rsidRPr="00F31BFD">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538376F1" w14:textId="5B9D417D" w:rsidR="00BB69C0" w:rsidRPr="00F31BFD" w:rsidRDefault="00BB69C0" w:rsidP="00C17DC6">
            <w:pPr>
              <w:pStyle w:val="TableText1"/>
              <w:rPr>
                <w:rFonts w:ascii="Arial Narrow" w:hAnsi="Arial Narrow"/>
                <w:highlight w:val="lightGray"/>
              </w:rPr>
            </w:pPr>
            <w:r w:rsidRPr="00F31BFD">
              <w:rPr>
                <w:rFonts w:ascii="Arial Narrow" w:hAnsi="Arial Narrow"/>
              </w:rPr>
              <w:t>$</w:t>
            </w:r>
            <w:r w:rsidR="009D7A63" w:rsidRPr="009D7A63">
              <w:rPr>
                <w:rFonts w:ascii="Arial Narrow" w:hAnsi="Arial Narrow"/>
                <w:sz w:val="2"/>
                <w:highlight w:val="black"/>
              </w:rPr>
              <w:t>redacted content</w:t>
            </w:r>
          </w:p>
        </w:tc>
      </w:tr>
      <w:tr w:rsidR="00BB69C0" w:rsidRPr="00FE62CA" w14:paraId="1C763370" w14:textId="77777777">
        <w:trPr>
          <w:trHeight w:val="641"/>
        </w:trPr>
        <w:tc>
          <w:tcPr>
            <w:tcW w:w="799" w:type="pct"/>
            <w:vAlign w:val="center"/>
          </w:tcPr>
          <w:p w14:paraId="6C385FBD" w14:textId="77777777" w:rsidR="00BB69C0" w:rsidRPr="00F31BFD" w:rsidRDefault="00BB69C0" w:rsidP="00C17DC6">
            <w:pPr>
              <w:pStyle w:val="TableText1"/>
              <w:rPr>
                <w:rFonts w:ascii="Arial Narrow" w:hAnsi="Arial Narrow"/>
              </w:rPr>
            </w:pPr>
            <w:r w:rsidRPr="00F31BFD">
              <w:rPr>
                <w:rFonts w:ascii="Arial Narrow" w:hAnsi="Arial Narrow"/>
              </w:rPr>
              <w:t>OC/GOJC</w:t>
            </w:r>
          </w:p>
        </w:tc>
        <w:tc>
          <w:tcPr>
            <w:tcW w:w="2402" w:type="pct"/>
            <w:vAlign w:val="center"/>
          </w:tcPr>
          <w:p w14:paraId="49BDBB7D" w14:textId="77777777" w:rsidR="00BB69C0" w:rsidRPr="00F31BFD" w:rsidRDefault="00BB69C0" w:rsidP="00C17DC6">
            <w:pPr>
              <w:pStyle w:val="TableText1"/>
              <w:rPr>
                <w:rFonts w:ascii="Arial Narrow" w:hAnsi="Arial Narrow"/>
              </w:rPr>
            </w:pPr>
            <w:r w:rsidRPr="00F31BFD">
              <w:rPr>
                <w:rFonts w:ascii="Arial Narrow" w:hAnsi="Arial Narrow"/>
              </w:rPr>
              <w:t>Adjuvant treatment of stage II or III oesophageal cancer or gastro-oesophageal junction cancer</w:t>
            </w:r>
          </w:p>
        </w:tc>
        <w:tc>
          <w:tcPr>
            <w:tcW w:w="900" w:type="pct"/>
            <w:vAlign w:val="center"/>
          </w:tcPr>
          <w:p w14:paraId="0ECE7E8F" w14:textId="30E55C17" w:rsidR="00BB69C0" w:rsidRPr="00F31BFD" w:rsidRDefault="00BB69C0" w:rsidP="00C17DC6">
            <w:pPr>
              <w:pStyle w:val="TableText1"/>
              <w:rPr>
                <w:rFonts w:ascii="Arial Narrow" w:hAnsi="Arial Narrow"/>
                <w:highlight w:val="lightGray"/>
              </w:rPr>
            </w:pPr>
            <w:r w:rsidRPr="00F31BFD">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22D9E6C1" w14:textId="35130CD3" w:rsidR="00BB69C0" w:rsidRPr="00F31BFD" w:rsidRDefault="00BB69C0" w:rsidP="00C17DC6">
            <w:pPr>
              <w:pStyle w:val="TableText1"/>
              <w:rPr>
                <w:rFonts w:ascii="Arial Narrow" w:hAnsi="Arial Narrow"/>
                <w:highlight w:val="lightGray"/>
              </w:rPr>
            </w:pPr>
            <w:r w:rsidRPr="00F31BFD">
              <w:rPr>
                <w:rFonts w:ascii="Arial Narrow" w:hAnsi="Arial Narrow"/>
              </w:rPr>
              <w:t>$</w:t>
            </w:r>
            <w:r w:rsidR="009D7A63" w:rsidRPr="009D7A63">
              <w:rPr>
                <w:rFonts w:ascii="Arial Narrow" w:hAnsi="Arial Narrow"/>
                <w:sz w:val="2"/>
                <w:highlight w:val="black"/>
              </w:rPr>
              <w:t>redacted content</w:t>
            </w:r>
          </w:p>
        </w:tc>
      </w:tr>
      <w:tr w:rsidR="00BB69C0" w:rsidRPr="00FE62CA" w14:paraId="5152BA43" w14:textId="77777777">
        <w:trPr>
          <w:trHeight w:val="641"/>
        </w:trPr>
        <w:tc>
          <w:tcPr>
            <w:tcW w:w="799" w:type="pct"/>
            <w:vAlign w:val="center"/>
          </w:tcPr>
          <w:p w14:paraId="7DA00170" w14:textId="77777777" w:rsidR="00BB69C0" w:rsidRPr="00F31BFD" w:rsidRDefault="00BB69C0" w:rsidP="00C17DC6">
            <w:pPr>
              <w:pStyle w:val="TableText1"/>
              <w:rPr>
                <w:rFonts w:ascii="Arial Narrow" w:hAnsi="Arial Narrow"/>
              </w:rPr>
            </w:pPr>
            <w:r w:rsidRPr="00F31BFD">
              <w:rPr>
                <w:rFonts w:ascii="Arial Narrow" w:hAnsi="Arial Narrow"/>
              </w:rPr>
              <w:t>All</w:t>
            </w:r>
          </w:p>
        </w:tc>
        <w:tc>
          <w:tcPr>
            <w:tcW w:w="2402" w:type="pct"/>
            <w:vAlign w:val="center"/>
          </w:tcPr>
          <w:p w14:paraId="7E6416E7" w14:textId="77777777" w:rsidR="00BB69C0" w:rsidRPr="00F31BFD" w:rsidRDefault="00BB69C0" w:rsidP="00C17DC6">
            <w:pPr>
              <w:pStyle w:val="TableText1"/>
              <w:rPr>
                <w:rFonts w:ascii="Arial Narrow" w:hAnsi="Arial Narrow"/>
              </w:rPr>
            </w:pPr>
            <w:r w:rsidRPr="00F31BFD">
              <w:rPr>
                <w:rFonts w:ascii="Arial Narrow" w:hAnsi="Arial Narrow"/>
              </w:rPr>
              <w:t xml:space="preserve">Immunotherapy sensitive advanced or metastatic cancer </w:t>
            </w:r>
          </w:p>
        </w:tc>
        <w:tc>
          <w:tcPr>
            <w:tcW w:w="900" w:type="pct"/>
            <w:vAlign w:val="center"/>
          </w:tcPr>
          <w:p w14:paraId="60CF8770" w14:textId="423E4A96" w:rsidR="00BB69C0" w:rsidRPr="00F31BFD" w:rsidRDefault="00BB69C0" w:rsidP="00C17DC6">
            <w:pPr>
              <w:pStyle w:val="TableText1"/>
              <w:rPr>
                <w:rFonts w:ascii="Arial Narrow" w:hAnsi="Arial Narrow"/>
                <w:highlight w:val="lightGray"/>
              </w:rPr>
            </w:pPr>
            <w:r w:rsidRPr="00F31BFD">
              <w:rPr>
                <w:rFonts w:ascii="Arial Narrow" w:hAnsi="Arial Narrow"/>
              </w:rPr>
              <w:t>$</w:t>
            </w:r>
            <w:r w:rsidR="009D7A63" w:rsidRPr="009D7A63">
              <w:rPr>
                <w:rFonts w:ascii="Arial Narrow" w:hAnsi="Arial Narrow"/>
                <w:sz w:val="2"/>
                <w:highlight w:val="black"/>
              </w:rPr>
              <w:t>redacted content</w:t>
            </w:r>
          </w:p>
        </w:tc>
        <w:tc>
          <w:tcPr>
            <w:tcW w:w="899" w:type="pct"/>
            <w:vAlign w:val="center"/>
          </w:tcPr>
          <w:p w14:paraId="148BC6B5" w14:textId="6A4A740D" w:rsidR="00BB69C0" w:rsidRPr="00F31BFD" w:rsidRDefault="00BB69C0" w:rsidP="00C17DC6">
            <w:pPr>
              <w:pStyle w:val="TableText1"/>
              <w:rPr>
                <w:rFonts w:ascii="Arial Narrow" w:hAnsi="Arial Narrow"/>
                <w:highlight w:val="lightGray"/>
              </w:rPr>
            </w:pPr>
            <w:r w:rsidRPr="00F31BFD">
              <w:rPr>
                <w:rFonts w:ascii="Arial Narrow" w:hAnsi="Arial Narrow"/>
              </w:rPr>
              <w:t>$</w:t>
            </w:r>
            <w:r w:rsidR="009D7A63" w:rsidRPr="009D7A63">
              <w:rPr>
                <w:rFonts w:ascii="Arial Narrow" w:hAnsi="Arial Narrow"/>
                <w:sz w:val="2"/>
                <w:highlight w:val="black"/>
              </w:rPr>
              <w:t>redacted content</w:t>
            </w:r>
          </w:p>
        </w:tc>
      </w:tr>
    </w:tbl>
    <w:p w14:paraId="4BE8F146" w14:textId="77777777" w:rsidR="000D2E34" w:rsidRPr="007617A5" w:rsidRDefault="000D2E34" w:rsidP="00C17DC6">
      <w:pPr>
        <w:pStyle w:val="Tablenotes0"/>
        <w:rPr>
          <w:rFonts w:ascii="Arial Narrow" w:hAnsi="Arial Narrow"/>
        </w:rPr>
      </w:pPr>
      <w:r w:rsidRPr="007617A5">
        <w:rPr>
          <w:rFonts w:ascii="Arial Narrow" w:hAnsi="Arial Narrow"/>
        </w:rPr>
        <w:t>Abbreviations: AEMP = Approved ex-manufacturer price, mg = milligram.</w:t>
      </w:r>
    </w:p>
    <w:p w14:paraId="391C76AA" w14:textId="0CB10029" w:rsidR="00BB69C0" w:rsidRPr="007617A5" w:rsidRDefault="000D2E34" w:rsidP="00C17DC6">
      <w:pPr>
        <w:pStyle w:val="Tablenotes0"/>
        <w:rPr>
          <w:rFonts w:ascii="Arial Narrow" w:hAnsi="Arial Narrow"/>
        </w:rPr>
      </w:pPr>
      <w:r w:rsidRPr="007617A5">
        <w:rPr>
          <w:rFonts w:ascii="Arial Narrow" w:hAnsi="Arial Narrow"/>
        </w:rPr>
        <w:t>Source: p19 of Appendix 1, Table 5</w:t>
      </w:r>
    </w:p>
    <w:p w14:paraId="5EB16602" w14:textId="26A67E45" w:rsidR="00D70349" w:rsidRPr="00A6439B" w:rsidRDefault="00D70349" w:rsidP="00C17DC6">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63E80176" w14:textId="5DB02C6C" w:rsidR="004A77DB" w:rsidRPr="00320A2D" w:rsidRDefault="004A77DB" w:rsidP="00C17DC6">
      <w:pPr>
        <w:pStyle w:val="3-BodyText"/>
        <w:numPr>
          <w:ilvl w:val="1"/>
          <w:numId w:val="1"/>
        </w:numPr>
      </w:pPr>
      <w:r>
        <w:t xml:space="preserve">The submission used </w:t>
      </w:r>
      <w:r w:rsidR="00B125E8">
        <w:t>a market-share approach to estimate the financial impact to the PBS/RPBS of the requested listings</w:t>
      </w:r>
      <w:r w:rsidR="00812713">
        <w:t>. The submission stated that the proposed listing was not expected to impact the overall market size</w:t>
      </w:r>
      <w:r w:rsidR="00D40798">
        <w:t>.</w:t>
      </w:r>
      <w:r w:rsidR="00CF010B">
        <w:t xml:space="preserve"> </w:t>
      </w:r>
    </w:p>
    <w:p w14:paraId="15F631F2" w14:textId="52D8A8C5" w:rsidR="00210460" w:rsidRPr="00516FA9" w:rsidRDefault="00210460" w:rsidP="00C17DC6">
      <w:pPr>
        <w:pStyle w:val="3-BodyText"/>
      </w:pPr>
      <w:r w:rsidRPr="00210460">
        <w:lastRenderedPageBreak/>
        <w:t xml:space="preserve">As a result of the broad listing, the submission estimated </w:t>
      </w:r>
      <w:r w:rsidRPr="00516FA9">
        <w:t xml:space="preserve">that </w:t>
      </w:r>
      <w:r w:rsidR="00D451CC" w:rsidRPr="00D451CC">
        <w:t>70,000 to &lt; 80,000</w:t>
      </w:r>
      <w:r w:rsidRPr="00516FA9">
        <w:t xml:space="preserve"> NIVO SC infusions would be supplied over the first six years of listing (</w:t>
      </w:r>
      <w:r w:rsidR="006512A4" w:rsidRPr="006512A4">
        <w:t>5,000 to &lt; 10,000</w:t>
      </w:r>
      <w:r w:rsidRPr="00516FA9">
        <w:t xml:space="preserve"> in Year 1 to </w:t>
      </w:r>
      <w:r w:rsidR="00E75293" w:rsidRPr="00E75293">
        <w:t>10,000 to &lt; 20,000</w:t>
      </w:r>
      <w:r w:rsidRPr="00516FA9">
        <w:t xml:space="preserve"> in Year 6). </w:t>
      </w:r>
      <w:r w:rsidR="00456319">
        <w:t xml:space="preserve"> </w:t>
      </w:r>
    </w:p>
    <w:p w14:paraId="7B1CAE56" w14:textId="6C7A13CA" w:rsidR="00210460" w:rsidRDefault="00210460" w:rsidP="00C17DC6">
      <w:pPr>
        <w:pStyle w:val="3-BodyText"/>
      </w:pPr>
      <w:r>
        <w:t xml:space="preserve">The submission stated that the estimated cost savings is due to the lower fees associated with the requested </w:t>
      </w:r>
      <w:r w:rsidRPr="002E7DE2">
        <w:t>listings compared with the existing Section 100</w:t>
      </w:r>
      <w:r>
        <w:t xml:space="preserve"> (</w:t>
      </w:r>
      <w:r w:rsidRPr="002E7DE2">
        <w:t>Efficient Funding of Chemotherapy</w:t>
      </w:r>
      <w:r>
        <w:t>)</w:t>
      </w:r>
      <w:r w:rsidRPr="002E7DE2">
        <w:t xml:space="preserve"> listings for NIVO IV.</w:t>
      </w:r>
    </w:p>
    <w:p w14:paraId="76173E37" w14:textId="2739C58B" w:rsidR="00210460" w:rsidRPr="00E75293" w:rsidRDefault="00210460" w:rsidP="00C17DC6">
      <w:pPr>
        <w:pStyle w:val="3-BodyText"/>
      </w:pPr>
      <w:r>
        <w:t xml:space="preserve">As a </w:t>
      </w:r>
      <w:r w:rsidRPr="00E75293">
        <w:t xml:space="preserve">result of broad listing, the submission estimated a net cost save to the PBS of </w:t>
      </w:r>
      <w:r w:rsidR="00E34D29" w:rsidRPr="00E34D29">
        <w:t>$0 to &lt; $10 million</w:t>
      </w:r>
      <w:r w:rsidRPr="00E75293">
        <w:t xml:space="preserve"> in Year 6 of listing, with a total net cost save to the PBS of </w:t>
      </w:r>
      <w:r w:rsidR="00E34D29" w:rsidRPr="00E34D29">
        <w:t>$0 to &lt; $10 million</w:t>
      </w:r>
      <w:r w:rsidRPr="00E75293">
        <w:t xml:space="preserve"> over the first six years of listing. </w:t>
      </w:r>
    </w:p>
    <w:p w14:paraId="5776D7DB" w14:textId="16C65562" w:rsidR="00272DE5" w:rsidRDefault="00112979" w:rsidP="00C17DC6">
      <w:pPr>
        <w:pStyle w:val="Caption"/>
        <w:keepNext/>
        <w:rPr>
          <w:rStyle w:val="CommentReference"/>
          <w:sz w:val="20"/>
          <w:szCs w:val="22"/>
        </w:rPr>
      </w:pPr>
      <w:r>
        <w:t xml:space="preserve">Table </w:t>
      </w:r>
      <w:fldSimple w:instr=" SEQ Table \* ARABIC ">
        <w:r w:rsidR="00BB69C0">
          <w:rPr>
            <w:noProof/>
          </w:rPr>
          <w:t>5</w:t>
        </w:r>
      </w:fldSimple>
      <w:r>
        <w:t>:</w:t>
      </w:r>
      <w:r w:rsidR="00D70349" w:rsidRPr="00A6439B">
        <w:rPr>
          <w:rFonts w:eastAsiaTheme="majorEastAsia"/>
        </w:rPr>
        <w:t xml:space="preserve"> </w:t>
      </w:r>
      <w:r w:rsidR="00210460">
        <w:rPr>
          <w:rStyle w:val="CommentReference"/>
          <w:sz w:val="20"/>
          <w:szCs w:val="22"/>
        </w:rPr>
        <w:t>Estimated use and financial implications</w:t>
      </w:r>
      <w:r w:rsidR="00D70349" w:rsidRPr="00A6439B">
        <w:rPr>
          <w:rStyle w:val="CommentReference"/>
          <w:sz w:val="20"/>
          <w:szCs w:val="22"/>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Estimated use and financial implications "/>
      </w:tblPr>
      <w:tblGrid>
        <w:gridCol w:w="1998"/>
        <w:gridCol w:w="1156"/>
        <w:gridCol w:w="1156"/>
        <w:gridCol w:w="1157"/>
        <w:gridCol w:w="1157"/>
        <w:gridCol w:w="1157"/>
        <w:gridCol w:w="1157"/>
      </w:tblGrid>
      <w:tr w:rsidR="004C164A" w:rsidRPr="00E34968" w14:paraId="2ED8D6D4" w14:textId="77777777">
        <w:trPr>
          <w:cantSplit/>
          <w:tblHeader/>
          <w:jc w:val="center"/>
        </w:trPr>
        <w:tc>
          <w:tcPr>
            <w:tcW w:w="1118" w:type="pct"/>
            <w:vAlign w:val="center"/>
          </w:tcPr>
          <w:p w14:paraId="537721A4" w14:textId="77777777" w:rsidR="004C164A" w:rsidRPr="00E34968" w:rsidRDefault="004C164A" w:rsidP="00C17DC6">
            <w:pPr>
              <w:pStyle w:val="TableText0"/>
              <w:keepLines/>
            </w:pPr>
          </w:p>
        </w:tc>
        <w:tc>
          <w:tcPr>
            <w:tcW w:w="647" w:type="pct"/>
            <w:vAlign w:val="center"/>
          </w:tcPr>
          <w:p w14:paraId="1C526793" w14:textId="77777777" w:rsidR="004C164A" w:rsidRPr="00E34968" w:rsidRDefault="004C164A" w:rsidP="00C17DC6">
            <w:pPr>
              <w:pStyle w:val="TableText0"/>
              <w:keepLines/>
              <w:rPr>
                <w:b/>
              </w:rPr>
            </w:pPr>
            <w:r w:rsidRPr="00E34968">
              <w:rPr>
                <w:b/>
              </w:rPr>
              <w:t>Year 1</w:t>
            </w:r>
          </w:p>
        </w:tc>
        <w:tc>
          <w:tcPr>
            <w:tcW w:w="647" w:type="pct"/>
            <w:vAlign w:val="center"/>
          </w:tcPr>
          <w:p w14:paraId="205C2176" w14:textId="77777777" w:rsidR="004C164A" w:rsidRPr="00E34968" w:rsidRDefault="004C164A" w:rsidP="00C17DC6">
            <w:pPr>
              <w:pStyle w:val="TableText0"/>
              <w:keepLines/>
              <w:rPr>
                <w:b/>
              </w:rPr>
            </w:pPr>
            <w:r w:rsidRPr="00E34968">
              <w:rPr>
                <w:b/>
              </w:rPr>
              <w:t>Year 2</w:t>
            </w:r>
          </w:p>
        </w:tc>
        <w:tc>
          <w:tcPr>
            <w:tcW w:w="647" w:type="pct"/>
            <w:vAlign w:val="center"/>
          </w:tcPr>
          <w:p w14:paraId="097C620B" w14:textId="77777777" w:rsidR="004C164A" w:rsidRPr="00E34968" w:rsidRDefault="004C164A" w:rsidP="00C17DC6">
            <w:pPr>
              <w:pStyle w:val="TableText0"/>
              <w:keepLines/>
              <w:rPr>
                <w:b/>
              </w:rPr>
            </w:pPr>
            <w:r w:rsidRPr="00E34968">
              <w:rPr>
                <w:b/>
              </w:rPr>
              <w:t>Year 3</w:t>
            </w:r>
          </w:p>
        </w:tc>
        <w:tc>
          <w:tcPr>
            <w:tcW w:w="647" w:type="pct"/>
            <w:vAlign w:val="center"/>
          </w:tcPr>
          <w:p w14:paraId="03C9FFFD" w14:textId="77777777" w:rsidR="004C164A" w:rsidRPr="00E34968" w:rsidRDefault="004C164A" w:rsidP="00C17DC6">
            <w:pPr>
              <w:pStyle w:val="TableText0"/>
              <w:keepLines/>
              <w:rPr>
                <w:b/>
              </w:rPr>
            </w:pPr>
            <w:r w:rsidRPr="00E34968">
              <w:rPr>
                <w:b/>
              </w:rPr>
              <w:t>Year 4</w:t>
            </w:r>
          </w:p>
        </w:tc>
        <w:tc>
          <w:tcPr>
            <w:tcW w:w="647" w:type="pct"/>
            <w:vAlign w:val="center"/>
          </w:tcPr>
          <w:p w14:paraId="776E4507" w14:textId="77777777" w:rsidR="004C164A" w:rsidRPr="00E34968" w:rsidRDefault="004C164A" w:rsidP="00C17DC6">
            <w:pPr>
              <w:pStyle w:val="TableText0"/>
              <w:keepLines/>
              <w:rPr>
                <w:b/>
              </w:rPr>
            </w:pPr>
            <w:r w:rsidRPr="00E34968">
              <w:rPr>
                <w:b/>
              </w:rPr>
              <w:t>Year 5</w:t>
            </w:r>
          </w:p>
        </w:tc>
        <w:tc>
          <w:tcPr>
            <w:tcW w:w="647" w:type="pct"/>
          </w:tcPr>
          <w:p w14:paraId="5C5B1F9E" w14:textId="77777777" w:rsidR="004C164A" w:rsidRPr="00E34968" w:rsidRDefault="004C164A" w:rsidP="00C17DC6">
            <w:pPr>
              <w:pStyle w:val="TableText0"/>
              <w:keepLines/>
              <w:rPr>
                <w:b/>
              </w:rPr>
            </w:pPr>
            <w:r w:rsidRPr="00E34968">
              <w:rPr>
                <w:b/>
              </w:rPr>
              <w:t>Year 6</w:t>
            </w:r>
          </w:p>
        </w:tc>
      </w:tr>
      <w:tr w:rsidR="004C164A" w:rsidRPr="00E34968" w14:paraId="1E12DD67" w14:textId="77777777">
        <w:trPr>
          <w:cantSplit/>
          <w:jc w:val="center"/>
        </w:trPr>
        <w:tc>
          <w:tcPr>
            <w:tcW w:w="5000" w:type="pct"/>
            <w:gridSpan w:val="7"/>
            <w:vAlign w:val="center"/>
          </w:tcPr>
          <w:p w14:paraId="4FB6421B" w14:textId="77777777" w:rsidR="004C164A" w:rsidRPr="00E34968" w:rsidRDefault="004C164A" w:rsidP="00C17DC6">
            <w:pPr>
              <w:pStyle w:val="TableText0"/>
              <w:keepLines/>
              <w:rPr>
                <w:b/>
                <w:color w:val="000000"/>
              </w:rPr>
            </w:pPr>
            <w:r w:rsidRPr="00E34968">
              <w:rPr>
                <w:b/>
                <w:color w:val="000000"/>
              </w:rPr>
              <w:t>Estimated extent of use</w:t>
            </w:r>
          </w:p>
        </w:tc>
      </w:tr>
      <w:tr w:rsidR="004C164A" w:rsidRPr="00E34968" w14:paraId="44708E0A" w14:textId="77777777">
        <w:trPr>
          <w:cantSplit/>
          <w:jc w:val="center"/>
        </w:trPr>
        <w:tc>
          <w:tcPr>
            <w:tcW w:w="1118" w:type="pct"/>
            <w:vAlign w:val="center"/>
          </w:tcPr>
          <w:p w14:paraId="54C478DB" w14:textId="05036886" w:rsidR="004C164A" w:rsidRPr="007617A5" w:rsidRDefault="004C164A" w:rsidP="00C17DC6">
            <w:pPr>
              <w:pStyle w:val="TableText0"/>
              <w:keepLines/>
              <w:rPr>
                <w:rFonts w:cstheme="minorHAnsi"/>
                <w:szCs w:val="20"/>
              </w:rPr>
            </w:pPr>
            <w:r w:rsidRPr="007617A5">
              <w:rPr>
                <w:rFonts w:cstheme="minorHAnsi"/>
                <w:szCs w:val="20"/>
              </w:rPr>
              <w:t xml:space="preserve">Number </w:t>
            </w:r>
            <w:r w:rsidR="000D7714" w:rsidRPr="007617A5">
              <w:rPr>
                <w:rFonts w:cstheme="minorHAnsi"/>
                <w:szCs w:val="20"/>
              </w:rPr>
              <w:t xml:space="preserve">of </w:t>
            </w:r>
            <w:r w:rsidR="000D7714">
              <w:rPr>
                <w:rFonts w:cstheme="minorHAnsi"/>
                <w:szCs w:val="20"/>
              </w:rPr>
              <w:t>SC</w:t>
            </w:r>
            <w:r w:rsidR="00E84990">
              <w:rPr>
                <w:rFonts w:cstheme="minorHAnsi"/>
                <w:szCs w:val="20"/>
              </w:rPr>
              <w:t xml:space="preserve"> </w:t>
            </w:r>
            <w:r w:rsidRPr="007617A5">
              <w:rPr>
                <w:rFonts w:cstheme="minorHAnsi"/>
                <w:szCs w:val="20"/>
              </w:rPr>
              <w:t xml:space="preserve">scripts </w:t>
            </w:r>
            <w:r w:rsidR="005400A5">
              <w:rPr>
                <w:rFonts w:cstheme="minorHAnsi"/>
                <w:szCs w:val="20"/>
              </w:rPr>
              <w:t>substituting IV scrips</w:t>
            </w:r>
            <w:r w:rsidR="002A2057">
              <w:rPr>
                <w:rFonts w:cstheme="minorHAnsi"/>
                <w:szCs w:val="20"/>
              </w:rPr>
              <w:t xml:space="preserve"> </w:t>
            </w:r>
          </w:p>
        </w:tc>
        <w:tc>
          <w:tcPr>
            <w:tcW w:w="647" w:type="pct"/>
            <w:vAlign w:val="center"/>
          </w:tcPr>
          <w:p w14:paraId="105D4B7E" w14:textId="1B258781" w:rsidR="004C164A" w:rsidRPr="009D7A63" w:rsidRDefault="009D7A63" w:rsidP="00C17DC6">
            <w:pPr>
              <w:pStyle w:val="TableText0"/>
              <w:keepLines/>
              <w:jc w:val="center"/>
              <w:rPr>
                <w:rFonts w:cstheme="minorHAnsi"/>
                <w:bCs w:val="0"/>
                <w:szCs w:val="20"/>
                <w:highlight w:val="lightGray"/>
              </w:rPr>
            </w:pPr>
            <w:r w:rsidRPr="009D7A63">
              <w:rPr>
                <w:rFonts w:cstheme="minorHAnsi"/>
                <w:bCs w:val="0"/>
                <w:sz w:val="2"/>
                <w:szCs w:val="20"/>
                <w:highlight w:val="black"/>
              </w:rPr>
              <w:t>redacted content</w:t>
            </w:r>
            <w:r w:rsidR="00F10DC9" w:rsidRPr="009D7A63">
              <w:rPr>
                <w:rFonts w:cstheme="minorHAnsi"/>
                <w:bCs w:val="0"/>
                <w:szCs w:val="20"/>
                <w:vertAlign w:val="superscript"/>
              </w:rPr>
              <w:t>1</w:t>
            </w:r>
          </w:p>
        </w:tc>
        <w:tc>
          <w:tcPr>
            <w:tcW w:w="647" w:type="pct"/>
            <w:vAlign w:val="center"/>
          </w:tcPr>
          <w:p w14:paraId="6625E3C2" w14:textId="74CF851F" w:rsidR="004C164A" w:rsidRPr="009D7A63" w:rsidRDefault="009D7A63" w:rsidP="00C17DC6">
            <w:pPr>
              <w:pStyle w:val="TableText0"/>
              <w:keepLines/>
              <w:jc w:val="center"/>
              <w:rPr>
                <w:rFonts w:cstheme="minorHAnsi"/>
                <w:bCs w:val="0"/>
                <w:szCs w:val="20"/>
                <w:highlight w:val="lightGray"/>
              </w:rPr>
            </w:pPr>
            <w:r w:rsidRPr="009D7A63">
              <w:rPr>
                <w:rFonts w:cstheme="minorHAnsi"/>
                <w:bCs w:val="0"/>
                <w:sz w:val="2"/>
                <w:szCs w:val="20"/>
                <w:highlight w:val="black"/>
              </w:rPr>
              <w:t>redacted content</w:t>
            </w:r>
            <w:r w:rsidR="00301E02" w:rsidRPr="009D7A63">
              <w:rPr>
                <w:rFonts w:cstheme="minorHAnsi"/>
                <w:bCs w:val="0"/>
                <w:szCs w:val="20"/>
                <w:vertAlign w:val="superscript"/>
              </w:rPr>
              <w:t>2</w:t>
            </w:r>
          </w:p>
        </w:tc>
        <w:tc>
          <w:tcPr>
            <w:tcW w:w="647" w:type="pct"/>
            <w:vAlign w:val="center"/>
          </w:tcPr>
          <w:p w14:paraId="569F7226" w14:textId="326BAFEA" w:rsidR="004C164A" w:rsidRPr="009D7A63" w:rsidRDefault="009D7A63" w:rsidP="00C17DC6">
            <w:pPr>
              <w:pStyle w:val="TableText0"/>
              <w:keepLines/>
              <w:jc w:val="center"/>
              <w:rPr>
                <w:rFonts w:cstheme="minorHAnsi"/>
                <w:bCs w:val="0"/>
                <w:szCs w:val="20"/>
                <w:highlight w:val="lightGray"/>
              </w:rPr>
            </w:pPr>
            <w:r w:rsidRPr="009D7A63">
              <w:rPr>
                <w:rFonts w:cstheme="minorHAnsi"/>
                <w:bCs w:val="0"/>
                <w:sz w:val="2"/>
                <w:szCs w:val="20"/>
                <w:highlight w:val="black"/>
              </w:rPr>
              <w:t>redacted content</w:t>
            </w:r>
            <w:r w:rsidR="00362FCE" w:rsidRPr="009D7A63">
              <w:rPr>
                <w:rFonts w:cstheme="minorHAnsi"/>
                <w:bCs w:val="0"/>
                <w:szCs w:val="20"/>
                <w:vertAlign w:val="superscript"/>
              </w:rPr>
              <w:t>2</w:t>
            </w:r>
          </w:p>
        </w:tc>
        <w:tc>
          <w:tcPr>
            <w:tcW w:w="647" w:type="pct"/>
            <w:vAlign w:val="center"/>
          </w:tcPr>
          <w:p w14:paraId="3DEB127E" w14:textId="3F1C6A7F" w:rsidR="004C164A" w:rsidRPr="009D7A63" w:rsidRDefault="009D7A63" w:rsidP="00C17DC6">
            <w:pPr>
              <w:pStyle w:val="TableText0"/>
              <w:keepLines/>
              <w:jc w:val="center"/>
              <w:rPr>
                <w:rFonts w:cstheme="minorHAnsi"/>
                <w:bCs w:val="0"/>
                <w:szCs w:val="20"/>
                <w:highlight w:val="lightGray"/>
              </w:rPr>
            </w:pPr>
            <w:r w:rsidRPr="009D7A63">
              <w:rPr>
                <w:rFonts w:cstheme="minorHAnsi"/>
                <w:bCs w:val="0"/>
                <w:sz w:val="2"/>
                <w:szCs w:val="20"/>
                <w:highlight w:val="black"/>
              </w:rPr>
              <w:t>redacted content</w:t>
            </w:r>
            <w:r w:rsidR="00362FCE" w:rsidRPr="00DA4AED">
              <w:rPr>
                <w:rFonts w:cstheme="minorHAnsi"/>
                <w:bCs w:val="0"/>
                <w:szCs w:val="20"/>
                <w:vertAlign w:val="superscript"/>
              </w:rPr>
              <w:t>2</w:t>
            </w:r>
          </w:p>
        </w:tc>
        <w:tc>
          <w:tcPr>
            <w:tcW w:w="647" w:type="pct"/>
            <w:vAlign w:val="center"/>
          </w:tcPr>
          <w:p w14:paraId="7E313AD2" w14:textId="4F6D979A" w:rsidR="004C164A" w:rsidRPr="009D7A63" w:rsidRDefault="009D7A63" w:rsidP="00C17DC6">
            <w:pPr>
              <w:pStyle w:val="TableText0"/>
              <w:keepLines/>
              <w:jc w:val="center"/>
              <w:rPr>
                <w:rFonts w:cstheme="minorHAnsi"/>
                <w:bCs w:val="0"/>
                <w:szCs w:val="20"/>
                <w:highlight w:val="lightGray"/>
              </w:rPr>
            </w:pPr>
            <w:r w:rsidRPr="009D7A63">
              <w:rPr>
                <w:rFonts w:cstheme="minorHAnsi"/>
                <w:bCs w:val="0"/>
                <w:sz w:val="2"/>
                <w:szCs w:val="20"/>
                <w:highlight w:val="black"/>
              </w:rPr>
              <w:t>redacted content</w:t>
            </w:r>
            <w:r w:rsidR="00362FCE" w:rsidRPr="00DA4AED">
              <w:rPr>
                <w:rFonts w:cstheme="minorHAnsi"/>
                <w:bCs w:val="0"/>
                <w:szCs w:val="20"/>
                <w:vertAlign w:val="superscript"/>
              </w:rPr>
              <w:t>2</w:t>
            </w:r>
          </w:p>
        </w:tc>
        <w:tc>
          <w:tcPr>
            <w:tcW w:w="647" w:type="pct"/>
            <w:vAlign w:val="center"/>
          </w:tcPr>
          <w:p w14:paraId="41AA7C55" w14:textId="3D6D9BDA" w:rsidR="004C164A" w:rsidRPr="009D7A63" w:rsidRDefault="009D7A63" w:rsidP="00C17DC6">
            <w:pPr>
              <w:pStyle w:val="TableText0"/>
              <w:keepLines/>
              <w:jc w:val="center"/>
              <w:rPr>
                <w:rFonts w:cstheme="minorHAnsi"/>
                <w:bCs w:val="0"/>
                <w:szCs w:val="20"/>
                <w:highlight w:val="lightGray"/>
              </w:rPr>
            </w:pPr>
            <w:r w:rsidRPr="009D7A63">
              <w:rPr>
                <w:rFonts w:cstheme="minorHAnsi"/>
                <w:bCs w:val="0"/>
                <w:sz w:val="2"/>
                <w:szCs w:val="20"/>
                <w:highlight w:val="black"/>
              </w:rPr>
              <w:t>redacted content</w:t>
            </w:r>
            <w:r w:rsidR="00362FCE" w:rsidRPr="00DA4AED">
              <w:rPr>
                <w:rFonts w:cstheme="minorHAnsi"/>
                <w:bCs w:val="0"/>
                <w:szCs w:val="20"/>
                <w:vertAlign w:val="superscript"/>
              </w:rPr>
              <w:t>2</w:t>
            </w:r>
          </w:p>
        </w:tc>
      </w:tr>
      <w:tr w:rsidR="004C164A" w:rsidRPr="00E34968" w14:paraId="55C3FD85" w14:textId="77777777">
        <w:trPr>
          <w:cantSplit/>
          <w:jc w:val="center"/>
        </w:trPr>
        <w:tc>
          <w:tcPr>
            <w:tcW w:w="5000" w:type="pct"/>
            <w:gridSpan w:val="7"/>
            <w:vAlign w:val="center"/>
          </w:tcPr>
          <w:p w14:paraId="2D05E236" w14:textId="77777777" w:rsidR="004C164A" w:rsidRPr="00E34968" w:rsidRDefault="004C164A" w:rsidP="00C17DC6">
            <w:pPr>
              <w:pStyle w:val="TableText0"/>
              <w:keepLines/>
              <w:rPr>
                <w:b/>
                <w:color w:val="000000"/>
              </w:rPr>
            </w:pPr>
            <w:r w:rsidRPr="00E34968">
              <w:rPr>
                <w:b/>
                <w:color w:val="000000"/>
              </w:rPr>
              <w:t>Estimated financial implications of NIVO SC</w:t>
            </w:r>
          </w:p>
        </w:tc>
      </w:tr>
      <w:tr w:rsidR="004C164A" w:rsidRPr="00E34968" w14:paraId="3B2EBA9C" w14:textId="77777777">
        <w:trPr>
          <w:cantSplit/>
          <w:jc w:val="center"/>
        </w:trPr>
        <w:tc>
          <w:tcPr>
            <w:tcW w:w="1118" w:type="pct"/>
            <w:vAlign w:val="center"/>
          </w:tcPr>
          <w:p w14:paraId="5AE1B13B" w14:textId="69306EC4" w:rsidR="004C164A" w:rsidRPr="00E34968" w:rsidRDefault="004C164A" w:rsidP="00C17DC6">
            <w:pPr>
              <w:pStyle w:val="TableText0"/>
              <w:keepLines/>
            </w:pPr>
            <w:r w:rsidRPr="00E34968">
              <w:t>Cost to PBS/RPBS less co-payment</w:t>
            </w:r>
            <w:r w:rsidR="00E70FDD">
              <w:t xml:space="preserve"> </w:t>
            </w:r>
          </w:p>
        </w:tc>
        <w:tc>
          <w:tcPr>
            <w:tcW w:w="647" w:type="pct"/>
            <w:vAlign w:val="center"/>
          </w:tcPr>
          <w:p w14:paraId="1F58FD13" w14:textId="08040CBF" w:rsidR="004C164A" w:rsidRPr="009D7A63" w:rsidRDefault="004C164A" w:rsidP="00C17DC6">
            <w:pPr>
              <w:pStyle w:val="TableText0"/>
              <w:keepLines/>
              <w:jc w:val="center"/>
              <w:rPr>
                <w:color w:val="000000"/>
                <w:highlight w:val="lightGray"/>
              </w:rPr>
            </w:pPr>
            <w:r w:rsidRPr="005F5426">
              <w:t>$</w:t>
            </w:r>
            <w:r w:rsidR="009D7A63" w:rsidRPr="009D7A63">
              <w:rPr>
                <w:sz w:val="2"/>
                <w:highlight w:val="black"/>
              </w:rPr>
              <w:t>redacted content</w:t>
            </w:r>
            <w:r w:rsidR="00671044">
              <w:rPr>
                <w:rFonts w:cstheme="minorHAnsi"/>
                <w:bCs w:val="0"/>
                <w:szCs w:val="20"/>
                <w:vertAlign w:val="superscript"/>
              </w:rPr>
              <w:t>3</w:t>
            </w:r>
          </w:p>
        </w:tc>
        <w:tc>
          <w:tcPr>
            <w:tcW w:w="647" w:type="pct"/>
            <w:vAlign w:val="center"/>
          </w:tcPr>
          <w:p w14:paraId="33F1972C" w14:textId="5854BB39" w:rsidR="004C164A" w:rsidRPr="009D7A63" w:rsidRDefault="004C164A" w:rsidP="00C17DC6">
            <w:pPr>
              <w:pStyle w:val="TableText0"/>
              <w:keepLines/>
              <w:jc w:val="center"/>
              <w:rPr>
                <w:color w:val="000000"/>
                <w:highlight w:val="lightGray"/>
              </w:rPr>
            </w:pPr>
            <w:r w:rsidRPr="005F5426">
              <w:t>$</w:t>
            </w:r>
            <w:r w:rsidR="009D7A63" w:rsidRPr="009D7A63">
              <w:rPr>
                <w:sz w:val="2"/>
                <w:highlight w:val="black"/>
              </w:rPr>
              <w:t>redacted content</w:t>
            </w:r>
            <w:r w:rsidR="00DE428A" w:rsidRPr="009D7A63">
              <w:rPr>
                <w:vertAlign w:val="superscript"/>
              </w:rPr>
              <w:t>4</w:t>
            </w:r>
          </w:p>
        </w:tc>
        <w:tc>
          <w:tcPr>
            <w:tcW w:w="647" w:type="pct"/>
            <w:vAlign w:val="center"/>
          </w:tcPr>
          <w:p w14:paraId="56414195" w14:textId="0CBF4EC0" w:rsidR="004C164A" w:rsidRPr="009D7A63" w:rsidRDefault="004C164A" w:rsidP="00C17DC6">
            <w:pPr>
              <w:pStyle w:val="TableText0"/>
              <w:keepLines/>
              <w:jc w:val="center"/>
              <w:rPr>
                <w:color w:val="000000"/>
                <w:highlight w:val="lightGray"/>
              </w:rPr>
            </w:pPr>
            <w:r w:rsidRPr="005F5426">
              <w:t>$</w:t>
            </w:r>
            <w:r w:rsidR="009D7A63" w:rsidRPr="009D7A63">
              <w:rPr>
                <w:sz w:val="2"/>
                <w:highlight w:val="black"/>
              </w:rPr>
              <w:t>redacted content</w:t>
            </w:r>
            <w:r w:rsidR="00DE428A" w:rsidRPr="009D7A63">
              <w:rPr>
                <w:vertAlign w:val="superscript"/>
              </w:rPr>
              <w:t>4</w:t>
            </w:r>
          </w:p>
        </w:tc>
        <w:tc>
          <w:tcPr>
            <w:tcW w:w="647" w:type="pct"/>
            <w:vAlign w:val="center"/>
          </w:tcPr>
          <w:p w14:paraId="207DDFBA" w14:textId="11FAD4D7" w:rsidR="004C164A" w:rsidRPr="009D7A63" w:rsidRDefault="004C164A" w:rsidP="00C17DC6">
            <w:pPr>
              <w:pStyle w:val="TableText0"/>
              <w:keepLines/>
              <w:jc w:val="center"/>
              <w:rPr>
                <w:color w:val="000000"/>
                <w:highlight w:val="lightGray"/>
              </w:rPr>
            </w:pPr>
            <w:r w:rsidRPr="005F5426">
              <w:t>$</w:t>
            </w:r>
            <w:r w:rsidR="009D7A63" w:rsidRPr="009D7A63">
              <w:rPr>
                <w:sz w:val="2"/>
                <w:highlight w:val="black"/>
              </w:rPr>
              <w:t>redacted content</w:t>
            </w:r>
            <w:r w:rsidR="00DE428A" w:rsidRPr="009D7A63">
              <w:rPr>
                <w:vertAlign w:val="superscript"/>
              </w:rPr>
              <w:t>4</w:t>
            </w:r>
          </w:p>
        </w:tc>
        <w:tc>
          <w:tcPr>
            <w:tcW w:w="647" w:type="pct"/>
            <w:vAlign w:val="center"/>
          </w:tcPr>
          <w:p w14:paraId="17FC99F2" w14:textId="1F26C928" w:rsidR="004C164A" w:rsidRPr="009D7A63" w:rsidRDefault="004C164A" w:rsidP="00C17DC6">
            <w:pPr>
              <w:pStyle w:val="TableText0"/>
              <w:keepLines/>
              <w:jc w:val="center"/>
              <w:rPr>
                <w:color w:val="000000"/>
                <w:highlight w:val="lightGray"/>
              </w:rPr>
            </w:pPr>
            <w:r w:rsidRPr="005F5426">
              <w:t>$</w:t>
            </w:r>
            <w:r w:rsidR="009D7A63" w:rsidRPr="009D7A63">
              <w:rPr>
                <w:sz w:val="2"/>
                <w:highlight w:val="black"/>
              </w:rPr>
              <w:t>redacted content</w:t>
            </w:r>
            <w:r w:rsidR="001F1869" w:rsidRPr="009D7A63">
              <w:rPr>
                <w:vertAlign w:val="superscript"/>
              </w:rPr>
              <w:t>5</w:t>
            </w:r>
          </w:p>
        </w:tc>
        <w:tc>
          <w:tcPr>
            <w:tcW w:w="647" w:type="pct"/>
            <w:vAlign w:val="center"/>
          </w:tcPr>
          <w:p w14:paraId="50AA954E" w14:textId="460E3A0C" w:rsidR="004C164A" w:rsidRPr="009D7A63" w:rsidRDefault="004C164A" w:rsidP="00C17DC6">
            <w:pPr>
              <w:pStyle w:val="TableText0"/>
              <w:keepLines/>
              <w:jc w:val="center"/>
              <w:rPr>
                <w:color w:val="000000"/>
                <w:highlight w:val="lightGray"/>
              </w:rPr>
            </w:pPr>
            <w:r w:rsidRPr="005F5426">
              <w:t>$</w:t>
            </w:r>
            <w:r w:rsidR="009D7A63" w:rsidRPr="009D7A63">
              <w:rPr>
                <w:sz w:val="2"/>
                <w:highlight w:val="black"/>
              </w:rPr>
              <w:t>redacted content</w:t>
            </w:r>
            <w:r w:rsidR="001F1869" w:rsidRPr="00DA4AED">
              <w:rPr>
                <w:vertAlign w:val="superscript"/>
              </w:rPr>
              <w:t>5</w:t>
            </w:r>
          </w:p>
        </w:tc>
      </w:tr>
      <w:tr w:rsidR="004C164A" w:rsidRPr="00E34968" w14:paraId="161561AF" w14:textId="77777777">
        <w:trPr>
          <w:cantSplit/>
          <w:jc w:val="center"/>
        </w:trPr>
        <w:tc>
          <w:tcPr>
            <w:tcW w:w="5000" w:type="pct"/>
            <w:gridSpan w:val="7"/>
            <w:vAlign w:val="center"/>
          </w:tcPr>
          <w:p w14:paraId="0AB9D462" w14:textId="77777777" w:rsidR="004C164A" w:rsidRPr="00E34968" w:rsidRDefault="004C164A" w:rsidP="00C17DC6">
            <w:pPr>
              <w:pStyle w:val="TableText0"/>
              <w:keepLines/>
              <w:rPr>
                <w:b/>
                <w:color w:val="000000"/>
              </w:rPr>
            </w:pPr>
            <w:r w:rsidRPr="00E34968">
              <w:rPr>
                <w:b/>
                <w:color w:val="000000"/>
              </w:rPr>
              <w:t>Estimated financial implications of NIVO IV</w:t>
            </w:r>
          </w:p>
        </w:tc>
      </w:tr>
      <w:tr w:rsidR="004C164A" w:rsidRPr="00E34968" w14:paraId="4B9926C3" w14:textId="77777777">
        <w:trPr>
          <w:cantSplit/>
          <w:jc w:val="center"/>
        </w:trPr>
        <w:tc>
          <w:tcPr>
            <w:tcW w:w="1118" w:type="pct"/>
            <w:vAlign w:val="center"/>
          </w:tcPr>
          <w:p w14:paraId="4D514540" w14:textId="77777777" w:rsidR="004C164A" w:rsidRPr="00E34968" w:rsidRDefault="004C164A" w:rsidP="00C17DC6">
            <w:pPr>
              <w:pStyle w:val="TableText0"/>
              <w:keepLines/>
            </w:pPr>
            <w:r w:rsidRPr="00E34968">
              <w:t>Cost to PBS/RPBS less co-payment</w:t>
            </w:r>
          </w:p>
        </w:tc>
        <w:tc>
          <w:tcPr>
            <w:tcW w:w="647" w:type="pct"/>
            <w:vAlign w:val="center"/>
          </w:tcPr>
          <w:p w14:paraId="41DA7773" w14:textId="614DCDA0" w:rsidR="004C164A" w:rsidRPr="009D7A63" w:rsidRDefault="004C164A" w:rsidP="00C17DC6">
            <w:pPr>
              <w:pStyle w:val="TableText0"/>
              <w:keepLines/>
              <w:jc w:val="center"/>
              <w:rPr>
                <w:color w:val="000000"/>
                <w:highlight w:val="lightGray"/>
              </w:rPr>
            </w:pPr>
            <w:r w:rsidRPr="004F3CBB">
              <w:t>-</w:t>
            </w:r>
            <w:r w:rsidRPr="005F5426">
              <w:t>$</w:t>
            </w:r>
            <w:r w:rsidR="009D7A63" w:rsidRPr="009D7A63">
              <w:rPr>
                <w:sz w:val="2"/>
                <w:highlight w:val="black"/>
              </w:rPr>
              <w:t>redacted content</w:t>
            </w:r>
            <w:r w:rsidR="00993BF5" w:rsidRPr="009D7A63">
              <w:rPr>
                <w:vertAlign w:val="superscript"/>
              </w:rPr>
              <w:t>6</w:t>
            </w:r>
          </w:p>
        </w:tc>
        <w:tc>
          <w:tcPr>
            <w:tcW w:w="647" w:type="pct"/>
            <w:vAlign w:val="center"/>
          </w:tcPr>
          <w:p w14:paraId="75255063" w14:textId="38DA8B53" w:rsidR="004C164A" w:rsidRPr="009D7A63" w:rsidRDefault="004C164A" w:rsidP="00C17DC6">
            <w:pPr>
              <w:pStyle w:val="TableText0"/>
              <w:keepLines/>
              <w:jc w:val="center"/>
              <w:rPr>
                <w:color w:val="000000"/>
                <w:highlight w:val="lightGray"/>
              </w:rPr>
            </w:pPr>
            <w:r w:rsidRPr="004F3CBB">
              <w:t>-</w:t>
            </w:r>
            <w:r w:rsidRPr="005F5426">
              <w:t>$</w:t>
            </w:r>
            <w:r w:rsidR="009D7A63" w:rsidRPr="009D7A63">
              <w:rPr>
                <w:sz w:val="2"/>
                <w:highlight w:val="black"/>
              </w:rPr>
              <w:t>redacted content</w:t>
            </w:r>
            <w:r w:rsidR="00993BF5" w:rsidRPr="00DA4AED">
              <w:rPr>
                <w:vertAlign w:val="superscript"/>
              </w:rPr>
              <w:t>6</w:t>
            </w:r>
          </w:p>
        </w:tc>
        <w:tc>
          <w:tcPr>
            <w:tcW w:w="647" w:type="pct"/>
            <w:vAlign w:val="center"/>
          </w:tcPr>
          <w:p w14:paraId="3389EF76" w14:textId="6515796B" w:rsidR="004C164A" w:rsidRPr="009D7A63" w:rsidRDefault="004C164A" w:rsidP="00C17DC6">
            <w:pPr>
              <w:pStyle w:val="TableText0"/>
              <w:keepLines/>
              <w:jc w:val="center"/>
              <w:rPr>
                <w:color w:val="000000"/>
                <w:highlight w:val="lightGray"/>
              </w:rPr>
            </w:pPr>
            <w:r w:rsidRPr="004F3CBB">
              <w:t>-</w:t>
            </w:r>
            <w:r w:rsidRPr="005F5426">
              <w:t>$</w:t>
            </w:r>
            <w:r w:rsidR="009D7A63" w:rsidRPr="009D7A63">
              <w:rPr>
                <w:sz w:val="2"/>
                <w:highlight w:val="black"/>
              </w:rPr>
              <w:t>redacted content</w:t>
            </w:r>
            <w:r w:rsidR="00993BF5" w:rsidRPr="00DA4AED">
              <w:rPr>
                <w:vertAlign w:val="superscript"/>
              </w:rPr>
              <w:t>6</w:t>
            </w:r>
          </w:p>
        </w:tc>
        <w:tc>
          <w:tcPr>
            <w:tcW w:w="647" w:type="pct"/>
            <w:vAlign w:val="center"/>
          </w:tcPr>
          <w:p w14:paraId="4DB44155" w14:textId="3E042B8C" w:rsidR="004C164A" w:rsidRPr="009D7A63" w:rsidRDefault="004C164A" w:rsidP="00C17DC6">
            <w:pPr>
              <w:pStyle w:val="TableText0"/>
              <w:keepLines/>
              <w:jc w:val="center"/>
              <w:rPr>
                <w:color w:val="000000"/>
                <w:highlight w:val="lightGray"/>
              </w:rPr>
            </w:pPr>
            <w:r w:rsidRPr="00171AB4">
              <w:t>-</w:t>
            </w:r>
            <w:r w:rsidRPr="005F5426">
              <w:t>$</w:t>
            </w:r>
            <w:r w:rsidR="009D7A63" w:rsidRPr="009D7A63">
              <w:rPr>
                <w:sz w:val="2"/>
                <w:highlight w:val="black"/>
              </w:rPr>
              <w:t>redacted content</w:t>
            </w:r>
            <w:r w:rsidR="00993BF5" w:rsidRPr="00DA4AED">
              <w:rPr>
                <w:vertAlign w:val="superscript"/>
              </w:rPr>
              <w:t>6</w:t>
            </w:r>
          </w:p>
        </w:tc>
        <w:tc>
          <w:tcPr>
            <w:tcW w:w="647" w:type="pct"/>
            <w:vAlign w:val="center"/>
          </w:tcPr>
          <w:p w14:paraId="173B2DF4" w14:textId="55C62D82" w:rsidR="004C164A" w:rsidRPr="009D7A63" w:rsidRDefault="004C164A" w:rsidP="00C17DC6">
            <w:pPr>
              <w:pStyle w:val="TableText0"/>
              <w:keepLines/>
              <w:jc w:val="center"/>
              <w:rPr>
                <w:color w:val="000000"/>
                <w:highlight w:val="lightGray"/>
              </w:rPr>
            </w:pPr>
            <w:r w:rsidRPr="00171AB4">
              <w:t>-</w:t>
            </w:r>
            <w:r w:rsidRPr="005F5426">
              <w:t>$</w:t>
            </w:r>
            <w:r w:rsidR="009D7A63" w:rsidRPr="009D7A63">
              <w:rPr>
                <w:sz w:val="2"/>
                <w:highlight w:val="black"/>
              </w:rPr>
              <w:t>redacted content</w:t>
            </w:r>
            <w:r w:rsidR="00993BF5" w:rsidRPr="00DA4AED">
              <w:rPr>
                <w:vertAlign w:val="superscript"/>
              </w:rPr>
              <w:t>6</w:t>
            </w:r>
          </w:p>
        </w:tc>
        <w:tc>
          <w:tcPr>
            <w:tcW w:w="647" w:type="pct"/>
            <w:vAlign w:val="center"/>
          </w:tcPr>
          <w:p w14:paraId="545E9579" w14:textId="0012F343" w:rsidR="004C164A" w:rsidRPr="009D7A63" w:rsidRDefault="004C164A" w:rsidP="00C17DC6">
            <w:pPr>
              <w:pStyle w:val="TableText0"/>
              <w:keepLines/>
              <w:jc w:val="center"/>
              <w:rPr>
                <w:color w:val="000000"/>
                <w:highlight w:val="lightGray"/>
              </w:rPr>
            </w:pPr>
            <w:r w:rsidRPr="00171AB4">
              <w:t>-</w:t>
            </w:r>
            <w:r w:rsidRPr="005F5426">
              <w:t>$</w:t>
            </w:r>
            <w:r w:rsidR="009D7A63" w:rsidRPr="009D7A63">
              <w:rPr>
                <w:sz w:val="2"/>
                <w:highlight w:val="black"/>
              </w:rPr>
              <w:t>redacted content</w:t>
            </w:r>
            <w:r w:rsidR="00993BF5" w:rsidRPr="00DA4AED">
              <w:rPr>
                <w:vertAlign w:val="superscript"/>
              </w:rPr>
              <w:t>6</w:t>
            </w:r>
          </w:p>
        </w:tc>
      </w:tr>
      <w:tr w:rsidR="004C164A" w:rsidRPr="00E34968" w14:paraId="7E17C880" w14:textId="77777777">
        <w:trPr>
          <w:cantSplit/>
          <w:jc w:val="center"/>
        </w:trPr>
        <w:tc>
          <w:tcPr>
            <w:tcW w:w="5000" w:type="pct"/>
            <w:gridSpan w:val="7"/>
            <w:vAlign w:val="center"/>
          </w:tcPr>
          <w:p w14:paraId="4D70DE95" w14:textId="77777777" w:rsidR="004C164A" w:rsidRPr="00E34968" w:rsidRDefault="004C164A" w:rsidP="00C17DC6">
            <w:pPr>
              <w:pStyle w:val="TableText0"/>
              <w:keepLines/>
              <w:rPr>
                <w:b/>
                <w:bCs w:val="0"/>
                <w:color w:val="000000"/>
              </w:rPr>
            </w:pPr>
            <w:r w:rsidRPr="00E34968">
              <w:rPr>
                <w:b/>
                <w:bCs w:val="0"/>
                <w:color w:val="000000"/>
              </w:rPr>
              <w:t>Net financial implications</w:t>
            </w:r>
          </w:p>
        </w:tc>
      </w:tr>
      <w:tr w:rsidR="004C164A" w:rsidRPr="00E34968" w14:paraId="430DFF63" w14:textId="77777777">
        <w:trPr>
          <w:cantSplit/>
          <w:jc w:val="center"/>
        </w:trPr>
        <w:tc>
          <w:tcPr>
            <w:tcW w:w="1118" w:type="pct"/>
            <w:vAlign w:val="center"/>
          </w:tcPr>
          <w:p w14:paraId="7173D68D" w14:textId="77777777" w:rsidR="004C164A" w:rsidRPr="00E34968" w:rsidRDefault="004C164A" w:rsidP="00C17DC6">
            <w:pPr>
              <w:pStyle w:val="TableText0"/>
              <w:keepLines/>
            </w:pPr>
            <w:r w:rsidRPr="00E34968">
              <w:t>Net cost to PBS/RPBS</w:t>
            </w:r>
          </w:p>
        </w:tc>
        <w:tc>
          <w:tcPr>
            <w:tcW w:w="647" w:type="pct"/>
            <w:vAlign w:val="center"/>
          </w:tcPr>
          <w:p w14:paraId="03FAC966" w14:textId="2B4BDD08" w:rsidR="004C164A" w:rsidRPr="009D7A63" w:rsidRDefault="004C164A" w:rsidP="00C17DC6">
            <w:pPr>
              <w:pStyle w:val="TableText0"/>
              <w:keepLines/>
              <w:jc w:val="center"/>
              <w:rPr>
                <w:color w:val="000000"/>
                <w:highlight w:val="lightGray"/>
              </w:rPr>
            </w:pPr>
            <w:r w:rsidRPr="00171AB4">
              <w:t>-</w:t>
            </w:r>
            <w:r w:rsidRPr="005F5426">
              <w:t>$</w:t>
            </w:r>
            <w:r w:rsidR="009D7A63" w:rsidRPr="009D7A63">
              <w:rPr>
                <w:sz w:val="2"/>
                <w:highlight w:val="black"/>
              </w:rPr>
              <w:t>redacted content</w:t>
            </w:r>
            <w:r w:rsidR="00993BF5" w:rsidRPr="00DA4AED">
              <w:rPr>
                <w:vertAlign w:val="superscript"/>
              </w:rPr>
              <w:t>6</w:t>
            </w:r>
          </w:p>
        </w:tc>
        <w:tc>
          <w:tcPr>
            <w:tcW w:w="647" w:type="pct"/>
            <w:vAlign w:val="center"/>
          </w:tcPr>
          <w:p w14:paraId="470D105E" w14:textId="67F65B5E" w:rsidR="004C164A" w:rsidRPr="009D7A63" w:rsidRDefault="004C164A" w:rsidP="00C17DC6">
            <w:pPr>
              <w:pStyle w:val="TableText0"/>
              <w:keepLines/>
              <w:jc w:val="center"/>
              <w:rPr>
                <w:color w:val="000000"/>
                <w:highlight w:val="lightGray"/>
              </w:rPr>
            </w:pPr>
            <w:r w:rsidRPr="00171AB4">
              <w:t>-$</w:t>
            </w:r>
            <w:r w:rsidR="009D7A63" w:rsidRPr="009D7A63">
              <w:rPr>
                <w:sz w:val="2"/>
                <w:highlight w:val="black"/>
              </w:rPr>
              <w:t>redacted content</w:t>
            </w:r>
            <w:r w:rsidR="00993BF5" w:rsidRPr="00DA4AED">
              <w:rPr>
                <w:vertAlign w:val="superscript"/>
              </w:rPr>
              <w:t>6</w:t>
            </w:r>
          </w:p>
        </w:tc>
        <w:tc>
          <w:tcPr>
            <w:tcW w:w="647" w:type="pct"/>
            <w:vAlign w:val="center"/>
          </w:tcPr>
          <w:p w14:paraId="5B39B678" w14:textId="5E3991BB" w:rsidR="004C164A" w:rsidRPr="009D7A63" w:rsidRDefault="004C164A" w:rsidP="00C17DC6">
            <w:pPr>
              <w:pStyle w:val="TableText0"/>
              <w:keepLines/>
              <w:jc w:val="center"/>
              <w:rPr>
                <w:color w:val="000000"/>
                <w:highlight w:val="lightGray"/>
              </w:rPr>
            </w:pPr>
            <w:r w:rsidRPr="00171AB4">
              <w:t>-</w:t>
            </w:r>
            <w:r w:rsidRPr="005F5426">
              <w:t>$</w:t>
            </w:r>
            <w:r w:rsidR="009D7A63" w:rsidRPr="009D7A63">
              <w:rPr>
                <w:sz w:val="2"/>
                <w:highlight w:val="black"/>
              </w:rPr>
              <w:t>redacted content</w:t>
            </w:r>
            <w:r w:rsidR="00993BF5" w:rsidRPr="00DA4AED">
              <w:rPr>
                <w:vertAlign w:val="superscript"/>
              </w:rPr>
              <w:t>6</w:t>
            </w:r>
          </w:p>
        </w:tc>
        <w:tc>
          <w:tcPr>
            <w:tcW w:w="647" w:type="pct"/>
            <w:vAlign w:val="center"/>
          </w:tcPr>
          <w:p w14:paraId="501A0F01" w14:textId="35C1C991" w:rsidR="004C164A" w:rsidRPr="009D7A63" w:rsidRDefault="004C164A" w:rsidP="00C17DC6">
            <w:pPr>
              <w:pStyle w:val="TableText0"/>
              <w:keepLines/>
              <w:jc w:val="center"/>
              <w:rPr>
                <w:color w:val="000000"/>
                <w:highlight w:val="lightGray"/>
              </w:rPr>
            </w:pPr>
            <w:r w:rsidRPr="00171AB4">
              <w:t>-$</w:t>
            </w:r>
            <w:r w:rsidR="009D7A63" w:rsidRPr="009D7A63">
              <w:rPr>
                <w:sz w:val="2"/>
                <w:highlight w:val="black"/>
              </w:rPr>
              <w:t>redacted content</w:t>
            </w:r>
            <w:r w:rsidR="00993BF5" w:rsidRPr="00DA4AED">
              <w:rPr>
                <w:vertAlign w:val="superscript"/>
              </w:rPr>
              <w:t>6</w:t>
            </w:r>
          </w:p>
        </w:tc>
        <w:tc>
          <w:tcPr>
            <w:tcW w:w="647" w:type="pct"/>
            <w:vAlign w:val="center"/>
          </w:tcPr>
          <w:p w14:paraId="12BE8B68" w14:textId="544B849C" w:rsidR="004C164A" w:rsidRPr="009D7A63" w:rsidRDefault="004C164A" w:rsidP="00C17DC6">
            <w:pPr>
              <w:pStyle w:val="TableText0"/>
              <w:keepLines/>
              <w:jc w:val="center"/>
              <w:rPr>
                <w:color w:val="000000"/>
                <w:highlight w:val="lightGray"/>
              </w:rPr>
            </w:pPr>
            <w:r w:rsidRPr="00171AB4">
              <w:t>-</w:t>
            </w:r>
            <w:r w:rsidRPr="005F5426">
              <w:t>$</w:t>
            </w:r>
            <w:r w:rsidR="009D7A63" w:rsidRPr="009D7A63">
              <w:rPr>
                <w:sz w:val="2"/>
                <w:highlight w:val="black"/>
              </w:rPr>
              <w:t>redacted content</w:t>
            </w:r>
            <w:r w:rsidR="00993BF5" w:rsidRPr="00DA4AED">
              <w:rPr>
                <w:vertAlign w:val="superscript"/>
              </w:rPr>
              <w:t>6</w:t>
            </w:r>
          </w:p>
        </w:tc>
        <w:tc>
          <w:tcPr>
            <w:tcW w:w="647" w:type="pct"/>
            <w:vAlign w:val="center"/>
          </w:tcPr>
          <w:p w14:paraId="32F6D9CB" w14:textId="451418B5" w:rsidR="004C164A" w:rsidRPr="009D7A63" w:rsidRDefault="004C164A" w:rsidP="00C17DC6">
            <w:pPr>
              <w:pStyle w:val="TableText0"/>
              <w:keepLines/>
              <w:jc w:val="center"/>
              <w:rPr>
                <w:color w:val="000000"/>
                <w:highlight w:val="lightGray"/>
              </w:rPr>
            </w:pPr>
            <w:r w:rsidRPr="00171AB4">
              <w:t>-</w:t>
            </w:r>
            <w:r w:rsidRPr="005F5426">
              <w:t>$</w:t>
            </w:r>
            <w:r w:rsidR="009D7A63" w:rsidRPr="009D7A63">
              <w:rPr>
                <w:sz w:val="2"/>
                <w:highlight w:val="black"/>
              </w:rPr>
              <w:t>redacted content</w:t>
            </w:r>
            <w:r w:rsidR="00993BF5" w:rsidRPr="00DA4AED">
              <w:rPr>
                <w:vertAlign w:val="superscript"/>
              </w:rPr>
              <w:t>6</w:t>
            </w:r>
          </w:p>
        </w:tc>
      </w:tr>
    </w:tbl>
    <w:p w14:paraId="1F016BA9" w14:textId="77777777" w:rsidR="00210460" w:rsidRDefault="00210460" w:rsidP="00C17DC6">
      <w:pPr>
        <w:pStyle w:val="Tablenotes0"/>
      </w:pPr>
      <w:r w:rsidRPr="004C05DD">
        <w:t xml:space="preserve">Abbreviations: </w:t>
      </w:r>
      <w:r>
        <w:t>IV = intravenous, NIVO = nivolumab, SC = subcutaneous</w:t>
      </w:r>
    </w:p>
    <w:p w14:paraId="148BF130" w14:textId="5C33DDF1" w:rsidR="00210460" w:rsidRPr="00ED104C" w:rsidRDefault="00210460" w:rsidP="00C17DC6">
      <w:pPr>
        <w:pStyle w:val="Tablenotes0"/>
      </w:pPr>
      <w:r w:rsidRPr="004C05DD">
        <w:t xml:space="preserve">Source: </w:t>
      </w:r>
      <w:r>
        <w:t>Worksheets 2e. Scripts market, 3a. Scripts – proposed &amp; 5. Impact</w:t>
      </w:r>
      <w:r w:rsidR="00C17DC6">
        <w:noBreakHyphen/>
      </w:r>
      <w:r>
        <w:t xml:space="preserve"> net</w:t>
      </w:r>
    </w:p>
    <w:p w14:paraId="57B07A27" w14:textId="77777777" w:rsidR="00210460" w:rsidRPr="000C3B88" w:rsidRDefault="00210460" w:rsidP="00C17DC6">
      <w:pPr>
        <w:pStyle w:val="Tablenotes0"/>
        <w:numPr>
          <w:ilvl w:val="0"/>
          <w:numId w:val="11"/>
        </w:numPr>
      </w:pPr>
      <w:r>
        <w:t xml:space="preserve">NIVO </w:t>
      </w:r>
      <w:proofErr w:type="spellStart"/>
      <w:r>
        <w:t>SC_BIM_melanoma</w:t>
      </w:r>
      <w:proofErr w:type="spellEnd"/>
      <w:r>
        <w:t xml:space="preserve"> (adjuvant)</w:t>
      </w:r>
    </w:p>
    <w:p w14:paraId="284B2175" w14:textId="77777777" w:rsidR="00210460" w:rsidRPr="000C3B88" w:rsidRDefault="00210460" w:rsidP="00C17DC6">
      <w:pPr>
        <w:pStyle w:val="Tablenotes0"/>
        <w:numPr>
          <w:ilvl w:val="0"/>
          <w:numId w:val="11"/>
        </w:numPr>
      </w:pPr>
      <w:r>
        <w:t>NIVO SC_BIM_UC adjuvant</w:t>
      </w:r>
    </w:p>
    <w:p w14:paraId="654F3F92" w14:textId="77777777" w:rsidR="00210460" w:rsidRDefault="00210460" w:rsidP="00C17DC6">
      <w:pPr>
        <w:pStyle w:val="Tablenotes0"/>
        <w:numPr>
          <w:ilvl w:val="0"/>
          <w:numId w:val="11"/>
        </w:numPr>
      </w:pPr>
      <w:r>
        <w:t>NIVO SC_BIM_OC GOJC adjuvant</w:t>
      </w:r>
    </w:p>
    <w:p w14:paraId="1885764C" w14:textId="686086F6" w:rsidR="00455D7E" w:rsidRDefault="00210460" w:rsidP="009C6EEA">
      <w:pPr>
        <w:pStyle w:val="Tablenotes0"/>
        <w:numPr>
          <w:ilvl w:val="0"/>
          <w:numId w:val="11"/>
        </w:numPr>
      </w:pPr>
      <w:r>
        <w:t>NIVO SC_BIM_IO sensitive adv met</w:t>
      </w:r>
    </w:p>
    <w:p w14:paraId="3A6897E2" w14:textId="77777777" w:rsidR="005A7AE6" w:rsidRPr="00F56B14" w:rsidRDefault="005A7AE6" w:rsidP="005A7AE6">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59978826" w14:textId="7335855D" w:rsidR="005A7AE6" w:rsidRPr="000856F4" w:rsidRDefault="005A7AE6" w:rsidP="005A7AE6">
      <w:pPr>
        <w:jc w:val="left"/>
        <w:rPr>
          <w:rFonts w:ascii="Arial Narrow" w:hAnsi="Arial Narrow" w:cs="Arial"/>
          <w:i/>
          <w:sz w:val="18"/>
          <w:szCs w:val="18"/>
        </w:rPr>
      </w:pPr>
      <w:r w:rsidRPr="000856F4">
        <w:rPr>
          <w:rFonts w:ascii="Arial Narrow" w:hAnsi="Arial Narrow" w:cs="Arial"/>
          <w:i/>
          <w:sz w:val="18"/>
          <w:szCs w:val="18"/>
          <w:vertAlign w:val="superscript"/>
        </w:rPr>
        <w:t>1</w:t>
      </w:r>
      <w:r w:rsidRPr="000856F4">
        <w:rPr>
          <w:rFonts w:ascii="Arial Narrow" w:hAnsi="Arial Narrow" w:cs="Arial"/>
          <w:i/>
          <w:sz w:val="18"/>
          <w:szCs w:val="18"/>
        </w:rPr>
        <w:t xml:space="preserve"> </w:t>
      </w:r>
      <w:r w:rsidR="00301E02" w:rsidRPr="00301E02">
        <w:rPr>
          <w:rFonts w:ascii="Arial Narrow" w:hAnsi="Arial Narrow" w:cs="Arial"/>
          <w:i/>
          <w:sz w:val="18"/>
          <w:szCs w:val="18"/>
        </w:rPr>
        <w:t>5,000 to &lt; 10,000</w:t>
      </w:r>
    </w:p>
    <w:p w14:paraId="254F0BD9" w14:textId="0510FE41" w:rsidR="005A7AE6" w:rsidRPr="000856F4" w:rsidRDefault="005A7AE6" w:rsidP="005A7AE6">
      <w:pPr>
        <w:jc w:val="left"/>
        <w:rPr>
          <w:rFonts w:ascii="Arial Narrow" w:hAnsi="Arial Narrow" w:cs="Arial"/>
          <w:i/>
          <w:sz w:val="18"/>
          <w:szCs w:val="18"/>
        </w:rPr>
      </w:pPr>
      <w:r w:rsidRPr="000856F4">
        <w:rPr>
          <w:rFonts w:ascii="Arial Narrow" w:hAnsi="Arial Narrow" w:cs="Arial"/>
          <w:i/>
          <w:sz w:val="18"/>
          <w:szCs w:val="18"/>
          <w:vertAlign w:val="superscript"/>
        </w:rPr>
        <w:t>2</w:t>
      </w:r>
      <w:r w:rsidRPr="000856F4">
        <w:rPr>
          <w:rFonts w:ascii="Arial Narrow" w:hAnsi="Arial Narrow" w:cs="Arial"/>
          <w:i/>
          <w:sz w:val="18"/>
          <w:szCs w:val="18"/>
        </w:rPr>
        <w:t xml:space="preserve"> </w:t>
      </w:r>
      <w:r w:rsidR="00362FCE" w:rsidRPr="00362FCE">
        <w:rPr>
          <w:rFonts w:ascii="Arial Narrow" w:hAnsi="Arial Narrow" w:cs="Arial"/>
          <w:i/>
          <w:sz w:val="18"/>
          <w:szCs w:val="18"/>
        </w:rPr>
        <w:t>10,000 to &lt; 20,000</w:t>
      </w:r>
    </w:p>
    <w:p w14:paraId="648648D7" w14:textId="0CF2BC06" w:rsidR="005A7AE6" w:rsidRPr="000856F4" w:rsidRDefault="005A7AE6" w:rsidP="005A7AE6">
      <w:pPr>
        <w:jc w:val="left"/>
        <w:rPr>
          <w:rFonts w:ascii="Arial Narrow" w:hAnsi="Arial Narrow" w:cs="Arial"/>
          <w:i/>
          <w:sz w:val="18"/>
          <w:szCs w:val="18"/>
        </w:rPr>
      </w:pPr>
      <w:r w:rsidRPr="000856F4">
        <w:rPr>
          <w:rFonts w:ascii="Arial Narrow" w:hAnsi="Arial Narrow" w:cs="Arial"/>
          <w:i/>
          <w:sz w:val="18"/>
          <w:szCs w:val="18"/>
          <w:vertAlign w:val="superscript"/>
        </w:rPr>
        <w:t>3</w:t>
      </w:r>
      <w:r w:rsidRPr="000856F4">
        <w:rPr>
          <w:rFonts w:ascii="Arial Narrow" w:hAnsi="Arial Narrow" w:cs="Arial"/>
          <w:i/>
          <w:sz w:val="18"/>
          <w:szCs w:val="18"/>
        </w:rPr>
        <w:t xml:space="preserve"> </w:t>
      </w:r>
      <w:r w:rsidR="005B5599" w:rsidRPr="005B5599">
        <w:rPr>
          <w:rFonts w:ascii="Arial Narrow" w:hAnsi="Arial Narrow" w:cs="Arial"/>
          <w:i/>
          <w:sz w:val="18"/>
          <w:szCs w:val="18"/>
        </w:rPr>
        <w:t>$10 million to &lt; $20 million</w:t>
      </w:r>
    </w:p>
    <w:p w14:paraId="0EA5451D" w14:textId="614BDA2B" w:rsidR="005A7AE6" w:rsidRPr="000856F4" w:rsidRDefault="005A7AE6" w:rsidP="005A7AE6">
      <w:pPr>
        <w:jc w:val="left"/>
        <w:rPr>
          <w:rFonts w:ascii="Arial Narrow" w:hAnsi="Arial Narrow" w:cs="Arial"/>
          <w:i/>
          <w:sz w:val="18"/>
          <w:szCs w:val="18"/>
        </w:rPr>
      </w:pPr>
      <w:r w:rsidRPr="000856F4">
        <w:rPr>
          <w:rFonts w:ascii="Arial Narrow" w:hAnsi="Arial Narrow" w:cs="Arial"/>
          <w:i/>
          <w:sz w:val="18"/>
          <w:szCs w:val="18"/>
          <w:vertAlign w:val="superscript"/>
        </w:rPr>
        <w:t>4</w:t>
      </w:r>
      <w:r w:rsidRPr="000856F4">
        <w:rPr>
          <w:rFonts w:ascii="Arial Narrow" w:hAnsi="Arial Narrow" w:cs="Arial"/>
          <w:i/>
          <w:sz w:val="18"/>
          <w:szCs w:val="18"/>
        </w:rPr>
        <w:t xml:space="preserve"> </w:t>
      </w:r>
      <w:r w:rsidR="00DE428A" w:rsidRPr="00DE428A">
        <w:rPr>
          <w:rFonts w:ascii="Arial Narrow" w:hAnsi="Arial Narrow" w:cs="Arial"/>
          <w:i/>
          <w:sz w:val="18"/>
          <w:szCs w:val="18"/>
        </w:rPr>
        <w:t>$20 million to &lt; $30 million</w:t>
      </w:r>
    </w:p>
    <w:p w14:paraId="75591750" w14:textId="30118F2F" w:rsidR="005A7AE6" w:rsidRPr="000856F4" w:rsidRDefault="005A7AE6" w:rsidP="005A7AE6">
      <w:pPr>
        <w:jc w:val="left"/>
        <w:rPr>
          <w:rFonts w:ascii="Arial Narrow" w:hAnsi="Arial Narrow" w:cs="Arial"/>
          <w:i/>
          <w:sz w:val="18"/>
          <w:szCs w:val="18"/>
        </w:rPr>
      </w:pPr>
      <w:r w:rsidRPr="000856F4">
        <w:rPr>
          <w:rFonts w:ascii="Arial Narrow" w:hAnsi="Arial Narrow" w:cs="Arial"/>
          <w:i/>
          <w:sz w:val="18"/>
          <w:szCs w:val="18"/>
          <w:vertAlign w:val="superscript"/>
        </w:rPr>
        <w:t>5</w:t>
      </w:r>
      <w:r w:rsidRPr="000856F4">
        <w:rPr>
          <w:rFonts w:ascii="Arial Narrow" w:hAnsi="Arial Narrow" w:cs="Arial"/>
          <w:i/>
          <w:sz w:val="18"/>
          <w:szCs w:val="18"/>
        </w:rPr>
        <w:t xml:space="preserve"> </w:t>
      </w:r>
      <w:r w:rsidR="001F1869" w:rsidRPr="001F1869">
        <w:rPr>
          <w:rFonts w:ascii="Arial Narrow" w:hAnsi="Arial Narrow" w:cs="Arial"/>
          <w:i/>
          <w:sz w:val="18"/>
          <w:szCs w:val="18"/>
        </w:rPr>
        <w:t>$30 million to &lt; $40 million</w:t>
      </w:r>
    </w:p>
    <w:p w14:paraId="75E05796" w14:textId="54D26A3B" w:rsidR="005A7AE6" w:rsidRPr="000856F4" w:rsidRDefault="005A7AE6" w:rsidP="005A7AE6">
      <w:pPr>
        <w:jc w:val="left"/>
        <w:rPr>
          <w:rFonts w:ascii="Arial Narrow" w:hAnsi="Arial Narrow" w:cs="Arial"/>
          <w:i/>
          <w:sz w:val="18"/>
          <w:szCs w:val="18"/>
        </w:rPr>
      </w:pPr>
      <w:r w:rsidRPr="000856F4">
        <w:rPr>
          <w:rFonts w:ascii="Arial Narrow" w:hAnsi="Arial Narrow" w:cs="Arial"/>
          <w:i/>
          <w:sz w:val="18"/>
          <w:szCs w:val="18"/>
          <w:vertAlign w:val="superscript"/>
        </w:rPr>
        <w:t>6</w:t>
      </w:r>
      <w:r w:rsidRPr="000856F4">
        <w:rPr>
          <w:rFonts w:ascii="Arial Narrow" w:hAnsi="Arial Narrow" w:cs="Arial"/>
          <w:i/>
          <w:sz w:val="18"/>
          <w:szCs w:val="18"/>
        </w:rPr>
        <w:t xml:space="preserve"> </w:t>
      </w:r>
      <w:r w:rsidR="000F6C0D" w:rsidRPr="000F6C0D">
        <w:rPr>
          <w:rFonts w:ascii="Arial Narrow" w:hAnsi="Arial Narrow" w:cs="Arial"/>
          <w:i/>
          <w:sz w:val="18"/>
          <w:szCs w:val="18"/>
        </w:rPr>
        <w:t>net cost saving</w:t>
      </w:r>
    </w:p>
    <w:p w14:paraId="30F88084" w14:textId="22F899B1" w:rsidR="009C6EEA" w:rsidRPr="00EE19F5" w:rsidRDefault="009C6EEA" w:rsidP="009C6EEA">
      <w:pPr>
        <w:pStyle w:val="Tablenotes0"/>
      </w:pPr>
    </w:p>
    <w:p w14:paraId="338A9707" w14:textId="2449DD17" w:rsidR="00754C0C" w:rsidRPr="00B70CC7" w:rsidRDefault="00402C6D" w:rsidP="00C17DC6">
      <w:pPr>
        <w:pStyle w:val="3-BodyText"/>
      </w:pPr>
      <w:r>
        <w:t>The PBAC noted the modest cost savings</w:t>
      </w:r>
      <w:r w:rsidR="00946EBC">
        <w:t xml:space="preserve"> in both scenarios</w:t>
      </w:r>
      <w:r>
        <w:t xml:space="preserve"> that were estimated due to the listing of NIVO SC. The PBAC considered the financial impact to be reasonable. </w:t>
      </w:r>
    </w:p>
    <w:p w14:paraId="53AE5A14" w14:textId="23A25B39" w:rsidR="00F26D80" w:rsidRDefault="00831B88" w:rsidP="00C17DC6">
      <w:pPr>
        <w:pStyle w:val="4-SubsectionHeading"/>
        <w:rPr>
          <w:b w:val="0"/>
          <w:bCs/>
          <w:i w:val="0"/>
          <w:iCs/>
          <w:color w:val="FF0000"/>
          <w:lang w:eastAsia="en-US"/>
        </w:rPr>
      </w:pPr>
      <w:r>
        <w:rPr>
          <w:lang w:eastAsia="en-US"/>
        </w:rPr>
        <w:t xml:space="preserve">Quality use of medicines </w:t>
      </w:r>
    </w:p>
    <w:p w14:paraId="0807FD0D" w14:textId="52B0D8A9" w:rsidR="00831B88" w:rsidRPr="00C43B16" w:rsidRDefault="00362DE5" w:rsidP="00C17DC6">
      <w:pPr>
        <w:pStyle w:val="3-BodyText"/>
        <w:rPr>
          <w:bCs/>
          <w:iCs/>
          <w:color w:val="FF0000"/>
          <w:lang w:eastAsia="en-US"/>
        </w:rPr>
      </w:pPr>
      <w:r>
        <w:t xml:space="preserve">The </w:t>
      </w:r>
      <w:r w:rsidR="00207B60">
        <w:t>submission</w:t>
      </w:r>
      <w:r>
        <w:t xml:space="preserve"> </w:t>
      </w:r>
      <w:r w:rsidR="00005156">
        <w:t>stated that the sponsor will commit</w:t>
      </w:r>
      <w:r w:rsidR="00AE4530">
        <w:t xml:space="preserve"> to continuing </w:t>
      </w:r>
      <w:r w:rsidR="001945F2" w:rsidRPr="001945F2">
        <w:t>education/quality use of medicine initiatives</w:t>
      </w:r>
      <w:r w:rsidR="001945F2">
        <w:t xml:space="preserve">. The submission included </w:t>
      </w:r>
      <w:r w:rsidR="00745EDE">
        <w:t>an</w:t>
      </w:r>
      <w:r w:rsidR="00745EDE" w:rsidRPr="006F49BA">
        <w:t xml:space="preserve"> </w:t>
      </w:r>
      <w:r w:rsidR="006F49BA" w:rsidRPr="006F49BA">
        <w:t>outline of the QUM approach to ensuring that the immunotherapeutic profile of NIVO is well understood and that through experienced prescribers, the oncology treating community collectively uses NIVO in the most effective way.</w:t>
      </w:r>
    </w:p>
    <w:p w14:paraId="3881CC4A" w14:textId="32329515" w:rsidR="00C43B16" w:rsidRDefault="00C43B16" w:rsidP="00C17DC6">
      <w:pPr>
        <w:pStyle w:val="4-SubsectionHeading"/>
        <w:rPr>
          <w:lang w:eastAsia="en-US"/>
        </w:rPr>
      </w:pPr>
      <w:r w:rsidRPr="00C43B16">
        <w:rPr>
          <w:lang w:eastAsia="en-US"/>
        </w:rPr>
        <w:t>Risk-sharing arrangements</w:t>
      </w:r>
    </w:p>
    <w:p w14:paraId="61D7F8AD" w14:textId="0AED96AD" w:rsidR="004E43E2" w:rsidRPr="004E43E2" w:rsidRDefault="00A75C53" w:rsidP="00C17DC6">
      <w:pPr>
        <w:pStyle w:val="3-BodyText"/>
        <w:rPr>
          <w:lang w:eastAsia="en-US"/>
        </w:rPr>
      </w:pPr>
      <w:r>
        <w:rPr>
          <w:lang w:eastAsia="en-US"/>
        </w:rPr>
        <w:t xml:space="preserve">The submission considered that </w:t>
      </w:r>
      <w:r w:rsidRPr="00A75C53">
        <w:rPr>
          <w:lang w:eastAsia="en-US"/>
        </w:rPr>
        <w:t xml:space="preserve">NIVO SC would be subject to the existing </w:t>
      </w:r>
      <w:r w:rsidR="002F0F5E">
        <w:rPr>
          <w:lang w:eastAsia="en-US"/>
        </w:rPr>
        <w:t>risk-sharing</w:t>
      </w:r>
      <w:r w:rsidR="00821D92">
        <w:rPr>
          <w:lang w:eastAsia="en-US"/>
        </w:rPr>
        <w:t xml:space="preserve"> arrangement for NIVO IV.</w:t>
      </w:r>
      <w:r w:rsidR="00C17DC6">
        <w:rPr>
          <w:lang w:eastAsia="en-US"/>
        </w:rPr>
        <w:t xml:space="preserve"> </w:t>
      </w:r>
      <w:r w:rsidRPr="00A75C53">
        <w:rPr>
          <w:lang w:eastAsia="en-US"/>
        </w:rPr>
        <w:t xml:space="preserve"> </w:t>
      </w:r>
    </w:p>
    <w:p w14:paraId="73482FB8" w14:textId="0219EE57" w:rsidR="00841A25" w:rsidRDefault="007B51E8" w:rsidP="00C17DC6">
      <w:pPr>
        <w:pStyle w:val="2-SectionHeading"/>
      </w:pPr>
      <w:r>
        <w:lastRenderedPageBreak/>
        <w:t xml:space="preserve">PBAC Outcome </w:t>
      </w:r>
    </w:p>
    <w:p w14:paraId="27A43E93" w14:textId="0C980920" w:rsidR="00287470" w:rsidRDefault="00287470" w:rsidP="00C17DC6">
      <w:pPr>
        <w:pStyle w:val="3-BodyText"/>
      </w:pPr>
      <w:r>
        <w:t>The PBA</w:t>
      </w:r>
      <w:r w:rsidR="00737351">
        <w:t>C</w:t>
      </w:r>
      <w:r>
        <w:t xml:space="preserve"> recommended the</w:t>
      </w:r>
      <w:r w:rsidR="006522F4">
        <w:t xml:space="preserve"> dual </w:t>
      </w:r>
      <w:r w:rsidR="00A17B26" w:rsidRPr="00A17B26">
        <w:t>Section 85 General Schedule and Section 100 (Efficient Funding of Chemotherapy</w:t>
      </w:r>
      <w:r w:rsidR="004216B4">
        <w:t xml:space="preserve"> [EFC]</w:t>
      </w:r>
      <w:r w:rsidR="00A17B26" w:rsidRPr="00A17B26">
        <w:t xml:space="preserve"> – Related Benefits) Authority Required </w:t>
      </w:r>
      <w:r>
        <w:t>listing</w:t>
      </w:r>
      <w:r w:rsidR="00794ABB">
        <w:t>s</w:t>
      </w:r>
      <w:r>
        <w:t xml:space="preserve"> of nivolumab</w:t>
      </w:r>
      <w:r w:rsidR="00737351" w:rsidRPr="00737351">
        <w:t xml:space="preserve"> solution for subcutaneous injection 600 mg in 5 mL</w:t>
      </w:r>
      <w:r w:rsidR="007127A2">
        <w:t xml:space="preserve"> (NIVO SC)</w:t>
      </w:r>
      <w:r w:rsidR="00E35F4E">
        <w:t xml:space="preserve"> for all</w:t>
      </w:r>
      <w:r w:rsidR="00E35F4E" w:rsidRPr="00E35F4E">
        <w:t xml:space="preserve"> existing</w:t>
      </w:r>
      <w:r w:rsidR="00E35F4E">
        <w:t xml:space="preserve"> </w:t>
      </w:r>
      <w:r w:rsidR="00E35F4E" w:rsidRPr="00E35F4E">
        <w:t>indications</w:t>
      </w:r>
      <w:r w:rsidR="00680C32">
        <w:t xml:space="preserve"> of </w:t>
      </w:r>
      <w:r w:rsidR="00680C32" w:rsidRPr="00680C32">
        <w:t>nivolumab 100 mg/10 mL injection, 10 mL vial</w:t>
      </w:r>
      <w:r w:rsidR="00597DEF">
        <w:t xml:space="preserve"> (NIVO IV)</w:t>
      </w:r>
      <w:r w:rsidR="00E35F4E" w:rsidRPr="00E35F4E">
        <w:t xml:space="preserve">, except where nivolumab is administered </w:t>
      </w:r>
      <w:r w:rsidR="00DE2851">
        <w:t>3-</w:t>
      </w:r>
      <w:r w:rsidR="00E35F4E" w:rsidRPr="00E35F4E">
        <w:t>week</w:t>
      </w:r>
      <w:r w:rsidR="00DE2851">
        <w:t>ly</w:t>
      </w:r>
      <w:r w:rsidR="00971344">
        <w:t xml:space="preserve"> or where nivolumab is</w:t>
      </w:r>
      <w:r w:rsidR="000B0804">
        <w:t xml:space="preserve"> used</w:t>
      </w:r>
      <w:r w:rsidR="00E35F4E" w:rsidRPr="00E35F4E">
        <w:t xml:space="preserve"> in combination with ipilimumab.</w:t>
      </w:r>
      <w:r w:rsidR="00C17DC6">
        <w:t xml:space="preserve"> </w:t>
      </w:r>
      <w:r w:rsidR="007127A2">
        <w:t>The PBAC’s recommendation for listing was based on, among other matters, its assessment that NIVO SC would be cost</w:t>
      </w:r>
      <w:r w:rsidR="00347AE2">
        <w:t>-</w:t>
      </w:r>
      <w:r w:rsidR="007127A2">
        <w:t xml:space="preserve">effective if it were cost-minimised to </w:t>
      </w:r>
      <w:r w:rsidR="00347AE2">
        <w:t>NIVO IV</w:t>
      </w:r>
      <w:r w:rsidR="007127A2">
        <w:t>.</w:t>
      </w:r>
    </w:p>
    <w:p w14:paraId="65A859DC" w14:textId="300D59E7" w:rsidR="008245F0" w:rsidRDefault="008245F0" w:rsidP="00C17DC6">
      <w:pPr>
        <w:pStyle w:val="3-BodyText"/>
      </w:pPr>
      <w:r>
        <w:t>The PBA</w:t>
      </w:r>
      <w:r w:rsidR="004C7E5C">
        <w:t>C</w:t>
      </w:r>
      <w:r>
        <w:t xml:space="preserve"> considered the claim of non-inferior</w:t>
      </w:r>
      <w:r w:rsidR="00DF2FEA">
        <w:t xml:space="preserve"> comparative</w:t>
      </w:r>
      <w:r>
        <w:t xml:space="preserve"> effectiveness and safety </w:t>
      </w:r>
      <w:r w:rsidR="00707255">
        <w:t>to</w:t>
      </w:r>
      <w:r>
        <w:t xml:space="preserve"> NIVO IV was reasonable</w:t>
      </w:r>
      <w:r w:rsidR="004C7E5C">
        <w:t>.</w:t>
      </w:r>
    </w:p>
    <w:p w14:paraId="546374E9" w14:textId="7F230F9C" w:rsidR="0067755F" w:rsidRPr="00FA351B" w:rsidRDefault="0067755F" w:rsidP="00C17DC6">
      <w:pPr>
        <w:pStyle w:val="3-BodyText"/>
        <w:rPr>
          <w:rFonts w:cstheme="minorHAnsi"/>
          <w:szCs w:val="24"/>
        </w:rPr>
      </w:pPr>
      <w:r>
        <w:t>The PBA</w:t>
      </w:r>
      <w:r w:rsidR="00243488">
        <w:t>C</w:t>
      </w:r>
      <w:r w:rsidR="009D73F1">
        <w:t xml:space="preserve"> advised</w:t>
      </w:r>
      <w:r>
        <w:t xml:space="preserve"> </w:t>
      </w:r>
      <w:r w:rsidR="004F7BE7">
        <w:t>the equi-effective</w:t>
      </w:r>
      <w:r>
        <w:t xml:space="preserve"> </w:t>
      </w:r>
      <w:r w:rsidR="00DB5DF6">
        <w:t xml:space="preserve">doses to be </w:t>
      </w:r>
      <w:r>
        <w:rPr>
          <w:rFonts w:eastAsia="Times New Roman" w:cstheme="minorHAnsi"/>
          <w:iCs/>
          <w:snapToGrid w:val="0"/>
          <w:szCs w:val="24"/>
          <w:lang w:eastAsia="en-US"/>
        </w:rPr>
        <w:t xml:space="preserve">1200 mg NIVO SC </w:t>
      </w:r>
      <w:r w:rsidR="00DB5DF6">
        <w:rPr>
          <w:rFonts w:eastAsia="Times New Roman" w:cstheme="minorHAnsi"/>
          <w:iCs/>
          <w:snapToGrid w:val="0"/>
          <w:szCs w:val="24"/>
          <w:lang w:eastAsia="en-US"/>
        </w:rPr>
        <w:t>=</w:t>
      </w:r>
      <w:r w:rsidR="00243488">
        <w:rPr>
          <w:rFonts w:eastAsia="Times New Roman" w:cstheme="minorHAnsi"/>
          <w:iCs/>
          <w:snapToGrid w:val="0"/>
          <w:szCs w:val="24"/>
          <w:lang w:eastAsia="en-US"/>
        </w:rPr>
        <w:t xml:space="preserve"> </w:t>
      </w:r>
      <w:r>
        <w:rPr>
          <w:rFonts w:eastAsia="Times New Roman" w:cstheme="minorHAnsi"/>
          <w:iCs/>
          <w:snapToGrid w:val="0"/>
          <w:szCs w:val="24"/>
          <w:lang w:eastAsia="en-US"/>
        </w:rPr>
        <w:t>480 mg NIVO IV.</w:t>
      </w:r>
    </w:p>
    <w:p w14:paraId="01F32458" w14:textId="40C066A9" w:rsidR="009B44D9" w:rsidRPr="00CA3419" w:rsidRDefault="00B2722F" w:rsidP="00C17DC6">
      <w:pPr>
        <w:pStyle w:val="3-BodyText"/>
        <w:rPr>
          <w:rFonts w:cstheme="minorHAnsi"/>
          <w:szCs w:val="24"/>
        </w:rPr>
      </w:pPr>
      <w:r>
        <w:t xml:space="preserve">The PBAC </w:t>
      </w:r>
      <w:r w:rsidR="004116EF">
        <w:t xml:space="preserve">considered that dual </w:t>
      </w:r>
      <w:r w:rsidR="004116EF" w:rsidRPr="004116EF">
        <w:t>Section 85 General Schedule and Section 100 (Efficient Funding of Chemotherapy – Related Benefits)</w:t>
      </w:r>
      <w:r w:rsidR="00A975FB">
        <w:t xml:space="preserve"> listings would be appropriate noting </w:t>
      </w:r>
      <w:r w:rsidR="00F1670F">
        <w:t xml:space="preserve">it previously </w:t>
      </w:r>
      <w:r w:rsidR="000730DA">
        <w:t xml:space="preserve">recommended dual listing for </w:t>
      </w:r>
      <w:r w:rsidR="006F4C08">
        <w:t>subcutaneous</w:t>
      </w:r>
      <w:r w:rsidR="000730DA">
        <w:t xml:space="preserve"> forms of </w:t>
      </w:r>
      <w:r w:rsidR="006F4C08">
        <w:t>I.V.</w:t>
      </w:r>
      <w:r w:rsidR="009D1A16">
        <w:t xml:space="preserve"> infusions for the treatment of cancer including atezolizumab, trastuzumab, rituximab and daratumumab. </w:t>
      </w:r>
      <w:r w:rsidR="00D82758">
        <w:t>The PBAC noted consumer inputs</w:t>
      </w:r>
      <w:r w:rsidR="009B0AE8">
        <w:t xml:space="preserve">, which included </w:t>
      </w:r>
      <w:r w:rsidR="00E26CFB">
        <w:t>input from organisations,</w:t>
      </w:r>
      <w:r w:rsidR="00D82758">
        <w:t xml:space="preserve"> which expressed a pre</w:t>
      </w:r>
      <w:r w:rsidR="00C175DC">
        <w:t xml:space="preserve">ference for </w:t>
      </w:r>
      <w:r w:rsidR="007B5E68">
        <w:t>Section 100 (EFC – Public/Private Hospital)</w:t>
      </w:r>
      <w:r w:rsidR="00C175DC">
        <w:t xml:space="preserve"> listing</w:t>
      </w:r>
      <w:r w:rsidR="007B5E68">
        <w:t>s</w:t>
      </w:r>
      <w:r w:rsidR="00C175DC">
        <w:t xml:space="preserve"> on the basis that certain compounding-r</w:t>
      </w:r>
      <w:r w:rsidR="00015B26">
        <w:t xml:space="preserve">elated activities are not remunerated under General Schedule </w:t>
      </w:r>
      <w:r w:rsidR="007B5E68">
        <w:t xml:space="preserve">and Section 100 (EFC – Related Benefits) </w:t>
      </w:r>
      <w:r w:rsidR="00015B26">
        <w:t xml:space="preserve">listings. </w:t>
      </w:r>
      <w:r w:rsidR="00660CAF">
        <w:rPr>
          <w:rFonts w:cstheme="minorHAnsi"/>
          <w:szCs w:val="24"/>
        </w:rPr>
        <w:t xml:space="preserve">However, the </w:t>
      </w:r>
      <w:r w:rsidR="003F397A" w:rsidRPr="00CA3419">
        <w:rPr>
          <w:rFonts w:cstheme="minorHAnsi"/>
          <w:szCs w:val="24"/>
        </w:rPr>
        <w:t xml:space="preserve">PBAC noted </w:t>
      </w:r>
      <w:r w:rsidR="006A2592" w:rsidRPr="00CA3419">
        <w:rPr>
          <w:rFonts w:cstheme="minorHAnsi"/>
          <w:szCs w:val="24"/>
        </w:rPr>
        <w:t xml:space="preserve">that NIVO </w:t>
      </w:r>
      <w:r w:rsidR="003C3B3D" w:rsidRPr="00CA3419">
        <w:rPr>
          <w:rFonts w:cstheme="minorHAnsi"/>
          <w:szCs w:val="24"/>
        </w:rPr>
        <w:t xml:space="preserve">SC </w:t>
      </w:r>
      <w:r w:rsidR="00CA3419" w:rsidRPr="00CA3419">
        <w:rPr>
          <w:rFonts w:cstheme="minorHAnsi"/>
          <w:szCs w:val="24"/>
        </w:rPr>
        <w:t xml:space="preserve">is </w:t>
      </w:r>
      <w:r w:rsidR="003C3B3D" w:rsidRPr="00CA3419">
        <w:rPr>
          <w:rFonts w:cstheme="minorHAnsi"/>
          <w:szCs w:val="24"/>
        </w:rPr>
        <w:t xml:space="preserve">only intended for flat dosing </w:t>
      </w:r>
      <w:r w:rsidR="00CA3419" w:rsidRPr="00CA3419">
        <w:rPr>
          <w:rFonts w:cstheme="minorHAnsi"/>
          <w:szCs w:val="24"/>
        </w:rPr>
        <w:t>regime and</w:t>
      </w:r>
      <w:r w:rsidR="003C3B3D" w:rsidRPr="00CA3419">
        <w:rPr>
          <w:rFonts w:cstheme="minorHAnsi"/>
          <w:szCs w:val="24"/>
        </w:rPr>
        <w:t xml:space="preserve"> would not require the same level of chemotherapy compounding in comparison to other </w:t>
      </w:r>
      <w:r w:rsidR="00CA3419" w:rsidRPr="00CA3419">
        <w:rPr>
          <w:rFonts w:cstheme="minorHAnsi"/>
          <w:szCs w:val="24"/>
        </w:rPr>
        <w:t>S</w:t>
      </w:r>
      <w:r w:rsidR="00CA3419">
        <w:rPr>
          <w:rFonts w:cstheme="minorHAnsi"/>
          <w:szCs w:val="24"/>
        </w:rPr>
        <w:t>e</w:t>
      </w:r>
      <w:r w:rsidR="00CA3419" w:rsidRPr="00CA3419">
        <w:rPr>
          <w:rFonts w:cstheme="minorHAnsi"/>
          <w:szCs w:val="24"/>
        </w:rPr>
        <w:t xml:space="preserve">ction 100 </w:t>
      </w:r>
      <w:r w:rsidR="003C3B3D" w:rsidRPr="00CA3419">
        <w:rPr>
          <w:rFonts w:cstheme="minorHAnsi"/>
          <w:szCs w:val="24"/>
        </w:rPr>
        <w:t>(EFC</w:t>
      </w:r>
      <w:r w:rsidR="00C70AC8">
        <w:rPr>
          <w:rFonts w:cstheme="minorHAnsi"/>
          <w:szCs w:val="24"/>
        </w:rPr>
        <w:t xml:space="preserve"> </w:t>
      </w:r>
      <w:r w:rsidR="00DC2C11">
        <w:rPr>
          <w:rFonts w:cstheme="minorHAnsi"/>
          <w:szCs w:val="24"/>
        </w:rPr>
        <w:t>–</w:t>
      </w:r>
      <w:r w:rsidR="00C70AC8">
        <w:rPr>
          <w:rFonts w:cstheme="minorHAnsi"/>
          <w:szCs w:val="24"/>
        </w:rPr>
        <w:t xml:space="preserve"> Public</w:t>
      </w:r>
      <w:r w:rsidR="00DC2C11">
        <w:rPr>
          <w:rFonts w:cstheme="minorHAnsi"/>
          <w:szCs w:val="24"/>
        </w:rPr>
        <w:t>/Private</w:t>
      </w:r>
      <w:r w:rsidR="003C3B3D" w:rsidRPr="00CA3419">
        <w:rPr>
          <w:rFonts w:cstheme="minorHAnsi"/>
          <w:szCs w:val="24"/>
        </w:rPr>
        <w:t xml:space="preserve">) </w:t>
      </w:r>
      <w:r w:rsidR="00F2502B">
        <w:rPr>
          <w:rFonts w:cstheme="minorHAnsi"/>
          <w:szCs w:val="24"/>
        </w:rPr>
        <w:t>items</w:t>
      </w:r>
      <w:r w:rsidR="003C3B3D" w:rsidRPr="00CA3419">
        <w:rPr>
          <w:rFonts w:cstheme="minorHAnsi"/>
          <w:szCs w:val="24"/>
        </w:rPr>
        <w:t xml:space="preserve">. </w:t>
      </w:r>
    </w:p>
    <w:p w14:paraId="3C9FA4C4" w14:textId="302F35C4" w:rsidR="00FA351B" w:rsidRPr="001F1F33" w:rsidRDefault="00677364" w:rsidP="00C17DC6">
      <w:pPr>
        <w:pStyle w:val="3-BodyText"/>
        <w:rPr>
          <w:rFonts w:cstheme="minorHAnsi"/>
          <w:szCs w:val="24"/>
        </w:rPr>
      </w:pPr>
      <w:r>
        <w:rPr>
          <w:rFonts w:cstheme="minorHAnsi"/>
          <w:szCs w:val="24"/>
        </w:rPr>
        <w:t>The PBAC</w:t>
      </w:r>
      <w:r w:rsidR="008E04B6">
        <w:rPr>
          <w:rFonts w:cstheme="minorHAnsi"/>
          <w:szCs w:val="24"/>
        </w:rPr>
        <w:t xml:space="preserve"> </w:t>
      </w:r>
      <w:r w:rsidR="0058470F">
        <w:rPr>
          <w:rFonts w:cstheme="minorHAnsi"/>
          <w:szCs w:val="24"/>
        </w:rPr>
        <w:t>noted that the</w:t>
      </w:r>
      <w:r w:rsidR="008E04B6">
        <w:t xml:space="preserve"> dual Section 100 EFC (Related Benefits) and General Schedule </w:t>
      </w:r>
      <w:r w:rsidR="00F02C07">
        <w:t xml:space="preserve">listings </w:t>
      </w:r>
      <w:r w:rsidR="008E04B6">
        <w:t>would likely result in a modest cost saving to the PBS/RPBS</w:t>
      </w:r>
      <w:r w:rsidR="00F02C07">
        <w:t xml:space="preserve"> due to differences in mark-ups between </w:t>
      </w:r>
      <w:r w:rsidR="005571A0">
        <w:t>the requested listings and the</w:t>
      </w:r>
      <w:r w:rsidR="005571A0" w:rsidRPr="005571A0">
        <w:t xml:space="preserve"> existing Section 100 (</w:t>
      </w:r>
      <w:r w:rsidR="008E0379">
        <w:t>EFC – Public/Private Hospital)</w:t>
      </w:r>
      <w:r w:rsidR="005571A0" w:rsidRPr="005571A0">
        <w:t xml:space="preserve"> listings for NIVO IV</w:t>
      </w:r>
      <w:r w:rsidR="005571A0">
        <w:t>.</w:t>
      </w:r>
    </w:p>
    <w:p w14:paraId="6E04BEE9" w14:textId="1E2E67E9" w:rsidR="001F1F33" w:rsidRPr="00B440F0" w:rsidRDefault="00A25582" w:rsidP="00C17DC6">
      <w:pPr>
        <w:pStyle w:val="3-BodyText"/>
        <w:rPr>
          <w:rFonts w:cstheme="minorHAnsi"/>
          <w:szCs w:val="24"/>
        </w:rPr>
      </w:pPr>
      <w:r>
        <w:rPr>
          <w:rFonts w:cstheme="minorHAnsi"/>
          <w:szCs w:val="24"/>
        </w:rPr>
        <w:t xml:space="preserve">The </w:t>
      </w:r>
      <w:r w:rsidR="001F1F33" w:rsidRPr="001F1F33">
        <w:rPr>
          <w:rFonts w:cstheme="minorHAnsi"/>
          <w:szCs w:val="24"/>
        </w:rPr>
        <w:t xml:space="preserve">PBAC considered </w:t>
      </w:r>
      <w:r w:rsidR="00340D62">
        <w:rPr>
          <w:rFonts w:cstheme="minorHAnsi"/>
          <w:szCs w:val="24"/>
        </w:rPr>
        <w:t xml:space="preserve">that the </w:t>
      </w:r>
      <w:r w:rsidR="001F1F33" w:rsidRPr="001F1F33">
        <w:rPr>
          <w:rFonts w:cstheme="minorHAnsi"/>
          <w:szCs w:val="24"/>
        </w:rPr>
        <w:t>prescribing instructions</w:t>
      </w:r>
      <w:r w:rsidR="00340D62">
        <w:rPr>
          <w:rFonts w:cstheme="minorHAnsi"/>
          <w:szCs w:val="24"/>
        </w:rPr>
        <w:t xml:space="preserve"> proposed by the sponsor in the pre-PBAC Response</w:t>
      </w:r>
      <w:r w:rsidR="001F1F33" w:rsidRPr="001F1F33">
        <w:rPr>
          <w:rFonts w:cstheme="minorHAnsi"/>
          <w:szCs w:val="24"/>
        </w:rPr>
        <w:t xml:space="preserve"> specifying that </w:t>
      </w:r>
      <w:r w:rsidR="00964028" w:rsidRPr="00964028">
        <w:rPr>
          <w:rFonts w:cstheme="minorHAnsi"/>
          <w:szCs w:val="24"/>
        </w:rPr>
        <w:t xml:space="preserve">patients must only receive 600 mg every two weeks or 1200 mg every four weeks under a flat dosing regimen would be appropriate to </w:t>
      </w:r>
      <w:r w:rsidR="00F06DDD">
        <w:rPr>
          <w:rFonts w:cstheme="minorHAnsi"/>
          <w:szCs w:val="24"/>
        </w:rPr>
        <w:t>differentiate</w:t>
      </w:r>
      <w:r w:rsidR="00F06DDD" w:rsidRPr="00964028">
        <w:rPr>
          <w:rFonts w:cstheme="minorHAnsi"/>
          <w:szCs w:val="24"/>
        </w:rPr>
        <w:t xml:space="preserve"> </w:t>
      </w:r>
      <w:r w:rsidR="00964028" w:rsidRPr="00964028">
        <w:rPr>
          <w:rFonts w:cstheme="minorHAnsi"/>
          <w:szCs w:val="24"/>
        </w:rPr>
        <w:t xml:space="preserve">the use of </w:t>
      </w:r>
      <w:r w:rsidR="00862B51">
        <w:rPr>
          <w:rFonts w:cstheme="minorHAnsi"/>
          <w:szCs w:val="24"/>
        </w:rPr>
        <w:t>NIVO</w:t>
      </w:r>
      <w:r w:rsidR="00964028" w:rsidRPr="00964028">
        <w:rPr>
          <w:rFonts w:cstheme="minorHAnsi"/>
          <w:szCs w:val="24"/>
        </w:rPr>
        <w:t xml:space="preserve"> SC to use as part of a flat dosing regimen and not in combination with ipilimumab.</w:t>
      </w:r>
    </w:p>
    <w:p w14:paraId="35F03B6E" w14:textId="7F1ABD51" w:rsidR="00B440F0" w:rsidRDefault="009E451E" w:rsidP="00C17DC6">
      <w:pPr>
        <w:pStyle w:val="3-BodyText"/>
        <w:rPr>
          <w:rFonts w:cstheme="minorHAnsi"/>
          <w:szCs w:val="24"/>
        </w:rPr>
      </w:pPr>
      <w:r w:rsidRPr="009E451E">
        <w:rPr>
          <w:rFonts w:cstheme="minorHAnsi"/>
          <w:szCs w:val="24"/>
        </w:rPr>
        <w:t xml:space="preserve">The PBAC considered that it would be reasonable for </w:t>
      </w:r>
      <w:r>
        <w:rPr>
          <w:rFonts w:cstheme="minorHAnsi"/>
          <w:szCs w:val="24"/>
        </w:rPr>
        <w:t>NIVO</w:t>
      </w:r>
      <w:r w:rsidRPr="009E451E">
        <w:rPr>
          <w:rFonts w:cstheme="minorHAnsi"/>
          <w:szCs w:val="24"/>
        </w:rPr>
        <w:t xml:space="preserve"> SC to join the existing </w:t>
      </w:r>
      <w:r w:rsidR="001912EA">
        <w:rPr>
          <w:rFonts w:cstheme="minorHAnsi"/>
          <w:szCs w:val="24"/>
        </w:rPr>
        <w:t>risk-sharing</w:t>
      </w:r>
      <w:r w:rsidR="005A1828">
        <w:rPr>
          <w:rFonts w:cstheme="minorHAnsi"/>
          <w:szCs w:val="24"/>
        </w:rPr>
        <w:t xml:space="preserve"> arrangements in place for NIVO IV</w:t>
      </w:r>
      <w:r w:rsidR="005935CE">
        <w:rPr>
          <w:rFonts w:cstheme="minorHAnsi"/>
          <w:szCs w:val="24"/>
        </w:rPr>
        <w:t xml:space="preserve"> without any changes to caps</w:t>
      </w:r>
      <w:r w:rsidR="005A1828">
        <w:rPr>
          <w:rFonts w:cstheme="minorHAnsi"/>
          <w:szCs w:val="24"/>
        </w:rPr>
        <w:t>.</w:t>
      </w:r>
    </w:p>
    <w:p w14:paraId="19C7DA37" w14:textId="1312BF72" w:rsidR="00A8077F" w:rsidRPr="00234CD9" w:rsidRDefault="00A8077F" w:rsidP="00C17DC6">
      <w:pPr>
        <w:numPr>
          <w:ilvl w:val="1"/>
          <w:numId w:val="1"/>
        </w:numPr>
        <w:contextualSpacing/>
        <w:rPr>
          <w:rFonts w:asciiTheme="minorHAnsi" w:hAnsiTheme="minorHAnsi" w:cstheme="minorHAnsi"/>
        </w:rPr>
      </w:pPr>
      <w:r w:rsidRPr="00234CD9">
        <w:rPr>
          <w:rFonts w:asciiTheme="minorHAnsi" w:hAnsiTheme="minorHAnsi" w:cstheme="minorHAnsi"/>
          <w:lang w:val="en-GB"/>
        </w:rPr>
        <w:t xml:space="preserve">The PBAC noted that its recommendation was on a cost-minimisation basis and advised that, because </w:t>
      </w:r>
      <w:r w:rsidR="00A67862" w:rsidRPr="00234CD9">
        <w:rPr>
          <w:rFonts w:asciiTheme="minorHAnsi" w:hAnsiTheme="minorHAnsi" w:cstheme="minorHAnsi"/>
          <w:lang w:val="en-GB"/>
        </w:rPr>
        <w:t>NIVO SC</w:t>
      </w:r>
      <w:r w:rsidR="00C17DC6">
        <w:rPr>
          <w:rFonts w:asciiTheme="minorHAnsi" w:hAnsiTheme="minorHAnsi" w:cstheme="minorHAnsi"/>
          <w:lang w:val="en-GB"/>
        </w:rPr>
        <w:t xml:space="preserve"> </w:t>
      </w:r>
      <w:r w:rsidRPr="00234CD9">
        <w:rPr>
          <w:rFonts w:asciiTheme="minorHAnsi" w:hAnsiTheme="minorHAnsi" w:cstheme="minorHAnsi"/>
          <w:lang w:val="en-GB"/>
        </w:rPr>
        <w:t>is not expected to provide a substantial</w:t>
      </w:r>
      <w:r w:rsidRPr="00234CD9">
        <w:rPr>
          <w:rFonts w:asciiTheme="minorHAnsi" w:hAnsiTheme="minorHAnsi"/>
          <w:bCs/>
          <w:lang w:val="en-GB"/>
        </w:rPr>
        <w:t xml:space="preserve"> and clinically relevant improvement in efficacy, or reduction of toxicity, over </w:t>
      </w:r>
      <w:r w:rsidR="00A67862" w:rsidRPr="00234CD9">
        <w:rPr>
          <w:rFonts w:asciiTheme="minorHAnsi" w:hAnsiTheme="minorHAnsi"/>
          <w:bCs/>
          <w:lang w:val="en-GB"/>
        </w:rPr>
        <w:t>NIVO IV</w:t>
      </w:r>
      <w:r w:rsidRPr="00234CD9">
        <w:rPr>
          <w:rFonts w:asciiTheme="minorHAnsi" w:hAnsiTheme="minorHAnsi"/>
          <w:bCs/>
          <w:lang w:val="en-GB"/>
        </w:rPr>
        <w:t xml:space="preserve"> or not expected to address a high and urgent unmet clinical need given the presence of an alternative therapy, the criteria prescribed by the </w:t>
      </w:r>
      <w:r w:rsidRPr="00234CD9">
        <w:rPr>
          <w:rFonts w:asciiTheme="minorHAnsi" w:hAnsiTheme="minorHAnsi"/>
          <w:bCs/>
          <w:i/>
          <w:lang w:val="en-GB"/>
        </w:rPr>
        <w:t>National Health (Pharmaceuticals and Vaccines – Cost Recovery) Regulations 2022</w:t>
      </w:r>
      <w:r w:rsidRPr="00234CD9">
        <w:rPr>
          <w:rFonts w:asciiTheme="minorHAnsi" w:hAnsiTheme="minorHAnsi"/>
          <w:bCs/>
          <w:lang w:val="en-GB"/>
        </w:rPr>
        <w:t xml:space="preserve"> for Pricing Pathway A were not met.</w:t>
      </w:r>
    </w:p>
    <w:p w14:paraId="230B294D" w14:textId="77777777" w:rsidR="00A8077F" w:rsidRPr="00234CD9" w:rsidRDefault="00A8077F" w:rsidP="00C17DC6">
      <w:pPr>
        <w:rPr>
          <w:rFonts w:cstheme="minorHAnsi"/>
        </w:rPr>
      </w:pPr>
    </w:p>
    <w:p w14:paraId="22DEBC51" w14:textId="36CCE1D0" w:rsidR="007B2DD8" w:rsidRDefault="007B2DD8" w:rsidP="00C17DC6">
      <w:pPr>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 xml:space="preserve">The PBAC noted that this submission </w:t>
      </w:r>
      <w:r w:rsidR="00373BA0">
        <w:rPr>
          <w:rFonts w:asciiTheme="minorHAnsi" w:hAnsiTheme="minorHAnsi"/>
          <w:bCs/>
          <w:snapToGrid w:val="0"/>
          <w:lang w:val="en-GB"/>
        </w:rPr>
        <w:t>is not eligible for an Independent Review as it received a positive recommendation</w:t>
      </w:r>
      <w:r w:rsidR="002319FC">
        <w:rPr>
          <w:rFonts w:asciiTheme="minorHAnsi" w:hAnsiTheme="minorHAnsi"/>
          <w:bCs/>
          <w:snapToGrid w:val="0"/>
          <w:lang w:val="en-GB"/>
        </w:rPr>
        <w:t>.</w:t>
      </w:r>
    </w:p>
    <w:p w14:paraId="09E2FD75" w14:textId="3E6A3DC2" w:rsidR="007B51E8" w:rsidRPr="005F7BD8" w:rsidRDefault="007B2DD8" w:rsidP="00C17DC6">
      <w:pPr>
        <w:pStyle w:val="3-BodyText"/>
        <w:numPr>
          <w:ilvl w:val="0"/>
          <w:numId w:val="0"/>
        </w:numPr>
        <w:spacing w:after="0"/>
        <w:rPr>
          <w:b/>
          <w:bCs/>
        </w:rPr>
      </w:pPr>
      <w:r w:rsidRPr="005F7BD8">
        <w:rPr>
          <w:b/>
          <w:bCs/>
        </w:rPr>
        <w:t xml:space="preserve">Outcome: </w:t>
      </w:r>
    </w:p>
    <w:p w14:paraId="30DE42C9" w14:textId="262A8D68" w:rsidR="00355BAA" w:rsidRPr="00AD1793" w:rsidRDefault="007B2DD8" w:rsidP="00C17DC6">
      <w:pPr>
        <w:pStyle w:val="3-BodyText"/>
        <w:numPr>
          <w:ilvl w:val="0"/>
          <w:numId w:val="0"/>
        </w:numPr>
        <w:spacing w:before="0"/>
      </w:pPr>
      <w:r>
        <w:t xml:space="preserve">Recommended </w:t>
      </w:r>
      <w:bookmarkStart w:id="6" w:name="_Hlk111543254"/>
    </w:p>
    <w:bookmarkEnd w:id="6"/>
    <w:p w14:paraId="721002F1" w14:textId="00FA8D44" w:rsidR="00275255" w:rsidRDefault="00F61385" w:rsidP="00C17DC6">
      <w:pPr>
        <w:pStyle w:val="2-SectionHeading"/>
      </w:pPr>
      <w:r>
        <w:t xml:space="preserve">Recommended listing </w:t>
      </w:r>
    </w:p>
    <w:p w14:paraId="5A3AD665" w14:textId="1A4A51B6" w:rsidR="008E3049" w:rsidRPr="00525B39" w:rsidRDefault="008E3049" w:rsidP="00C17DC6">
      <w:pPr>
        <w:pStyle w:val="3-BodyText"/>
        <w:rPr>
          <w:snapToGrid w:val="0"/>
        </w:rPr>
      </w:pPr>
      <w:r w:rsidRPr="00525B39">
        <w:rPr>
          <w:snapToGrid w:val="0"/>
        </w:rPr>
        <w:t>Add new item:</w:t>
      </w:r>
    </w:p>
    <w:p w14:paraId="6E4CB248" w14:textId="77777777" w:rsidR="00F2619B" w:rsidRDefault="00F2619B" w:rsidP="00C17DC6">
      <w:pPr>
        <w:pStyle w:val="4-SubsectionHeading"/>
      </w:pPr>
      <w:r w:rsidRPr="00BB74B0">
        <w:t>Stage IIIB, IIIC, IIID or Stage IV malignant melanoma</w:t>
      </w:r>
      <w:r>
        <w:t xml:space="preserve"> (based on current item codes 11906P &amp; 11900H)</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tage IIIB, IIIC, IIID or Stage IV malignant melanoma (based on current item codes 11906P &amp; 11900H)"/>
      </w:tblPr>
      <w:tblGrid>
        <w:gridCol w:w="3822"/>
        <w:gridCol w:w="1107"/>
        <w:gridCol w:w="845"/>
        <w:gridCol w:w="882"/>
        <w:gridCol w:w="709"/>
        <w:gridCol w:w="1844"/>
      </w:tblGrid>
      <w:tr w:rsidR="00F848A3" w:rsidRPr="00842A5C" w14:paraId="390E5CA6" w14:textId="77777777" w:rsidTr="00CD5258">
        <w:trPr>
          <w:cantSplit/>
          <w:trHeight w:val="471"/>
        </w:trPr>
        <w:tc>
          <w:tcPr>
            <w:tcW w:w="5000" w:type="pct"/>
            <w:gridSpan w:val="6"/>
          </w:tcPr>
          <w:p w14:paraId="60A1C4F9" w14:textId="10BDE597" w:rsidR="00F848A3" w:rsidRPr="00842A5C" w:rsidRDefault="00F848A3" w:rsidP="00C17DC6">
            <w:pPr>
              <w:pStyle w:val="Restrictiontemplate"/>
              <w:rPr>
                <w:b/>
                <w:lang w:val="fr-FR"/>
              </w:rPr>
            </w:pPr>
          </w:p>
        </w:tc>
      </w:tr>
      <w:tr w:rsidR="00F848A3" w:rsidRPr="00842A5C" w14:paraId="2DE0FDAF" w14:textId="77777777" w:rsidTr="00CD5258">
        <w:trPr>
          <w:cantSplit/>
          <w:trHeight w:val="471"/>
        </w:trPr>
        <w:tc>
          <w:tcPr>
            <w:tcW w:w="2075" w:type="pct"/>
          </w:tcPr>
          <w:p w14:paraId="77051E20" w14:textId="77777777" w:rsidR="00F848A3" w:rsidRPr="00CD5258" w:rsidRDefault="00F848A3" w:rsidP="00C17DC6">
            <w:pPr>
              <w:pStyle w:val="Restrictiontemplate"/>
              <w:rPr>
                <w:b/>
                <w:bCs/>
              </w:rPr>
            </w:pPr>
            <w:r w:rsidRPr="00CD5258">
              <w:rPr>
                <w:b/>
                <w:bCs/>
              </w:rPr>
              <w:t>MEDICINAL PRODUCT</w:t>
            </w:r>
          </w:p>
          <w:p w14:paraId="1A6198F4" w14:textId="77777777" w:rsidR="00F848A3" w:rsidRPr="00CD5258" w:rsidRDefault="00F848A3" w:rsidP="00C17DC6">
            <w:pPr>
              <w:pStyle w:val="Restrictiontemplate"/>
              <w:rPr>
                <w:b/>
                <w:bCs/>
              </w:rPr>
            </w:pPr>
            <w:r w:rsidRPr="00CD5258">
              <w:rPr>
                <w:b/>
                <w:bCs/>
              </w:rPr>
              <w:t>medicinal product pack</w:t>
            </w:r>
          </w:p>
        </w:tc>
        <w:tc>
          <w:tcPr>
            <w:tcW w:w="601" w:type="pct"/>
          </w:tcPr>
          <w:p w14:paraId="2D358EB3" w14:textId="77777777" w:rsidR="00F848A3" w:rsidRPr="00CD5258" w:rsidRDefault="00F848A3" w:rsidP="00C17DC6">
            <w:pPr>
              <w:pStyle w:val="Restrictiontemplate"/>
              <w:rPr>
                <w:b/>
                <w:bCs/>
              </w:rPr>
            </w:pPr>
            <w:r w:rsidRPr="00CD5258">
              <w:rPr>
                <w:b/>
                <w:bCs/>
              </w:rPr>
              <w:t>PBS item code</w:t>
            </w:r>
          </w:p>
        </w:tc>
        <w:tc>
          <w:tcPr>
            <w:tcW w:w="459" w:type="pct"/>
          </w:tcPr>
          <w:p w14:paraId="7AB03C7F" w14:textId="77777777" w:rsidR="00F848A3" w:rsidRPr="00CD5258" w:rsidRDefault="00F848A3" w:rsidP="00C17DC6">
            <w:pPr>
              <w:pStyle w:val="Restrictiontemplate"/>
              <w:rPr>
                <w:b/>
                <w:bCs/>
              </w:rPr>
            </w:pPr>
            <w:r w:rsidRPr="00CD5258">
              <w:rPr>
                <w:b/>
                <w:bCs/>
              </w:rPr>
              <w:t>Max. qty packs</w:t>
            </w:r>
          </w:p>
        </w:tc>
        <w:tc>
          <w:tcPr>
            <w:tcW w:w="479" w:type="pct"/>
          </w:tcPr>
          <w:p w14:paraId="560DBB50" w14:textId="77777777" w:rsidR="00F848A3" w:rsidRPr="00CD5258" w:rsidRDefault="00F848A3" w:rsidP="00C17DC6">
            <w:pPr>
              <w:pStyle w:val="Restrictiontemplate"/>
              <w:rPr>
                <w:b/>
                <w:bCs/>
              </w:rPr>
            </w:pPr>
            <w:r w:rsidRPr="00CD5258">
              <w:rPr>
                <w:b/>
                <w:bCs/>
              </w:rPr>
              <w:t>Max. qty units</w:t>
            </w:r>
          </w:p>
        </w:tc>
        <w:tc>
          <w:tcPr>
            <w:tcW w:w="385" w:type="pct"/>
          </w:tcPr>
          <w:p w14:paraId="67D7CA8C" w14:textId="601D8208" w:rsidR="00F848A3" w:rsidRPr="00CD5258" w:rsidRDefault="000D7714" w:rsidP="00C17DC6">
            <w:pPr>
              <w:pStyle w:val="Restrictiontemplate"/>
              <w:rPr>
                <w:b/>
                <w:bCs/>
              </w:rPr>
            </w:pPr>
            <w:r w:rsidRPr="000D7714">
              <w:rPr>
                <w:b/>
                <w:bCs/>
              </w:rPr>
              <w:t>№. of</w:t>
            </w:r>
          </w:p>
          <w:p w14:paraId="5C823892" w14:textId="77777777" w:rsidR="00F848A3" w:rsidRPr="00CD5258" w:rsidRDefault="00F848A3" w:rsidP="00C17DC6">
            <w:pPr>
              <w:pStyle w:val="Restrictiontemplate"/>
              <w:rPr>
                <w:b/>
                <w:bCs/>
              </w:rPr>
            </w:pPr>
            <w:r w:rsidRPr="00CD5258">
              <w:rPr>
                <w:b/>
                <w:bCs/>
              </w:rPr>
              <w:t>Rpts</w:t>
            </w:r>
          </w:p>
        </w:tc>
        <w:tc>
          <w:tcPr>
            <w:tcW w:w="1001" w:type="pct"/>
          </w:tcPr>
          <w:p w14:paraId="0AC11F78" w14:textId="77777777" w:rsidR="00F848A3" w:rsidRPr="00CD5258" w:rsidRDefault="00F848A3" w:rsidP="00C17DC6">
            <w:pPr>
              <w:pStyle w:val="Restrictiontemplate"/>
              <w:rPr>
                <w:b/>
                <w:bCs/>
                <w:lang w:val="fr-FR"/>
              </w:rPr>
            </w:pPr>
            <w:r w:rsidRPr="00CD5258">
              <w:rPr>
                <w:b/>
                <w:bCs/>
              </w:rPr>
              <w:t>Available brands</w:t>
            </w:r>
          </w:p>
        </w:tc>
      </w:tr>
      <w:tr w:rsidR="00F848A3" w:rsidRPr="00842A5C" w14:paraId="283A0410" w14:textId="77777777" w:rsidTr="00CD5258">
        <w:trPr>
          <w:cantSplit/>
          <w:trHeight w:val="224"/>
        </w:trPr>
        <w:tc>
          <w:tcPr>
            <w:tcW w:w="5000" w:type="pct"/>
            <w:gridSpan w:val="6"/>
          </w:tcPr>
          <w:p w14:paraId="2B70FA2B" w14:textId="77777777" w:rsidR="00F848A3" w:rsidRPr="00842A5C" w:rsidRDefault="00F848A3" w:rsidP="00C17DC6">
            <w:pPr>
              <w:pStyle w:val="Restrictiontemplate"/>
            </w:pPr>
            <w:r w:rsidRPr="00842A5C">
              <w:t>NIVOLUMAB</w:t>
            </w:r>
          </w:p>
        </w:tc>
      </w:tr>
      <w:tr w:rsidR="00F848A3" w:rsidRPr="00842A5C" w14:paraId="510A0527" w14:textId="77777777" w:rsidTr="00CD5258">
        <w:trPr>
          <w:cantSplit/>
          <w:trHeight w:val="347"/>
        </w:trPr>
        <w:tc>
          <w:tcPr>
            <w:tcW w:w="2075" w:type="pct"/>
          </w:tcPr>
          <w:p w14:paraId="54BA9561" w14:textId="6712653D" w:rsidR="00F848A3" w:rsidRPr="00842A5C" w:rsidRDefault="00F848A3" w:rsidP="00C17DC6">
            <w:pPr>
              <w:pStyle w:val="Restrictiontemplate"/>
            </w:pPr>
            <w:r w:rsidRPr="00842A5C">
              <w:t>nivolumab 600 mg/5 mL injection</w:t>
            </w:r>
            <w:r w:rsidR="00403302">
              <w:t>, 5</w:t>
            </w:r>
            <w:r w:rsidR="001B67F1">
              <w:t xml:space="preserve"> mL vial</w:t>
            </w:r>
          </w:p>
        </w:tc>
        <w:tc>
          <w:tcPr>
            <w:tcW w:w="601" w:type="pct"/>
          </w:tcPr>
          <w:p w14:paraId="15019397" w14:textId="77777777" w:rsidR="00F848A3" w:rsidRPr="00842A5C" w:rsidRDefault="00F848A3" w:rsidP="00C17DC6">
            <w:pPr>
              <w:pStyle w:val="Restrictiontemplate"/>
            </w:pPr>
            <w:r w:rsidRPr="00842A5C">
              <w:t>NEW (CT)</w:t>
            </w:r>
          </w:p>
        </w:tc>
        <w:tc>
          <w:tcPr>
            <w:tcW w:w="459" w:type="pct"/>
          </w:tcPr>
          <w:p w14:paraId="7887CA2A" w14:textId="77777777" w:rsidR="00F848A3" w:rsidRPr="00842A5C" w:rsidRDefault="00F848A3" w:rsidP="00C17DC6">
            <w:pPr>
              <w:pStyle w:val="Restrictiontemplate"/>
            </w:pPr>
            <w:r w:rsidRPr="00842A5C">
              <w:t>2</w:t>
            </w:r>
          </w:p>
        </w:tc>
        <w:tc>
          <w:tcPr>
            <w:tcW w:w="479" w:type="pct"/>
          </w:tcPr>
          <w:p w14:paraId="0C63A3F3" w14:textId="77777777" w:rsidR="00F848A3" w:rsidRPr="00842A5C" w:rsidRDefault="00F848A3" w:rsidP="00C17DC6">
            <w:pPr>
              <w:pStyle w:val="Restrictiontemplate"/>
            </w:pPr>
            <w:r w:rsidRPr="00842A5C">
              <w:t>2</w:t>
            </w:r>
          </w:p>
        </w:tc>
        <w:tc>
          <w:tcPr>
            <w:tcW w:w="385" w:type="pct"/>
          </w:tcPr>
          <w:p w14:paraId="659549F6" w14:textId="77777777" w:rsidR="00F848A3" w:rsidRPr="00842A5C" w:rsidRDefault="00F848A3" w:rsidP="00C17DC6">
            <w:pPr>
              <w:pStyle w:val="Restrictiontemplate"/>
            </w:pPr>
            <w:r w:rsidRPr="00842A5C">
              <w:t>5</w:t>
            </w:r>
          </w:p>
        </w:tc>
        <w:tc>
          <w:tcPr>
            <w:tcW w:w="1001" w:type="pct"/>
          </w:tcPr>
          <w:p w14:paraId="2B435469" w14:textId="3D9016CC" w:rsidR="00F848A3" w:rsidRPr="00842A5C" w:rsidRDefault="00F848A3" w:rsidP="00C17DC6">
            <w:pPr>
              <w:pStyle w:val="Restrictiontemplate"/>
            </w:pPr>
            <w:r w:rsidRPr="00842A5C">
              <w:t>Opdivo</w:t>
            </w:r>
            <w:r w:rsidR="00403302">
              <w:t xml:space="preserve"> SC</w:t>
            </w:r>
          </w:p>
        </w:tc>
      </w:tr>
      <w:tr w:rsidR="00F848A3" w:rsidRPr="00842A5C" w14:paraId="69A254C0" w14:textId="77777777" w:rsidTr="00CD5258">
        <w:trPr>
          <w:cantSplit/>
          <w:trHeight w:val="347"/>
        </w:trPr>
        <w:tc>
          <w:tcPr>
            <w:tcW w:w="2075" w:type="pct"/>
          </w:tcPr>
          <w:p w14:paraId="08748E2D" w14:textId="16DC7557" w:rsidR="00F848A3" w:rsidRPr="00842A5C" w:rsidRDefault="005D2B5F" w:rsidP="00C17DC6">
            <w:pPr>
              <w:pStyle w:val="Restrictiontemplate"/>
            </w:pPr>
            <w:r>
              <w:t>n</w:t>
            </w:r>
            <w:r w:rsidR="00F848A3" w:rsidRPr="00842A5C">
              <w:t>ivolumab 600 mg/5 mL injection</w:t>
            </w:r>
            <w:r w:rsidR="001B67F1">
              <w:t>, 5mL vial</w:t>
            </w:r>
          </w:p>
        </w:tc>
        <w:tc>
          <w:tcPr>
            <w:tcW w:w="601" w:type="pct"/>
          </w:tcPr>
          <w:p w14:paraId="7A7F0220" w14:textId="77777777" w:rsidR="00F848A3" w:rsidRPr="00842A5C" w:rsidRDefault="00F848A3" w:rsidP="00C17DC6">
            <w:pPr>
              <w:pStyle w:val="Restrictiontemplate"/>
            </w:pPr>
            <w:r w:rsidRPr="00842A5C">
              <w:t>NEW (GE)</w:t>
            </w:r>
          </w:p>
        </w:tc>
        <w:tc>
          <w:tcPr>
            <w:tcW w:w="459" w:type="pct"/>
          </w:tcPr>
          <w:p w14:paraId="75818526" w14:textId="77777777" w:rsidR="00F848A3" w:rsidRPr="00842A5C" w:rsidRDefault="00F848A3" w:rsidP="00C17DC6">
            <w:pPr>
              <w:pStyle w:val="Restrictiontemplate"/>
            </w:pPr>
            <w:r w:rsidRPr="00842A5C">
              <w:t>2</w:t>
            </w:r>
          </w:p>
        </w:tc>
        <w:tc>
          <w:tcPr>
            <w:tcW w:w="479" w:type="pct"/>
          </w:tcPr>
          <w:p w14:paraId="04DE0901" w14:textId="77777777" w:rsidR="00F848A3" w:rsidRPr="00842A5C" w:rsidRDefault="00F848A3" w:rsidP="00C17DC6">
            <w:pPr>
              <w:pStyle w:val="Restrictiontemplate"/>
            </w:pPr>
            <w:r w:rsidRPr="00842A5C">
              <w:t>2</w:t>
            </w:r>
          </w:p>
        </w:tc>
        <w:tc>
          <w:tcPr>
            <w:tcW w:w="385" w:type="pct"/>
          </w:tcPr>
          <w:p w14:paraId="550C2B20" w14:textId="77777777" w:rsidR="00F848A3" w:rsidRPr="00842A5C" w:rsidRDefault="00F848A3" w:rsidP="00C17DC6">
            <w:pPr>
              <w:pStyle w:val="Restrictiontemplate"/>
            </w:pPr>
            <w:r w:rsidRPr="00842A5C">
              <w:t>5</w:t>
            </w:r>
          </w:p>
        </w:tc>
        <w:tc>
          <w:tcPr>
            <w:tcW w:w="1001" w:type="pct"/>
          </w:tcPr>
          <w:p w14:paraId="4EDF5A91" w14:textId="7B06C131" w:rsidR="00F848A3" w:rsidRPr="00842A5C" w:rsidRDefault="00F848A3" w:rsidP="00C17DC6">
            <w:pPr>
              <w:pStyle w:val="Restrictiontemplate"/>
            </w:pPr>
            <w:r w:rsidRPr="00842A5C">
              <w:t>Opdivo</w:t>
            </w:r>
            <w:r w:rsidR="00403302">
              <w:t xml:space="preserve"> SC</w:t>
            </w:r>
          </w:p>
        </w:tc>
      </w:tr>
      <w:tr w:rsidR="00F848A3" w:rsidRPr="00842A5C" w14:paraId="1D0BF5BE" w14:textId="77777777" w:rsidTr="00CD525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39A2F0E" w14:textId="77777777" w:rsidR="00F848A3" w:rsidRPr="00842A5C" w:rsidRDefault="00F848A3" w:rsidP="00C17DC6">
            <w:pPr>
              <w:pStyle w:val="Restrictiontemplate"/>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80"/>
      </w:tblGrid>
      <w:tr w:rsidR="002A652B" w:rsidRPr="00E07FBD" w14:paraId="5E189D4F" w14:textId="77777777" w:rsidTr="00CD5258">
        <w:tc>
          <w:tcPr>
            <w:tcW w:w="1134"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282E386" w14:textId="77777777" w:rsidR="00717CF2" w:rsidRPr="00717CF2" w:rsidRDefault="00717CF2" w:rsidP="00C17DC6">
            <w:pPr>
              <w:pStyle w:val="Restrictiontemplate"/>
              <w:rPr>
                <w:rFonts w:eastAsia="Times New Roman" w:cs="Arial"/>
                <w:b/>
                <w:lang w:eastAsia="en-AU"/>
              </w:rPr>
            </w:pPr>
            <w:r w:rsidRPr="00717CF2">
              <w:rPr>
                <w:rFonts w:eastAsia="Times New Roman" w:cs="Arial"/>
                <w:b/>
                <w:lang w:eastAsia="en-AU"/>
              </w:rPr>
              <w:t xml:space="preserve">Concept ID </w:t>
            </w:r>
            <w:r w:rsidRPr="00717CF2">
              <w:rPr>
                <w:rFonts w:eastAsia="Times New Roman" w:cs="Arial"/>
                <w:lang w:eastAsia="en-AU"/>
              </w:rPr>
              <w:t xml:space="preserve">(for </w:t>
            </w:r>
            <w:r w:rsidRPr="00130FB6">
              <w:rPr>
                <w:rFonts w:eastAsia="Times New Roman" w:cs="Arial"/>
                <w:b/>
                <w:lang w:eastAsia="en-AU"/>
              </w:rPr>
              <w:t>internal</w:t>
            </w:r>
            <w:r w:rsidRPr="00717CF2">
              <w:rPr>
                <w:rFonts w:eastAsia="Times New Roman" w:cs="Arial"/>
                <w:lang w:eastAsia="en-AU"/>
              </w:rPr>
              <w:t xml:space="preserve"> Dept. use)</w:t>
            </w:r>
          </w:p>
        </w:tc>
        <w:tc>
          <w:tcPr>
            <w:tcW w:w="80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5F721C" w14:textId="77777777" w:rsidR="00717CF2" w:rsidRPr="00717CF2" w:rsidRDefault="00717CF2" w:rsidP="00C17DC6">
            <w:pPr>
              <w:rPr>
                <w:rFonts w:ascii="Arial Narrow" w:hAnsi="Arial Narrow" w:cs="Arial"/>
                <w:bCs/>
                <w:sz w:val="18"/>
                <w:szCs w:val="18"/>
              </w:rPr>
            </w:pPr>
            <w:r w:rsidRPr="00717CF2">
              <w:rPr>
                <w:rFonts w:ascii="Arial Narrow" w:hAnsi="Arial Narrow" w:cs="Arial"/>
                <w:bCs/>
                <w:sz w:val="18"/>
                <w:szCs w:val="18"/>
              </w:rPr>
              <w:t xml:space="preserve">Category / Program: </w:t>
            </w:r>
          </w:p>
          <w:p w14:paraId="22A95B43" w14:textId="77777777" w:rsidR="00717CF2" w:rsidRPr="00717CF2" w:rsidRDefault="00717CF2" w:rsidP="00C17DC6">
            <w:pPr>
              <w:jc w:val="left"/>
              <w:rPr>
                <w:rFonts w:ascii="Arial Narrow" w:hAnsi="Arial Narrow" w:cs="Arial"/>
                <w:bCs/>
                <w:sz w:val="18"/>
                <w:szCs w:val="18"/>
              </w:rPr>
            </w:pPr>
            <w:r w:rsidRPr="00717CF2">
              <w:rPr>
                <w:rFonts w:ascii="Arial Narrow" w:eastAsia="Calibri" w:hAnsi="Arial Narrow" w:cs="Arial"/>
                <w:bCs/>
                <w:sz w:val="18"/>
                <w:szCs w:val="18"/>
              </w:rPr>
              <w:fldChar w:fldCharType="begin" w:fldLock="1">
                <w:ffData>
                  <w:name w:val="Check1"/>
                  <w:enabled/>
                  <w:calcOnExit w:val="0"/>
                  <w:checkBox>
                    <w:sizeAuto/>
                    <w:default w:val="1"/>
                  </w:checkBox>
                </w:ffData>
              </w:fldChar>
            </w:r>
            <w:r w:rsidRPr="00717CF2">
              <w:rPr>
                <w:rFonts w:ascii="Arial Narrow" w:eastAsia="Calibri" w:hAnsi="Arial Narrow" w:cs="Arial"/>
                <w:bCs/>
                <w:sz w:val="18"/>
                <w:szCs w:val="18"/>
              </w:rPr>
              <w:instrText xml:space="preserve"> FORMCHECKBOX </w:instrText>
            </w:r>
            <w:r w:rsidRPr="00717CF2">
              <w:rPr>
                <w:rFonts w:ascii="Arial Narrow" w:eastAsia="Calibri" w:hAnsi="Arial Narrow" w:cs="Arial"/>
                <w:bCs/>
                <w:sz w:val="18"/>
                <w:szCs w:val="18"/>
              </w:rPr>
            </w:r>
            <w:r w:rsidRPr="00717CF2">
              <w:rPr>
                <w:rFonts w:ascii="Arial Narrow" w:eastAsia="Calibri" w:hAnsi="Arial Narrow" w:cs="Arial"/>
                <w:bCs/>
                <w:sz w:val="18"/>
                <w:szCs w:val="18"/>
              </w:rPr>
              <w:fldChar w:fldCharType="separate"/>
            </w:r>
            <w:r w:rsidRPr="00717CF2">
              <w:rPr>
                <w:rFonts w:ascii="Arial Narrow" w:eastAsia="Calibri" w:hAnsi="Arial Narrow" w:cs="Arial"/>
                <w:bCs/>
                <w:sz w:val="18"/>
                <w:szCs w:val="18"/>
              </w:rPr>
              <w:fldChar w:fldCharType="end"/>
            </w:r>
            <w:r w:rsidRPr="00717CF2">
              <w:rPr>
                <w:rFonts w:ascii="Arial Narrow" w:eastAsia="Calibri" w:hAnsi="Arial Narrow" w:cs="Arial"/>
                <w:bCs/>
                <w:sz w:val="18"/>
                <w:szCs w:val="18"/>
              </w:rPr>
              <w:t xml:space="preserve"> GENERAL </w:t>
            </w:r>
            <w:r w:rsidRPr="00717CF2">
              <w:rPr>
                <w:rFonts w:ascii="Arial Narrow" w:hAnsi="Arial Narrow" w:cs="Arial"/>
                <w:bCs/>
                <w:sz w:val="18"/>
                <w:szCs w:val="18"/>
              </w:rPr>
              <w:t>–</w:t>
            </w:r>
            <w:r w:rsidRPr="00717CF2">
              <w:rPr>
                <w:rFonts w:ascii="Arial Narrow" w:eastAsia="Calibri" w:hAnsi="Arial Narrow" w:cs="Arial"/>
                <w:bCs/>
                <w:sz w:val="18"/>
                <w:szCs w:val="18"/>
              </w:rPr>
              <w:t xml:space="preserve"> General Schedule (Code GE) </w:t>
            </w:r>
            <w:r w:rsidRPr="00717CF2">
              <w:rPr>
                <w:rFonts w:ascii="Arial Narrow" w:eastAsia="Calibri" w:hAnsi="Arial Narrow" w:cs="Arial"/>
                <w:bCs/>
                <w:sz w:val="18"/>
                <w:szCs w:val="18"/>
              </w:rPr>
              <w:br/>
            </w:r>
            <w:r w:rsidRPr="00717CF2">
              <w:rPr>
                <w:rFonts w:ascii="Arial Narrow" w:eastAsia="Calibri" w:hAnsi="Arial Narrow" w:cs="Arial"/>
                <w:bCs/>
                <w:sz w:val="18"/>
                <w:szCs w:val="18"/>
              </w:rPr>
              <w:fldChar w:fldCharType="begin" w:fldLock="1">
                <w:ffData>
                  <w:name w:val=""/>
                  <w:enabled/>
                  <w:calcOnExit w:val="0"/>
                  <w:checkBox>
                    <w:sizeAuto/>
                    <w:default w:val="1"/>
                  </w:checkBox>
                </w:ffData>
              </w:fldChar>
            </w:r>
            <w:r w:rsidRPr="00717CF2">
              <w:rPr>
                <w:rFonts w:ascii="Arial Narrow" w:eastAsia="Calibri" w:hAnsi="Arial Narrow" w:cs="Arial"/>
                <w:bCs/>
                <w:sz w:val="18"/>
                <w:szCs w:val="18"/>
              </w:rPr>
              <w:instrText xml:space="preserve"> FORMCHECKBOX </w:instrText>
            </w:r>
            <w:r w:rsidRPr="00717CF2">
              <w:rPr>
                <w:rFonts w:ascii="Arial Narrow" w:eastAsia="Calibri" w:hAnsi="Arial Narrow" w:cs="Arial"/>
                <w:bCs/>
                <w:sz w:val="18"/>
                <w:szCs w:val="18"/>
              </w:rPr>
            </w:r>
            <w:r w:rsidRPr="00717CF2">
              <w:rPr>
                <w:rFonts w:ascii="Arial Narrow" w:eastAsia="Calibri" w:hAnsi="Arial Narrow" w:cs="Arial"/>
                <w:bCs/>
                <w:sz w:val="18"/>
                <w:szCs w:val="18"/>
              </w:rPr>
              <w:fldChar w:fldCharType="separate"/>
            </w:r>
            <w:r w:rsidRPr="00717CF2">
              <w:rPr>
                <w:rFonts w:ascii="Arial Narrow" w:eastAsia="Calibri" w:hAnsi="Arial Narrow" w:cs="Arial"/>
                <w:bCs/>
                <w:sz w:val="18"/>
                <w:szCs w:val="18"/>
              </w:rPr>
              <w:fldChar w:fldCharType="end"/>
            </w:r>
            <w:r w:rsidRPr="00717CF2">
              <w:rPr>
                <w:rFonts w:ascii="Arial Narrow" w:eastAsia="Calibri" w:hAnsi="Arial Narrow" w:cs="Arial"/>
                <w:bCs/>
                <w:sz w:val="18"/>
                <w:szCs w:val="18"/>
              </w:rPr>
              <w:t xml:space="preserve"> Section </w:t>
            </w:r>
            <w:r w:rsidRPr="00717CF2">
              <w:rPr>
                <w:rFonts w:ascii="Arial Narrow" w:hAnsi="Arial Narrow" w:cs="Arial"/>
                <w:bCs/>
                <w:sz w:val="18"/>
                <w:szCs w:val="18"/>
              </w:rPr>
              <w:t xml:space="preserve">100 – Efficient Funding of Chemotherapy – Related Benefits (Code CT) </w:t>
            </w:r>
          </w:p>
        </w:tc>
      </w:tr>
      <w:tr w:rsidR="002A652B" w:rsidRPr="00E07FBD" w14:paraId="60ED11D1" w14:textId="77777777" w:rsidTr="00CD5258">
        <w:tc>
          <w:tcPr>
            <w:tcW w:w="1134" w:type="dxa"/>
            <w:vMerge/>
            <w:tcBorders>
              <w:top w:val="single" w:sz="4" w:space="0" w:color="auto"/>
              <w:left w:val="single" w:sz="4" w:space="0" w:color="auto"/>
              <w:bottom w:val="single" w:sz="4" w:space="0" w:color="auto"/>
              <w:right w:val="single" w:sz="4" w:space="0" w:color="auto"/>
            </w:tcBorders>
            <w:vAlign w:val="center"/>
            <w:hideMark/>
          </w:tcPr>
          <w:p w14:paraId="7C0DD843" w14:textId="77777777" w:rsidR="00717CF2" w:rsidRPr="00717CF2" w:rsidRDefault="00717CF2" w:rsidP="00C17DC6">
            <w:pPr>
              <w:rPr>
                <w:rFonts w:ascii="Arial Narrow" w:hAnsi="Arial Narrow" w:cs="Arial"/>
                <w:b/>
                <w:sz w:val="18"/>
                <w:szCs w:val="18"/>
              </w:rPr>
            </w:pPr>
          </w:p>
        </w:tc>
        <w:tc>
          <w:tcPr>
            <w:tcW w:w="80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2E8192" w14:textId="77777777" w:rsidR="00717CF2" w:rsidRPr="00717CF2" w:rsidRDefault="00717CF2" w:rsidP="00C17DC6">
            <w:pPr>
              <w:rPr>
                <w:rFonts w:ascii="Arial Narrow" w:hAnsi="Arial Narrow" w:cs="Arial"/>
                <w:bCs/>
                <w:sz w:val="18"/>
                <w:szCs w:val="18"/>
              </w:rPr>
            </w:pPr>
            <w:r w:rsidRPr="00717CF2">
              <w:rPr>
                <w:rFonts w:ascii="Arial Narrow" w:hAnsi="Arial Narrow" w:cs="Arial"/>
                <w:bCs/>
                <w:sz w:val="18"/>
                <w:szCs w:val="18"/>
              </w:rPr>
              <w:t xml:space="preserve">Prescriber type: </w:t>
            </w:r>
            <w:r w:rsidRPr="00717CF2">
              <w:rPr>
                <w:rFonts w:ascii="Arial Narrow" w:hAnsi="Arial Narrow" w:cs="Arial"/>
                <w:bCs/>
                <w:sz w:val="18"/>
                <w:szCs w:val="18"/>
              </w:rPr>
              <w:fldChar w:fldCharType="begin" w:fldLock="1">
                <w:ffData>
                  <w:name w:val=""/>
                  <w:enabled/>
                  <w:calcOnExit w:val="0"/>
                  <w:checkBox>
                    <w:sizeAuto/>
                    <w:default w:val="1"/>
                  </w:checkBox>
                </w:ffData>
              </w:fldChar>
            </w:r>
            <w:r w:rsidRPr="00717CF2">
              <w:rPr>
                <w:rFonts w:ascii="Arial Narrow" w:hAnsi="Arial Narrow" w:cs="Arial"/>
                <w:bCs/>
                <w:sz w:val="18"/>
                <w:szCs w:val="18"/>
              </w:rPr>
              <w:instrText xml:space="preserve"> FORMCHECKBOX </w:instrText>
            </w:r>
            <w:r w:rsidRPr="00717CF2">
              <w:rPr>
                <w:rFonts w:ascii="Arial Narrow" w:hAnsi="Arial Narrow" w:cs="Arial"/>
                <w:bCs/>
                <w:sz w:val="18"/>
                <w:szCs w:val="18"/>
              </w:rPr>
            </w:r>
            <w:r w:rsidRPr="00717CF2">
              <w:rPr>
                <w:rFonts w:ascii="Arial Narrow" w:hAnsi="Arial Narrow" w:cs="Arial"/>
                <w:bCs/>
                <w:sz w:val="18"/>
                <w:szCs w:val="18"/>
              </w:rPr>
              <w:fldChar w:fldCharType="separate"/>
            </w:r>
            <w:r w:rsidRPr="00717CF2">
              <w:rPr>
                <w:rFonts w:ascii="Arial Narrow" w:hAnsi="Arial Narrow" w:cs="Arial"/>
                <w:bCs/>
                <w:sz w:val="18"/>
                <w:szCs w:val="18"/>
              </w:rPr>
              <w:fldChar w:fldCharType="end"/>
            </w:r>
            <w:r w:rsidRPr="00717CF2">
              <w:rPr>
                <w:rFonts w:ascii="Arial Narrow" w:hAnsi="Arial Narrow" w:cs="Arial"/>
                <w:bCs/>
                <w:sz w:val="18"/>
                <w:szCs w:val="18"/>
              </w:rPr>
              <w:t xml:space="preserve">Medical Practitioners </w:t>
            </w:r>
          </w:p>
        </w:tc>
      </w:tr>
      <w:tr w:rsidR="002A652B" w:rsidRPr="00E07FBD" w14:paraId="26207FCA" w14:textId="77777777" w:rsidTr="00CD5258">
        <w:trPr>
          <w:trHeight w:val="17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E10A2C" w14:textId="77777777" w:rsidR="00717CF2" w:rsidRPr="00717CF2" w:rsidRDefault="00717CF2" w:rsidP="00C17DC6">
            <w:pPr>
              <w:rPr>
                <w:rFonts w:ascii="Arial Narrow" w:hAnsi="Arial Narrow" w:cs="Arial"/>
                <w:b/>
                <w:sz w:val="18"/>
                <w:szCs w:val="18"/>
              </w:rPr>
            </w:pPr>
          </w:p>
        </w:tc>
        <w:tc>
          <w:tcPr>
            <w:tcW w:w="8080" w:type="dxa"/>
            <w:tcBorders>
              <w:top w:val="single" w:sz="4" w:space="0" w:color="auto"/>
              <w:left w:val="single" w:sz="4" w:space="0" w:color="auto"/>
              <w:right w:val="single" w:sz="4" w:space="0" w:color="auto"/>
            </w:tcBorders>
            <w:tcMar>
              <w:top w:w="15" w:type="dxa"/>
              <w:left w:w="108" w:type="dxa"/>
              <w:bottom w:w="15" w:type="dxa"/>
              <w:right w:w="108" w:type="dxa"/>
            </w:tcMar>
            <w:hideMark/>
          </w:tcPr>
          <w:p w14:paraId="1D502176" w14:textId="77777777" w:rsidR="00717CF2" w:rsidRPr="00717CF2" w:rsidRDefault="00717CF2" w:rsidP="00C17DC6">
            <w:pPr>
              <w:rPr>
                <w:rFonts w:ascii="Arial Narrow" w:hAnsi="Arial Narrow" w:cs="Arial"/>
                <w:bCs/>
                <w:sz w:val="18"/>
                <w:szCs w:val="18"/>
              </w:rPr>
            </w:pPr>
            <w:r w:rsidRPr="00717CF2">
              <w:rPr>
                <w:rFonts w:ascii="Arial Narrow" w:hAnsi="Arial Narrow" w:cs="Arial"/>
                <w:bCs/>
                <w:sz w:val="18"/>
                <w:szCs w:val="18"/>
              </w:rPr>
              <w:t xml:space="preserve">Restriction type: </w:t>
            </w:r>
            <w:r w:rsidRPr="00717CF2">
              <w:rPr>
                <w:rFonts w:ascii="Arial Narrow" w:hAnsi="Arial Narrow" w:cs="Arial"/>
                <w:bCs/>
                <w:sz w:val="18"/>
                <w:szCs w:val="18"/>
              </w:rPr>
              <w:fldChar w:fldCharType="begin" w:fldLock="1">
                <w:ffData>
                  <w:name w:val=""/>
                  <w:enabled/>
                  <w:calcOnExit w:val="0"/>
                  <w:checkBox>
                    <w:sizeAuto/>
                    <w:default w:val="1"/>
                  </w:checkBox>
                </w:ffData>
              </w:fldChar>
            </w:r>
            <w:r w:rsidRPr="00717CF2">
              <w:rPr>
                <w:rFonts w:ascii="Arial Narrow" w:hAnsi="Arial Narrow" w:cs="Arial"/>
                <w:bCs/>
                <w:sz w:val="18"/>
                <w:szCs w:val="18"/>
              </w:rPr>
              <w:instrText xml:space="preserve"> FORMCHECKBOX </w:instrText>
            </w:r>
            <w:r w:rsidRPr="00717CF2">
              <w:rPr>
                <w:rFonts w:ascii="Arial Narrow" w:hAnsi="Arial Narrow" w:cs="Arial"/>
                <w:bCs/>
                <w:sz w:val="18"/>
                <w:szCs w:val="18"/>
              </w:rPr>
            </w:r>
            <w:r w:rsidRPr="00717CF2">
              <w:rPr>
                <w:rFonts w:ascii="Arial Narrow" w:hAnsi="Arial Narrow" w:cs="Arial"/>
                <w:bCs/>
                <w:sz w:val="18"/>
                <w:szCs w:val="18"/>
              </w:rPr>
              <w:fldChar w:fldCharType="separate"/>
            </w:r>
            <w:r w:rsidRPr="00717CF2">
              <w:rPr>
                <w:rFonts w:ascii="Arial Narrow" w:hAnsi="Arial Narrow" w:cs="Arial"/>
                <w:bCs/>
                <w:sz w:val="18"/>
                <w:szCs w:val="18"/>
              </w:rPr>
              <w:fldChar w:fldCharType="end"/>
            </w:r>
            <w:r w:rsidRPr="00717CF2">
              <w:rPr>
                <w:rFonts w:ascii="Arial Narrow" w:hAnsi="Arial Narrow" w:cs="Arial"/>
                <w:bCs/>
                <w:sz w:val="18"/>
                <w:szCs w:val="18"/>
              </w:rPr>
              <w:t>Authority Required (Telephone/Online)</w:t>
            </w:r>
          </w:p>
        </w:tc>
      </w:tr>
    </w:tbl>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8080"/>
      </w:tblGrid>
      <w:tr w:rsidR="00130FB6" w:rsidRPr="00842A5C" w14:paraId="060ED494" w14:textId="77777777" w:rsidTr="00130FB6">
        <w:tc>
          <w:tcPr>
            <w:tcW w:w="5000" w:type="pct"/>
            <w:gridSpan w:val="2"/>
            <w:tcBorders>
              <w:top w:val="single" w:sz="4" w:space="0" w:color="auto"/>
              <w:left w:val="single" w:sz="4" w:space="0" w:color="auto"/>
              <w:right w:val="single" w:sz="4" w:space="0" w:color="auto"/>
            </w:tcBorders>
          </w:tcPr>
          <w:p w14:paraId="6EDF42B4" w14:textId="0B774D80" w:rsidR="00F848A3" w:rsidRPr="00842A5C" w:rsidRDefault="00F848A3" w:rsidP="00C17DC6">
            <w:pPr>
              <w:pStyle w:val="Restrictiontemplate"/>
            </w:pPr>
          </w:p>
        </w:tc>
      </w:tr>
      <w:tr w:rsidR="00057E0B" w:rsidRPr="00842A5C" w14:paraId="21EB7385" w14:textId="77777777" w:rsidTr="00717CF2">
        <w:tblPrEx>
          <w:tblLook w:val="0000" w:firstRow="0" w:lastRow="0" w:firstColumn="0" w:lastColumn="0" w:noHBand="0" w:noVBand="0"/>
        </w:tblPrEx>
        <w:tc>
          <w:tcPr>
            <w:tcW w:w="613" w:type="pct"/>
            <w:vAlign w:val="center"/>
          </w:tcPr>
          <w:p w14:paraId="01FDD583" w14:textId="12AB7F56" w:rsidR="00F848A3" w:rsidRPr="00842A5C" w:rsidRDefault="00F848A3" w:rsidP="00C17DC6">
            <w:pPr>
              <w:pStyle w:val="Restrictiontemplate"/>
              <w:jc w:val="center"/>
            </w:pPr>
          </w:p>
        </w:tc>
        <w:tc>
          <w:tcPr>
            <w:tcW w:w="4387" w:type="pct"/>
            <w:vAlign w:val="center"/>
            <w:hideMark/>
          </w:tcPr>
          <w:p w14:paraId="01F4A85C" w14:textId="77777777" w:rsidR="00F848A3" w:rsidRPr="00842A5C" w:rsidRDefault="00F848A3" w:rsidP="00C17DC6">
            <w:pPr>
              <w:pStyle w:val="Restrictiontemplate"/>
            </w:pPr>
            <w:r w:rsidRPr="00842A5C">
              <w:rPr>
                <w:b/>
                <w:bCs/>
              </w:rPr>
              <w:t>Indication:</w:t>
            </w:r>
            <w:r w:rsidRPr="00842A5C">
              <w:t xml:space="preserve"> Stage IIIB, IIIC, IIID or Stage IV malignant melanoma</w:t>
            </w:r>
          </w:p>
        </w:tc>
      </w:tr>
      <w:tr w:rsidR="00057E0B" w:rsidRPr="00842A5C" w14:paraId="0B8FE0E5" w14:textId="77777777" w:rsidTr="00717CF2">
        <w:tc>
          <w:tcPr>
            <w:tcW w:w="613" w:type="pct"/>
            <w:vAlign w:val="center"/>
          </w:tcPr>
          <w:p w14:paraId="60BB723A" w14:textId="77777777" w:rsidR="00F848A3" w:rsidRPr="00842A5C" w:rsidRDefault="00F848A3" w:rsidP="00C17DC6">
            <w:pPr>
              <w:pStyle w:val="Restrictiontemplate"/>
            </w:pPr>
          </w:p>
        </w:tc>
        <w:tc>
          <w:tcPr>
            <w:tcW w:w="4387" w:type="pct"/>
            <w:vAlign w:val="center"/>
          </w:tcPr>
          <w:p w14:paraId="121A071F" w14:textId="77777777" w:rsidR="00F848A3" w:rsidRPr="00842A5C" w:rsidRDefault="00F848A3" w:rsidP="00C17DC6">
            <w:pPr>
              <w:pStyle w:val="Restrictiontemplate"/>
            </w:pPr>
            <w:r w:rsidRPr="00CD5258">
              <w:rPr>
                <w:b/>
                <w:bCs/>
              </w:rPr>
              <w:t>Treatment Phase:</w:t>
            </w:r>
            <w:r w:rsidRPr="00842A5C">
              <w:t xml:space="preserve"> Initial treatment</w:t>
            </w:r>
          </w:p>
        </w:tc>
      </w:tr>
      <w:tr w:rsidR="00057E0B" w:rsidRPr="00842A5C" w14:paraId="5E064FD5" w14:textId="77777777" w:rsidTr="00717CF2">
        <w:tc>
          <w:tcPr>
            <w:tcW w:w="613" w:type="pct"/>
          </w:tcPr>
          <w:p w14:paraId="07AE4EFB" w14:textId="5DB6179A" w:rsidR="00F848A3" w:rsidRPr="00842A5C" w:rsidRDefault="00F848A3" w:rsidP="00C17DC6">
            <w:pPr>
              <w:pStyle w:val="Restrictiontemplate"/>
              <w:jc w:val="center"/>
            </w:pPr>
          </w:p>
        </w:tc>
        <w:tc>
          <w:tcPr>
            <w:tcW w:w="4387" w:type="pct"/>
          </w:tcPr>
          <w:p w14:paraId="4518A888" w14:textId="77777777" w:rsidR="00F848A3" w:rsidRPr="00842A5C" w:rsidRDefault="00F848A3" w:rsidP="00C17DC6">
            <w:pPr>
              <w:pStyle w:val="Restrictiontemplate"/>
            </w:pPr>
            <w:r w:rsidRPr="00842A5C">
              <w:rPr>
                <w:rStyle w:val="Strong"/>
                <w:rFonts w:cstheme="minorHAnsi"/>
                <w:color w:val="333333"/>
                <w:bdr w:val="none" w:sz="0" w:space="0" w:color="auto" w:frame="1"/>
              </w:rPr>
              <w:t>Clinical criteria:</w:t>
            </w:r>
          </w:p>
        </w:tc>
      </w:tr>
      <w:tr w:rsidR="00057E0B" w:rsidRPr="00842A5C" w14:paraId="1BD765E6" w14:textId="77777777" w:rsidTr="00717CF2">
        <w:tc>
          <w:tcPr>
            <w:tcW w:w="613" w:type="pct"/>
          </w:tcPr>
          <w:p w14:paraId="333183D5" w14:textId="699C2E47" w:rsidR="00F848A3" w:rsidRPr="00842A5C" w:rsidRDefault="00F848A3" w:rsidP="00C17DC6">
            <w:pPr>
              <w:pStyle w:val="Restrictiontemplate"/>
              <w:jc w:val="center"/>
            </w:pPr>
          </w:p>
        </w:tc>
        <w:tc>
          <w:tcPr>
            <w:tcW w:w="4387" w:type="pct"/>
          </w:tcPr>
          <w:p w14:paraId="0D9B59F9" w14:textId="77777777" w:rsidR="00F848A3" w:rsidRPr="00842A5C" w:rsidRDefault="00F848A3" w:rsidP="00C17DC6">
            <w:pPr>
              <w:pStyle w:val="Restrictiontemplate"/>
            </w:pPr>
            <w:r w:rsidRPr="00842A5C">
              <w:t xml:space="preserve">The treatment must be </w:t>
            </w:r>
            <w:r>
              <w:t xml:space="preserve">in addition </w:t>
            </w:r>
            <w:r w:rsidRPr="00842A5C">
              <w:t xml:space="preserve">to complete surgical resection, </w:t>
            </w:r>
          </w:p>
        </w:tc>
      </w:tr>
      <w:tr w:rsidR="00057E0B" w:rsidRPr="00842A5C" w14:paraId="5A6BE358" w14:textId="77777777" w:rsidTr="00717CF2">
        <w:tc>
          <w:tcPr>
            <w:tcW w:w="613" w:type="pct"/>
          </w:tcPr>
          <w:p w14:paraId="316CE420" w14:textId="77777777" w:rsidR="00F848A3" w:rsidRPr="00842A5C" w:rsidRDefault="00F848A3" w:rsidP="00C17DC6">
            <w:pPr>
              <w:pStyle w:val="Restrictiontemplate"/>
            </w:pPr>
          </w:p>
        </w:tc>
        <w:tc>
          <w:tcPr>
            <w:tcW w:w="4387" w:type="pct"/>
          </w:tcPr>
          <w:p w14:paraId="3978629D" w14:textId="77777777" w:rsidR="00F848A3" w:rsidRPr="00842A5C" w:rsidRDefault="00F848A3" w:rsidP="00C17DC6">
            <w:pPr>
              <w:pStyle w:val="Restrictiontemplate"/>
            </w:pPr>
            <w:r w:rsidRPr="00842A5C">
              <w:rPr>
                <w:rStyle w:val="Strong"/>
                <w:rFonts w:cstheme="minorHAnsi"/>
                <w:color w:val="333333"/>
                <w:bdr w:val="none" w:sz="0" w:space="0" w:color="auto" w:frame="1"/>
              </w:rPr>
              <w:t>AND</w:t>
            </w:r>
          </w:p>
        </w:tc>
      </w:tr>
      <w:tr w:rsidR="00057E0B" w:rsidRPr="00842A5C" w14:paraId="314DC262" w14:textId="77777777" w:rsidTr="00717CF2">
        <w:tc>
          <w:tcPr>
            <w:tcW w:w="613" w:type="pct"/>
          </w:tcPr>
          <w:p w14:paraId="77FD9DA7" w14:textId="02F4C92A" w:rsidR="00F848A3" w:rsidRPr="00842A5C" w:rsidRDefault="00F848A3" w:rsidP="00C17DC6">
            <w:pPr>
              <w:pStyle w:val="Restrictiontemplate"/>
              <w:jc w:val="center"/>
            </w:pPr>
          </w:p>
        </w:tc>
        <w:tc>
          <w:tcPr>
            <w:tcW w:w="4387" w:type="pct"/>
          </w:tcPr>
          <w:p w14:paraId="57960514" w14:textId="77777777" w:rsidR="00F848A3" w:rsidRPr="00842A5C" w:rsidRDefault="00F848A3" w:rsidP="00C17DC6">
            <w:pPr>
              <w:pStyle w:val="Restrictiontemplate"/>
            </w:pPr>
            <w:r w:rsidRPr="00842A5C">
              <w:t xml:space="preserve">Patient must have a WHO performance status of 1 or less, </w:t>
            </w:r>
          </w:p>
        </w:tc>
      </w:tr>
      <w:tr w:rsidR="00057E0B" w:rsidRPr="00842A5C" w14:paraId="1E6D27D4" w14:textId="77777777" w:rsidTr="00717CF2">
        <w:tc>
          <w:tcPr>
            <w:tcW w:w="613" w:type="pct"/>
          </w:tcPr>
          <w:p w14:paraId="0F26F595" w14:textId="77777777" w:rsidR="00F848A3" w:rsidRPr="00842A5C" w:rsidRDefault="00F848A3" w:rsidP="00C17DC6">
            <w:pPr>
              <w:pStyle w:val="Restrictiontemplate"/>
            </w:pPr>
          </w:p>
        </w:tc>
        <w:tc>
          <w:tcPr>
            <w:tcW w:w="4387" w:type="pct"/>
          </w:tcPr>
          <w:p w14:paraId="64A80FA5" w14:textId="77777777" w:rsidR="00F848A3" w:rsidRPr="00842A5C" w:rsidRDefault="00F848A3" w:rsidP="00C17DC6">
            <w:pPr>
              <w:pStyle w:val="Restrictiontemplate"/>
            </w:pPr>
            <w:r w:rsidRPr="00842A5C">
              <w:rPr>
                <w:rStyle w:val="Strong"/>
                <w:rFonts w:cstheme="minorHAnsi"/>
                <w:color w:val="333333"/>
                <w:bdr w:val="none" w:sz="0" w:space="0" w:color="auto" w:frame="1"/>
              </w:rPr>
              <w:t>AND</w:t>
            </w:r>
          </w:p>
        </w:tc>
      </w:tr>
      <w:tr w:rsidR="00057E0B" w:rsidRPr="00842A5C" w14:paraId="40E8C6ED" w14:textId="77777777" w:rsidTr="00717CF2">
        <w:tc>
          <w:tcPr>
            <w:tcW w:w="613" w:type="pct"/>
          </w:tcPr>
          <w:p w14:paraId="5C9D9F4B" w14:textId="7C7CD686" w:rsidR="00F848A3" w:rsidRPr="00842A5C" w:rsidRDefault="00F848A3" w:rsidP="00C17DC6">
            <w:pPr>
              <w:pStyle w:val="Restrictiontemplate"/>
              <w:jc w:val="center"/>
            </w:pPr>
          </w:p>
        </w:tc>
        <w:tc>
          <w:tcPr>
            <w:tcW w:w="4387" w:type="pct"/>
          </w:tcPr>
          <w:p w14:paraId="25F4F1B0" w14:textId="77777777" w:rsidR="00F848A3" w:rsidRPr="00842A5C" w:rsidRDefault="00F848A3" w:rsidP="00C17DC6">
            <w:pPr>
              <w:pStyle w:val="Restrictiontemplate"/>
              <w:rPr>
                <w:rStyle w:val="Strong"/>
                <w:rFonts w:cstheme="minorHAnsi"/>
                <w:b w:val="0"/>
                <w:bCs w:val="0"/>
              </w:rPr>
            </w:pPr>
            <w:r w:rsidRPr="00842A5C">
              <w:t xml:space="preserve">Patient must not have received prior PBS-subsidised treatment for this condition, </w:t>
            </w:r>
          </w:p>
        </w:tc>
      </w:tr>
      <w:tr w:rsidR="00057E0B" w:rsidRPr="00842A5C" w14:paraId="26A235E5" w14:textId="77777777" w:rsidTr="00717CF2">
        <w:tc>
          <w:tcPr>
            <w:tcW w:w="613" w:type="pct"/>
          </w:tcPr>
          <w:p w14:paraId="3D2451B5" w14:textId="77777777" w:rsidR="00F848A3" w:rsidRPr="00842A5C" w:rsidRDefault="00F848A3" w:rsidP="00C17DC6">
            <w:pPr>
              <w:pStyle w:val="Restrictiontemplate"/>
            </w:pPr>
          </w:p>
        </w:tc>
        <w:tc>
          <w:tcPr>
            <w:tcW w:w="4387" w:type="pct"/>
          </w:tcPr>
          <w:p w14:paraId="355F5DE7" w14:textId="77777777" w:rsidR="00F848A3" w:rsidRPr="00842A5C" w:rsidRDefault="00F848A3" w:rsidP="00C17DC6">
            <w:pPr>
              <w:pStyle w:val="Restrictiontemplate"/>
              <w:rPr>
                <w:rStyle w:val="Strong"/>
                <w:rFonts w:cstheme="minorHAnsi"/>
                <w:color w:val="333333"/>
                <w:bdr w:val="none" w:sz="0" w:space="0" w:color="auto" w:frame="1"/>
              </w:rPr>
            </w:pPr>
            <w:r w:rsidRPr="00842A5C">
              <w:rPr>
                <w:rStyle w:val="Strong"/>
                <w:rFonts w:cstheme="minorHAnsi"/>
                <w:color w:val="333333"/>
                <w:bdr w:val="none" w:sz="0" w:space="0" w:color="auto" w:frame="1"/>
              </w:rPr>
              <w:t>AND</w:t>
            </w:r>
          </w:p>
        </w:tc>
      </w:tr>
      <w:tr w:rsidR="00057E0B" w:rsidRPr="00842A5C" w14:paraId="739CA1FC" w14:textId="77777777" w:rsidTr="00717CF2">
        <w:tc>
          <w:tcPr>
            <w:tcW w:w="613" w:type="pct"/>
          </w:tcPr>
          <w:p w14:paraId="37FA56E7" w14:textId="24BC61FE" w:rsidR="00F848A3" w:rsidRPr="00842A5C" w:rsidRDefault="00F848A3" w:rsidP="00C17DC6">
            <w:pPr>
              <w:pStyle w:val="Restrictiontemplate"/>
              <w:jc w:val="center"/>
            </w:pPr>
          </w:p>
        </w:tc>
        <w:tc>
          <w:tcPr>
            <w:tcW w:w="4387" w:type="pct"/>
          </w:tcPr>
          <w:p w14:paraId="19E4A50D" w14:textId="77777777" w:rsidR="00F848A3" w:rsidRPr="00842A5C" w:rsidRDefault="00F848A3" w:rsidP="00C17DC6">
            <w:pPr>
              <w:pStyle w:val="Restrictiontemplate"/>
              <w:rPr>
                <w:rStyle w:val="Strong"/>
                <w:rFonts w:cstheme="minorHAnsi"/>
                <w:b w:val="0"/>
                <w:bCs w:val="0"/>
              </w:rPr>
            </w:pPr>
            <w:r w:rsidRPr="00842A5C">
              <w:t xml:space="preserve">The treatment must commence within 12 weeks of complete resection, </w:t>
            </w:r>
          </w:p>
        </w:tc>
      </w:tr>
      <w:tr w:rsidR="00057E0B" w:rsidRPr="00842A5C" w14:paraId="4C57E489" w14:textId="77777777" w:rsidTr="00717CF2">
        <w:tc>
          <w:tcPr>
            <w:tcW w:w="613" w:type="pct"/>
          </w:tcPr>
          <w:p w14:paraId="5AFF3E93" w14:textId="77777777" w:rsidR="00F848A3" w:rsidRPr="00842A5C" w:rsidRDefault="00F848A3" w:rsidP="00C17DC6">
            <w:pPr>
              <w:pStyle w:val="Restrictiontemplate"/>
            </w:pPr>
          </w:p>
        </w:tc>
        <w:tc>
          <w:tcPr>
            <w:tcW w:w="4387" w:type="pct"/>
          </w:tcPr>
          <w:p w14:paraId="0D107B53" w14:textId="77777777" w:rsidR="00F848A3" w:rsidRPr="00842A5C" w:rsidRDefault="00F848A3" w:rsidP="00C17DC6">
            <w:pPr>
              <w:pStyle w:val="Restrictiontemplate"/>
              <w:rPr>
                <w:rStyle w:val="Strong"/>
                <w:rFonts w:cstheme="minorHAnsi"/>
                <w:color w:val="333333"/>
                <w:bdr w:val="none" w:sz="0" w:space="0" w:color="auto" w:frame="1"/>
              </w:rPr>
            </w:pPr>
            <w:r w:rsidRPr="00842A5C">
              <w:rPr>
                <w:rStyle w:val="Strong"/>
                <w:rFonts w:cstheme="minorHAnsi"/>
                <w:color w:val="333333"/>
                <w:bdr w:val="none" w:sz="0" w:space="0" w:color="auto" w:frame="1"/>
              </w:rPr>
              <w:t>AND</w:t>
            </w:r>
          </w:p>
        </w:tc>
      </w:tr>
      <w:tr w:rsidR="00057E0B" w:rsidRPr="00842A5C" w14:paraId="2B640135" w14:textId="77777777" w:rsidTr="00717CF2">
        <w:tc>
          <w:tcPr>
            <w:tcW w:w="613" w:type="pct"/>
          </w:tcPr>
          <w:p w14:paraId="62E73D40" w14:textId="58FF280A" w:rsidR="00F848A3" w:rsidRPr="00842A5C" w:rsidRDefault="00F848A3" w:rsidP="00C17DC6">
            <w:pPr>
              <w:pStyle w:val="Restrictiontemplate"/>
              <w:jc w:val="center"/>
            </w:pPr>
          </w:p>
        </w:tc>
        <w:tc>
          <w:tcPr>
            <w:tcW w:w="4387" w:type="pct"/>
          </w:tcPr>
          <w:p w14:paraId="5C25A627" w14:textId="77777777" w:rsidR="00F848A3" w:rsidRPr="00842A5C" w:rsidRDefault="00F848A3" w:rsidP="00C17DC6">
            <w:pPr>
              <w:pStyle w:val="Restrictiontemplate"/>
              <w:rPr>
                <w:rStyle w:val="Strong"/>
                <w:rFonts w:cstheme="minorHAnsi"/>
                <w:b w:val="0"/>
                <w:bCs w:val="0"/>
              </w:rPr>
            </w:pPr>
            <w:r w:rsidRPr="00842A5C">
              <w:t xml:space="preserve">Patient must not receive more than 12 months of combined PBS-subsidised and non-PBS-subsidised adjuvant therapy. </w:t>
            </w:r>
          </w:p>
        </w:tc>
      </w:tr>
      <w:tr w:rsidR="00057E0B" w:rsidRPr="00842A5C" w14:paraId="72EEAAE9" w14:textId="77777777" w:rsidTr="00717CF2">
        <w:tc>
          <w:tcPr>
            <w:tcW w:w="613" w:type="pct"/>
          </w:tcPr>
          <w:p w14:paraId="6446943C" w14:textId="6E914FD8" w:rsidR="00F848A3" w:rsidRPr="00842A5C" w:rsidRDefault="00F848A3" w:rsidP="00C17DC6">
            <w:pPr>
              <w:pStyle w:val="Restrictiontemplate"/>
              <w:jc w:val="center"/>
            </w:pPr>
          </w:p>
        </w:tc>
        <w:tc>
          <w:tcPr>
            <w:tcW w:w="4387" w:type="pct"/>
          </w:tcPr>
          <w:p w14:paraId="344B8478" w14:textId="77777777" w:rsidR="009E2DF5" w:rsidRDefault="00F848A3" w:rsidP="00C17DC6">
            <w:pPr>
              <w:pStyle w:val="Restrictiontemplate"/>
              <w:rPr>
                <w:rStyle w:val="Strong"/>
                <w:rFonts w:cstheme="minorHAnsi"/>
                <w:color w:val="333333"/>
                <w:bdr w:val="none" w:sz="0" w:space="0" w:color="auto" w:frame="1"/>
              </w:rPr>
            </w:pPr>
            <w:r w:rsidRPr="00842A5C">
              <w:rPr>
                <w:rStyle w:val="Strong"/>
                <w:rFonts w:cstheme="minorHAnsi"/>
                <w:color w:val="333333"/>
                <w:bdr w:val="none" w:sz="0" w:space="0" w:color="auto" w:frame="1"/>
              </w:rPr>
              <w:t xml:space="preserve">Prescribing instructions: </w:t>
            </w:r>
          </w:p>
          <w:p w14:paraId="02B19D5D" w14:textId="339F2DAA" w:rsidR="00F848A3" w:rsidRPr="00842A5C" w:rsidRDefault="00F848A3" w:rsidP="00C17DC6">
            <w:pPr>
              <w:pStyle w:val="Restrictiontemplate"/>
            </w:pPr>
            <w:r>
              <w:t>Patients must only receive 600mg every 2 weeks or 1200mg every 4 weeks</w:t>
            </w:r>
            <w:r w:rsidR="00C17DC6">
              <w:t xml:space="preserve"> </w:t>
            </w:r>
            <w:r w:rsidR="00F67D54" w:rsidRPr="004F3C3A">
              <w:rPr>
                <w:rStyle w:val="Strong"/>
                <w:rFonts w:cstheme="minorHAnsi"/>
                <w:b w:val="0"/>
                <w:bCs w:val="0"/>
                <w:color w:val="333333"/>
                <w:bdr w:val="none" w:sz="0" w:space="0" w:color="auto" w:frame="1"/>
              </w:rPr>
              <w:t>under a flat dosing regimen</w:t>
            </w:r>
            <w:r>
              <w:t>.</w:t>
            </w:r>
          </w:p>
        </w:tc>
      </w:tr>
      <w:tr w:rsidR="00057E0B" w:rsidRPr="00842A5C" w14:paraId="05F7C589" w14:textId="77777777" w:rsidTr="00717CF2">
        <w:tc>
          <w:tcPr>
            <w:tcW w:w="613" w:type="pct"/>
          </w:tcPr>
          <w:p w14:paraId="23C62815" w14:textId="77777777" w:rsidR="00F848A3" w:rsidRPr="00842A5C" w:rsidRDefault="00F848A3" w:rsidP="00C17DC6">
            <w:pPr>
              <w:pStyle w:val="Restrictiontemplate"/>
            </w:pPr>
          </w:p>
        </w:tc>
        <w:tc>
          <w:tcPr>
            <w:tcW w:w="4387" w:type="pct"/>
            <w:vAlign w:val="center"/>
          </w:tcPr>
          <w:p w14:paraId="03FC6D3F" w14:textId="3EB0D7C7" w:rsidR="00F848A3" w:rsidRPr="00842A5C" w:rsidRDefault="00F848A3" w:rsidP="00C17DC6">
            <w:pPr>
              <w:pStyle w:val="Restrictiontemplate"/>
              <w:rPr>
                <w:color w:val="333333"/>
              </w:rPr>
            </w:pPr>
          </w:p>
        </w:tc>
      </w:tr>
      <w:tr w:rsidR="00057E0B" w:rsidRPr="00842A5C" w14:paraId="5719BC84" w14:textId="77777777" w:rsidTr="00717CF2">
        <w:tc>
          <w:tcPr>
            <w:tcW w:w="613" w:type="pct"/>
          </w:tcPr>
          <w:p w14:paraId="0D61BC5D" w14:textId="668B8305" w:rsidR="00F848A3" w:rsidRPr="00842A5C" w:rsidRDefault="00F848A3" w:rsidP="00C17DC6">
            <w:pPr>
              <w:pStyle w:val="Restrictiontemplate"/>
              <w:jc w:val="center"/>
            </w:pPr>
          </w:p>
        </w:tc>
        <w:tc>
          <w:tcPr>
            <w:tcW w:w="4387" w:type="pct"/>
            <w:vAlign w:val="center"/>
          </w:tcPr>
          <w:p w14:paraId="7983F9F9" w14:textId="77777777" w:rsidR="00F848A3" w:rsidRPr="00842A5C" w:rsidRDefault="00F848A3" w:rsidP="00C17DC6">
            <w:pPr>
              <w:pStyle w:val="Restrictiontemplate"/>
              <w:rPr>
                <w:b/>
                <w:bCs/>
              </w:rPr>
            </w:pPr>
            <w:r w:rsidRPr="00842A5C">
              <w:rPr>
                <w:b/>
                <w:bCs/>
              </w:rPr>
              <w:t>Administrative Advice:</w:t>
            </w:r>
            <w:r w:rsidRPr="00842A5C">
              <w:t xml:space="preserve"> No increase in the maximum number of repeats may be authorised.</w:t>
            </w:r>
          </w:p>
        </w:tc>
      </w:tr>
      <w:tr w:rsidR="00057E0B" w:rsidRPr="00842A5C" w14:paraId="5E4D510D" w14:textId="77777777" w:rsidTr="00717CF2">
        <w:tc>
          <w:tcPr>
            <w:tcW w:w="613" w:type="pct"/>
          </w:tcPr>
          <w:p w14:paraId="116205EC" w14:textId="2D9C8078" w:rsidR="00F848A3" w:rsidRPr="00842A5C" w:rsidRDefault="00F848A3" w:rsidP="00C17DC6">
            <w:pPr>
              <w:pStyle w:val="Restrictiontemplate"/>
              <w:jc w:val="center"/>
            </w:pPr>
          </w:p>
        </w:tc>
        <w:tc>
          <w:tcPr>
            <w:tcW w:w="4387" w:type="pct"/>
            <w:vAlign w:val="center"/>
          </w:tcPr>
          <w:p w14:paraId="7889ECC6" w14:textId="77777777" w:rsidR="00F848A3" w:rsidRPr="00842A5C" w:rsidRDefault="00F848A3" w:rsidP="00C17DC6">
            <w:pPr>
              <w:pStyle w:val="Restrictiontemplate"/>
              <w:rPr>
                <w:b/>
                <w:bCs/>
              </w:rPr>
            </w:pPr>
            <w:r w:rsidRPr="00842A5C">
              <w:rPr>
                <w:b/>
                <w:bCs/>
              </w:rPr>
              <w:t xml:space="preserve">Administrative Advice: </w:t>
            </w:r>
            <w:r w:rsidRPr="00842A5C">
              <w:t>Special Pricing Arrangements apply.</w:t>
            </w:r>
          </w:p>
        </w:tc>
      </w:tr>
      <w:tr w:rsidR="005D2B5F" w:rsidRPr="00842A5C" w14:paraId="2B16E6E7" w14:textId="77777777" w:rsidTr="005D2B5F">
        <w:tc>
          <w:tcPr>
            <w:tcW w:w="5000" w:type="pct"/>
            <w:gridSpan w:val="2"/>
          </w:tcPr>
          <w:p w14:paraId="5832ACAA" w14:textId="77777777" w:rsidR="005D2B5F" w:rsidRPr="00842A5C" w:rsidRDefault="005D2B5F" w:rsidP="00C17DC6">
            <w:pPr>
              <w:pStyle w:val="Restrictiontemplate"/>
            </w:pPr>
          </w:p>
        </w:tc>
      </w:tr>
      <w:tr w:rsidR="0062719C" w:rsidRPr="00842A5C" w14:paraId="6927C98D" w14:textId="77777777" w:rsidTr="00717CF2">
        <w:trPr>
          <w:trHeight w:val="190"/>
        </w:trPr>
        <w:tc>
          <w:tcPr>
            <w:tcW w:w="613" w:type="pct"/>
            <w:tcBorders>
              <w:top w:val="single" w:sz="4" w:space="0" w:color="auto"/>
              <w:left w:val="single" w:sz="4" w:space="0" w:color="auto"/>
              <w:right w:val="single" w:sz="4" w:space="0" w:color="auto"/>
            </w:tcBorders>
          </w:tcPr>
          <w:p w14:paraId="489F40A6" w14:textId="7DA3878E" w:rsidR="00F848A3" w:rsidRPr="00842A5C" w:rsidRDefault="00F848A3" w:rsidP="00C17DC6">
            <w:pPr>
              <w:pStyle w:val="Restrictiontemplate"/>
              <w:jc w:val="center"/>
            </w:pPr>
          </w:p>
        </w:tc>
        <w:tc>
          <w:tcPr>
            <w:tcW w:w="4387" w:type="pct"/>
            <w:tcBorders>
              <w:top w:val="single" w:sz="4" w:space="0" w:color="auto"/>
              <w:left w:val="single" w:sz="4" w:space="0" w:color="auto"/>
              <w:bottom w:val="single" w:sz="4" w:space="0" w:color="auto"/>
              <w:right w:val="single" w:sz="4" w:space="0" w:color="auto"/>
            </w:tcBorders>
            <w:vAlign w:val="center"/>
          </w:tcPr>
          <w:p w14:paraId="207FFD5E" w14:textId="77777777" w:rsidR="00F848A3" w:rsidRPr="00842A5C" w:rsidRDefault="00F848A3" w:rsidP="00C17DC6">
            <w:pPr>
              <w:pStyle w:val="Restrictiontemplate"/>
            </w:pPr>
            <w:r w:rsidRPr="00842A5C">
              <w:rPr>
                <w:b/>
                <w:bCs/>
              </w:rPr>
              <w:t>Indication:</w:t>
            </w:r>
            <w:r w:rsidRPr="00842A5C">
              <w:t xml:space="preserve"> Stage IIIB, IIIC, IIID or Stage IV malignant melanoma</w:t>
            </w:r>
          </w:p>
        </w:tc>
      </w:tr>
      <w:tr w:rsidR="0062719C" w:rsidRPr="00842A5C" w14:paraId="129896C6" w14:textId="77777777" w:rsidTr="00717CF2">
        <w:trPr>
          <w:trHeight w:val="240"/>
        </w:trPr>
        <w:tc>
          <w:tcPr>
            <w:tcW w:w="613" w:type="pct"/>
            <w:tcBorders>
              <w:left w:val="single" w:sz="4" w:space="0" w:color="auto"/>
              <w:right w:val="single" w:sz="4" w:space="0" w:color="auto"/>
            </w:tcBorders>
          </w:tcPr>
          <w:p w14:paraId="366C0E39" w14:textId="77777777" w:rsidR="00F848A3" w:rsidRPr="00842A5C" w:rsidRDefault="00F848A3" w:rsidP="00C17DC6">
            <w:pPr>
              <w:pStyle w:val="Restrictiontemplate"/>
              <w:jc w:val="center"/>
            </w:pPr>
          </w:p>
        </w:tc>
        <w:tc>
          <w:tcPr>
            <w:tcW w:w="4387" w:type="pct"/>
            <w:tcBorders>
              <w:top w:val="single" w:sz="4" w:space="0" w:color="auto"/>
              <w:left w:val="single" w:sz="4" w:space="0" w:color="auto"/>
              <w:bottom w:val="single" w:sz="4" w:space="0" w:color="auto"/>
              <w:right w:val="single" w:sz="4" w:space="0" w:color="auto"/>
            </w:tcBorders>
            <w:vAlign w:val="center"/>
          </w:tcPr>
          <w:p w14:paraId="6A6A7F0A" w14:textId="77777777" w:rsidR="00F848A3" w:rsidRPr="00842A5C" w:rsidRDefault="00F848A3" w:rsidP="00C17DC6">
            <w:pPr>
              <w:pStyle w:val="Restrictiontemplate"/>
              <w:rPr>
                <w:b/>
              </w:rPr>
            </w:pPr>
            <w:r w:rsidRPr="00842A5C">
              <w:rPr>
                <w:b/>
                <w:bCs/>
              </w:rPr>
              <w:t xml:space="preserve">Treatment Phase: </w:t>
            </w:r>
            <w:r w:rsidRPr="00842A5C">
              <w:t>Continuing treatment</w:t>
            </w:r>
          </w:p>
        </w:tc>
      </w:tr>
      <w:tr w:rsidR="00057E0B" w:rsidRPr="00842A5C" w14:paraId="789AF2B5" w14:textId="77777777" w:rsidTr="00717CF2">
        <w:tc>
          <w:tcPr>
            <w:tcW w:w="613" w:type="pct"/>
            <w:vAlign w:val="center"/>
          </w:tcPr>
          <w:p w14:paraId="630DFE00" w14:textId="77777777" w:rsidR="00F848A3" w:rsidRPr="00842A5C" w:rsidRDefault="00F848A3" w:rsidP="00C17DC6">
            <w:pPr>
              <w:pStyle w:val="Restrictiontemplate"/>
              <w:jc w:val="center"/>
            </w:pPr>
          </w:p>
        </w:tc>
        <w:tc>
          <w:tcPr>
            <w:tcW w:w="4387" w:type="pct"/>
          </w:tcPr>
          <w:p w14:paraId="2AD6417C" w14:textId="77777777" w:rsidR="00F848A3" w:rsidRPr="00842A5C" w:rsidRDefault="00F848A3" w:rsidP="00C17DC6">
            <w:pPr>
              <w:pStyle w:val="Restrictiontemplate"/>
            </w:pPr>
            <w:r w:rsidRPr="00842A5C">
              <w:rPr>
                <w:rStyle w:val="Strong"/>
                <w:rFonts w:cstheme="minorHAnsi"/>
                <w:color w:val="333333"/>
                <w:bdr w:val="none" w:sz="0" w:space="0" w:color="auto" w:frame="1"/>
              </w:rPr>
              <w:t>Clinical criteria:</w:t>
            </w:r>
          </w:p>
        </w:tc>
      </w:tr>
      <w:tr w:rsidR="00057E0B" w:rsidRPr="00842A5C" w14:paraId="6E734AB8" w14:textId="77777777" w:rsidTr="00717CF2">
        <w:tc>
          <w:tcPr>
            <w:tcW w:w="613" w:type="pct"/>
            <w:vAlign w:val="center"/>
          </w:tcPr>
          <w:p w14:paraId="6B5E0096" w14:textId="77777777" w:rsidR="00F848A3" w:rsidRPr="00842A5C" w:rsidRDefault="00F848A3" w:rsidP="00C17DC6">
            <w:pPr>
              <w:pStyle w:val="Restrictiontemplate"/>
              <w:jc w:val="center"/>
            </w:pPr>
          </w:p>
        </w:tc>
        <w:tc>
          <w:tcPr>
            <w:tcW w:w="4387" w:type="pct"/>
          </w:tcPr>
          <w:p w14:paraId="10497DFF" w14:textId="59541DAD" w:rsidR="00F848A3" w:rsidRPr="00842A5C" w:rsidRDefault="00F848A3" w:rsidP="00C17DC6">
            <w:pPr>
              <w:pStyle w:val="Restrictiontemplate"/>
            </w:pPr>
          </w:p>
        </w:tc>
      </w:tr>
      <w:tr w:rsidR="00AF6013" w:rsidRPr="00842A5C" w14:paraId="1345C604" w14:textId="77777777" w:rsidTr="00717CF2">
        <w:tc>
          <w:tcPr>
            <w:tcW w:w="613" w:type="pct"/>
            <w:vAlign w:val="center"/>
          </w:tcPr>
          <w:p w14:paraId="3A92394F" w14:textId="5FEC9FBA" w:rsidR="00AF6013" w:rsidRPr="00842A5C" w:rsidRDefault="00AF6013" w:rsidP="00C17DC6">
            <w:pPr>
              <w:pStyle w:val="Restrictiontemplate"/>
              <w:jc w:val="center"/>
            </w:pPr>
          </w:p>
        </w:tc>
        <w:tc>
          <w:tcPr>
            <w:tcW w:w="4387" w:type="pct"/>
          </w:tcPr>
          <w:p w14:paraId="16AD5941" w14:textId="5BF2B860" w:rsidR="00AF6013" w:rsidRPr="00842A5C" w:rsidDel="00AF6013" w:rsidRDefault="00D52863" w:rsidP="00C17DC6">
            <w:pPr>
              <w:pStyle w:val="Restrictiontemplate"/>
            </w:pPr>
            <w:r w:rsidRPr="00D52863">
              <w:t>Patient must have previously received PBS-subsidised treatment with this drug for this condition</w:t>
            </w:r>
          </w:p>
        </w:tc>
      </w:tr>
      <w:tr w:rsidR="00AF6013" w:rsidRPr="00842A5C" w14:paraId="2E4B35AE" w14:textId="77777777" w:rsidTr="00717CF2">
        <w:tc>
          <w:tcPr>
            <w:tcW w:w="613" w:type="pct"/>
            <w:vAlign w:val="center"/>
          </w:tcPr>
          <w:p w14:paraId="3B9241F9" w14:textId="77777777" w:rsidR="00AF6013" w:rsidRPr="00842A5C" w:rsidRDefault="00AF6013" w:rsidP="00C17DC6">
            <w:pPr>
              <w:pStyle w:val="Restrictiontemplate"/>
              <w:jc w:val="center"/>
            </w:pPr>
          </w:p>
        </w:tc>
        <w:tc>
          <w:tcPr>
            <w:tcW w:w="4387" w:type="pct"/>
          </w:tcPr>
          <w:p w14:paraId="74F9CD70" w14:textId="53C9A5E7" w:rsidR="00AF6013" w:rsidRPr="00842A5C" w:rsidDel="00AF6013" w:rsidRDefault="00D52863" w:rsidP="00C17DC6">
            <w:pPr>
              <w:pStyle w:val="Restrictiontemplate"/>
            </w:pPr>
            <w:r w:rsidRPr="00842A5C">
              <w:rPr>
                <w:rStyle w:val="Strong"/>
                <w:rFonts w:cstheme="minorHAnsi"/>
                <w:color w:val="333333"/>
                <w:bdr w:val="none" w:sz="0" w:space="0" w:color="auto" w:frame="1"/>
              </w:rPr>
              <w:t>AND</w:t>
            </w:r>
          </w:p>
        </w:tc>
      </w:tr>
      <w:tr w:rsidR="00AF6013" w:rsidRPr="00842A5C" w14:paraId="4F9BF9D6" w14:textId="77777777" w:rsidTr="00717CF2">
        <w:tc>
          <w:tcPr>
            <w:tcW w:w="613" w:type="pct"/>
            <w:vAlign w:val="center"/>
          </w:tcPr>
          <w:p w14:paraId="6BDC55FD" w14:textId="30EA35DE" w:rsidR="00AF6013" w:rsidRPr="00842A5C" w:rsidRDefault="00AF6013" w:rsidP="00C17DC6">
            <w:pPr>
              <w:pStyle w:val="Restrictiontemplate"/>
              <w:jc w:val="center"/>
            </w:pPr>
          </w:p>
        </w:tc>
        <w:tc>
          <w:tcPr>
            <w:tcW w:w="4387" w:type="pct"/>
          </w:tcPr>
          <w:p w14:paraId="7EDBC185" w14:textId="69E5FC19" w:rsidR="00AF6013" w:rsidRPr="00842A5C" w:rsidDel="00AF6013" w:rsidRDefault="00D80B3A" w:rsidP="00C17DC6">
            <w:pPr>
              <w:pStyle w:val="Restrictiontemplate"/>
            </w:pPr>
            <w:r w:rsidRPr="00D80B3A">
              <w:t>Patient must have undergone surgical resection</w:t>
            </w:r>
          </w:p>
        </w:tc>
      </w:tr>
      <w:tr w:rsidR="00057E0B" w:rsidRPr="00842A5C" w14:paraId="02E62C34" w14:textId="77777777" w:rsidTr="00717CF2">
        <w:tc>
          <w:tcPr>
            <w:tcW w:w="613" w:type="pct"/>
            <w:vAlign w:val="center"/>
          </w:tcPr>
          <w:p w14:paraId="58065FB1" w14:textId="77777777" w:rsidR="00F848A3" w:rsidRPr="00842A5C" w:rsidRDefault="00F848A3" w:rsidP="00C17DC6">
            <w:pPr>
              <w:pStyle w:val="Restrictiontemplate"/>
              <w:jc w:val="center"/>
            </w:pPr>
          </w:p>
        </w:tc>
        <w:tc>
          <w:tcPr>
            <w:tcW w:w="4387" w:type="pct"/>
          </w:tcPr>
          <w:p w14:paraId="0791E40B" w14:textId="77777777" w:rsidR="00F848A3" w:rsidRPr="00842A5C" w:rsidRDefault="00F848A3" w:rsidP="00C17DC6">
            <w:pPr>
              <w:pStyle w:val="Restrictiontemplate"/>
            </w:pPr>
            <w:r w:rsidRPr="00842A5C">
              <w:rPr>
                <w:rStyle w:val="Strong"/>
                <w:rFonts w:cstheme="minorHAnsi"/>
                <w:color w:val="333333"/>
                <w:bdr w:val="none" w:sz="0" w:space="0" w:color="auto" w:frame="1"/>
              </w:rPr>
              <w:t>AND</w:t>
            </w:r>
          </w:p>
        </w:tc>
      </w:tr>
      <w:tr w:rsidR="00057E0B" w:rsidRPr="00842A5C" w14:paraId="26DC6A85" w14:textId="77777777" w:rsidTr="00717CF2">
        <w:tc>
          <w:tcPr>
            <w:tcW w:w="613" w:type="pct"/>
            <w:vAlign w:val="center"/>
          </w:tcPr>
          <w:p w14:paraId="533A6ED4" w14:textId="0E5BFC62" w:rsidR="00F848A3" w:rsidRPr="00842A5C" w:rsidRDefault="00F848A3" w:rsidP="00C17DC6">
            <w:pPr>
              <w:pStyle w:val="Restrictiontemplate"/>
              <w:jc w:val="center"/>
            </w:pPr>
          </w:p>
        </w:tc>
        <w:tc>
          <w:tcPr>
            <w:tcW w:w="4387" w:type="pct"/>
          </w:tcPr>
          <w:p w14:paraId="03BA8DBE" w14:textId="77777777" w:rsidR="00F848A3" w:rsidRPr="00842A5C" w:rsidRDefault="00F848A3" w:rsidP="00C17DC6">
            <w:pPr>
              <w:pStyle w:val="Restrictiontemplate"/>
            </w:pPr>
            <w:r w:rsidRPr="00842A5C">
              <w:t xml:space="preserve">Patient must not have experienced disease recurrence, </w:t>
            </w:r>
          </w:p>
        </w:tc>
      </w:tr>
      <w:tr w:rsidR="00057E0B" w:rsidRPr="00842A5C" w14:paraId="4D4034AF" w14:textId="77777777" w:rsidTr="00717CF2">
        <w:tc>
          <w:tcPr>
            <w:tcW w:w="613" w:type="pct"/>
            <w:vAlign w:val="center"/>
          </w:tcPr>
          <w:p w14:paraId="70EF4881" w14:textId="77777777" w:rsidR="00F848A3" w:rsidRPr="00842A5C" w:rsidRDefault="00F848A3" w:rsidP="00C17DC6">
            <w:pPr>
              <w:pStyle w:val="Restrictiontemplate"/>
              <w:jc w:val="center"/>
            </w:pPr>
          </w:p>
        </w:tc>
        <w:tc>
          <w:tcPr>
            <w:tcW w:w="4387" w:type="pct"/>
          </w:tcPr>
          <w:p w14:paraId="26BD750D" w14:textId="77777777" w:rsidR="00F848A3" w:rsidRPr="00842A5C" w:rsidRDefault="00F848A3" w:rsidP="00C17DC6">
            <w:pPr>
              <w:pStyle w:val="Restrictiontemplate"/>
            </w:pPr>
            <w:r w:rsidRPr="00842A5C">
              <w:rPr>
                <w:rStyle w:val="Strong"/>
                <w:rFonts w:cstheme="minorHAnsi"/>
                <w:color w:val="333333"/>
                <w:bdr w:val="none" w:sz="0" w:space="0" w:color="auto" w:frame="1"/>
              </w:rPr>
              <w:t>AND</w:t>
            </w:r>
          </w:p>
        </w:tc>
      </w:tr>
      <w:tr w:rsidR="00057E0B" w:rsidRPr="00842A5C" w14:paraId="7BBF3C17" w14:textId="77777777" w:rsidTr="00717CF2">
        <w:tc>
          <w:tcPr>
            <w:tcW w:w="613" w:type="pct"/>
          </w:tcPr>
          <w:p w14:paraId="333209EC" w14:textId="3D760AF1" w:rsidR="00F848A3" w:rsidRPr="00842A5C" w:rsidRDefault="00F848A3" w:rsidP="00C17DC6">
            <w:pPr>
              <w:pStyle w:val="Restrictiontemplate"/>
              <w:jc w:val="center"/>
            </w:pPr>
          </w:p>
        </w:tc>
        <w:tc>
          <w:tcPr>
            <w:tcW w:w="4387" w:type="pct"/>
          </w:tcPr>
          <w:p w14:paraId="21B36F3D" w14:textId="77777777" w:rsidR="00F848A3" w:rsidRPr="00842A5C" w:rsidRDefault="00F848A3" w:rsidP="00C17DC6">
            <w:pPr>
              <w:pStyle w:val="Restrictiontemplate"/>
            </w:pPr>
            <w:r w:rsidRPr="00842A5C">
              <w:t xml:space="preserve">The treatment must be the sole PBS-subsidised therapy for this condition, </w:t>
            </w:r>
          </w:p>
        </w:tc>
      </w:tr>
      <w:tr w:rsidR="00057E0B" w:rsidRPr="00842A5C" w14:paraId="630947F9" w14:textId="77777777" w:rsidTr="00717CF2">
        <w:tc>
          <w:tcPr>
            <w:tcW w:w="613" w:type="pct"/>
          </w:tcPr>
          <w:p w14:paraId="727142C0" w14:textId="77777777" w:rsidR="00F848A3" w:rsidRPr="00842A5C" w:rsidRDefault="00F848A3" w:rsidP="00C17DC6">
            <w:pPr>
              <w:pStyle w:val="Restrictiontemplate"/>
              <w:jc w:val="center"/>
            </w:pPr>
          </w:p>
        </w:tc>
        <w:tc>
          <w:tcPr>
            <w:tcW w:w="4387" w:type="pct"/>
          </w:tcPr>
          <w:p w14:paraId="7E1ABE73" w14:textId="77777777" w:rsidR="00F848A3" w:rsidRPr="00842A5C" w:rsidRDefault="00F848A3" w:rsidP="00C17DC6">
            <w:pPr>
              <w:pStyle w:val="Restrictiontemplate"/>
            </w:pPr>
            <w:r w:rsidRPr="00842A5C">
              <w:rPr>
                <w:rStyle w:val="Strong"/>
                <w:rFonts w:cstheme="minorHAnsi"/>
                <w:color w:val="333333"/>
                <w:bdr w:val="none" w:sz="0" w:space="0" w:color="auto" w:frame="1"/>
              </w:rPr>
              <w:t>AND</w:t>
            </w:r>
          </w:p>
        </w:tc>
      </w:tr>
      <w:tr w:rsidR="00057E0B" w:rsidRPr="00842A5C" w14:paraId="1CE817C4" w14:textId="77777777" w:rsidTr="00717CF2">
        <w:tc>
          <w:tcPr>
            <w:tcW w:w="613" w:type="pct"/>
          </w:tcPr>
          <w:p w14:paraId="761B0195" w14:textId="578FE5EE" w:rsidR="00F848A3" w:rsidRPr="00842A5C" w:rsidRDefault="00F848A3" w:rsidP="00C17DC6">
            <w:pPr>
              <w:pStyle w:val="Restrictiontemplate"/>
              <w:jc w:val="center"/>
            </w:pPr>
          </w:p>
        </w:tc>
        <w:tc>
          <w:tcPr>
            <w:tcW w:w="4387" w:type="pct"/>
          </w:tcPr>
          <w:p w14:paraId="0518A113" w14:textId="77777777" w:rsidR="00F848A3" w:rsidRPr="00842A5C" w:rsidRDefault="00F848A3" w:rsidP="00C17DC6">
            <w:pPr>
              <w:pStyle w:val="Restrictiontemplate"/>
            </w:pPr>
            <w:r w:rsidRPr="00842A5C">
              <w:t xml:space="preserve">Patient must not receive more than 12 months of combined PBS-subsidised and non-PBS-subsidised adjuvant therapy. </w:t>
            </w:r>
          </w:p>
        </w:tc>
      </w:tr>
      <w:tr w:rsidR="00057E0B" w:rsidRPr="00842A5C" w14:paraId="0112C040" w14:textId="77777777" w:rsidTr="00DE6B23">
        <w:tc>
          <w:tcPr>
            <w:tcW w:w="613" w:type="pct"/>
            <w:vAlign w:val="center"/>
          </w:tcPr>
          <w:p w14:paraId="02CB84BE" w14:textId="4946C7CE" w:rsidR="00F848A3" w:rsidRPr="00842A5C" w:rsidRDefault="00F848A3" w:rsidP="00C17DC6">
            <w:pPr>
              <w:pStyle w:val="Restrictiontemplate"/>
              <w:jc w:val="center"/>
            </w:pPr>
          </w:p>
        </w:tc>
        <w:tc>
          <w:tcPr>
            <w:tcW w:w="4387" w:type="pct"/>
            <w:vAlign w:val="center"/>
          </w:tcPr>
          <w:p w14:paraId="54B00DEB" w14:textId="77777777" w:rsidR="00F848A3" w:rsidRPr="00842A5C" w:rsidRDefault="00F848A3" w:rsidP="00C17DC6">
            <w:pPr>
              <w:pStyle w:val="Restrictiontemplate"/>
              <w:rPr>
                <w:rStyle w:val="Strong"/>
                <w:rFonts w:cstheme="minorHAnsi"/>
                <w:color w:val="333333"/>
                <w:bdr w:val="none" w:sz="0" w:space="0" w:color="auto" w:frame="1"/>
              </w:rPr>
            </w:pPr>
            <w:r w:rsidRPr="00842A5C">
              <w:rPr>
                <w:rStyle w:val="Strong"/>
                <w:rFonts w:cstheme="minorHAnsi"/>
                <w:color w:val="333333"/>
                <w:bdr w:val="none" w:sz="0" w:space="0" w:color="auto" w:frame="1"/>
              </w:rPr>
              <w:t xml:space="preserve">Prescribing instructions: </w:t>
            </w:r>
            <w:r>
              <w:t>Patients must only receive 600mg every 2 weeks or 1200mg every 4 weeks for a maximum of 12 months of adjuvant treatment.</w:t>
            </w:r>
          </w:p>
        </w:tc>
      </w:tr>
      <w:tr w:rsidR="00057E0B" w:rsidRPr="00842A5C" w14:paraId="7A78FE46" w14:textId="77777777" w:rsidTr="00717CF2">
        <w:tc>
          <w:tcPr>
            <w:tcW w:w="613" w:type="pct"/>
          </w:tcPr>
          <w:p w14:paraId="0673352C" w14:textId="77777777" w:rsidR="00F848A3" w:rsidRPr="00842A5C" w:rsidRDefault="00F848A3" w:rsidP="00C17DC6">
            <w:pPr>
              <w:pStyle w:val="Restrictiontemplate"/>
              <w:jc w:val="center"/>
            </w:pPr>
          </w:p>
        </w:tc>
        <w:tc>
          <w:tcPr>
            <w:tcW w:w="4387" w:type="pct"/>
            <w:vAlign w:val="center"/>
          </w:tcPr>
          <w:p w14:paraId="0CCB9DFF" w14:textId="1970E079" w:rsidR="00F848A3" w:rsidRPr="00842A5C" w:rsidRDefault="00F848A3" w:rsidP="00C17DC6">
            <w:pPr>
              <w:pStyle w:val="Restrictiontemplate"/>
              <w:rPr>
                <w:rStyle w:val="Strong"/>
                <w:rFonts w:cstheme="minorHAnsi"/>
                <w:color w:val="333333"/>
                <w:bdr w:val="none" w:sz="0" w:space="0" w:color="auto" w:frame="1"/>
              </w:rPr>
            </w:pPr>
          </w:p>
        </w:tc>
      </w:tr>
      <w:tr w:rsidR="00057E0B" w:rsidRPr="00842A5C" w14:paraId="60CD313F" w14:textId="77777777" w:rsidTr="00717CF2">
        <w:tc>
          <w:tcPr>
            <w:tcW w:w="613" w:type="pct"/>
          </w:tcPr>
          <w:p w14:paraId="0EBFBDF1" w14:textId="6C8A052E" w:rsidR="00F848A3" w:rsidRPr="00842A5C" w:rsidRDefault="00F848A3" w:rsidP="00C17DC6">
            <w:pPr>
              <w:pStyle w:val="Restrictiontemplate"/>
              <w:jc w:val="center"/>
            </w:pPr>
          </w:p>
        </w:tc>
        <w:tc>
          <w:tcPr>
            <w:tcW w:w="4387" w:type="pct"/>
            <w:vAlign w:val="center"/>
          </w:tcPr>
          <w:p w14:paraId="6CE6796D" w14:textId="77777777" w:rsidR="00F848A3" w:rsidRPr="00842A5C" w:rsidRDefault="00F848A3" w:rsidP="00C17DC6">
            <w:pPr>
              <w:pStyle w:val="Restrictiontemplate"/>
              <w:rPr>
                <w:rStyle w:val="Strong"/>
                <w:rFonts w:cstheme="minorHAnsi"/>
                <w:color w:val="333333"/>
                <w:bdr w:val="none" w:sz="0" w:space="0" w:color="auto" w:frame="1"/>
              </w:rPr>
            </w:pPr>
            <w:r w:rsidRPr="00842A5C">
              <w:rPr>
                <w:b/>
                <w:bCs/>
              </w:rPr>
              <w:t>Administrative Advice:</w:t>
            </w:r>
            <w:r w:rsidRPr="00842A5C">
              <w:t xml:space="preserve"> No increase in the maximum number of repeats may be authorised.</w:t>
            </w:r>
          </w:p>
        </w:tc>
      </w:tr>
      <w:tr w:rsidR="00057E0B" w:rsidRPr="00842A5C" w14:paraId="577CD83E" w14:textId="77777777" w:rsidTr="00717CF2">
        <w:tc>
          <w:tcPr>
            <w:tcW w:w="613" w:type="pct"/>
          </w:tcPr>
          <w:p w14:paraId="3AE73865" w14:textId="6D922E55" w:rsidR="00F848A3" w:rsidRPr="00842A5C" w:rsidRDefault="00F848A3" w:rsidP="00C17DC6">
            <w:pPr>
              <w:pStyle w:val="Restrictiontemplate"/>
              <w:jc w:val="center"/>
            </w:pPr>
          </w:p>
        </w:tc>
        <w:tc>
          <w:tcPr>
            <w:tcW w:w="4387" w:type="pct"/>
            <w:vAlign w:val="center"/>
          </w:tcPr>
          <w:p w14:paraId="536B53DB" w14:textId="77777777" w:rsidR="00F848A3" w:rsidRPr="00842A5C" w:rsidRDefault="00F848A3" w:rsidP="00C17DC6">
            <w:pPr>
              <w:pStyle w:val="Restrictiontemplate"/>
              <w:rPr>
                <w:rStyle w:val="Strong"/>
                <w:rFonts w:cstheme="minorHAnsi"/>
                <w:color w:val="333333"/>
                <w:bdr w:val="none" w:sz="0" w:space="0" w:color="auto" w:frame="1"/>
              </w:rPr>
            </w:pPr>
            <w:r w:rsidRPr="00842A5C">
              <w:rPr>
                <w:b/>
                <w:bCs/>
              </w:rPr>
              <w:t xml:space="preserve">Administrative Advice: </w:t>
            </w:r>
            <w:r w:rsidRPr="00842A5C">
              <w:t>Special Pricing Arrangements apply.</w:t>
            </w:r>
          </w:p>
        </w:tc>
      </w:tr>
    </w:tbl>
    <w:p w14:paraId="1BE2C903" w14:textId="77777777" w:rsidR="004D33A8" w:rsidRDefault="004D33A8" w:rsidP="00C17DC6">
      <w:pPr>
        <w:jc w:val="left"/>
        <w:rPr>
          <w:rFonts w:asciiTheme="minorHAnsi" w:eastAsiaTheme="majorEastAsia" w:hAnsiTheme="minorHAnsi" w:cstheme="majorBidi"/>
          <w:b/>
          <w:i/>
          <w:spacing w:val="5"/>
          <w:kern w:val="28"/>
          <w:sz w:val="28"/>
          <w:szCs w:val="36"/>
        </w:rPr>
      </w:pPr>
      <w:r>
        <w:br w:type="page"/>
      </w:r>
    </w:p>
    <w:p w14:paraId="59AC8854" w14:textId="06CA59C7" w:rsidR="00553A50" w:rsidRPr="00193B90" w:rsidRDefault="00553A50" w:rsidP="00C17DC6">
      <w:pPr>
        <w:pStyle w:val="4-SubsectionHeading"/>
      </w:pPr>
      <w:r w:rsidRPr="00193B90">
        <w:lastRenderedPageBreak/>
        <w:t>Urothelial carcinoma</w:t>
      </w:r>
      <w:r>
        <w:t xml:space="preserve"> (based on current item codes 14231B &amp; 14260M)</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Urothelial carcinoma (based on current item codes 14231B &amp; 14260M)"/>
      </w:tblPr>
      <w:tblGrid>
        <w:gridCol w:w="973"/>
        <w:gridCol w:w="2849"/>
        <w:gridCol w:w="1107"/>
        <w:gridCol w:w="845"/>
        <w:gridCol w:w="882"/>
        <w:gridCol w:w="709"/>
        <w:gridCol w:w="1844"/>
      </w:tblGrid>
      <w:tr w:rsidR="00270F68" w:rsidRPr="00BB74B0" w14:paraId="3F8C6147" w14:textId="77777777" w:rsidTr="004F10A7">
        <w:trPr>
          <w:cantSplit/>
          <w:trHeight w:val="471"/>
        </w:trPr>
        <w:tc>
          <w:tcPr>
            <w:tcW w:w="5000" w:type="pct"/>
            <w:gridSpan w:val="7"/>
          </w:tcPr>
          <w:p w14:paraId="52D7E581" w14:textId="7B195086" w:rsidR="00270F68" w:rsidRPr="00BB74B0" w:rsidRDefault="00270F68" w:rsidP="00C17DC6">
            <w:pPr>
              <w:pStyle w:val="Restrictiontemplate"/>
              <w:rPr>
                <w:b/>
                <w:lang w:val="fr-FR"/>
              </w:rPr>
            </w:pPr>
          </w:p>
        </w:tc>
      </w:tr>
      <w:tr w:rsidR="00270F68" w:rsidRPr="00BB74B0" w14:paraId="53CC8955" w14:textId="77777777" w:rsidTr="004F10A7">
        <w:trPr>
          <w:cantSplit/>
          <w:trHeight w:val="471"/>
        </w:trPr>
        <w:tc>
          <w:tcPr>
            <w:tcW w:w="2075" w:type="pct"/>
            <w:gridSpan w:val="2"/>
          </w:tcPr>
          <w:p w14:paraId="2EF9321B" w14:textId="77777777" w:rsidR="00270F68" w:rsidRPr="00CD5258" w:rsidRDefault="00270F68" w:rsidP="00C17DC6">
            <w:pPr>
              <w:pStyle w:val="Restrictiontemplate"/>
              <w:rPr>
                <w:b/>
                <w:bCs/>
              </w:rPr>
            </w:pPr>
            <w:r w:rsidRPr="00CD5258">
              <w:rPr>
                <w:b/>
                <w:bCs/>
              </w:rPr>
              <w:t>MEDICINAL PRODUCT</w:t>
            </w:r>
          </w:p>
          <w:p w14:paraId="54C644E8" w14:textId="77777777" w:rsidR="00270F68" w:rsidRPr="00CD5258" w:rsidRDefault="00270F68" w:rsidP="00C17DC6">
            <w:pPr>
              <w:pStyle w:val="Restrictiontemplate"/>
              <w:rPr>
                <w:b/>
                <w:bCs/>
              </w:rPr>
            </w:pPr>
            <w:r w:rsidRPr="00CD5258">
              <w:rPr>
                <w:b/>
                <w:bCs/>
              </w:rPr>
              <w:t>medicinal product pack</w:t>
            </w:r>
          </w:p>
        </w:tc>
        <w:tc>
          <w:tcPr>
            <w:tcW w:w="601" w:type="pct"/>
          </w:tcPr>
          <w:p w14:paraId="554E4E5F" w14:textId="77777777" w:rsidR="00270F68" w:rsidRPr="00CD5258" w:rsidRDefault="00270F68" w:rsidP="00C17DC6">
            <w:pPr>
              <w:pStyle w:val="Restrictiontemplate"/>
              <w:rPr>
                <w:b/>
                <w:bCs/>
              </w:rPr>
            </w:pPr>
            <w:r w:rsidRPr="00CD5258">
              <w:rPr>
                <w:b/>
                <w:bCs/>
              </w:rPr>
              <w:t>PBS item code</w:t>
            </w:r>
          </w:p>
        </w:tc>
        <w:tc>
          <w:tcPr>
            <w:tcW w:w="459" w:type="pct"/>
          </w:tcPr>
          <w:p w14:paraId="38218767" w14:textId="77777777" w:rsidR="00270F68" w:rsidRPr="00CD5258" w:rsidRDefault="00270F68" w:rsidP="00C17DC6">
            <w:pPr>
              <w:pStyle w:val="Restrictiontemplate"/>
              <w:rPr>
                <w:b/>
                <w:bCs/>
              </w:rPr>
            </w:pPr>
            <w:r w:rsidRPr="00CD5258">
              <w:rPr>
                <w:b/>
                <w:bCs/>
              </w:rPr>
              <w:t>Max. qty packs</w:t>
            </w:r>
          </w:p>
        </w:tc>
        <w:tc>
          <w:tcPr>
            <w:tcW w:w="479" w:type="pct"/>
          </w:tcPr>
          <w:p w14:paraId="79543BAD" w14:textId="77777777" w:rsidR="00270F68" w:rsidRPr="00CD5258" w:rsidRDefault="00270F68" w:rsidP="00C17DC6">
            <w:pPr>
              <w:pStyle w:val="Restrictiontemplate"/>
              <w:rPr>
                <w:b/>
                <w:bCs/>
              </w:rPr>
            </w:pPr>
            <w:r w:rsidRPr="00CD5258">
              <w:rPr>
                <w:b/>
                <w:bCs/>
              </w:rPr>
              <w:t>Max. qty units</w:t>
            </w:r>
          </w:p>
        </w:tc>
        <w:tc>
          <w:tcPr>
            <w:tcW w:w="385" w:type="pct"/>
          </w:tcPr>
          <w:p w14:paraId="2F826412" w14:textId="15331932" w:rsidR="00270F68" w:rsidRPr="00CD5258" w:rsidRDefault="000D7714" w:rsidP="00C17DC6">
            <w:pPr>
              <w:pStyle w:val="Restrictiontemplate"/>
              <w:rPr>
                <w:b/>
                <w:bCs/>
              </w:rPr>
            </w:pPr>
            <w:r w:rsidRPr="000D7714">
              <w:rPr>
                <w:b/>
                <w:bCs/>
              </w:rPr>
              <w:t>№. of</w:t>
            </w:r>
          </w:p>
          <w:p w14:paraId="3845C2B5" w14:textId="77777777" w:rsidR="00270F68" w:rsidRPr="00CD5258" w:rsidRDefault="00270F68" w:rsidP="00C17DC6">
            <w:pPr>
              <w:pStyle w:val="Restrictiontemplate"/>
              <w:rPr>
                <w:b/>
                <w:bCs/>
              </w:rPr>
            </w:pPr>
            <w:r w:rsidRPr="00CD5258">
              <w:rPr>
                <w:b/>
                <w:bCs/>
              </w:rPr>
              <w:t>Rpts</w:t>
            </w:r>
          </w:p>
        </w:tc>
        <w:tc>
          <w:tcPr>
            <w:tcW w:w="1001" w:type="pct"/>
          </w:tcPr>
          <w:p w14:paraId="674B6E1F" w14:textId="77777777" w:rsidR="00270F68" w:rsidRPr="00CD5258" w:rsidRDefault="00270F68" w:rsidP="00C17DC6">
            <w:pPr>
              <w:pStyle w:val="Restrictiontemplate"/>
              <w:rPr>
                <w:b/>
                <w:bCs/>
                <w:lang w:val="fr-FR"/>
              </w:rPr>
            </w:pPr>
            <w:r w:rsidRPr="00CD5258">
              <w:rPr>
                <w:b/>
                <w:bCs/>
              </w:rPr>
              <w:t>Available brands</w:t>
            </w:r>
          </w:p>
        </w:tc>
      </w:tr>
      <w:tr w:rsidR="00270F68" w:rsidRPr="00BB74B0" w14:paraId="427A5EC4" w14:textId="77777777" w:rsidTr="004F10A7">
        <w:trPr>
          <w:cantSplit/>
          <w:trHeight w:val="224"/>
        </w:trPr>
        <w:tc>
          <w:tcPr>
            <w:tcW w:w="5000" w:type="pct"/>
            <w:gridSpan w:val="7"/>
          </w:tcPr>
          <w:p w14:paraId="68BD5532" w14:textId="77777777" w:rsidR="00270F68" w:rsidRPr="00BB74B0" w:rsidRDefault="00270F68" w:rsidP="00C17DC6">
            <w:pPr>
              <w:pStyle w:val="Restrictiontemplate"/>
            </w:pPr>
            <w:r w:rsidRPr="00BB74B0">
              <w:t>NIVOLUMAB</w:t>
            </w:r>
          </w:p>
        </w:tc>
      </w:tr>
      <w:tr w:rsidR="00270F68" w:rsidRPr="00BB74B0" w14:paraId="7FD7C24D" w14:textId="77777777" w:rsidTr="004F10A7">
        <w:trPr>
          <w:cantSplit/>
          <w:trHeight w:val="347"/>
        </w:trPr>
        <w:tc>
          <w:tcPr>
            <w:tcW w:w="2075" w:type="pct"/>
            <w:gridSpan w:val="2"/>
          </w:tcPr>
          <w:p w14:paraId="6B926BDA" w14:textId="645A5805" w:rsidR="00270F68" w:rsidRPr="00BB74B0" w:rsidRDefault="00270F68" w:rsidP="00C17DC6">
            <w:pPr>
              <w:pStyle w:val="Restrictiontemplate"/>
            </w:pPr>
            <w:r w:rsidRPr="00BB74B0">
              <w:t>nivolumab 600 mg/5 mL injection</w:t>
            </w:r>
            <w:r w:rsidR="00316495">
              <w:t>, 5mL vial</w:t>
            </w:r>
          </w:p>
        </w:tc>
        <w:tc>
          <w:tcPr>
            <w:tcW w:w="601" w:type="pct"/>
          </w:tcPr>
          <w:p w14:paraId="6B40848D" w14:textId="77777777" w:rsidR="00270F68" w:rsidRPr="00BB74B0" w:rsidRDefault="00270F68" w:rsidP="00C17DC6">
            <w:pPr>
              <w:pStyle w:val="Restrictiontemplate"/>
            </w:pPr>
            <w:r w:rsidRPr="00BB74B0">
              <w:t>NEW (CT)</w:t>
            </w:r>
          </w:p>
        </w:tc>
        <w:tc>
          <w:tcPr>
            <w:tcW w:w="459" w:type="pct"/>
          </w:tcPr>
          <w:p w14:paraId="252A06E4" w14:textId="77777777" w:rsidR="00270F68" w:rsidRPr="00BB74B0" w:rsidRDefault="00270F68" w:rsidP="00C17DC6">
            <w:pPr>
              <w:pStyle w:val="Restrictiontemplate"/>
            </w:pPr>
            <w:r w:rsidRPr="00BB74B0">
              <w:t>2</w:t>
            </w:r>
          </w:p>
        </w:tc>
        <w:tc>
          <w:tcPr>
            <w:tcW w:w="479" w:type="pct"/>
          </w:tcPr>
          <w:p w14:paraId="5857216F" w14:textId="77777777" w:rsidR="00270F68" w:rsidRPr="00BB74B0" w:rsidRDefault="00270F68" w:rsidP="00C17DC6">
            <w:pPr>
              <w:pStyle w:val="Restrictiontemplate"/>
            </w:pPr>
            <w:r w:rsidRPr="00BB74B0">
              <w:t>2</w:t>
            </w:r>
          </w:p>
        </w:tc>
        <w:tc>
          <w:tcPr>
            <w:tcW w:w="385" w:type="pct"/>
          </w:tcPr>
          <w:p w14:paraId="21AA798A" w14:textId="77777777" w:rsidR="00270F68" w:rsidRPr="00BB74B0" w:rsidRDefault="00270F68" w:rsidP="00C17DC6">
            <w:pPr>
              <w:pStyle w:val="Restrictiontemplate"/>
            </w:pPr>
            <w:r w:rsidRPr="00BB74B0">
              <w:t>5</w:t>
            </w:r>
          </w:p>
        </w:tc>
        <w:tc>
          <w:tcPr>
            <w:tcW w:w="1001" w:type="pct"/>
          </w:tcPr>
          <w:p w14:paraId="24057149" w14:textId="3149D7CA" w:rsidR="00270F68" w:rsidRPr="00BB74B0" w:rsidRDefault="00270F68" w:rsidP="00C17DC6">
            <w:pPr>
              <w:pStyle w:val="Restrictiontemplate"/>
            </w:pPr>
            <w:r w:rsidRPr="00BB74B0">
              <w:t>Opdivo</w:t>
            </w:r>
            <w:r w:rsidR="00316495">
              <w:t xml:space="preserve"> SC</w:t>
            </w:r>
          </w:p>
        </w:tc>
      </w:tr>
      <w:tr w:rsidR="00270F68" w:rsidRPr="00BB74B0" w14:paraId="404BAF78" w14:textId="77777777" w:rsidTr="004F10A7">
        <w:trPr>
          <w:cantSplit/>
          <w:trHeight w:val="347"/>
        </w:trPr>
        <w:tc>
          <w:tcPr>
            <w:tcW w:w="2075" w:type="pct"/>
            <w:gridSpan w:val="2"/>
          </w:tcPr>
          <w:p w14:paraId="1345FA70" w14:textId="78EFB53E" w:rsidR="00270F68" w:rsidRPr="00BB74B0" w:rsidRDefault="00270F68" w:rsidP="00C17DC6">
            <w:pPr>
              <w:pStyle w:val="Restrictiontemplate"/>
            </w:pPr>
            <w:r w:rsidRPr="00BB74B0">
              <w:t>Nivolumab 600 mg/5 mL injection</w:t>
            </w:r>
            <w:r w:rsidR="00316495">
              <w:t>, 5mL vial</w:t>
            </w:r>
          </w:p>
        </w:tc>
        <w:tc>
          <w:tcPr>
            <w:tcW w:w="601" w:type="pct"/>
          </w:tcPr>
          <w:p w14:paraId="7EA554E7" w14:textId="77777777" w:rsidR="00270F68" w:rsidRPr="00BB74B0" w:rsidRDefault="00270F68" w:rsidP="00C17DC6">
            <w:pPr>
              <w:pStyle w:val="Restrictiontemplate"/>
            </w:pPr>
            <w:r w:rsidRPr="00BB74B0">
              <w:t>NEW (GE)</w:t>
            </w:r>
          </w:p>
        </w:tc>
        <w:tc>
          <w:tcPr>
            <w:tcW w:w="459" w:type="pct"/>
          </w:tcPr>
          <w:p w14:paraId="27B7274B" w14:textId="77777777" w:rsidR="00270F68" w:rsidRPr="00BB74B0" w:rsidRDefault="00270F68" w:rsidP="00C17DC6">
            <w:pPr>
              <w:pStyle w:val="Restrictiontemplate"/>
            </w:pPr>
            <w:r w:rsidRPr="00BB74B0">
              <w:t>2</w:t>
            </w:r>
          </w:p>
        </w:tc>
        <w:tc>
          <w:tcPr>
            <w:tcW w:w="479" w:type="pct"/>
          </w:tcPr>
          <w:p w14:paraId="386B2803" w14:textId="77777777" w:rsidR="00270F68" w:rsidRPr="00BB74B0" w:rsidRDefault="00270F68" w:rsidP="00C17DC6">
            <w:pPr>
              <w:pStyle w:val="Restrictiontemplate"/>
            </w:pPr>
            <w:r w:rsidRPr="00BB74B0">
              <w:t>2</w:t>
            </w:r>
          </w:p>
        </w:tc>
        <w:tc>
          <w:tcPr>
            <w:tcW w:w="385" w:type="pct"/>
          </w:tcPr>
          <w:p w14:paraId="01EAC4AC" w14:textId="77777777" w:rsidR="00270F68" w:rsidRPr="00BB74B0" w:rsidRDefault="00270F68" w:rsidP="00C17DC6">
            <w:pPr>
              <w:pStyle w:val="Restrictiontemplate"/>
            </w:pPr>
            <w:r w:rsidRPr="00BB74B0">
              <w:t>5</w:t>
            </w:r>
          </w:p>
        </w:tc>
        <w:tc>
          <w:tcPr>
            <w:tcW w:w="1001" w:type="pct"/>
          </w:tcPr>
          <w:p w14:paraId="2687BC33" w14:textId="0A46BBBA" w:rsidR="00270F68" w:rsidRPr="00BB74B0" w:rsidRDefault="00270F68" w:rsidP="00C17DC6">
            <w:pPr>
              <w:pStyle w:val="Restrictiontemplate"/>
            </w:pPr>
            <w:r w:rsidRPr="00BB74B0">
              <w:t>Opdivo</w:t>
            </w:r>
            <w:r w:rsidR="00316495">
              <w:t xml:space="preserve"> SC</w:t>
            </w:r>
          </w:p>
        </w:tc>
      </w:tr>
      <w:tr w:rsidR="00270F68" w:rsidRPr="00BB74B0" w14:paraId="7693D039" w14:textId="77777777" w:rsidTr="004F10A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32976F41" w14:textId="77777777" w:rsidR="00270F68" w:rsidRPr="00BB74B0" w:rsidRDefault="00270F68" w:rsidP="00C17DC6">
            <w:pPr>
              <w:pStyle w:val="Restrictiontemplate"/>
            </w:pPr>
          </w:p>
        </w:tc>
      </w:tr>
      <w:tr w:rsidR="004F10A7" w:rsidRPr="00BB74B0" w14:paraId="6A8B464E" w14:textId="77777777" w:rsidTr="004F10A7">
        <w:tblPrEx>
          <w:tblCellMar>
            <w:top w:w="15" w:type="dxa"/>
            <w:left w:w="15" w:type="dxa"/>
            <w:bottom w:w="15" w:type="dxa"/>
            <w:right w:w="15" w:type="dxa"/>
          </w:tblCellMar>
          <w:tblLook w:val="04A0" w:firstRow="1" w:lastRow="0" w:firstColumn="1" w:lastColumn="0" w:noHBand="0" w:noVBand="1"/>
        </w:tblPrEx>
        <w:tc>
          <w:tcPr>
            <w:tcW w:w="528" w:type="pct"/>
            <w:vMerge w:val="restart"/>
            <w:tcBorders>
              <w:top w:val="single" w:sz="4" w:space="0" w:color="auto"/>
              <w:left w:val="single" w:sz="4" w:space="0" w:color="auto"/>
              <w:right w:val="single" w:sz="4" w:space="0" w:color="auto"/>
            </w:tcBorders>
          </w:tcPr>
          <w:p w14:paraId="33847257" w14:textId="267354F3" w:rsidR="004F10A7" w:rsidRPr="00BB74B0" w:rsidRDefault="004F10A7" w:rsidP="00C17DC6">
            <w:pPr>
              <w:pStyle w:val="Restrictiontemplate"/>
            </w:pPr>
            <w:r w:rsidRPr="00717CF2">
              <w:rPr>
                <w:rFonts w:eastAsia="Times New Roman" w:cs="Arial"/>
                <w:b/>
                <w:lang w:eastAsia="en-AU"/>
              </w:rPr>
              <w:t xml:space="preserve">Concept ID </w:t>
            </w:r>
            <w:r w:rsidRPr="00717CF2">
              <w:rPr>
                <w:rFonts w:eastAsia="Times New Roman" w:cs="Arial"/>
                <w:lang w:eastAsia="en-AU"/>
              </w:rPr>
              <w:t>(for internal Dept. use)</w:t>
            </w:r>
          </w:p>
        </w:tc>
        <w:tc>
          <w:tcPr>
            <w:tcW w:w="4472" w:type="pct"/>
            <w:gridSpan w:val="6"/>
            <w:tcBorders>
              <w:top w:val="single" w:sz="4" w:space="0" w:color="auto"/>
              <w:left w:val="single" w:sz="4" w:space="0" w:color="auto"/>
              <w:right w:val="single" w:sz="4" w:space="0" w:color="auto"/>
            </w:tcBorders>
            <w:vAlign w:val="center"/>
          </w:tcPr>
          <w:p w14:paraId="318EAF2B" w14:textId="77777777" w:rsidR="004F10A7" w:rsidRPr="00717CF2" w:rsidRDefault="004F10A7" w:rsidP="00C17DC6">
            <w:pPr>
              <w:rPr>
                <w:rFonts w:ascii="Arial Narrow" w:hAnsi="Arial Narrow" w:cs="Arial"/>
                <w:bCs/>
                <w:sz w:val="18"/>
                <w:szCs w:val="18"/>
              </w:rPr>
            </w:pPr>
            <w:r w:rsidRPr="00717CF2">
              <w:rPr>
                <w:rFonts w:ascii="Arial Narrow" w:hAnsi="Arial Narrow" w:cs="Arial"/>
                <w:bCs/>
                <w:sz w:val="18"/>
                <w:szCs w:val="18"/>
              </w:rPr>
              <w:t xml:space="preserve">Category / Program: </w:t>
            </w:r>
          </w:p>
          <w:p w14:paraId="2D81E06B" w14:textId="49E2C3A3" w:rsidR="004F10A7" w:rsidRPr="00BB74B0" w:rsidRDefault="004F10A7" w:rsidP="00C17DC6">
            <w:pPr>
              <w:pStyle w:val="Restrictiontemplate"/>
            </w:pPr>
            <w:r w:rsidRPr="00717CF2">
              <w:rPr>
                <w:rFonts w:eastAsia="Calibri" w:cs="Arial"/>
                <w:bCs/>
                <w:lang w:eastAsia="en-AU"/>
              </w:rPr>
              <w:fldChar w:fldCharType="begin" w:fldLock="1">
                <w:ffData>
                  <w:name w:val="Check1"/>
                  <w:enabled/>
                  <w:calcOnExit w:val="0"/>
                  <w:checkBox>
                    <w:sizeAuto/>
                    <w:default w:val="1"/>
                  </w:checkBox>
                </w:ffData>
              </w:fldChar>
            </w:r>
            <w:r w:rsidRPr="00717CF2">
              <w:rPr>
                <w:rFonts w:eastAsia="Calibri" w:cs="Arial"/>
                <w:bCs/>
                <w:lang w:eastAsia="en-AU"/>
              </w:rPr>
              <w:instrText xml:space="preserve"> FORMCHECKBOX </w:instrText>
            </w:r>
            <w:r w:rsidRPr="00717CF2">
              <w:rPr>
                <w:rFonts w:eastAsia="Calibri" w:cs="Arial"/>
                <w:bCs/>
                <w:lang w:eastAsia="en-AU"/>
              </w:rPr>
            </w:r>
            <w:r w:rsidRPr="00717CF2">
              <w:rPr>
                <w:rFonts w:eastAsia="Calibri" w:cs="Arial"/>
                <w:bCs/>
                <w:lang w:eastAsia="en-AU"/>
              </w:rPr>
              <w:fldChar w:fldCharType="separate"/>
            </w:r>
            <w:r w:rsidRPr="00717CF2">
              <w:rPr>
                <w:rFonts w:eastAsia="Calibri" w:cs="Arial"/>
                <w:bCs/>
                <w:lang w:eastAsia="en-AU"/>
              </w:rPr>
              <w:fldChar w:fldCharType="end"/>
            </w:r>
            <w:r w:rsidRPr="00717CF2">
              <w:rPr>
                <w:rFonts w:eastAsia="Calibri" w:cs="Arial"/>
                <w:bCs/>
                <w:lang w:eastAsia="en-AU"/>
              </w:rPr>
              <w:t xml:space="preserve"> GENERAL </w:t>
            </w:r>
            <w:r w:rsidRPr="00717CF2">
              <w:rPr>
                <w:rFonts w:eastAsia="Times New Roman" w:cs="Arial"/>
                <w:bCs/>
                <w:lang w:eastAsia="en-AU"/>
              </w:rPr>
              <w:t>–</w:t>
            </w:r>
            <w:r w:rsidRPr="00717CF2">
              <w:rPr>
                <w:rFonts w:eastAsia="Calibri" w:cs="Arial"/>
                <w:bCs/>
                <w:lang w:eastAsia="en-AU"/>
              </w:rPr>
              <w:t xml:space="preserve"> General Schedule (Code GE) </w:t>
            </w:r>
            <w:r w:rsidRPr="00717CF2">
              <w:rPr>
                <w:rFonts w:eastAsia="Calibri" w:cs="Arial"/>
                <w:bCs/>
                <w:lang w:eastAsia="en-AU"/>
              </w:rPr>
              <w:br/>
            </w:r>
            <w:r w:rsidRPr="00717CF2">
              <w:rPr>
                <w:rFonts w:eastAsia="Calibri" w:cs="Arial"/>
                <w:bCs/>
                <w:lang w:eastAsia="en-AU"/>
              </w:rPr>
              <w:fldChar w:fldCharType="begin" w:fldLock="1">
                <w:ffData>
                  <w:name w:val=""/>
                  <w:enabled/>
                  <w:calcOnExit w:val="0"/>
                  <w:checkBox>
                    <w:sizeAuto/>
                    <w:default w:val="1"/>
                  </w:checkBox>
                </w:ffData>
              </w:fldChar>
            </w:r>
            <w:r w:rsidRPr="00717CF2">
              <w:rPr>
                <w:rFonts w:eastAsia="Calibri" w:cs="Arial"/>
                <w:bCs/>
                <w:lang w:eastAsia="en-AU"/>
              </w:rPr>
              <w:instrText xml:space="preserve"> FORMCHECKBOX </w:instrText>
            </w:r>
            <w:r w:rsidRPr="00717CF2">
              <w:rPr>
                <w:rFonts w:eastAsia="Calibri" w:cs="Arial"/>
                <w:bCs/>
                <w:lang w:eastAsia="en-AU"/>
              </w:rPr>
            </w:r>
            <w:r w:rsidRPr="00717CF2">
              <w:rPr>
                <w:rFonts w:eastAsia="Calibri" w:cs="Arial"/>
                <w:bCs/>
                <w:lang w:eastAsia="en-AU"/>
              </w:rPr>
              <w:fldChar w:fldCharType="separate"/>
            </w:r>
            <w:r w:rsidRPr="00717CF2">
              <w:rPr>
                <w:rFonts w:eastAsia="Calibri" w:cs="Arial"/>
                <w:bCs/>
                <w:lang w:eastAsia="en-AU"/>
              </w:rPr>
              <w:fldChar w:fldCharType="end"/>
            </w:r>
            <w:r w:rsidRPr="00717CF2">
              <w:rPr>
                <w:rFonts w:eastAsia="Calibri" w:cs="Arial"/>
                <w:bCs/>
                <w:lang w:eastAsia="en-AU"/>
              </w:rPr>
              <w:t xml:space="preserve"> Section </w:t>
            </w:r>
            <w:r w:rsidRPr="00717CF2">
              <w:rPr>
                <w:rFonts w:eastAsia="Times New Roman" w:cs="Arial"/>
                <w:bCs/>
                <w:lang w:eastAsia="en-AU"/>
              </w:rPr>
              <w:t xml:space="preserve">100 – Efficient Funding of Chemotherapy – Related Benefits (Code CT) </w:t>
            </w:r>
          </w:p>
        </w:tc>
      </w:tr>
      <w:tr w:rsidR="004F10A7" w:rsidRPr="00BB74B0" w14:paraId="240F2614" w14:textId="77777777" w:rsidTr="004F10A7">
        <w:tblPrEx>
          <w:tblCellMar>
            <w:top w:w="15" w:type="dxa"/>
            <w:left w:w="15" w:type="dxa"/>
            <w:bottom w:w="15" w:type="dxa"/>
            <w:right w:w="15" w:type="dxa"/>
          </w:tblCellMar>
          <w:tblLook w:val="04A0" w:firstRow="1" w:lastRow="0" w:firstColumn="1" w:lastColumn="0" w:noHBand="0" w:noVBand="1"/>
        </w:tblPrEx>
        <w:tc>
          <w:tcPr>
            <w:tcW w:w="528" w:type="pct"/>
            <w:vMerge/>
            <w:tcBorders>
              <w:left w:val="single" w:sz="4" w:space="0" w:color="auto"/>
              <w:right w:val="single" w:sz="4" w:space="0" w:color="auto"/>
            </w:tcBorders>
            <w:vAlign w:val="center"/>
          </w:tcPr>
          <w:p w14:paraId="347042B3" w14:textId="77777777" w:rsidR="004F10A7" w:rsidRPr="00BB74B0" w:rsidRDefault="004F10A7" w:rsidP="00C17DC6">
            <w:pPr>
              <w:pStyle w:val="Restrictiontemplate"/>
            </w:pPr>
          </w:p>
        </w:tc>
        <w:tc>
          <w:tcPr>
            <w:tcW w:w="4472" w:type="pct"/>
            <w:gridSpan w:val="6"/>
            <w:tcBorders>
              <w:top w:val="single" w:sz="4" w:space="0" w:color="auto"/>
              <w:left w:val="single" w:sz="4" w:space="0" w:color="auto"/>
              <w:right w:val="single" w:sz="4" w:space="0" w:color="auto"/>
            </w:tcBorders>
            <w:vAlign w:val="center"/>
          </w:tcPr>
          <w:p w14:paraId="51BB934F" w14:textId="1B7814D7" w:rsidR="004F10A7" w:rsidRPr="00BB74B0" w:rsidRDefault="004F10A7" w:rsidP="00C17DC6">
            <w:pPr>
              <w:pStyle w:val="Restrictiontemplate"/>
            </w:pPr>
            <w:r w:rsidRPr="00717CF2">
              <w:rPr>
                <w:rFonts w:eastAsia="Times New Roman" w:cs="Arial"/>
                <w:bCs/>
                <w:lang w:eastAsia="en-AU"/>
              </w:rPr>
              <w:t xml:space="preserve">Prescriber type: </w:t>
            </w:r>
            <w:r w:rsidRPr="00717CF2">
              <w:rPr>
                <w:rFonts w:eastAsia="Times New Roman" w:cs="Arial"/>
                <w:bCs/>
                <w:lang w:eastAsia="en-AU"/>
              </w:rPr>
              <w:fldChar w:fldCharType="begin" w:fldLock="1">
                <w:ffData>
                  <w:name w:val=""/>
                  <w:enabled/>
                  <w:calcOnExit w:val="0"/>
                  <w:checkBox>
                    <w:sizeAuto/>
                    <w:default w:val="1"/>
                  </w:checkBox>
                </w:ffData>
              </w:fldChar>
            </w:r>
            <w:r w:rsidRPr="00717CF2">
              <w:rPr>
                <w:rFonts w:eastAsia="Times New Roman" w:cs="Arial"/>
                <w:bCs/>
                <w:lang w:eastAsia="en-AU"/>
              </w:rPr>
              <w:instrText xml:space="preserve"> FORMCHECKBOX </w:instrText>
            </w:r>
            <w:r w:rsidRPr="00717CF2">
              <w:rPr>
                <w:rFonts w:eastAsia="Times New Roman" w:cs="Arial"/>
                <w:bCs/>
                <w:lang w:eastAsia="en-AU"/>
              </w:rPr>
            </w:r>
            <w:r w:rsidRPr="00717CF2">
              <w:rPr>
                <w:rFonts w:eastAsia="Times New Roman" w:cs="Arial"/>
                <w:bCs/>
                <w:lang w:eastAsia="en-AU"/>
              </w:rPr>
              <w:fldChar w:fldCharType="separate"/>
            </w:r>
            <w:r w:rsidRPr="00717CF2">
              <w:rPr>
                <w:rFonts w:eastAsia="Times New Roman" w:cs="Arial"/>
                <w:bCs/>
                <w:lang w:eastAsia="en-AU"/>
              </w:rPr>
              <w:fldChar w:fldCharType="end"/>
            </w:r>
            <w:r w:rsidRPr="00717CF2">
              <w:rPr>
                <w:rFonts w:eastAsia="Times New Roman" w:cs="Arial"/>
                <w:bCs/>
                <w:lang w:eastAsia="en-AU"/>
              </w:rPr>
              <w:t xml:space="preserve">Medical Practitioners </w:t>
            </w:r>
          </w:p>
        </w:tc>
      </w:tr>
      <w:tr w:rsidR="004F10A7" w:rsidRPr="00BB74B0" w14:paraId="3243959C" w14:textId="77777777" w:rsidTr="004F10A7">
        <w:tblPrEx>
          <w:tblCellMar>
            <w:top w:w="15" w:type="dxa"/>
            <w:left w:w="15" w:type="dxa"/>
            <w:bottom w:w="15" w:type="dxa"/>
            <w:right w:w="15" w:type="dxa"/>
          </w:tblCellMar>
          <w:tblLook w:val="04A0" w:firstRow="1" w:lastRow="0" w:firstColumn="1" w:lastColumn="0" w:noHBand="0" w:noVBand="1"/>
        </w:tblPrEx>
        <w:tc>
          <w:tcPr>
            <w:tcW w:w="528" w:type="pct"/>
            <w:vMerge/>
            <w:tcBorders>
              <w:left w:val="single" w:sz="4" w:space="0" w:color="auto"/>
              <w:right w:val="single" w:sz="4" w:space="0" w:color="auto"/>
            </w:tcBorders>
            <w:vAlign w:val="center"/>
          </w:tcPr>
          <w:p w14:paraId="6C3CE8EC" w14:textId="77777777" w:rsidR="004F10A7" w:rsidRPr="00BB74B0" w:rsidRDefault="004F10A7" w:rsidP="00C17DC6">
            <w:pPr>
              <w:pStyle w:val="Restrictiontemplate"/>
            </w:pPr>
          </w:p>
        </w:tc>
        <w:tc>
          <w:tcPr>
            <w:tcW w:w="4472" w:type="pct"/>
            <w:gridSpan w:val="6"/>
            <w:tcBorders>
              <w:top w:val="single" w:sz="4" w:space="0" w:color="auto"/>
              <w:left w:val="single" w:sz="4" w:space="0" w:color="auto"/>
              <w:right w:val="single" w:sz="4" w:space="0" w:color="auto"/>
            </w:tcBorders>
          </w:tcPr>
          <w:p w14:paraId="77C095E6" w14:textId="2528A1F7" w:rsidR="004F10A7" w:rsidRPr="00BB74B0" w:rsidRDefault="004F10A7" w:rsidP="00C17DC6">
            <w:pPr>
              <w:pStyle w:val="Restrictiontemplate"/>
            </w:pPr>
            <w:r w:rsidRPr="00717CF2">
              <w:rPr>
                <w:rFonts w:eastAsia="Times New Roman" w:cs="Arial"/>
                <w:bCs/>
                <w:lang w:eastAsia="en-AU"/>
              </w:rPr>
              <w:t xml:space="preserve">Restriction type: </w:t>
            </w:r>
            <w:r w:rsidRPr="00717CF2">
              <w:rPr>
                <w:rFonts w:eastAsia="Times New Roman" w:cs="Arial"/>
                <w:bCs/>
                <w:lang w:eastAsia="en-AU"/>
              </w:rPr>
              <w:fldChar w:fldCharType="begin" w:fldLock="1">
                <w:ffData>
                  <w:name w:val=""/>
                  <w:enabled/>
                  <w:calcOnExit w:val="0"/>
                  <w:checkBox>
                    <w:sizeAuto/>
                    <w:default w:val="1"/>
                  </w:checkBox>
                </w:ffData>
              </w:fldChar>
            </w:r>
            <w:r w:rsidRPr="00717CF2">
              <w:rPr>
                <w:rFonts w:eastAsia="Times New Roman" w:cs="Arial"/>
                <w:bCs/>
                <w:lang w:eastAsia="en-AU"/>
              </w:rPr>
              <w:instrText xml:space="preserve"> FORMCHECKBOX </w:instrText>
            </w:r>
            <w:r w:rsidRPr="00717CF2">
              <w:rPr>
                <w:rFonts w:eastAsia="Times New Roman" w:cs="Arial"/>
                <w:bCs/>
                <w:lang w:eastAsia="en-AU"/>
              </w:rPr>
            </w:r>
            <w:r w:rsidRPr="00717CF2">
              <w:rPr>
                <w:rFonts w:eastAsia="Times New Roman" w:cs="Arial"/>
                <w:bCs/>
                <w:lang w:eastAsia="en-AU"/>
              </w:rPr>
              <w:fldChar w:fldCharType="separate"/>
            </w:r>
            <w:r w:rsidRPr="00717CF2">
              <w:rPr>
                <w:rFonts w:eastAsia="Times New Roman" w:cs="Arial"/>
                <w:bCs/>
                <w:lang w:eastAsia="en-AU"/>
              </w:rPr>
              <w:fldChar w:fldCharType="end"/>
            </w:r>
            <w:r w:rsidRPr="00717CF2">
              <w:rPr>
                <w:rFonts w:eastAsia="Times New Roman" w:cs="Arial"/>
                <w:bCs/>
                <w:lang w:eastAsia="en-AU"/>
              </w:rPr>
              <w:t>Authority Required (</w:t>
            </w:r>
            <w:r w:rsidR="006A32D9">
              <w:rPr>
                <w:rFonts w:eastAsia="Times New Roman" w:cs="Arial"/>
                <w:bCs/>
                <w:lang w:eastAsia="en-AU"/>
              </w:rPr>
              <w:t>STREAMLINED</w:t>
            </w:r>
            <w:r w:rsidRPr="00717CF2">
              <w:rPr>
                <w:rFonts w:eastAsia="Times New Roman" w:cs="Arial"/>
                <w:bCs/>
                <w:lang w:eastAsia="en-AU"/>
              </w:rPr>
              <w:t>)</w:t>
            </w:r>
          </w:p>
        </w:tc>
      </w:tr>
      <w:tr w:rsidR="00270F68" w:rsidRPr="00BB74B0" w14:paraId="10568039" w14:textId="77777777" w:rsidTr="004F10A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FA82314" w14:textId="5D135FCE" w:rsidR="00270F68" w:rsidRPr="00BB74B0" w:rsidRDefault="00270F68" w:rsidP="00C17DC6">
            <w:pPr>
              <w:pStyle w:val="Restrictiontemplate"/>
              <w:rPr>
                <w:rFonts w:cs="Arial"/>
              </w:rPr>
            </w:pPr>
          </w:p>
        </w:tc>
      </w:tr>
      <w:tr w:rsidR="00270F68" w:rsidRPr="00BB74B0" w14:paraId="1781B925" w14:textId="77777777" w:rsidTr="004F10A7">
        <w:tblPrEx>
          <w:tblCellMar>
            <w:top w:w="15" w:type="dxa"/>
            <w:left w:w="15" w:type="dxa"/>
            <w:bottom w:w="15" w:type="dxa"/>
            <w:right w:w="15" w:type="dxa"/>
          </w:tblCellMar>
        </w:tblPrEx>
        <w:tc>
          <w:tcPr>
            <w:tcW w:w="528" w:type="pct"/>
            <w:vAlign w:val="center"/>
          </w:tcPr>
          <w:p w14:paraId="6181C8E5" w14:textId="0FDC60DD" w:rsidR="00270F68" w:rsidRPr="00BB74B0" w:rsidRDefault="00270F68" w:rsidP="00C17DC6">
            <w:pPr>
              <w:pStyle w:val="Restrictiontemplate"/>
              <w:jc w:val="center"/>
            </w:pPr>
          </w:p>
        </w:tc>
        <w:tc>
          <w:tcPr>
            <w:tcW w:w="4472" w:type="pct"/>
            <w:gridSpan w:val="6"/>
            <w:vAlign w:val="center"/>
            <w:hideMark/>
          </w:tcPr>
          <w:p w14:paraId="4B04F041" w14:textId="77777777" w:rsidR="00270F68" w:rsidRPr="00BB74B0" w:rsidRDefault="00270F68" w:rsidP="00C17DC6">
            <w:pPr>
              <w:pStyle w:val="Restrictiontemplate"/>
            </w:pPr>
            <w:r w:rsidRPr="00BB74B0">
              <w:rPr>
                <w:b/>
                <w:bCs/>
              </w:rPr>
              <w:t>Indication:</w:t>
            </w:r>
            <w:r w:rsidRPr="00BB74B0">
              <w:t xml:space="preserve"> Urothelial carcinoma</w:t>
            </w:r>
          </w:p>
        </w:tc>
      </w:tr>
      <w:tr w:rsidR="00270F68" w:rsidRPr="00BB74B0" w14:paraId="0E34EA24" w14:textId="77777777" w:rsidTr="004F10A7">
        <w:tblPrEx>
          <w:tblCellMar>
            <w:top w:w="15" w:type="dxa"/>
            <w:left w:w="15" w:type="dxa"/>
            <w:bottom w:w="15" w:type="dxa"/>
            <w:right w:w="15" w:type="dxa"/>
          </w:tblCellMar>
          <w:tblLook w:val="04A0" w:firstRow="1" w:lastRow="0" w:firstColumn="1" w:lastColumn="0" w:noHBand="0" w:noVBand="1"/>
        </w:tblPrEx>
        <w:tc>
          <w:tcPr>
            <w:tcW w:w="528" w:type="pct"/>
            <w:vAlign w:val="center"/>
          </w:tcPr>
          <w:p w14:paraId="66A87783" w14:textId="77777777" w:rsidR="00270F68" w:rsidRPr="00BB74B0" w:rsidRDefault="00270F68" w:rsidP="00C17DC6">
            <w:pPr>
              <w:pStyle w:val="Restrictiontemplate"/>
              <w:jc w:val="center"/>
            </w:pPr>
          </w:p>
        </w:tc>
        <w:tc>
          <w:tcPr>
            <w:tcW w:w="4472" w:type="pct"/>
            <w:gridSpan w:val="6"/>
            <w:vAlign w:val="center"/>
          </w:tcPr>
          <w:p w14:paraId="67FDC9D5" w14:textId="1F090E47" w:rsidR="00270F68" w:rsidRPr="00BB74B0" w:rsidRDefault="00270F68" w:rsidP="00C17DC6">
            <w:pPr>
              <w:pStyle w:val="Restrictiontemplate"/>
              <w:rPr>
                <w:b/>
                <w:bCs/>
              </w:rPr>
            </w:pPr>
            <w:r w:rsidRPr="00BB74B0">
              <w:rPr>
                <w:b/>
                <w:bCs/>
              </w:rPr>
              <w:t xml:space="preserve">Treatment Phase: </w:t>
            </w:r>
            <w:r w:rsidR="005751D1">
              <w:t>[Blank]</w:t>
            </w:r>
            <w:r w:rsidRPr="00BB74B0">
              <w:rPr>
                <w:b/>
                <w:bCs/>
              </w:rPr>
              <w:t xml:space="preserve"> </w:t>
            </w:r>
          </w:p>
        </w:tc>
      </w:tr>
      <w:tr w:rsidR="00270F68" w:rsidRPr="00BB74B0" w14:paraId="4F74DD4B"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217051C3" w14:textId="77777777" w:rsidR="00270F68" w:rsidRPr="00BB74B0" w:rsidRDefault="00270F68" w:rsidP="00C17DC6">
            <w:pPr>
              <w:pStyle w:val="Restrictiontemplate"/>
              <w:jc w:val="center"/>
            </w:pPr>
          </w:p>
        </w:tc>
        <w:tc>
          <w:tcPr>
            <w:tcW w:w="4472" w:type="pct"/>
            <w:gridSpan w:val="6"/>
          </w:tcPr>
          <w:p w14:paraId="6CFD60BB" w14:textId="77777777" w:rsidR="00270F68" w:rsidRPr="00BB74B0" w:rsidRDefault="00270F68" w:rsidP="00C17DC6">
            <w:pPr>
              <w:pStyle w:val="Restrictiontemplate"/>
            </w:pPr>
            <w:r w:rsidRPr="00BB74B0">
              <w:rPr>
                <w:rStyle w:val="Strong"/>
                <w:rFonts w:cs="Open Sans"/>
                <w:color w:val="333333"/>
                <w:bdr w:val="none" w:sz="0" w:space="0" w:color="auto" w:frame="1"/>
              </w:rPr>
              <w:t>Clinical criteria:</w:t>
            </w:r>
          </w:p>
        </w:tc>
      </w:tr>
      <w:tr w:rsidR="00270F68" w:rsidRPr="00BB74B0" w14:paraId="7333843F"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515A6DB9" w14:textId="451C05B2" w:rsidR="00270F68" w:rsidRPr="00BB74B0" w:rsidRDefault="00270F68" w:rsidP="00C17DC6">
            <w:pPr>
              <w:pStyle w:val="Restrictiontemplate"/>
              <w:jc w:val="center"/>
            </w:pPr>
          </w:p>
        </w:tc>
        <w:tc>
          <w:tcPr>
            <w:tcW w:w="4472" w:type="pct"/>
            <w:gridSpan w:val="6"/>
          </w:tcPr>
          <w:p w14:paraId="15302621" w14:textId="39756BEC" w:rsidR="00270F68" w:rsidRPr="00BB74B0" w:rsidRDefault="00270F68" w:rsidP="00C17DC6">
            <w:pPr>
              <w:pStyle w:val="Restrictiontemplate"/>
            </w:pPr>
            <w:r w:rsidRPr="00BB74B0">
              <w:t xml:space="preserve">The treatment must be for each of: (i) adjuvant therapy that is/was initiated within </w:t>
            </w:r>
            <w:r w:rsidR="00AF67B3">
              <w:t>6 months</w:t>
            </w:r>
            <w:r w:rsidR="00AF67B3" w:rsidRPr="00BB74B0">
              <w:t xml:space="preserve"> </w:t>
            </w:r>
            <w:r w:rsidRPr="00BB74B0">
              <w:t xml:space="preserve">days of radical surgical resection, (ii) muscle invasive type disease, (iii) disease considered to be at high risk of recurrence based on pathologic staging of radical surgery tissue (ypT2-ypT4a or </w:t>
            </w:r>
            <w:proofErr w:type="spellStart"/>
            <w:r w:rsidRPr="00BB74B0">
              <w:t>ypN</w:t>
            </w:r>
            <w:proofErr w:type="spellEnd"/>
            <w:r w:rsidRPr="00BB74B0">
              <w:t xml:space="preserve">+), but yet to recur, (iv) use as the sole PBS-subsidised anti-cancer treatment for this condition, </w:t>
            </w:r>
          </w:p>
        </w:tc>
      </w:tr>
      <w:tr w:rsidR="00270F68" w:rsidRPr="00BB74B0" w14:paraId="6A446215"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1A6550F0" w14:textId="77777777" w:rsidR="00270F68" w:rsidRPr="00BB74B0" w:rsidRDefault="00270F68" w:rsidP="00C17DC6">
            <w:pPr>
              <w:pStyle w:val="Restrictiontemplate"/>
              <w:jc w:val="center"/>
            </w:pPr>
          </w:p>
        </w:tc>
        <w:tc>
          <w:tcPr>
            <w:tcW w:w="4472" w:type="pct"/>
            <w:gridSpan w:val="6"/>
          </w:tcPr>
          <w:p w14:paraId="3BDEB7F7" w14:textId="77777777" w:rsidR="00270F68" w:rsidRPr="00BB74B0" w:rsidRDefault="00270F68" w:rsidP="00C17DC6">
            <w:pPr>
              <w:pStyle w:val="Restrictiontemplate"/>
            </w:pPr>
            <w:r w:rsidRPr="00BB74B0">
              <w:rPr>
                <w:rStyle w:val="Strong"/>
                <w:rFonts w:cs="Open Sans"/>
                <w:color w:val="333333"/>
                <w:bdr w:val="none" w:sz="0" w:space="0" w:color="auto" w:frame="1"/>
              </w:rPr>
              <w:t>AND</w:t>
            </w:r>
          </w:p>
        </w:tc>
      </w:tr>
      <w:tr w:rsidR="00270F68" w:rsidRPr="00BB74B0" w14:paraId="49E6D034"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5C73BA49" w14:textId="71EE58C9" w:rsidR="00270F68" w:rsidRPr="00BB74B0" w:rsidRDefault="00270F68" w:rsidP="00C17DC6">
            <w:pPr>
              <w:pStyle w:val="Restrictiontemplate"/>
              <w:jc w:val="center"/>
            </w:pPr>
          </w:p>
        </w:tc>
        <w:tc>
          <w:tcPr>
            <w:tcW w:w="4472" w:type="pct"/>
            <w:gridSpan w:val="6"/>
          </w:tcPr>
          <w:p w14:paraId="5EBE699F" w14:textId="77777777" w:rsidR="00270F68" w:rsidRPr="00BB74B0" w:rsidRDefault="00270F68" w:rsidP="00C17DC6">
            <w:pPr>
              <w:pStyle w:val="Restrictiontemplate"/>
            </w:pPr>
            <w:r w:rsidRPr="00BB74B0">
              <w:t xml:space="preserve">Patient must have received prior platinum containing neoadjuvant chemotherapy, </w:t>
            </w:r>
          </w:p>
        </w:tc>
      </w:tr>
      <w:tr w:rsidR="00270F68" w:rsidRPr="00BB74B0" w14:paraId="7F9BA21E"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36CE33C2" w14:textId="77777777" w:rsidR="00270F68" w:rsidRPr="00BB74B0" w:rsidRDefault="00270F68" w:rsidP="00C17DC6">
            <w:pPr>
              <w:pStyle w:val="Restrictiontemplate"/>
              <w:jc w:val="center"/>
            </w:pPr>
          </w:p>
        </w:tc>
        <w:tc>
          <w:tcPr>
            <w:tcW w:w="4472" w:type="pct"/>
            <w:gridSpan w:val="6"/>
          </w:tcPr>
          <w:p w14:paraId="1FA45D4A" w14:textId="77777777" w:rsidR="00270F68" w:rsidRPr="00BB74B0" w:rsidRDefault="00270F68" w:rsidP="00C17DC6">
            <w:pPr>
              <w:pStyle w:val="Restrictiontemplate"/>
            </w:pPr>
            <w:r w:rsidRPr="00BB74B0">
              <w:rPr>
                <w:rStyle w:val="Strong"/>
                <w:rFonts w:cs="Open Sans"/>
                <w:color w:val="333333"/>
                <w:bdr w:val="none" w:sz="0" w:space="0" w:color="auto" w:frame="1"/>
              </w:rPr>
              <w:t>AND</w:t>
            </w:r>
          </w:p>
        </w:tc>
      </w:tr>
      <w:tr w:rsidR="0039248D" w:rsidRPr="00BB74B0" w14:paraId="04887802"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7699236A" w14:textId="24AE31E0" w:rsidR="0039248D" w:rsidRPr="00BB74B0" w:rsidRDefault="0039248D" w:rsidP="00C17DC6">
            <w:pPr>
              <w:pStyle w:val="Restrictiontemplate"/>
              <w:jc w:val="center"/>
            </w:pPr>
          </w:p>
        </w:tc>
        <w:tc>
          <w:tcPr>
            <w:tcW w:w="4472" w:type="pct"/>
            <w:gridSpan w:val="6"/>
          </w:tcPr>
          <w:p w14:paraId="6BF080C2" w14:textId="57AB8029" w:rsidR="0039248D" w:rsidRPr="008C5E90" w:rsidRDefault="008C5E90" w:rsidP="00C17DC6">
            <w:pPr>
              <w:pStyle w:val="Restrictiontemplate"/>
              <w:rPr>
                <w:rStyle w:val="Strong"/>
                <w:rFonts w:cs="Open Sans"/>
                <w:b w:val="0"/>
                <w:bCs w:val="0"/>
                <w:color w:val="333333"/>
                <w:bdr w:val="none" w:sz="0" w:space="0" w:color="auto" w:frame="1"/>
              </w:rPr>
            </w:pPr>
            <w:r w:rsidRPr="008C5E90">
              <w:rPr>
                <w:rStyle w:val="Strong"/>
                <w:rFonts w:cs="Open Sans"/>
                <w:b w:val="0"/>
                <w:bCs w:val="0"/>
                <w:color w:val="333333"/>
                <w:bdr w:val="none" w:sz="0" w:space="0" w:color="auto" w:frame="1"/>
              </w:rPr>
              <w:t>Patient must not have received prior treatment with a programmed cell death-1 (PD-1) inhibitor or a programmed cell death ligand-1 (PD-L1) inhibitor for this condition</w:t>
            </w:r>
          </w:p>
        </w:tc>
      </w:tr>
      <w:tr w:rsidR="0039248D" w:rsidRPr="00BB74B0" w14:paraId="6C8DE4F9"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5421E211" w14:textId="77777777" w:rsidR="0039248D" w:rsidRPr="00BB74B0" w:rsidRDefault="0039248D" w:rsidP="00C17DC6">
            <w:pPr>
              <w:pStyle w:val="Restrictiontemplate"/>
              <w:jc w:val="center"/>
            </w:pPr>
          </w:p>
        </w:tc>
        <w:tc>
          <w:tcPr>
            <w:tcW w:w="4472" w:type="pct"/>
            <w:gridSpan w:val="6"/>
          </w:tcPr>
          <w:p w14:paraId="32EA961F" w14:textId="55EFAB0B" w:rsidR="0039248D" w:rsidRPr="00BB74B0" w:rsidRDefault="003E24FF" w:rsidP="00C17DC6">
            <w:pPr>
              <w:pStyle w:val="Restrictiontemplate"/>
              <w:rPr>
                <w:rStyle w:val="Strong"/>
                <w:rFonts w:cs="Open Sans"/>
                <w:color w:val="333333"/>
                <w:bdr w:val="none" w:sz="0" w:space="0" w:color="auto" w:frame="1"/>
              </w:rPr>
            </w:pPr>
            <w:r w:rsidRPr="00BB74B0">
              <w:rPr>
                <w:rStyle w:val="Strong"/>
                <w:rFonts w:cs="Open Sans"/>
                <w:color w:val="333333"/>
                <w:bdr w:val="none" w:sz="0" w:space="0" w:color="auto" w:frame="1"/>
              </w:rPr>
              <w:t>AND</w:t>
            </w:r>
          </w:p>
        </w:tc>
      </w:tr>
      <w:tr w:rsidR="00270F68" w:rsidRPr="00BB74B0" w14:paraId="2DE79437"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10A7489F" w14:textId="47A5160D" w:rsidR="00270F68" w:rsidRPr="00BB74B0" w:rsidRDefault="00270F68" w:rsidP="00C17DC6">
            <w:pPr>
              <w:pStyle w:val="Restrictiontemplate"/>
              <w:jc w:val="center"/>
            </w:pPr>
          </w:p>
        </w:tc>
        <w:tc>
          <w:tcPr>
            <w:tcW w:w="4472" w:type="pct"/>
            <w:gridSpan w:val="6"/>
          </w:tcPr>
          <w:p w14:paraId="7C99A8A4" w14:textId="68BA0410" w:rsidR="00270F68" w:rsidRPr="00BB74B0" w:rsidRDefault="00270F68" w:rsidP="00C17DC6">
            <w:pPr>
              <w:pStyle w:val="Restrictiontemplate"/>
            </w:pPr>
            <w:r w:rsidRPr="00BB74B0">
              <w:t>Patient must have/</w:t>
            </w:r>
            <w:r w:rsidR="00715825" w:rsidRPr="00BB74B0">
              <w:t>have had</w:t>
            </w:r>
            <w:r w:rsidRPr="00BB74B0">
              <w:t xml:space="preserve"> at the time of initiating treatment with this drug, a WHO performance status no higher than 1. </w:t>
            </w:r>
          </w:p>
        </w:tc>
      </w:tr>
      <w:tr w:rsidR="00270F68" w:rsidRPr="00BB74B0" w14:paraId="14CEF5E3"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503B9D31" w14:textId="77777777" w:rsidR="00270F68" w:rsidRPr="00BB74B0" w:rsidRDefault="00270F68" w:rsidP="00C17DC6">
            <w:pPr>
              <w:pStyle w:val="Restrictiontemplate"/>
              <w:jc w:val="center"/>
            </w:pPr>
          </w:p>
        </w:tc>
        <w:tc>
          <w:tcPr>
            <w:tcW w:w="4472" w:type="pct"/>
            <w:gridSpan w:val="6"/>
          </w:tcPr>
          <w:p w14:paraId="1A0A3639" w14:textId="77777777" w:rsidR="00270F68" w:rsidRPr="00BB74B0" w:rsidRDefault="00270F68" w:rsidP="00C17DC6">
            <w:pPr>
              <w:pStyle w:val="Restrictiontemplate"/>
            </w:pPr>
            <w:r w:rsidRPr="00BB74B0">
              <w:rPr>
                <w:rStyle w:val="Strong"/>
                <w:rFonts w:cs="Open Sans"/>
                <w:color w:val="333333"/>
                <w:bdr w:val="none" w:sz="0" w:space="0" w:color="auto" w:frame="1"/>
              </w:rPr>
              <w:t>Treatment criteria:</w:t>
            </w:r>
          </w:p>
        </w:tc>
      </w:tr>
      <w:tr w:rsidR="00270F68" w:rsidRPr="00BB74B0" w14:paraId="7438B610"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62BBBC63" w14:textId="4FAAA635" w:rsidR="00270F68" w:rsidRPr="00BB74B0" w:rsidRDefault="00270F68" w:rsidP="00C17DC6">
            <w:pPr>
              <w:pStyle w:val="Restrictiontemplate"/>
              <w:jc w:val="center"/>
            </w:pPr>
          </w:p>
        </w:tc>
        <w:tc>
          <w:tcPr>
            <w:tcW w:w="4472" w:type="pct"/>
            <w:gridSpan w:val="6"/>
          </w:tcPr>
          <w:p w14:paraId="57370146" w14:textId="77777777" w:rsidR="00270F68" w:rsidRPr="00BB74B0" w:rsidRDefault="00270F68" w:rsidP="00C17DC6">
            <w:pPr>
              <w:pStyle w:val="Restrictiontemplate"/>
            </w:pPr>
            <w:r w:rsidRPr="00BB74B0">
              <w:t xml:space="preserve">Patient must be undergoing treatment with a dosing regimen as set out in the drug's Therapeutic Goods Administration (TGA) approved Product Information, </w:t>
            </w:r>
          </w:p>
        </w:tc>
      </w:tr>
      <w:tr w:rsidR="00270F68" w:rsidRPr="00BB74B0" w14:paraId="082AED8F"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3EAD89A3" w14:textId="77777777" w:rsidR="00270F68" w:rsidRPr="00BB74B0" w:rsidRDefault="00270F68" w:rsidP="00C17DC6">
            <w:pPr>
              <w:pStyle w:val="Restrictiontemplate"/>
              <w:jc w:val="center"/>
            </w:pPr>
          </w:p>
        </w:tc>
        <w:tc>
          <w:tcPr>
            <w:tcW w:w="4472" w:type="pct"/>
            <w:gridSpan w:val="6"/>
          </w:tcPr>
          <w:p w14:paraId="2285F594" w14:textId="77777777" w:rsidR="00270F68" w:rsidRPr="00BB74B0" w:rsidRDefault="00270F68" w:rsidP="00C17DC6">
            <w:pPr>
              <w:pStyle w:val="Restrictiontemplate"/>
              <w:rPr>
                <w:rFonts w:cs="Arial"/>
              </w:rPr>
            </w:pPr>
            <w:r w:rsidRPr="00BB74B0">
              <w:rPr>
                <w:rStyle w:val="Strong"/>
                <w:rFonts w:cs="Open Sans"/>
                <w:color w:val="333333"/>
                <w:bdr w:val="none" w:sz="0" w:space="0" w:color="auto" w:frame="1"/>
              </w:rPr>
              <w:t>AND</w:t>
            </w:r>
          </w:p>
        </w:tc>
      </w:tr>
      <w:tr w:rsidR="00270F68" w:rsidRPr="00BB74B0" w14:paraId="52E1656E"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71E842AA" w14:textId="24CD52EA" w:rsidR="00270F68" w:rsidRPr="00BB74B0" w:rsidRDefault="00270F68" w:rsidP="00C17DC6">
            <w:pPr>
              <w:pStyle w:val="Restrictiontemplate"/>
              <w:jc w:val="center"/>
            </w:pPr>
          </w:p>
        </w:tc>
        <w:tc>
          <w:tcPr>
            <w:tcW w:w="4472" w:type="pct"/>
            <w:gridSpan w:val="6"/>
          </w:tcPr>
          <w:p w14:paraId="76526B0A" w14:textId="77777777" w:rsidR="00270F68" w:rsidRPr="00BB74B0" w:rsidRDefault="00270F68" w:rsidP="00C17DC6">
            <w:pPr>
              <w:pStyle w:val="Restrictiontemplate"/>
            </w:pPr>
            <w:r w:rsidRPr="00BB74B0">
              <w:t xml:space="preserve">Patient must be undergoing treatment that does not occur beyond the following, whichever comes first: (i) the first instance of disease progression/recurrence, (ii) 12 months in total for this condition from the first administered dose; mark any remaining repeat prescriptions with the words 'cancelled' where (i)/(ii) has occurred. </w:t>
            </w:r>
          </w:p>
        </w:tc>
      </w:tr>
      <w:tr w:rsidR="00270F68" w:rsidRPr="00BB74B0" w14:paraId="45997BA5"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17D12E16" w14:textId="03C5BBAE" w:rsidR="00270F68" w:rsidRPr="00BB74B0" w:rsidRDefault="00270F68" w:rsidP="00C17DC6">
            <w:pPr>
              <w:pStyle w:val="Restrictiontemplate"/>
              <w:jc w:val="center"/>
            </w:pPr>
          </w:p>
        </w:tc>
        <w:tc>
          <w:tcPr>
            <w:tcW w:w="4472" w:type="pct"/>
            <w:gridSpan w:val="6"/>
          </w:tcPr>
          <w:p w14:paraId="2D6A4729" w14:textId="77777777" w:rsidR="009E2DF5" w:rsidRDefault="00270F68" w:rsidP="00C17DC6">
            <w:pPr>
              <w:pStyle w:val="Restrictiontemplate"/>
              <w:rPr>
                <w:rStyle w:val="Strong"/>
                <w:rFonts w:cstheme="minorHAnsi"/>
                <w:color w:val="333333"/>
                <w:bdr w:val="none" w:sz="0" w:space="0" w:color="auto" w:frame="1"/>
              </w:rPr>
            </w:pPr>
            <w:r w:rsidRPr="00842A5C">
              <w:rPr>
                <w:rStyle w:val="Strong"/>
                <w:rFonts w:cstheme="minorHAnsi"/>
                <w:color w:val="333333"/>
                <w:bdr w:val="none" w:sz="0" w:space="0" w:color="auto" w:frame="1"/>
              </w:rPr>
              <w:t xml:space="preserve">Prescribing instructions: </w:t>
            </w:r>
          </w:p>
          <w:p w14:paraId="4EE1C042" w14:textId="433AD705" w:rsidR="00270F68" w:rsidRPr="00BB74B0" w:rsidRDefault="00270F68" w:rsidP="00C17DC6">
            <w:pPr>
              <w:pStyle w:val="Restrictiontemplate"/>
              <w:rPr>
                <w:b/>
                <w:bCs/>
                <w:color w:val="333333"/>
              </w:rPr>
            </w:pPr>
            <w:r w:rsidRPr="00CD5258">
              <w:rPr>
                <w:rStyle w:val="Strong"/>
                <w:rFonts w:cstheme="minorHAnsi"/>
                <w:b w:val="0"/>
                <w:bCs w:val="0"/>
                <w:color w:val="333333"/>
                <w:bdr w:val="none" w:sz="0" w:space="0" w:color="auto" w:frame="1"/>
              </w:rPr>
              <w:t xml:space="preserve">Patients must only receive 600 mg every two weeks or </w:t>
            </w:r>
            <w:r w:rsidR="002A1AFD" w:rsidRPr="002A1AFD">
              <w:rPr>
                <w:rStyle w:val="Strong"/>
                <w:rFonts w:cstheme="minorHAnsi"/>
                <w:b w:val="0"/>
                <w:bCs w:val="0"/>
                <w:color w:val="333333"/>
                <w:bdr w:val="none" w:sz="0" w:space="0" w:color="auto" w:frame="1"/>
              </w:rPr>
              <w:t>1</w:t>
            </w:r>
            <w:r w:rsidR="002A1AFD" w:rsidRPr="00CD5258">
              <w:rPr>
                <w:rStyle w:val="Strong"/>
                <w:rFonts w:cstheme="minorHAnsi"/>
                <w:b w:val="0"/>
                <w:bCs w:val="0"/>
                <w:color w:val="333333"/>
                <w:bdr w:val="none" w:sz="0" w:space="0" w:color="auto" w:frame="1"/>
              </w:rPr>
              <w:t>200</w:t>
            </w:r>
            <w:r w:rsidRPr="00CD5258">
              <w:rPr>
                <w:rStyle w:val="Strong"/>
                <w:rFonts w:cstheme="minorHAnsi"/>
                <w:b w:val="0"/>
                <w:bCs w:val="0"/>
                <w:color w:val="333333"/>
                <w:bdr w:val="none" w:sz="0" w:space="0" w:color="auto" w:frame="1"/>
              </w:rPr>
              <w:t xml:space="preserve"> mg every four weeks under a flat dosing regimen.</w:t>
            </w:r>
          </w:p>
        </w:tc>
      </w:tr>
      <w:tr w:rsidR="00270F68" w:rsidRPr="00BB74B0" w14:paraId="26455D2E"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2EAAB7A1" w14:textId="77777777" w:rsidR="00270F68" w:rsidRPr="00BB74B0" w:rsidRDefault="00270F68" w:rsidP="00C17DC6">
            <w:pPr>
              <w:pStyle w:val="Restrictiontemplate"/>
              <w:jc w:val="center"/>
            </w:pPr>
          </w:p>
        </w:tc>
        <w:tc>
          <w:tcPr>
            <w:tcW w:w="4472" w:type="pct"/>
            <w:gridSpan w:val="6"/>
            <w:vAlign w:val="center"/>
          </w:tcPr>
          <w:p w14:paraId="66535734" w14:textId="13FA2264" w:rsidR="00270F68" w:rsidRPr="00BB74B0" w:rsidRDefault="00270F68" w:rsidP="00C17DC6">
            <w:pPr>
              <w:pStyle w:val="Restrictiontemplate"/>
              <w:rPr>
                <w:rFonts w:cs="Open Sans"/>
                <w:color w:val="333333"/>
              </w:rPr>
            </w:pPr>
          </w:p>
        </w:tc>
      </w:tr>
      <w:tr w:rsidR="00270F68" w:rsidRPr="00BB74B0" w14:paraId="0A99B1F1"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4E1467C8" w14:textId="77777777" w:rsidR="00270F68" w:rsidRPr="00BB74B0" w:rsidRDefault="00270F68" w:rsidP="00C17DC6">
            <w:pPr>
              <w:pStyle w:val="Restrictiontemplate"/>
            </w:pPr>
          </w:p>
        </w:tc>
        <w:tc>
          <w:tcPr>
            <w:tcW w:w="4472" w:type="pct"/>
            <w:gridSpan w:val="6"/>
            <w:vAlign w:val="center"/>
          </w:tcPr>
          <w:p w14:paraId="7FDE34BA" w14:textId="35B04687" w:rsidR="00270F68" w:rsidRPr="00BB74B0" w:rsidRDefault="00270F68" w:rsidP="00C17DC6">
            <w:pPr>
              <w:pStyle w:val="Restrictiontemplate"/>
              <w:rPr>
                <w:rFonts w:cs="Open Sans"/>
                <w:color w:val="333333"/>
              </w:rPr>
            </w:pPr>
          </w:p>
        </w:tc>
      </w:tr>
      <w:tr w:rsidR="001A656D" w:rsidRPr="00BB74B0" w14:paraId="7BC02A9B" w14:textId="77777777" w:rsidTr="00CD5258">
        <w:tblPrEx>
          <w:tblCellMar>
            <w:top w:w="15" w:type="dxa"/>
            <w:left w:w="15" w:type="dxa"/>
            <w:bottom w:w="15" w:type="dxa"/>
            <w:right w:w="15" w:type="dxa"/>
          </w:tblCellMar>
        </w:tblPrEx>
        <w:tc>
          <w:tcPr>
            <w:tcW w:w="528" w:type="pct"/>
            <w:vAlign w:val="center"/>
          </w:tcPr>
          <w:p w14:paraId="31FB804D" w14:textId="355C737B" w:rsidR="001A656D" w:rsidRPr="00BB74B0" w:rsidRDefault="001A656D" w:rsidP="00C17DC6">
            <w:pPr>
              <w:pStyle w:val="Restrictiontemplate"/>
              <w:jc w:val="center"/>
            </w:pPr>
          </w:p>
        </w:tc>
        <w:tc>
          <w:tcPr>
            <w:tcW w:w="4472" w:type="pct"/>
            <w:gridSpan w:val="6"/>
            <w:vAlign w:val="center"/>
          </w:tcPr>
          <w:p w14:paraId="1875D6DA" w14:textId="2C4C6008" w:rsidR="001A656D" w:rsidRPr="00BB74B0" w:rsidDel="000464CD" w:rsidRDefault="001A656D" w:rsidP="00C17DC6">
            <w:pPr>
              <w:pStyle w:val="Restrictiontemplate"/>
              <w:rPr>
                <w:b/>
                <w:bCs/>
                <w:color w:val="333333"/>
              </w:rPr>
            </w:pPr>
            <w:r w:rsidRPr="00317BEC">
              <w:rPr>
                <w:b/>
                <w:bCs/>
                <w:color w:val="333333"/>
              </w:rPr>
              <w:t xml:space="preserve">Administrative Advice: </w:t>
            </w:r>
            <w:r w:rsidRPr="00317BEC">
              <w:t>No increase in the maximum number of repeats may be authorised.</w:t>
            </w:r>
          </w:p>
        </w:tc>
      </w:tr>
      <w:tr w:rsidR="001A656D" w:rsidRPr="00BB74B0" w14:paraId="2DA6981A" w14:textId="77777777" w:rsidTr="004F10A7">
        <w:tblPrEx>
          <w:tblCellMar>
            <w:top w:w="15" w:type="dxa"/>
            <w:left w:w="15" w:type="dxa"/>
            <w:bottom w:w="15" w:type="dxa"/>
            <w:right w:w="15" w:type="dxa"/>
          </w:tblCellMar>
          <w:tblLook w:val="04A0" w:firstRow="1" w:lastRow="0" w:firstColumn="1" w:lastColumn="0" w:noHBand="0" w:noVBand="1"/>
        </w:tblPrEx>
        <w:tc>
          <w:tcPr>
            <w:tcW w:w="528" w:type="pct"/>
          </w:tcPr>
          <w:p w14:paraId="454C3375" w14:textId="77777777" w:rsidR="001A656D" w:rsidRPr="00BB74B0" w:rsidRDefault="001A656D" w:rsidP="00C17DC6">
            <w:pPr>
              <w:pStyle w:val="Restrictiontemplate"/>
            </w:pPr>
          </w:p>
        </w:tc>
        <w:tc>
          <w:tcPr>
            <w:tcW w:w="4472" w:type="pct"/>
            <w:gridSpan w:val="6"/>
            <w:vAlign w:val="center"/>
          </w:tcPr>
          <w:p w14:paraId="175EDF3B" w14:textId="77777777" w:rsidR="001A656D" w:rsidRPr="00BB74B0" w:rsidRDefault="001A656D" w:rsidP="00C17DC6">
            <w:pPr>
              <w:pStyle w:val="Restrictiontemplate"/>
              <w:rPr>
                <w:b/>
                <w:bCs/>
              </w:rPr>
            </w:pPr>
            <w:r w:rsidRPr="00BB74B0">
              <w:rPr>
                <w:b/>
                <w:bCs/>
              </w:rPr>
              <w:t xml:space="preserve">Administrative Advice: </w:t>
            </w:r>
            <w:r w:rsidRPr="00BB74B0">
              <w:t>Special Pricing Arrangements apply.</w:t>
            </w:r>
          </w:p>
        </w:tc>
      </w:tr>
    </w:tbl>
    <w:p w14:paraId="5A6FD304" w14:textId="77777777" w:rsidR="004D33A8" w:rsidRDefault="004D33A8" w:rsidP="00C17DC6">
      <w:pPr>
        <w:jc w:val="left"/>
        <w:rPr>
          <w:rFonts w:asciiTheme="minorHAnsi" w:eastAsiaTheme="majorEastAsia" w:hAnsiTheme="minorHAnsi" w:cstheme="majorBidi"/>
          <w:b/>
          <w:i/>
          <w:spacing w:val="5"/>
          <w:kern w:val="28"/>
          <w:sz w:val="28"/>
          <w:szCs w:val="36"/>
        </w:rPr>
      </w:pPr>
      <w:r>
        <w:br w:type="page"/>
      </w:r>
    </w:p>
    <w:p w14:paraId="028AFAD2" w14:textId="77104D2D" w:rsidR="004658FC" w:rsidRPr="00193B90" w:rsidRDefault="004658FC" w:rsidP="00C17DC6">
      <w:pPr>
        <w:pStyle w:val="4-SubsectionHeading"/>
      </w:pPr>
      <w:r w:rsidRPr="00193B90">
        <w:lastRenderedPageBreak/>
        <w:t>Adjuvant treatment of stage II or III oesophageal cancer or gastro-oesophageal junction cancer</w:t>
      </w:r>
      <w:r>
        <w:t xml:space="preserve"> (based on current item codes 13240W and 13246E)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djuvant treatment of stage II or III oesophageal cancer or gastro-oesophageal junction cancer (based on current item codes 13240W and 13246E)"/>
      </w:tblPr>
      <w:tblGrid>
        <w:gridCol w:w="973"/>
        <w:gridCol w:w="2849"/>
        <w:gridCol w:w="1107"/>
        <w:gridCol w:w="846"/>
        <w:gridCol w:w="882"/>
        <w:gridCol w:w="709"/>
        <w:gridCol w:w="1650"/>
      </w:tblGrid>
      <w:tr w:rsidR="00776292" w:rsidRPr="00BB74B0" w14:paraId="6CED262C" w14:textId="77777777">
        <w:trPr>
          <w:cantSplit/>
          <w:trHeight w:val="471"/>
        </w:trPr>
        <w:tc>
          <w:tcPr>
            <w:tcW w:w="5000" w:type="pct"/>
            <w:gridSpan w:val="7"/>
          </w:tcPr>
          <w:p w14:paraId="6683E4CB" w14:textId="60DEB0B3" w:rsidR="00776292" w:rsidRPr="00BB74B0" w:rsidRDefault="00776292" w:rsidP="00C17DC6">
            <w:pPr>
              <w:pStyle w:val="Restrictiontemplate"/>
              <w:rPr>
                <w:b/>
                <w:lang w:val="fr-FR"/>
              </w:rPr>
            </w:pPr>
          </w:p>
        </w:tc>
      </w:tr>
      <w:tr w:rsidR="00776292" w:rsidRPr="00BB74B0" w14:paraId="7A054400" w14:textId="77777777">
        <w:trPr>
          <w:cantSplit/>
          <w:trHeight w:val="471"/>
        </w:trPr>
        <w:tc>
          <w:tcPr>
            <w:tcW w:w="2120" w:type="pct"/>
            <w:gridSpan w:val="2"/>
          </w:tcPr>
          <w:p w14:paraId="60DE4B70" w14:textId="77777777" w:rsidR="00776292" w:rsidRPr="00CD5258" w:rsidRDefault="00776292" w:rsidP="00C17DC6">
            <w:pPr>
              <w:pStyle w:val="Restrictiontemplate"/>
              <w:rPr>
                <w:b/>
                <w:bCs/>
              </w:rPr>
            </w:pPr>
            <w:r w:rsidRPr="00CD5258">
              <w:rPr>
                <w:b/>
                <w:bCs/>
              </w:rPr>
              <w:t>MEDICINAL PRODUCT</w:t>
            </w:r>
          </w:p>
          <w:p w14:paraId="4B00DF6E" w14:textId="77777777" w:rsidR="00776292" w:rsidRPr="00CD5258" w:rsidRDefault="00776292" w:rsidP="00C17DC6">
            <w:pPr>
              <w:pStyle w:val="Restrictiontemplate"/>
              <w:rPr>
                <w:b/>
                <w:bCs/>
              </w:rPr>
            </w:pPr>
            <w:r w:rsidRPr="00CD5258">
              <w:rPr>
                <w:b/>
                <w:bCs/>
              </w:rPr>
              <w:t>medicinal product pack</w:t>
            </w:r>
          </w:p>
        </w:tc>
        <w:tc>
          <w:tcPr>
            <w:tcW w:w="614" w:type="pct"/>
          </w:tcPr>
          <w:p w14:paraId="7B884D55" w14:textId="77777777" w:rsidR="00776292" w:rsidRPr="00CD5258" w:rsidRDefault="00776292" w:rsidP="00C17DC6">
            <w:pPr>
              <w:pStyle w:val="Restrictiontemplate"/>
              <w:rPr>
                <w:b/>
                <w:bCs/>
              </w:rPr>
            </w:pPr>
            <w:r w:rsidRPr="00CD5258">
              <w:rPr>
                <w:b/>
                <w:bCs/>
              </w:rPr>
              <w:t>PBS item code</w:t>
            </w:r>
          </w:p>
        </w:tc>
        <w:tc>
          <w:tcPr>
            <w:tcW w:w="469" w:type="pct"/>
          </w:tcPr>
          <w:p w14:paraId="370BB5EF" w14:textId="77777777" w:rsidR="00776292" w:rsidRPr="00CD5258" w:rsidRDefault="00776292" w:rsidP="00C17DC6">
            <w:pPr>
              <w:pStyle w:val="Restrictiontemplate"/>
              <w:rPr>
                <w:b/>
                <w:bCs/>
              </w:rPr>
            </w:pPr>
            <w:r w:rsidRPr="00CD5258">
              <w:rPr>
                <w:b/>
                <w:bCs/>
              </w:rPr>
              <w:t>Max. qty packs</w:t>
            </w:r>
          </w:p>
        </w:tc>
        <w:tc>
          <w:tcPr>
            <w:tcW w:w="489" w:type="pct"/>
          </w:tcPr>
          <w:p w14:paraId="574F55A2" w14:textId="77777777" w:rsidR="00776292" w:rsidRPr="00CD5258" w:rsidRDefault="00776292" w:rsidP="00C17DC6">
            <w:pPr>
              <w:pStyle w:val="Restrictiontemplate"/>
              <w:rPr>
                <w:b/>
                <w:bCs/>
              </w:rPr>
            </w:pPr>
            <w:r w:rsidRPr="00CD5258">
              <w:rPr>
                <w:b/>
                <w:bCs/>
              </w:rPr>
              <w:t>Max. qty units</w:t>
            </w:r>
          </w:p>
        </w:tc>
        <w:tc>
          <w:tcPr>
            <w:tcW w:w="393" w:type="pct"/>
          </w:tcPr>
          <w:p w14:paraId="19951074" w14:textId="5A2DA93A" w:rsidR="00776292" w:rsidRPr="00CD5258" w:rsidRDefault="00715825" w:rsidP="00C17DC6">
            <w:pPr>
              <w:pStyle w:val="Restrictiontemplate"/>
              <w:rPr>
                <w:b/>
                <w:bCs/>
              </w:rPr>
            </w:pPr>
            <w:r w:rsidRPr="00715825">
              <w:rPr>
                <w:b/>
                <w:bCs/>
              </w:rPr>
              <w:t>№. of</w:t>
            </w:r>
          </w:p>
          <w:p w14:paraId="06A4FB80" w14:textId="77777777" w:rsidR="00776292" w:rsidRPr="00CD5258" w:rsidRDefault="00776292" w:rsidP="00C17DC6">
            <w:pPr>
              <w:pStyle w:val="Restrictiontemplate"/>
              <w:rPr>
                <w:b/>
                <w:bCs/>
              </w:rPr>
            </w:pPr>
            <w:r w:rsidRPr="00CD5258">
              <w:rPr>
                <w:b/>
                <w:bCs/>
              </w:rPr>
              <w:t>Rpts</w:t>
            </w:r>
          </w:p>
        </w:tc>
        <w:tc>
          <w:tcPr>
            <w:tcW w:w="915" w:type="pct"/>
          </w:tcPr>
          <w:p w14:paraId="02510A50" w14:textId="77777777" w:rsidR="00776292" w:rsidRPr="00CD5258" w:rsidRDefault="00776292" w:rsidP="00C17DC6">
            <w:pPr>
              <w:pStyle w:val="Restrictiontemplate"/>
              <w:rPr>
                <w:b/>
                <w:bCs/>
                <w:lang w:val="fr-FR"/>
              </w:rPr>
            </w:pPr>
            <w:r w:rsidRPr="00CD5258">
              <w:rPr>
                <w:b/>
                <w:bCs/>
              </w:rPr>
              <w:t>Available brands</w:t>
            </w:r>
          </w:p>
        </w:tc>
      </w:tr>
      <w:tr w:rsidR="00776292" w:rsidRPr="00BB74B0" w14:paraId="478C1584" w14:textId="77777777">
        <w:trPr>
          <w:cantSplit/>
          <w:trHeight w:val="224"/>
        </w:trPr>
        <w:tc>
          <w:tcPr>
            <w:tcW w:w="5000" w:type="pct"/>
            <w:gridSpan w:val="7"/>
          </w:tcPr>
          <w:p w14:paraId="370EA2E6" w14:textId="77777777" w:rsidR="00776292" w:rsidRPr="00BB74B0" w:rsidRDefault="00776292" w:rsidP="00C17DC6">
            <w:pPr>
              <w:pStyle w:val="Restrictiontemplate"/>
            </w:pPr>
            <w:r w:rsidRPr="00BB74B0">
              <w:t>NIVOLUMAB</w:t>
            </w:r>
          </w:p>
        </w:tc>
      </w:tr>
      <w:tr w:rsidR="00776292" w:rsidRPr="00BB74B0" w14:paraId="29BBF3E8" w14:textId="77777777">
        <w:trPr>
          <w:cantSplit/>
          <w:trHeight w:val="347"/>
        </w:trPr>
        <w:tc>
          <w:tcPr>
            <w:tcW w:w="2120" w:type="pct"/>
            <w:gridSpan w:val="2"/>
          </w:tcPr>
          <w:p w14:paraId="64223920" w14:textId="24C20CFC" w:rsidR="00776292" w:rsidRPr="00BB74B0" w:rsidRDefault="00776292" w:rsidP="00C17DC6">
            <w:pPr>
              <w:pStyle w:val="Restrictiontemplate"/>
            </w:pPr>
            <w:r w:rsidRPr="00BB74B0">
              <w:t>nivolumab 600 mg/5 mL injection</w:t>
            </w:r>
            <w:r w:rsidR="00B91742">
              <w:t>, 5 mL vial</w:t>
            </w:r>
          </w:p>
        </w:tc>
        <w:tc>
          <w:tcPr>
            <w:tcW w:w="614" w:type="pct"/>
          </w:tcPr>
          <w:p w14:paraId="0FF6681B" w14:textId="77777777" w:rsidR="00776292" w:rsidRPr="00BB74B0" w:rsidRDefault="00776292" w:rsidP="00C17DC6">
            <w:pPr>
              <w:pStyle w:val="Restrictiontemplate"/>
            </w:pPr>
            <w:r w:rsidRPr="00BB74B0">
              <w:t>NEW (CT)</w:t>
            </w:r>
          </w:p>
        </w:tc>
        <w:tc>
          <w:tcPr>
            <w:tcW w:w="469" w:type="pct"/>
          </w:tcPr>
          <w:p w14:paraId="7B04815D" w14:textId="77777777" w:rsidR="00776292" w:rsidRPr="00BB74B0" w:rsidRDefault="00776292" w:rsidP="00C17DC6">
            <w:pPr>
              <w:pStyle w:val="Restrictiontemplate"/>
            </w:pPr>
            <w:r w:rsidRPr="00BB74B0">
              <w:t>2</w:t>
            </w:r>
          </w:p>
        </w:tc>
        <w:tc>
          <w:tcPr>
            <w:tcW w:w="489" w:type="pct"/>
          </w:tcPr>
          <w:p w14:paraId="76E3B768" w14:textId="77777777" w:rsidR="00776292" w:rsidRPr="00BB74B0" w:rsidRDefault="00776292" w:rsidP="00C17DC6">
            <w:pPr>
              <w:pStyle w:val="Restrictiontemplate"/>
            </w:pPr>
            <w:r w:rsidRPr="00BB74B0">
              <w:t>2</w:t>
            </w:r>
          </w:p>
        </w:tc>
        <w:tc>
          <w:tcPr>
            <w:tcW w:w="393" w:type="pct"/>
          </w:tcPr>
          <w:p w14:paraId="18FFFCE8" w14:textId="77777777" w:rsidR="00776292" w:rsidRPr="00BB74B0" w:rsidRDefault="00776292" w:rsidP="00C17DC6">
            <w:pPr>
              <w:pStyle w:val="Restrictiontemplate"/>
            </w:pPr>
            <w:r w:rsidRPr="00BB74B0">
              <w:t>5</w:t>
            </w:r>
          </w:p>
        </w:tc>
        <w:tc>
          <w:tcPr>
            <w:tcW w:w="915" w:type="pct"/>
          </w:tcPr>
          <w:p w14:paraId="2F9607F4" w14:textId="18D7A2E8" w:rsidR="00776292" w:rsidRPr="00BB74B0" w:rsidRDefault="00776292" w:rsidP="00C17DC6">
            <w:pPr>
              <w:pStyle w:val="Restrictiontemplate"/>
            </w:pPr>
            <w:r w:rsidRPr="00BB74B0">
              <w:t>Opdivo</w:t>
            </w:r>
            <w:r w:rsidR="00866948">
              <w:t xml:space="preserve"> SC</w:t>
            </w:r>
          </w:p>
        </w:tc>
      </w:tr>
      <w:tr w:rsidR="00776292" w:rsidRPr="00BB74B0" w14:paraId="0F53161D" w14:textId="77777777">
        <w:trPr>
          <w:cantSplit/>
          <w:trHeight w:val="347"/>
        </w:trPr>
        <w:tc>
          <w:tcPr>
            <w:tcW w:w="2120" w:type="pct"/>
            <w:gridSpan w:val="2"/>
          </w:tcPr>
          <w:p w14:paraId="2A88E413" w14:textId="0EC86D65" w:rsidR="00776292" w:rsidRPr="00BB74B0" w:rsidRDefault="00866948" w:rsidP="00C17DC6">
            <w:pPr>
              <w:pStyle w:val="Restrictiontemplate"/>
            </w:pPr>
            <w:r>
              <w:t>n</w:t>
            </w:r>
            <w:r w:rsidR="00776292" w:rsidRPr="00BB74B0">
              <w:t>ivolumab 600 mg/5 mL injection</w:t>
            </w:r>
            <w:r w:rsidR="00B91742">
              <w:t>, 5 mL vial</w:t>
            </w:r>
          </w:p>
        </w:tc>
        <w:tc>
          <w:tcPr>
            <w:tcW w:w="614" w:type="pct"/>
          </w:tcPr>
          <w:p w14:paraId="60A269BE" w14:textId="77777777" w:rsidR="00776292" w:rsidRPr="00BB74B0" w:rsidRDefault="00776292" w:rsidP="00C17DC6">
            <w:pPr>
              <w:pStyle w:val="Restrictiontemplate"/>
            </w:pPr>
            <w:r w:rsidRPr="00BB74B0">
              <w:t>NEW (GE)</w:t>
            </w:r>
          </w:p>
        </w:tc>
        <w:tc>
          <w:tcPr>
            <w:tcW w:w="469" w:type="pct"/>
          </w:tcPr>
          <w:p w14:paraId="51BF8ABE" w14:textId="77777777" w:rsidR="00776292" w:rsidRPr="00BB74B0" w:rsidRDefault="00776292" w:rsidP="00C17DC6">
            <w:pPr>
              <w:pStyle w:val="Restrictiontemplate"/>
            </w:pPr>
            <w:r w:rsidRPr="00BB74B0">
              <w:t>2</w:t>
            </w:r>
          </w:p>
        </w:tc>
        <w:tc>
          <w:tcPr>
            <w:tcW w:w="489" w:type="pct"/>
          </w:tcPr>
          <w:p w14:paraId="3C3A8A5E" w14:textId="77777777" w:rsidR="00776292" w:rsidRPr="00BB74B0" w:rsidRDefault="00776292" w:rsidP="00C17DC6">
            <w:pPr>
              <w:pStyle w:val="Restrictiontemplate"/>
            </w:pPr>
            <w:r w:rsidRPr="00BB74B0">
              <w:t>2</w:t>
            </w:r>
          </w:p>
        </w:tc>
        <w:tc>
          <w:tcPr>
            <w:tcW w:w="393" w:type="pct"/>
          </w:tcPr>
          <w:p w14:paraId="2CDB0ED8" w14:textId="77777777" w:rsidR="00776292" w:rsidRPr="00BB74B0" w:rsidRDefault="00776292" w:rsidP="00C17DC6">
            <w:pPr>
              <w:pStyle w:val="Restrictiontemplate"/>
            </w:pPr>
            <w:r w:rsidRPr="00BB74B0">
              <w:t>5</w:t>
            </w:r>
          </w:p>
        </w:tc>
        <w:tc>
          <w:tcPr>
            <w:tcW w:w="915" w:type="pct"/>
          </w:tcPr>
          <w:p w14:paraId="6AD52E03" w14:textId="1608A395" w:rsidR="00776292" w:rsidRPr="00BB74B0" w:rsidRDefault="00776292" w:rsidP="00C17DC6">
            <w:pPr>
              <w:pStyle w:val="Restrictiontemplate"/>
            </w:pPr>
            <w:r w:rsidRPr="00BB74B0">
              <w:t>Opdivo</w:t>
            </w:r>
            <w:r w:rsidR="00866948">
              <w:t xml:space="preserve"> SC</w:t>
            </w:r>
          </w:p>
        </w:tc>
      </w:tr>
      <w:tr w:rsidR="00776292" w:rsidRPr="00BB74B0" w14:paraId="432A539F" w14:textId="7777777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184151B" w14:textId="77777777" w:rsidR="00776292" w:rsidRPr="00BB74B0" w:rsidRDefault="00776292" w:rsidP="00C17DC6">
            <w:pPr>
              <w:pStyle w:val="Restrictiontemplate"/>
            </w:pPr>
          </w:p>
        </w:tc>
      </w:tr>
      <w:tr w:rsidR="005627D2" w:rsidRPr="00BB74B0" w14:paraId="0BBBEAE3" w14:textId="77777777" w:rsidTr="00CD5258">
        <w:tblPrEx>
          <w:tblCellMar>
            <w:top w:w="15" w:type="dxa"/>
            <w:left w:w="15" w:type="dxa"/>
            <w:bottom w:w="15" w:type="dxa"/>
            <w:right w:w="15" w:type="dxa"/>
          </w:tblCellMar>
        </w:tblPrEx>
        <w:tc>
          <w:tcPr>
            <w:tcW w:w="540" w:type="pct"/>
            <w:vMerge w:val="restart"/>
            <w:tcBorders>
              <w:top w:val="single" w:sz="4" w:space="0" w:color="auto"/>
              <w:left w:val="single" w:sz="4" w:space="0" w:color="auto"/>
              <w:right w:val="single" w:sz="4" w:space="0" w:color="auto"/>
            </w:tcBorders>
          </w:tcPr>
          <w:p w14:paraId="5FB484B4" w14:textId="5034480F" w:rsidR="005627D2" w:rsidRPr="00BB74B0" w:rsidRDefault="005627D2" w:rsidP="00C17DC6">
            <w:pPr>
              <w:pStyle w:val="Restrictiontemplate"/>
            </w:pPr>
            <w:r w:rsidRPr="00717CF2">
              <w:rPr>
                <w:rFonts w:eastAsia="Times New Roman" w:cs="Arial"/>
                <w:b/>
                <w:lang w:eastAsia="en-AU"/>
              </w:rPr>
              <w:t xml:space="preserve">Concept ID </w:t>
            </w:r>
            <w:r w:rsidRPr="00717CF2">
              <w:rPr>
                <w:rFonts w:eastAsia="Times New Roman" w:cs="Arial"/>
                <w:lang w:eastAsia="en-AU"/>
              </w:rPr>
              <w:t>(for internal Dept. use)</w:t>
            </w:r>
          </w:p>
        </w:tc>
        <w:tc>
          <w:tcPr>
            <w:tcW w:w="4460" w:type="pct"/>
            <w:gridSpan w:val="6"/>
            <w:tcBorders>
              <w:top w:val="single" w:sz="4" w:space="0" w:color="auto"/>
              <w:left w:val="single" w:sz="4" w:space="0" w:color="auto"/>
              <w:right w:val="single" w:sz="4" w:space="0" w:color="auto"/>
            </w:tcBorders>
            <w:vAlign w:val="center"/>
          </w:tcPr>
          <w:p w14:paraId="00BD42B7" w14:textId="77777777" w:rsidR="005627D2" w:rsidRPr="00717CF2" w:rsidRDefault="005627D2" w:rsidP="00C17DC6">
            <w:pPr>
              <w:rPr>
                <w:rFonts w:ascii="Arial Narrow" w:hAnsi="Arial Narrow" w:cs="Arial"/>
                <w:bCs/>
                <w:sz w:val="18"/>
                <w:szCs w:val="18"/>
              </w:rPr>
            </w:pPr>
            <w:r w:rsidRPr="00717CF2">
              <w:rPr>
                <w:rFonts w:ascii="Arial Narrow" w:hAnsi="Arial Narrow" w:cs="Arial"/>
                <w:bCs/>
                <w:sz w:val="18"/>
                <w:szCs w:val="18"/>
              </w:rPr>
              <w:t xml:space="preserve">Category / Program: </w:t>
            </w:r>
          </w:p>
          <w:p w14:paraId="2D9A18F3" w14:textId="77B52318" w:rsidR="005627D2" w:rsidRPr="00BB74B0" w:rsidRDefault="005627D2" w:rsidP="00C17DC6">
            <w:pPr>
              <w:pStyle w:val="Restrictiontemplate"/>
            </w:pPr>
            <w:r w:rsidRPr="00717CF2">
              <w:rPr>
                <w:rFonts w:eastAsia="Calibri" w:cs="Arial"/>
                <w:bCs/>
                <w:lang w:eastAsia="en-AU"/>
              </w:rPr>
              <w:fldChar w:fldCharType="begin" w:fldLock="1">
                <w:ffData>
                  <w:name w:val="Check1"/>
                  <w:enabled/>
                  <w:calcOnExit w:val="0"/>
                  <w:checkBox>
                    <w:sizeAuto/>
                    <w:default w:val="1"/>
                  </w:checkBox>
                </w:ffData>
              </w:fldChar>
            </w:r>
            <w:r w:rsidRPr="00717CF2">
              <w:rPr>
                <w:rFonts w:eastAsia="Calibri" w:cs="Arial"/>
                <w:bCs/>
                <w:lang w:eastAsia="en-AU"/>
              </w:rPr>
              <w:instrText xml:space="preserve"> FORMCHECKBOX </w:instrText>
            </w:r>
            <w:r w:rsidRPr="00717CF2">
              <w:rPr>
                <w:rFonts w:eastAsia="Calibri" w:cs="Arial"/>
                <w:bCs/>
                <w:lang w:eastAsia="en-AU"/>
              </w:rPr>
            </w:r>
            <w:r w:rsidRPr="00717CF2">
              <w:rPr>
                <w:rFonts w:eastAsia="Calibri" w:cs="Arial"/>
                <w:bCs/>
                <w:lang w:eastAsia="en-AU"/>
              </w:rPr>
              <w:fldChar w:fldCharType="separate"/>
            </w:r>
            <w:r w:rsidRPr="00717CF2">
              <w:rPr>
                <w:rFonts w:eastAsia="Calibri" w:cs="Arial"/>
                <w:bCs/>
                <w:lang w:eastAsia="en-AU"/>
              </w:rPr>
              <w:fldChar w:fldCharType="end"/>
            </w:r>
            <w:r w:rsidRPr="00717CF2">
              <w:rPr>
                <w:rFonts w:eastAsia="Calibri" w:cs="Arial"/>
                <w:bCs/>
                <w:lang w:eastAsia="en-AU"/>
              </w:rPr>
              <w:t xml:space="preserve"> GENERAL </w:t>
            </w:r>
            <w:r w:rsidRPr="00717CF2">
              <w:rPr>
                <w:rFonts w:eastAsia="Times New Roman" w:cs="Arial"/>
                <w:bCs/>
                <w:lang w:eastAsia="en-AU"/>
              </w:rPr>
              <w:t>–</w:t>
            </w:r>
            <w:r w:rsidRPr="00717CF2">
              <w:rPr>
                <w:rFonts w:eastAsia="Calibri" w:cs="Arial"/>
                <w:bCs/>
                <w:lang w:eastAsia="en-AU"/>
              </w:rPr>
              <w:t xml:space="preserve"> General Schedule (Code GE) </w:t>
            </w:r>
            <w:r w:rsidRPr="00717CF2">
              <w:rPr>
                <w:rFonts w:eastAsia="Calibri" w:cs="Arial"/>
                <w:bCs/>
                <w:lang w:eastAsia="en-AU"/>
              </w:rPr>
              <w:br/>
            </w:r>
            <w:r w:rsidRPr="00717CF2">
              <w:rPr>
                <w:rFonts w:eastAsia="Calibri" w:cs="Arial"/>
                <w:bCs/>
                <w:lang w:eastAsia="en-AU"/>
              </w:rPr>
              <w:fldChar w:fldCharType="begin" w:fldLock="1">
                <w:ffData>
                  <w:name w:val=""/>
                  <w:enabled/>
                  <w:calcOnExit w:val="0"/>
                  <w:checkBox>
                    <w:sizeAuto/>
                    <w:default w:val="1"/>
                  </w:checkBox>
                </w:ffData>
              </w:fldChar>
            </w:r>
            <w:r w:rsidRPr="00717CF2">
              <w:rPr>
                <w:rFonts w:eastAsia="Calibri" w:cs="Arial"/>
                <w:bCs/>
                <w:lang w:eastAsia="en-AU"/>
              </w:rPr>
              <w:instrText xml:space="preserve"> FORMCHECKBOX </w:instrText>
            </w:r>
            <w:r w:rsidRPr="00717CF2">
              <w:rPr>
                <w:rFonts w:eastAsia="Calibri" w:cs="Arial"/>
                <w:bCs/>
                <w:lang w:eastAsia="en-AU"/>
              </w:rPr>
            </w:r>
            <w:r w:rsidRPr="00717CF2">
              <w:rPr>
                <w:rFonts w:eastAsia="Calibri" w:cs="Arial"/>
                <w:bCs/>
                <w:lang w:eastAsia="en-AU"/>
              </w:rPr>
              <w:fldChar w:fldCharType="separate"/>
            </w:r>
            <w:r w:rsidRPr="00717CF2">
              <w:rPr>
                <w:rFonts w:eastAsia="Calibri" w:cs="Arial"/>
                <w:bCs/>
                <w:lang w:eastAsia="en-AU"/>
              </w:rPr>
              <w:fldChar w:fldCharType="end"/>
            </w:r>
            <w:r w:rsidRPr="00717CF2">
              <w:rPr>
                <w:rFonts w:eastAsia="Calibri" w:cs="Arial"/>
                <w:bCs/>
                <w:lang w:eastAsia="en-AU"/>
              </w:rPr>
              <w:t xml:space="preserve"> Section </w:t>
            </w:r>
            <w:r w:rsidRPr="00717CF2">
              <w:rPr>
                <w:rFonts w:eastAsia="Times New Roman" w:cs="Arial"/>
                <w:bCs/>
                <w:lang w:eastAsia="en-AU"/>
              </w:rPr>
              <w:t xml:space="preserve">100 – Efficient Funding of Chemotherapy – Related Benefits (Code CT) </w:t>
            </w:r>
          </w:p>
        </w:tc>
      </w:tr>
      <w:tr w:rsidR="005627D2" w:rsidRPr="00BB74B0" w14:paraId="6FE37A42" w14:textId="77777777" w:rsidTr="00CD5258">
        <w:tblPrEx>
          <w:tblCellMar>
            <w:top w:w="15" w:type="dxa"/>
            <w:left w:w="15" w:type="dxa"/>
            <w:bottom w:w="15" w:type="dxa"/>
            <w:right w:w="15" w:type="dxa"/>
          </w:tblCellMar>
        </w:tblPrEx>
        <w:tc>
          <w:tcPr>
            <w:tcW w:w="540" w:type="pct"/>
            <w:vMerge/>
            <w:tcBorders>
              <w:left w:val="single" w:sz="4" w:space="0" w:color="auto"/>
              <w:right w:val="single" w:sz="4" w:space="0" w:color="auto"/>
            </w:tcBorders>
            <w:vAlign w:val="center"/>
          </w:tcPr>
          <w:p w14:paraId="2FE5B648" w14:textId="77777777" w:rsidR="005627D2" w:rsidRPr="00BB74B0" w:rsidRDefault="005627D2" w:rsidP="00C17DC6">
            <w:pPr>
              <w:pStyle w:val="Restrictiontemplate"/>
            </w:pPr>
          </w:p>
        </w:tc>
        <w:tc>
          <w:tcPr>
            <w:tcW w:w="4460" w:type="pct"/>
            <w:gridSpan w:val="6"/>
            <w:tcBorders>
              <w:top w:val="single" w:sz="4" w:space="0" w:color="auto"/>
              <w:left w:val="single" w:sz="4" w:space="0" w:color="auto"/>
              <w:right w:val="single" w:sz="4" w:space="0" w:color="auto"/>
            </w:tcBorders>
            <w:vAlign w:val="center"/>
          </w:tcPr>
          <w:p w14:paraId="1A8EB5DC" w14:textId="7B104DE5" w:rsidR="005627D2" w:rsidRPr="00BB74B0" w:rsidRDefault="005627D2" w:rsidP="00C17DC6">
            <w:pPr>
              <w:pStyle w:val="Restrictiontemplate"/>
            </w:pPr>
            <w:r w:rsidRPr="00717CF2">
              <w:rPr>
                <w:rFonts w:eastAsia="Times New Roman" w:cs="Arial"/>
                <w:bCs/>
                <w:lang w:eastAsia="en-AU"/>
              </w:rPr>
              <w:t xml:space="preserve">Prescriber type: </w:t>
            </w:r>
            <w:r w:rsidRPr="00717CF2">
              <w:rPr>
                <w:rFonts w:eastAsia="Times New Roman" w:cs="Arial"/>
                <w:bCs/>
                <w:lang w:eastAsia="en-AU"/>
              </w:rPr>
              <w:fldChar w:fldCharType="begin" w:fldLock="1">
                <w:ffData>
                  <w:name w:val=""/>
                  <w:enabled/>
                  <w:calcOnExit w:val="0"/>
                  <w:checkBox>
                    <w:sizeAuto/>
                    <w:default w:val="1"/>
                  </w:checkBox>
                </w:ffData>
              </w:fldChar>
            </w:r>
            <w:r w:rsidRPr="00717CF2">
              <w:rPr>
                <w:rFonts w:eastAsia="Times New Roman" w:cs="Arial"/>
                <w:bCs/>
                <w:lang w:eastAsia="en-AU"/>
              </w:rPr>
              <w:instrText xml:space="preserve"> FORMCHECKBOX </w:instrText>
            </w:r>
            <w:r w:rsidRPr="00717CF2">
              <w:rPr>
                <w:rFonts w:eastAsia="Times New Roman" w:cs="Arial"/>
                <w:bCs/>
                <w:lang w:eastAsia="en-AU"/>
              </w:rPr>
            </w:r>
            <w:r w:rsidRPr="00717CF2">
              <w:rPr>
                <w:rFonts w:eastAsia="Times New Roman" w:cs="Arial"/>
                <w:bCs/>
                <w:lang w:eastAsia="en-AU"/>
              </w:rPr>
              <w:fldChar w:fldCharType="separate"/>
            </w:r>
            <w:r w:rsidRPr="00717CF2">
              <w:rPr>
                <w:rFonts w:eastAsia="Times New Roman" w:cs="Arial"/>
                <w:bCs/>
                <w:lang w:eastAsia="en-AU"/>
              </w:rPr>
              <w:fldChar w:fldCharType="end"/>
            </w:r>
            <w:r w:rsidRPr="00717CF2">
              <w:rPr>
                <w:rFonts w:eastAsia="Times New Roman" w:cs="Arial"/>
                <w:bCs/>
                <w:lang w:eastAsia="en-AU"/>
              </w:rPr>
              <w:t xml:space="preserve">Medical Practitioners </w:t>
            </w:r>
          </w:p>
        </w:tc>
      </w:tr>
      <w:tr w:rsidR="005627D2" w:rsidRPr="00BB74B0" w14:paraId="4E1E9D8C" w14:textId="77777777" w:rsidTr="00CD5258">
        <w:tblPrEx>
          <w:tblCellMar>
            <w:top w:w="15" w:type="dxa"/>
            <w:left w:w="15" w:type="dxa"/>
            <w:bottom w:w="15" w:type="dxa"/>
            <w:right w:w="15" w:type="dxa"/>
          </w:tblCellMar>
        </w:tblPrEx>
        <w:tc>
          <w:tcPr>
            <w:tcW w:w="540" w:type="pct"/>
            <w:vMerge/>
            <w:tcBorders>
              <w:left w:val="single" w:sz="4" w:space="0" w:color="auto"/>
              <w:right w:val="single" w:sz="4" w:space="0" w:color="auto"/>
            </w:tcBorders>
            <w:vAlign w:val="center"/>
          </w:tcPr>
          <w:p w14:paraId="3BF3A234" w14:textId="77777777" w:rsidR="005627D2" w:rsidRPr="00BB74B0" w:rsidRDefault="005627D2" w:rsidP="00C17DC6">
            <w:pPr>
              <w:pStyle w:val="Restrictiontemplate"/>
            </w:pPr>
          </w:p>
        </w:tc>
        <w:tc>
          <w:tcPr>
            <w:tcW w:w="4460" w:type="pct"/>
            <w:gridSpan w:val="6"/>
            <w:tcBorders>
              <w:top w:val="single" w:sz="4" w:space="0" w:color="auto"/>
              <w:left w:val="single" w:sz="4" w:space="0" w:color="auto"/>
              <w:right w:val="single" w:sz="4" w:space="0" w:color="auto"/>
            </w:tcBorders>
          </w:tcPr>
          <w:p w14:paraId="0CA26C3A" w14:textId="371ADA92" w:rsidR="005627D2" w:rsidRPr="00BB74B0" w:rsidRDefault="005627D2" w:rsidP="00C17DC6">
            <w:pPr>
              <w:pStyle w:val="Restrictiontemplate"/>
            </w:pPr>
            <w:r w:rsidRPr="00717CF2">
              <w:rPr>
                <w:rFonts w:eastAsia="Times New Roman" w:cs="Arial"/>
                <w:bCs/>
                <w:lang w:eastAsia="en-AU"/>
              </w:rPr>
              <w:t xml:space="preserve">Restriction type: </w:t>
            </w:r>
            <w:r w:rsidRPr="00717CF2">
              <w:rPr>
                <w:rFonts w:eastAsia="Times New Roman" w:cs="Arial"/>
                <w:bCs/>
                <w:lang w:eastAsia="en-AU"/>
              </w:rPr>
              <w:fldChar w:fldCharType="begin" w:fldLock="1">
                <w:ffData>
                  <w:name w:val=""/>
                  <w:enabled/>
                  <w:calcOnExit w:val="0"/>
                  <w:checkBox>
                    <w:sizeAuto/>
                    <w:default w:val="1"/>
                  </w:checkBox>
                </w:ffData>
              </w:fldChar>
            </w:r>
            <w:r w:rsidRPr="00717CF2">
              <w:rPr>
                <w:rFonts w:eastAsia="Times New Roman" w:cs="Arial"/>
                <w:bCs/>
                <w:lang w:eastAsia="en-AU"/>
              </w:rPr>
              <w:instrText xml:space="preserve"> FORMCHECKBOX </w:instrText>
            </w:r>
            <w:r w:rsidRPr="00717CF2">
              <w:rPr>
                <w:rFonts w:eastAsia="Times New Roman" w:cs="Arial"/>
                <w:bCs/>
                <w:lang w:eastAsia="en-AU"/>
              </w:rPr>
            </w:r>
            <w:r w:rsidRPr="00717CF2">
              <w:rPr>
                <w:rFonts w:eastAsia="Times New Roman" w:cs="Arial"/>
                <w:bCs/>
                <w:lang w:eastAsia="en-AU"/>
              </w:rPr>
              <w:fldChar w:fldCharType="separate"/>
            </w:r>
            <w:r w:rsidRPr="00717CF2">
              <w:rPr>
                <w:rFonts w:eastAsia="Times New Roman" w:cs="Arial"/>
                <w:bCs/>
                <w:lang w:eastAsia="en-AU"/>
              </w:rPr>
              <w:fldChar w:fldCharType="end"/>
            </w:r>
            <w:r w:rsidRPr="00717CF2">
              <w:rPr>
                <w:rFonts w:eastAsia="Times New Roman" w:cs="Arial"/>
                <w:bCs/>
                <w:lang w:eastAsia="en-AU"/>
              </w:rPr>
              <w:t>Authority Required (</w:t>
            </w:r>
            <w:r>
              <w:rPr>
                <w:rFonts w:eastAsia="Times New Roman" w:cs="Arial"/>
                <w:bCs/>
                <w:lang w:eastAsia="en-AU"/>
              </w:rPr>
              <w:t>Telephone/Online</w:t>
            </w:r>
            <w:r w:rsidRPr="00717CF2">
              <w:rPr>
                <w:rFonts w:eastAsia="Times New Roman" w:cs="Arial"/>
                <w:bCs/>
                <w:lang w:eastAsia="en-AU"/>
              </w:rPr>
              <w:t>)</w:t>
            </w:r>
          </w:p>
        </w:tc>
      </w:tr>
      <w:tr w:rsidR="00776292" w:rsidRPr="00BB74B0" w14:paraId="522B2F22" w14:textId="7777777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9D6D80C" w14:textId="38144463" w:rsidR="00776292" w:rsidRPr="00BB74B0" w:rsidRDefault="00776292" w:rsidP="00C17DC6">
            <w:pPr>
              <w:pStyle w:val="Restrictiontemplate"/>
              <w:rPr>
                <w:rFonts w:cs="Arial"/>
              </w:rPr>
            </w:pPr>
          </w:p>
        </w:tc>
      </w:tr>
      <w:tr w:rsidR="00776292" w:rsidRPr="00BB74B0" w14:paraId="5204786C" w14:textId="77777777">
        <w:tblPrEx>
          <w:tblCellMar>
            <w:top w:w="15" w:type="dxa"/>
            <w:left w:w="15" w:type="dxa"/>
            <w:bottom w:w="15" w:type="dxa"/>
            <w:right w:w="15" w:type="dxa"/>
          </w:tblCellMar>
        </w:tblPrEx>
        <w:tc>
          <w:tcPr>
            <w:tcW w:w="540" w:type="pct"/>
            <w:vAlign w:val="center"/>
          </w:tcPr>
          <w:p w14:paraId="5DBBFEF8" w14:textId="39C037A5" w:rsidR="00776292" w:rsidRPr="00BB74B0" w:rsidRDefault="00776292" w:rsidP="00C17DC6">
            <w:pPr>
              <w:pStyle w:val="Restrictiontemplate"/>
              <w:jc w:val="center"/>
            </w:pPr>
          </w:p>
        </w:tc>
        <w:tc>
          <w:tcPr>
            <w:tcW w:w="4460" w:type="pct"/>
            <w:gridSpan w:val="6"/>
            <w:vAlign w:val="center"/>
            <w:hideMark/>
          </w:tcPr>
          <w:p w14:paraId="10316536" w14:textId="77777777" w:rsidR="00776292" w:rsidRPr="00BB74B0" w:rsidRDefault="00776292" w:rsidP="00C17DC6">
            <w:pPr>
              <w:pStyle w:val="Restrictiontemplate"/>
            </w:pPr>
            <w:r w:rsidRPr="00BB74B0">
              <w:rPr>
                <w:b/>
                <w:bCs/>
              </w:rPr>
              <w:t xml:space="preserve">Indication: </w:t>
            </w:r>
            <w:r w:rsidRPr="00BB74B0">
              <w:t xml:space="preserve">Adjuvant treatment of stage II or III oesophageal cancer or gastro-oesophageal junction cancer </w:t>
            </w:r>
          </w:p>
        </w:tc>
      </w:tr>
      <w:tr w:rsidR="00776292" w:rsidRPr="00BB74B0" w14:paraId="4ADC4910" w14:textId="77777777">
        <w:tblPrEx>
          <w:tblCellMar>
            <w:top w:w="15" w:type="dxa"/>
            <w:left w:w="15" w:type="dxa"/>
            <w:bottom w:w="15" w:type="dxa"/>
            <w:right w:w="15" w:type="dxa"/>
          </w:tblCellMar>
          <w:tblLook w:val="04A0" w:firstRow="1" w:lastRow="0" w:firstColumn="1" w:lastColumn="0" w:noHBand="0" w:noVBand="1"/>
        </w:tblPrEx>
        <w:tc>
          <w:tcPr>
            <w:tcW w:w="540" w:type="pct"/>
          </w:tcPr>
          <w:p w14:paraId="6E220D49" w14:textId="77777777" w:rsidR="00776292" w:rsidRPr="00BB74B0" w:rsidRDefault="00776292" w:rsidP="00C17DC6">
            <w:pPr>
              <w:pStyle w:val="Restrictiontemplate"/>
              <w:jc w:val="center"/>
            </w:pPr>
          </w:p>
        </w:tc>
        <w:tc>
          <w:tcPr>
            <w:tcW w:w="4460" w:type="pct"/>
            <w:gridSpan w:val="6"/>
          </w:tcPr>
          <w:p w14:paraId="2B6488AE" w14:textId="77777777" w:rsidR="00776292" w:rsidRPr="00BB74B0" w:rsidRDefault="00776292" w:rsidP="00C17DC6">
            <w:pPr>
              <w:pStyle w:val="Restrictiontemplate"/>
            </w:pPr>
            <w:r w:rsidRPr="00BB74B0">
              <w:rPr>
                <w:rStyle w:val="Strong"/>
                <w:rFonts w:cs="Open Sans"/>
                <w:color w:val="333333"/>
                <w:bdr w:val="none" w:sz="0" w:space="0" w:color="auto" w:frame="1"/>
              </w:rPr>
              <w:t>Clinical criteria:</w:t>
            </w:r>
          </w:p>
        </w:tc>
      </w:tr>
      <w:tr w:rsidR="00776292" w:rsidRPr="00BB74B0" w14:paraId="14F1EC7D" w14:textId="77777777">
        <w:tblPrEx>
          <w:tblCellMar>
            <w:top w:w="15" w:type="dxa"/>
            <w:left w:w="15" w:type="dxa"/>
            <w:bottom w:w="15" w:type="dxa"/>
            <w:right w:w="15" w:type="dxa"/>
          </w:tblCellMar>
          <w:tblLook w:val="04A0" w:firstRow="1" w:lastRow="0" w:firstColumn="1" w:lastColumn="0" w:noHBand="0" w:noVBand="1"/>
        </w:tblPrEx>
        <w:tc>
          <w:tcPr>
            <w:tcW w:w="540" w:type="pct"/>
          </w:tcPr>
          <w:p w14:paraId="7FEBBA15" w14:textId="4957B04B" w:rsidR="00776292" w:rsidRPr="00BB74B0" w:rsidRDefault="00776292" w:rsidP="00C17DC6">
            <w:pPr>
              <w:pStyle w:val="Restrictiontemplate"/>
              <w:jc w:val="center"/>
            </w:pPr>
          </w:p>
        </w:tc>
        <w:tc>
          <w:tcPr>
            <w:tcW w:w="4460" w:type="pct"/>
            <w:gridSpan w:val="6"/>
          </w:tcPr>
          <w:p w14:paraId="114EBE94" w14:textId="77777777" w:rsidR="00776292" w:rsidRPr="00BB74B0" w:rsidRDefault="00776292" w:rsidP="00C17DC6">
            <w:pPr>
              <w:pStyle w:val="Restrictiontemplate"/>
            </w:pPr>
            <w:r w:rsidRPr="00BB74B0">
              <w:t xml:space="preserve">The condition must have histological evidence confirming a diagnosis of a least one of: (i) adenocarcinoma, (ii) squamous cell cancer; document this evidence in the patient's medical records, </w:t>
            </w:r>
          </w:p>
        </w:tc>
      </w:tr>
      <w:tr w:rsidR="00776292" w:rsidRPr="00BB74B0" w14:paraId="22871E02" w14:textId="77777777">
        <w:tblPrEx>
          <w:tblCellMar>
            <w:top w:w="15" w:type="dxa"/>
            <w:left w:w="15" w:type="dxa"/>
            <w:bottom w:w="15" w:type="dxa"/>
            <w:right w:w="15" w:type="dxa"/>
          </w:tblCellMar>
          <w:tblLook w:val="04A0" w:firstRow="1" w:lastRow="0" w:firstColumn="1" w:lastColumn="0" w:noHBand="0" w:noVBand="1"/>
        </w:tblPrEx>
        <w:tc>
          <w:tcPr>
            <w:tcW w:w="540" w:type="pct"/>
          </w:tcPr>
          <w:p w14:paraId="200A3E25" w14:textId="77777777" w:rsidR="00776292" w:rsidRPr="00BB74B0" w:rsidRDefault="00776292" w:rsidP="00C17DC6">
            <w:pPr>
              <w:pStyle w:val="Restrictiontemplate"/>
              <w:jc w:val="center"/>
            </w:pPr>
          </w:p>
        </w:tc>
        <w:tc>
          <w:tcPr>
            <w:tcW w:w="4460" w:type="pct"/>
            <w:gridSpan w:val="6"/>
          </w:tcPr>
          <w:p w14:paraId="43FED6E6" w14:textId="77777777" w:rsidR="00776292" w:rsidRPr="00BB74B0" w:rsidRDefault="00776292" w:rsidP="00C17DC6">
            <w:pPr>
              <w:pStyle w:val="Restrictiontemplate"/>
            </w:pPr>
            <w:r w:rsidRPr="00BB74B0">
              <w:rPr>
                <w:rStyle w:val="Strong"/>
                <w:rFonts w:cs="Open Sans"/>
                <w:color w:val="333333"/>
                <w:bdr w:val="none" w:sz="0" w:space="0" w:color="auto" w:frame="1"/>
              </w:rPr>
              <w:t>AND</w:t>
            </w:r>
          </w:p>
        </w:tc>
      </w:tr>
      <w:tr w:rsidR="00776292" w:rsidRPr="00BB74B0" w14:paraId="7637881C" w14:textId="77777777">
        <w:tblPrEx>
          <w:tblCellMar>
            <w:top w:w="15" w:type="dxa"/>
            <w:left w:w="15" w:type="dxa"/>
            <w:bottom w:w="15" w:type="dxa"/>
            <w:right w:w="15" w:type="dxa"/>
          </w:tblCellMar>
          <w:tblLook w:val="04A0" w:firstRow="1" w:lastRow="0" w:firstColumn="1" w:lastColumn="0" w:noHBand="0" w:noVBand="1"/>
        </w:tblPrEx>
        <w:tc>
          <w:tcPr>
            <w:tcW w:w="540" w:type="pct"/>
          </w:tcPr>
          <w:p w14:paraId="3496EE25" w14:textId="69DD9E75" w:rsidR="00776292" w:rsidRPr="00BB74B0" w:rsidRDefault="00776292" w:rsidP="00C17DC6">
            <w:pPr>
              <w:pStyle w:val="Restrictiontemplate"/>
              <w:jc w:val="center"/>
            </w:pPr>
          </w:p>
        </w:tc>
        <w:tc>
          <w:tcPr>
            <w:tcW w:w="4460" w:type="pct"/>
            <w:gridSpan w:val="6"/>
          </w:tcPr>
          <w:p w14:paraId="1D3ADCDB" w14:textId="77777777" w:rsidR="00776292" w:rsidRPr="00BB74B0" w:rsidRDefault="00776292" w:rsidP="00C17DC6">
            <w:pPr>
              <w:pStyle w:val="Restrictiontemplate"/>
            </w:pPr>
            <w:r w:rsidRPr="00BB74B0">
              <w:t xml:space="preserve">The condition must have been treated with neoadjuvant platinum-based chemoradiotherapy, </w:t>
            </w:r>
          </w:p>
        </w:tc>
      </w:tr>
      <w:tr w:rsidR="00776292" w:rsidRPr="00BB74B0" w14:paraId="03D2B6F9" w14:textId="77777777">
        <w:tblPrEx>
          <w:tblCellMar>
            <w:top w:w="15" w:type="dxa"/>
            <w:left w:w="15" w:type="dxa"/>
            <w:bottom w:w="15" w:type="dxa"/>
            <w:right w:w="15" w:type="dxa"/>
          </w:tblCellMar>
          <w:tblLook w:val="04A0" w:firstRow="1" w:lastRow="0" w:firstColumn="1" w:lastColumn="0" w:noHBand="0" w:noVBand="1"/>
        </w:tblPrEx>
        <w:tc>
          <w:tcPr>
            <w:tcW w:w="540" w:type="pct"/>
          </w:tcPr>
          <w:p w14:paraId="4B6D901C" w14:textId="77777777" w:rsidR="00776292" w:rsidRPr="00BB74B0" w:rsidRDefault="00776292" w:rsidP="00C17DC6">
            <w:pPr>
              <w:pStyle w:val="Restrictiontemplate"/>
              <w:jc w:val="center"/>
            </w:pPr>
          </w:p>
        </w:tc>
        <w:tc>
          <w:tcPr>
            <w:tcW w:w="4460" w:type="pct"/>
            <w:gridSpan w:val="6"/>
          </w:tcPr>
          <w:p w14:paraId="453E586A" w14:textId="77777777" w:rsidR="00776292" w:rsidRPr="00BB74B0" w:rsidRDefault="00776292" w:rsidP="00C17DC6">
            <w:pPr>
              <w:pStyle w:val="Restrictiontemplate"/>
              <w:rPr>
                <w:rFonts w:cs="Arial"/>
              </w:rPr>
            </w:pPr>
            <w:r w:rsidRPr="00BB74B0">
              <w:rPr>
                <w:rStyle w:val="Strong"/>
                <w:rFonts w:cs="Open Sans"/>
                <w:color w:val="333333"/>
                <w:bdr w:val="none" w:sz="0" w:space="0" w:color="auto" w:frame="1"/>
              </w:rPr>
              <w:t>AND</w:t>
            </w:r>
          </w:p>
        </w:tc>
      </w:tr>
      <w:tr w:rsidR="00776292" w:rsidRPr="00BB74B0" w14:paraId="4AFA406F" w14:textId="77777777">
        <w:tblPrEx>
          <w:tblCellMar>
            <w:top w:w="15" w:type="dxa"/>
            <w:left w:w="15" w:type="dxa"/>
            <w:bottom w:w="15" w:type="dxa"/>
            <w:right w:w="15" w:type="dxa"/>
          </w:tblCellMar>
          <w:tblLook w:val="04A0" w:firstRow="1" w:lastRow="0" w:firstColumn="1" w:lastColumn="0" w:noHBand="0" w:noVBand="1"/>
        </w:tblPrEx>
        <w:tc>
          <w:tcPr>
            <w:tcW w:w="540" w:type="pct"/>
          </w:tcPr>
          <w:p w14:paraId="45C2277A" w14:textId="663595DF" w:rsidR="00776292" w:rsidRPr="00BB74B0" w:rsidRDefault="00776292" w:rsidP="00C17DC6">
            <w:pPr>
              <w:pStyle w:val="Restrictiontemplate"/>
              <w:jc w:val="center"/>
            </w:pPr>
          </w:p>
        </w:tc>
        <w:tc>
          <w:tcPr>
            <w:tcW w:w="4460" w:type="pct"/>
            <w:gridSpan w:val="6"/>
          </w:tcPr>
          <w:p w14:paraId="447155ED" w14:textId="77777777" w:rsidR="00776292" w:rsidRPr="00BB74B0" w:rsidRDefault="00776292" w:rsidP="00C17DC6">
            <w:pPr>
              <w:pStyle w:val="Restrictiontemplate"/>
            </w:pPr>
            <w:r w:rsidRPr="00BB74B0">
              <w:t xml:space="preserve">The treatment must be for the purposes of adjuvant use following complete surgical resection that occurred within 16 weeks prior to initiating this drug, </w:t>
            </w:r>
          </w:p>
        </w:tc>
      </w:tr>
      <w:tr w:rsidR="00776292" w:rsidRPr="00BB74B0" w14:paraId="30023A6B" w14:textId="77777777">
        <w:tblPrEx>
          <w:tblCellMar>
            <w:top w:w="15" w:type="dxa"/>
            <w:left w:w="15" w:type="dxa"/>
            <w:bottom w:w="15" w:type="dxa"/>
            <w:right w:w="15" w:type="dxa"/>
          </w:tblCellMar>
          <w:tblLook w:val="04A0" w:firstRow="1" w:lastRow="0" w:firstColumn="1" w:lastColumn="0" w:noHBand="0" w:noVBand="1"/>
        </w:tblPrEx>
        <w:tc>
          <w:tcPr>
            <w:tcW w:w="540" w:type="pct"/>
          </w:tcPr>
          <w:p w14:paraId="7D86CC45" w14:textId="77777777" w:rsidR="00776292" w:rsidRPr="00BB74B0" w:rsidRDefault="00776292" w:rsidP="00C17DC6">
            <w:pPr>
              <w:pStyle w:val="Restrictiontemplate"/>
              <w:jc w:val="center"/>
            </w:pPr>
          </w:p>
        </w:tc>
        <w:tc>
          <w:tcPr>
            <w:tcW w:w="4460" w:type="pct"/>
            <w:gridSpan w:val="6"/>
          </w:tcPr>
          <w:p w14:paraId="37576D20" w14:textId="77777777" w:rsidR="00776292" w:rsidRPr="00BB74B0" w:rsidRDefault="00776292" w:rsidP="00C17DC6">
            <w:pPr>
              <w:pStyle w:val="Restrictiontemplate"/>
              <w:rPr>
                <w:rFonts w:cs="Arial"/>
              </w:rPr>
            </w:pPr>
            <w:r w:rsidRPr="00BB74B0">
              <w:rPr>
                <w:rStyle w:val="Strong"/>
                <w:rFonts w:cs="Open Sans"/>
                <w:color w:val="333333"/>
                <w:bdr w:val="none" w:sz="0" w:space="0" w:color="auto" w:frame="1"/>
              </w:rPr>
              <w:t>AND</w:t>
            </w:r>
          </w:p>
        </w:tc>
      </w:tr>
      <w:tr w:rsidR="00776292" w:rsidRPr="00BB74B0" w14:paraId="650180F9" w14:textId="77777777">
        <w:tblPrEx>
          <w:tblCellMar>
            <w:top w:w="15" w:type="dxa"/>
            <w:left w:w="15" w:type="dxa"/>
            <w:bottom w:w="15" w:type="dxa"/>
            <w:right w:w="15" w:type="dxa"/>
          </w:tblCellMar>
          <w:tblLook w:val="04A0" w:firstRow="1" w:lastRow="0" w:firstColumn="1" w:lastColumn="0" w:noHBand="0" w:noVBand="1"/>
        </w:tblPrEx>
        <w:tc>
          <w:tcPr>
            <w:tcW w:w="540" w:type="pct"/>
          </w:tcPr>
          <w:p w14:paraId="6087F3E2" w14:textId="77777777" w:rsidR="00AB05C9" w:rsidRPr="002F7D5C" w:rsidRDefault="00AB05C9" w:rsidP="00C17DC6">
            <w:pPr>
              <w:jc w:val="center"/>
              <w:rPr>
                <w:lang w:eastAsia="en-US"/>
              </w:rPr>
            </w:pPr>
          </w:p>
        </w:tc>
        <w:tc>
          <w:tcPr>
            <w:tcW w:w="4460" w:type="pct"/>
            <w:gridSpan w:val="6"/>
          </w:tcPr>
          <w:p w14:paraId="5AA41D36" w14:textId="77777777" w:rsidR="00776292" w:rsidRPr="00BB74B0" w:rsidRDefault="00776292" w:rsidP="00C17DC6">
            <w:pPr>
              <w:pStyle w:val="Restrictiontemplate"/>
            </w:pPr>
            <w:r w:rsidRPr="00BB74B0">
              <w:t xml:space="preserve">The condition must have evidence, through resected specimen, that residual disease meets the Tumour Nodes Metastases (TNM) staging system (as published by the Union for International Cancer Control) of either: (i) at least ypT1, (ii) at least ypN1; document this evidence in the patient's medical records, </w:t>
            </w:r>
          </w:p>
        </w:tc>
      </w:tr>
      <w:tr w:rsidR="00776292" w:rsidRPr="00BB74B0" w14:paraId="003E4988" w14:textId="77777777">
        <w:tblPrEx>
          <w:tblCellMar>
            <w:top w:w="15" w:type="dxa"/>
            <w:left w:w="15" w:type="dxa"/>
            <w:bottom w:w="15" w:type="dxa"/>
            <w:right w:w="15" w:type="dxa"/>
          </w:tblCellMar>
          <w:tblLook w:val="04A0" w:firstRow="1" w:lastRow="0" w:firstColumn="1" w:lastColumn="0" w:noHBand="0" w:noVBand="1"/>
        </w:tblPrEx>
        <w:tc>
          <w:tcPr>
            <w:tcW w:w="540" w:type="pct"/>
          </w:tcPr>
          <w:p w14:paraId="05BDC0EE" w14:textId="77777777" w:rsidR="00776292" w:rsidRPr="00BB74B0" w:rsidRDefault="00776292" w:rsidP="00C17DC6">
            <w:pPr>
              <w:pStyle w:val="Restrictiontemplate"/>
              <w:jc w:val="center"/>
            </w:pPr>
          </w:p>
        </w:tc>
        <w:tc>
          <w:tcPr>
            <w:tcW w:w="4460" w:type="pct"/>
            <w:gridSpan w:val="6"/>
          </w:tcPr>
          <w:p w14:paraId="5B9F1039" w14:textId="77777777" w:rsidR="00776292" w:rsidRPr="00BB74B0" w:rsidRDefault="00776292" w:rsidP="00C17DC6">
            <w:pPr>
              <w:pStyle w:val="Restrictiontemplate"/>
            </w:pPr>
            <w:r w:rsidRPr="00BB74B0">
              <w:rPr>
                <w:rStyle w:val="Strong"/>
                <w:rFonts w:cs="Open Sans"/>
                <w:color w:val="333333"/>
                <w:bdr w:val="none" w:sz="0" w:space="0" w:color="auto" w:frame="1"/>
              </w:rPr>
              <w:t>AND</w:t>
            </w:r>
          </w:p>
        </w:tc>
      </w:tr>
      <w:tr w:rsidR="00776292" w:rsidRPr="00BB74B0" w14:paraId="6B4D6991" w14:textId="77777777">
        <w:tblPrEx>
          <w:tblCellMar>
            <w:top w:w="15" w:type="dxa"/>
            <w:left w:w="15" w:type="dxa"/>
            <w:bottom w:w="15" w:type="dxa"/>
            <w:right w:w="15" w:type="dxa"/>
          </w:tblCellMar>
          <w:tblLook w:val="04A0" w:firstRow="1" w:lastRow="0" w:firstColumn="1" w:lastColumn="0" w:noHBand="0" w:noVBand="1"/>
        </w:tblPrEx>
        <w:tc>
          <w:tcPr>
            <w:tcW w:w="540" w:type="pct"/>
          </w:tcPr>
          <w:p w14:paraId="70978C51" w14:textId="73A36E93" w:rsidR="00776292" w:rsidRPr="00BB74B0" w:rsidRDefault="00776292" w:rsidP="00C17DC6">
            <w:pPr>
              <w:pStyle w:val="Restrictiontemplate"/>
              <w:jc w:val="center"/>
            </w:pPr>
          </w:p>
        </w:tc>
        <w:tc>
          <w:tcPr>
            <w:tcW w:w="4460" w:type="pct"/>
            <w:gridSpan w:val="6"/>
          </w:tcPr>
          <w:p w14:paraId="00EEFC30" w14:textId="7F965616" w:rsidR="00776292" w:rsidRPr="00BB74B0" w:rsidRDefault="00776292" w:rsidP="00C17DC6">
            <w:pPr>
              <w:pStyle w:val="Restrictiontemplate"/>
            </w:pPr>
            <w:r w:rsidRPr="00BB74B0">
              <w:t>Patient must have/</w:t>
            </w:r>
            <w:r w:rsidR="00715825" w:rsidRPr="00BB74B0">
              <w:t>have had</w:t>
            </w:r>
            <w:r w:rsidRPr="00BB74B0">
              <w:t xml:space="preserve"> at the time of initiating treatment with this drug, a WHO performance status no higher than 1, </w:t>
            </w:r>
          </w:p>
        </w:tc>
      </w:tr>
      <w:tr w:rsidR="00776292" w:rsidRPr="00BB74B0" w14:paraId="36493862" w14:textId="77777777">
        <w:tblPrEx>
          <w:tblCellMar>
            <w:top w:w="15" w:type="dxa"/>
            <w:left w:w="15" w:type="dxa"/>
            <w:bottom w:w="15" w:type="dxa"/>
            <w:right w:w="15" w:type="dxa"/>
          </w:tblCellMar>
          <w:tblLook w:val="04A0" w:firstRow="1" w:lastRow="0" w:firstColumn="1" w:lastColumn="0" w:noHBand="0" w:noVBand="1"/>
        </w:tblPrEx>
        <w:tc>
          <w:tcPr>
            <w:tcW w:w="540" w:type="pct"/>
          </w:tcPr>
          <w:p w14:paraId="13D7DF5C" w14:textId="77777777" w:rsidR="00776292" w:rsidRPr="00BB74B0" w:rsidRDefault="00776292" w:rsidP="00C17DC6">
            <w:pPr>
              <w:pStyle w:val="Restrictiontemplate"/>
              <w:jc w:val="center"/>
            </w:pPr>
          </w:p>
        </w:tc>
        <w:tc>
          <w:tcPr>
            <w:tcW w:w="4460" w:type="pct"/>
            <w:gridSpan w:val="6"/>
          </w:tcPr>
          <w:p w14:paraId="5BA078DA" w14:textId="77777777" w:rsidR="00776292" w:rsidRPr="00BB74B0" w:rsidRDefault="00776292" w:rsidP="00C17DC6">
            <w:pPr>
              <w:pStyle w:val="Restrictiontemplate"/>
            </w:pPr>
            <w:r w:rsidRPr="00BB74B0">
              <w:rPr>
                <w:rStyle w:val="Strong"/>
                <w:rFonts w:cs="Open Sans"/>
                <w:color w:val="333333"/>
                <w:bdr w:val="none" w:sz="0" w:space="0" w:color="auto" w:frame="1"/>
              </w:rPr>
              <w:t>AND</w:t>
            </w:r>
          </w:p>
        </w:tc>
      </w:tr>
      <w:tr w:rsidR="00776292" w:rsidRPr="00BB74B0" w14:paraId="12832ECA" w14:textId="77777777">
        <w:tblPrEx>
          <w:tblCellMar>
            <w:top w:w="15" w:type="dxa"/>
            <w:left w:w="15" w:type="dxa"/>
            <w:bottom w:w="15" w:type="dxa"/>
            <w:right w:w="15" w:type="dxa"/>
          </w:tblCellMar>
          <w:tblLook w:val="04A0" w:firstRow="1" w:lastRow="0" w:firstColumn="1" w:lastColumn="0" w:noHBand="0" w:noVBand="1"/>
        </w:tblPrEx>
        <w:tc>
          <w:tcPr>
            <w:tcW w:w="540" w:type="pct"/>
          </w:tcPr>
          <w:p w14:paraId="3204E4BD" w14:textId="51547065" w:rsidR="00776292" w:rsidRPr="00BB74B0" w:rsidRDefault="00776292" w:rsidP="00C17DC6">
            <w:pPr>
              <w:pStyle w:val="Restrictiontemplate"/>
              <w:jc w:val="center"/>
            </w:pPr>
          </w:p>
        </w:tc>
        <w:tc>
          <w:tcPr>
            <w:tcW w:w="4460" w:type="pct"/>
            <w:gridSpan w:val="6"/>
          </w:tcPr>
          <w:p w14:paraId="00C7F809" w14:textId="77777777" w:rsidR="00776292" w:rsidRPr="00BB74B0" w:rsidRDefault="00776292" w:rsidP="00C17DC6">
            <w:pPr>
              <w:pStyle w:val="Restrictiontemplate"/>
            </w:pPr>
            <w:r w:rsidRPr="00BB74B0">
              <w:t xml:space="preserve">The treatment must be the sole PBS-subsidised therapy for this condition. </w:t>
            </w:r>
          </w:p>
        </w:tc>
      </w:tr>
      <w:tr w:rsidR="00776292" w:rsidRPr="00BB74B0" w14:paraId="7BABAED6" w14:textId="77777777">
        <w:tblPrEx>
          <w:tblCellMar>
            <w:top w:w="15" w:type="dxa"/>
            <w:left w:w="15" w:type="dxa"/>
            <w:bottom w:w="15" w:type="dxa"/>
            <w:right w:w="15" w:type="dxa"/>
          </w:tblCellMar>
          <w:tblLook w:val="04A0" w:firstRow="1" w:lastRow="0" w:firstColumn="1" w:lastColumn="0" w:noHBand="0" w:noVBand="1"/>
        </w:tblPrEx>
        <w:tc>
          <w:tcPr>
            <w:tcW w:w="540" w:type="pct"/>
          </w:tcPr>
          <w:p w14:paraId="77F8D13A" w14:textId="77777777" w:rsidR="00776292" w:rsidRPr="00BB74B0" w:rsidRDefault="00776292" w:rsidP="00C17DC6">
            <w:pPr>
              <w:pStyle w:val="Restrictiontemplate"/>
              <w:jc w:val="center"/>
            </w:pPr>
          </w:p>
        </w:tc>
        <w:tc>
          <w:tcPr>
            <w:tcW w:w="4460" w:type="pct"/>
            <w:gridSpan w:val="6"/>
          </w:tcPr>
          <w:p w14:paraId="1F7F8F5D" w14:textId="77777777" w:rsidR="00776292" w:rsidRPr="00CD5258" w:rsidRDefault="00776292" w:rsidP="00C17DC6">
            <w:pPr>
              <w:pStyle w:val="Restrictiontemplate"/>
              <w:rPr>
                <w:b/>
                <w:bCs/>
              </w:rPr>
            </w:pPr>
            <w:r w:rsidRPr="00CD5258">
              <w:rPr>
                <w:b/>
                <w:bCs/>
              </w:rPr>
              <w:t>Treatment criteria:</w:t>
            </w:r>
          </w:p>
        </w:tc>
      </w:tr>
      <w:tr w:rsidR="00776292" w:rsidRPr="00BB74B0" w14:paraId="04F10529" w14:textId="77777777">
        <w:tblPrEx>
          <w:tblCellMar>
            <w:top w:w="15" w:type="dxa"/>
            <w:left w:w="15" w:type="dxa"/>
            <w:bottom w:w="15" w:type="dxa"/>
            <w:right w:w="15" w:type="dxa"/>
          </w:tblCellMar>
          <w:tblLook w:val="04A0" w:firstRow="1" w:lastRow="0" w:firstColumn="1" w:lastColumn="0" w:noHBand="0" w:noVBand="1"/>
        </w:tblPrEx>
        <w:tc>
          <w:tcPr>
            <w:tcW w:w="540" w:type="pct"/>
          </w:tcPr>
          <w:p w14:paraId="045F2F99" w14:textId="57B31B89" w:rsidR="00776292" w:rsidRPr="00BB74B0" w:rsidRDefault="00776292" w:rsidP="00C17DC6">
            <w:pPr>
              <w:pStyle w:val="Restrictiontemplate"/>
              <w:jc w:val="center"/>
            </w:pPr>
          </w:p>
        </w:tc>
        <w:tc>
          <w:tcPr>
            <w:tcW w:w="4460" w:type="pct"/>
            <w:gridSpan w:val="6"/>
          </w:tcPr>
          <w:p w14:paraId="52B1AAC4" w14:textId="77777777" w:rsidR="00776292" w:rsidRPr="00BB74B0" w:rsidRDefault="00776292" w:rsidP="00C17DC6">
            <w:pPr>
              <w:pStyle w:val="Restrictiontemplate"/>
            </w:pPr>
            <w:r w:rsidRPr="00BB74B0">
              <w:t xml:space="preserve">Patient must be undergoing treatment with a dosing regimen as set out in the drug's approved Australian Product Information, </w:t>
            </w:r>
          </w:p>
        </w:tc>
      </w:tr>
      <w:tr w:rsidR="00776292" w:rsidRPr="00BB74B0" w14:paraId="5E520630" w14:textId="77777777">
        <w:tblPrEx>
          <w:tblCellMar>
            <w:top w:w="15" w:type="dxa"/>
            <w:left w:w="15" w:type="dxa"/>
            <w:bottom w:w="15" w:type="dxa"/>
            <w:right w:w="15" w:type="dxa"/>
          </w:tblCellMar>
          <w:tblLook w:val="04A0" w:firstRow="1" w:lastRow="0" w:firstColumn="1" w:lastColumn="0" w:noHBand="0" w:noVBand="1"/>
        </w:tblPrEx>
        <w:tc>
          <w:tcPr>
            <w:tcW w:w="540" w:type="pct"/>
          </w:tcPr>
          <w:p w14:paraId="2D5FB536" w14:textId="77777777" w:rsidR="00776292" w:rsidRPr="00BB74B0" w:rsidRDefault="00776292" w:rsidP="00C17DC6">
            <w:pPr>
              <w:pStyle w:val="Restrictiontemplate"/>
              <w:jc w:val="center"/>
            </w:pPr>
          </w:p>
        </w:tc>
        <w:tc>
          <w:tcPr>
            <w:tcW w:w="4460" w:type="pct"/>
            <w:gridSpan w:val="6"/>
          </w:tcPr>
          <w:p w14:paraId="4BB79EC0" w14:textId="77777777" w:rsidR="00776292" w:rsidRPr="00BB74B0" w:rsidRDefault="00776292" w:rsidP="00C17DC6">
            <w:pPr>
              <w:pStyle w:val="Restrictiontemplate"/>
              <w:rPr>
                <w:rFonts w:cs="Arial"/>
              </w:rPr>
            </w:pPr>
            <w:r w:rsidRPr="00BB74B0">
              <w:rPr>
                <w:rStyle w:val="Strong"/>
                <w:rFonts w:cs="Open Sans"/>
                <w:color w:val="333333"/>
                <w:bdr w:val="none" w:sz="0" w:space="0" w:color="auto" w:frame="1"/>
              </w:rPr>
              <w:t>AND</w:t>
            </w:r>
          </w:p>
        </w:tc>
      </w:tr>
      <w:tr w:rsidR="00776292" w:rsidRPr="00BB74B0" w14:paraId="0BFCD12D" w14:textId="77777777">
        <w:tblPrEx>
          <w:tblCellMar>
            <w:top w:w="15" w:type="dxa"/>
            <w:left w:w="15" w:type="dxa"/>
            <w:bottom w:w="15" w:type="dxa"/>
            <w:right w:w="15" w:type="dxa"/>
          </w:tblCellMar>
          <w:tblLook w:val="04A0" w:firstRow="1" w:lastRow="0" w:firstColumn="1" w:lastColumn="0" w:noHBand="0" w:noVBand="1"/>
        </w:tblPrEx>
        <w:tc>
          <w:tcPr>
            <w:tcW w:w="540" w:type="pct"/>
          </w:tcPr>
          <w:p w14:paraId="0BC4427F" w14:textId="77777777" w:rsidR="00580877" w:rsidRPr="00CD5258" w:rsidRDefault="00580877" w:rsidP="00C17DC6">
            <w:pPr>
              <w:jc w:val="center"/>
              <w:rPr>
                <w:lang w:eastAsia="en-US"/>
              </w:rPr>
            </w:pPr>
          </w:p>
        </w:tc>
        <w:tc>
          <w:tcPr>
            <w:tcW w:w="4460" w:type="pct"/>
            <w:gridSpan w:val="6"/>
          </w:tcPr>
          <w:p w14:paraId="0337BA90" w14:textId="77777777" w:rsidR="00776292" w:rsidRPr="00BB74B0" w:rsidRDefault="00776292" w:rsidP="00C17DC6">
            <w:pPr>
              <w:pStyle w:val="Restrictiontemplate"/>
            </w:pPr>
            <w:r w:rsidRPr="00BB74B0">
              <w:t xml:space="preserve">Patient must not be undergoing PBS-subsidised treatment with this drug where this prescription extends treatment beyond whichever comes first: (i) 12 months from treatment initiation, irrespective of whether initial treatment was PBS-subsidised/non-PBS-subsidised, (ii) disease recurrence despite treatment with this drug; annotate any remaining repeat prescriptions with the word 'cancelled' where this occurs. </w:t>
            </w:r>
          </w:p>
        </w:tc>
      </w:tr>
      <w:tr w:rsidR="00776292" w:rsidRPr="00BB74B0" w14:paraId="4035F8B2" w14:textId="77777777">
        <w:tblPrEx>
          <w:tblCellMar>
            <w:top w:w="15" w:type="dxa"/>
            <w:left w:w="15" w:type="dxa"/>
            <w:bottom w:w="15" w:type="dxa"/>
            <w:right w:w="15" w:type="dxa"/>
          </w:tblCellMar>
          <w:tblLook w:val="04A0" w:firstRow="1" w:lastRow="0" w:firstColumn="1" w:lastColumn="0" w:noHBand="0" w:noVBand="1"/>
        </w:tblPrEx>
        <w:tc>
          <w:tcPr>
            <w:tcW w:w="540" w:type="pct"/>
          </w:tcPr>
          <w:p w14:paraId="6A0B9E4B" w14:textId="4BB7E46A" w:rsidR="00776292" w:rsidRPr="00BB74B0" w:rsidRDefault="00776292" w:rsidP="00C17DC6">
            <w:pPr>
              <w:pStyle w:val="Restrictiontemplate"/>
              <w:jc w:val="center"/>
            </w:pPr>
          </w:p>
        </w:tc>
        <w:tc>
          <w:tcPr>
            <w:tcW w:w="4460" w:type="pct"/>
            <w:gridSpan w:val="6"/>
          </w:tcPr>
          <w:p w14:paraId="33135CD5" w14:textId="77777777" w:rsidR="009E2DF5" w:rsidRDefault="00776292" w:rsidP="00C17DC6">
            <w:pPr>
              <w:pStyle w:val="Restrictiontemplate"/>
              <w:rPr>
                <w:rStyle w:val="Strong"/>
                <w:rFonts w:cs="Open Sans"/>
                <w:color w:val="333333"/>
                <w:bdr w:val="none" w:sz="0" w:space="0" w:color="auto" w:frame="1"/>
              </w:rPr>
            </w:pPr>
            <w:r w:rsidRPr="00BB74B0">
              <w:rPr>
                <w:rStyle w:val="Strong"/>
                <w:rFonts w:cs="Open Sans"/>
                <w:color w:val="333333"/>
                <w:bdr w:val="none" w:sz="0" w:space="0" w:color="auto" w:frame="1"/>
              </w:rPr>
              <w:t xml:space="preserve">Prescribing instructions: </w:t>
            </w:r>
          </w:p>
          <w:p w14:paraId="5AC4852D" w14:textId="440947C6" w:rsidR="00776292" w:rsidRPr="00BB74B0" w:rsidRDefault="00776292" w:rsidP="00C17DC6">
            <w:pPr>
              <w:pStyle w:val="Restrictiontemplate"/>
              <w:rPr>
                <w:rStyle w:val="Strong"/>
                <w:rFonts w:cs="Open Sans"/>
                <w:color w:val="333333"/>
                <w:bdr w:val="none" w:sz="0" w:space="0" w:color="auto" w:frame="1"/>
              </w:rPr>
            </w:pPr>
            <w:r w:rsidRPr="00BB74B0">
              <w:t>Patients must only receive 600 mg every two weeks or 1200 mg every four weeks under a flat dosing regimen</w:t>
            </w:r>
          </w:p>
        </w:tc>
      </w:tr>
      <w:tr w:rsidR="00776292" w:rsidRPr="00BB74B0" w14:paraId="2A452DE8" w14:textId="77777777">
        <w:tblPrEx>
          <w:tblCellMar>
            <w:top w:w="15" w:type="dxa"/>
            <w:left w:w="15" w:type="dxa"/>
            <w:bottom w:w="15" w:type="dxa"/>
            <w:right w:w="15" w:type="dxa"/>
          </w:tblCellMar>
          <w:tblLook w:val="04A0" w:firstRow="1" w:lastRow="0" w:firstColumn="1" w:lastColumn="0" w:noHBand="0" w:noVBand="1"/>
        </w:tblPrEx>
        <w:tc>
          <w:tcPr>
            <w:tcW w:w="540" w:type="pct"/>
          </w:tcPr>
          <w:p w14:paraId="57382444" w14:textId="141C71B0" w:rsidR="00776292" w:rsidRPr="00BB74B0" w:rsidRDefault="00776292" w:rsidP="00C17DC6">
            <w:pPr>
              <w:pStyle w:val="Restrictiontemplate"/>
              <w:jc w:val="center"/>
            </w:pPr>
          </w:p>
        </w:tc>
        <w:tc>
          <w:tcPr>
            <w:tcW w:w="4460" w:type="pct"/>
            <w:gridSpan w:val="6"/>
            <w:vAlign w:val="center"/>
          </w:tcPr>
          <w:p w14:paraId="1FD43014" w14:textId="77777777" w:rsidR="00776292" w:rsidRPr="00BB74B0" w:rsidRDefault="00776292" w:rsidP="00C17DC6">
            <w:pPr>
              <w:pStyle w:val="Restrictiontemplate"/>
              <w:rPr>
                <w:rFonts w:cs="Open Sans"/>
                <w:color w:val="333333"/>
              </w:rPr>
            </w:pPr>
            <w:r w:rsidRPr="00BB74B0">
              <w:rPr>
                <w:b/>
                <w:bCs/>
                <w:color w:val="333333"/>
              </w:rPr>
              <w:t xml:space="preserve">Administrative Advice: </w:t>
            </w:r>
            <w:r w:rsidRPr="00BB74B0">
              <w:t>Applications for authorisation under this restriction may be made in real time using the Online PBS Authorities system (see www.servicesaustralia.gov.au/HPOS) or by telephone by contacting Services Australia on 1800 888 333.</w:t>
            </w:r>
          </w:p>
        </w:tc>
      </w:tr>
      <w:tr w:rsidR="00776292" w:rsidRPr="00BB74B0" w14:paraId="22B00786" w14:textId="77777777">
        <w:tblPrEx>
          <w:tblCellMar>
            <w:top w:w="15" w:type="dxa"/>
            <w:left w:w="15" w:type="dxa"/>
            <w:bottom w:w="15" w:type="dxa"/>
            <w:right w:w="15" w:type="dxa"/>
          </w:tblCellMar>
          <w:tblLook w:val="04A0" w:firstRow="1" w:lastRow="0" w:firstColumn="1" w:lastColumn="0" w:noHBand="0" w:noVBand="1"/>
        </w:tblPrEx>
        <w:tc>
          <w:tcPr>
            <w:tcW w:w="540" w:type="pct"/>
          </w:tcPr>
          <w:p w14:paraId="3AFEF16D" w14:textId="77777777" w:rsidR="00776292" w:rsidRPr="00BB74B0" w:rsidRDefault="00776292" w:rsidP="00C17DC6">
            <w:pPr>
              <w:pStyle w:val="Restrictiontemplate"/>
            </w:pPr>
          </w:p>
        </w:tc>
        <w:tc>
          <w:tcPr>
            <w:tcW w:w="4460" w:type="pct"/>
            <w:gridSpan w:val="6"/>
            <w:vAlign w:val="center"/>
          </w:tcPr>
          <w:p w14:paraId="6180BBC3" w14:textId="31310214" w:rsidR="00776292" w:rsidRPr="00BB74B0" w:rsidRDefault="00776292" w:rsidP="00C17DC6">
            <w:pPr>
              <w:pStyle w:val="Restrictiontemplate"/>
              <w:rPr>
                <w:b/>
                <w:bCs/>
                <w:color w:val="333333"/>
              </w:rPr>
            </w:pPr>
          </w:p>
        </w:tc>
      </w:tr>
      <w:tr w:rsidR="00776292" w:rsidRPr="00BB74B0" w14:paraId="1097A3D1" w14:textId="77777777">
        <w:tblPrEx>
          <w:tblCellMar>
            <w:top w:w="15" w:type="dxa"/>
            <w:left w:w="15" w:type="dxa"/>
            <w:bottom w:w="15" w:type="dxa"/>
            <w:right w:w="15" w:type="dxa"/>
          </w:tblCellMar>
          <w:tblLook w:val="04A0" w:firstRow="1" w:lastRow="0" w:firstColumn="1" w:lastColumn="0" w:noHBand="0" w:noVBand="1"/>
        </w:tblPrEx>
        <w:tc>
          <w:tcPr>
            <w:tcW w:w="540" w:type="pct"/>
          </w:tcPr>
          <w:p w14:paraId="561D77CB" w14:textId="575E2E9A" w:rsidR="00776292" w:rsidRPr="00BB74B0" w:rsidRDefault="00776292" w:rsidP="00C17DC6">
            <w:pPr>
              <w:pStyle w:val="Restrictiontemplate"/>
              <w:jc w:val="center"/>
            </w:pPr>
          </w:p>
        </w:tc>
        <w:tc>
          <w:tcPr>
            <w:tcW w:w="4460" w:type="pct"/>
            <w:gridSpan w:val="6"/>
            <w:vAlign w:val="center"/>
          </w:tcPr>
          <w:p w14:paraId="438997F6" w14:textId="77777777" w:rsidR="00776292" w:rsidRPr="00BB74B0" w:rsidRDefault="00776292" w:rsidP="00C17DC6">
            <w:pPr>
              <w:pStyle w:val="Restrictiontemplate"/>
              <w:rPr>
                <w:rFonts w:cs="Open Sans"/>
              </w:rPr>
            </w:pPr>
            <w:r w:rsidRPr="00BB74B0">
              <w:rPr>
                <w:b/>
                <w:bCs/>
              </w:rPr>
              <w:t>Administrative Advice:</w:t>
            </w:r>
            <w:r w:rsidRPr="00BB74B0">
              <w:t xml:space="preserve"> No increase in the maximum number of repeats may be authorised.</w:t>
            </w:r>
          </w:p>
        </w:tc>
      </w:tr>
      <w:tr w:rsidR="00776292" w:rsidRPr="00BB74B0" w14:paraId="18191E4A" w14:textId="77777777">
        <w:tblPrEx>
          <w:tblCellMar>
            <w:top w:w="15" w:type="dxa"/>
            <w:left w:w="15" w:type="dxa"/>
            <w:bottom w:w="15" w:type="dxa"/>
            <w:right w:w="15" w:type="dxa"/>
          </w:tblCellMar>
          <w:tblLook w:val="04A0" w:firstRow="1" w:lastRow="0" w:firstColumn="1" w:lastColumn="0" w:noHBand="0" w:noVBand="1"/>
        </w:tblPrEx>
        <w:tc>
          <w:tcPr>
            <w:tcW w:w="540" w:type="pct"/>
          </w:tcPr>
          <w:p w14:paraId="24744E89" w14:textId="09F4A729" w:rsidR="00776292" w:rsidRPr="00BB74B0" w:rsidRDefault="00776292" w:rsidP="00C17DC6">
            <w:pPr>
              <w:pStyle w:val="Restrictiontemplate"/>
              <w:jc w:val="center"/>
            </w:pPr>
          </w:p>
        </w:tc>
        <w:tc>
          <w:tcPr>
            <w:tcW w:w="4460" w:type="pct"/>
            <w:gridSpan w:val="6"/>
            <w:vAlign w:val="center"/>
          </w:tcPr>
          <w:p w14:paraId="1CF5ADCC" w14:textId="77777777" w:rsidR="00776292" w:rsidRPr="00BB74B0" w:rsidRDefault="00776292" w:rsidP="00C17DC6">
            <w:pPr>
              <w:pStyle w:val="Restrictiontemplate"/>
              <w:rPr>
                <w:b/>
                <w:bCs/>
              </w:rPr>
            </w:pPr>
            <w:r w:rsidRPr="00BB74B0">
              <w:rPr>
                <w:b/>
                <w:bCs/>
              </w:rPr>
              <w:t xml:space="preserve">Administrative Advice: </w:t>
            </w:r>
            <w:r w:rsidRPr="00BB74B0">
              <w:t>Special Pricing Arrangements apply.</w:t>
            </w:r>
          </w:p>
        </w:tc>
      </w:tr>
    </w:tbl>
    <w:p w14:paraId="407A51A3" w14:textId="4029986D" w:rsidR="00276EC1" w:rsidRDefault="00276EC1" w:rsidP="00C17DC6">
      <w:pPr>
        <w:pStyle w:val="4-SubsectionHeading"/>
      </w:pPr>
      <w:r>
        <w:lastRenderedPageBreak/>
        <w:t>Immunotherapy sensitive advanced or metastatic cancer (</w:t>
      </w:r>
      <w:r w:rsidR="00553219">
        <w:t xml:space="preserve">based on </w:t>
      </w:r>
      <w:r>
        <w:t>item codes</w:t>
      </w:r>
      <w:r w:rsidR="00553219">
        <w:t xml:space="preserve"> </w:t>
      </w:r>
      <w:r w:rsidR="0065443E">
        <w:t>15</w:t>
      </w:r>
      <w:r w:rsidR="00002E35">
        <w:t>2</w:t>
      </w:r>
      <w:r w:rsidR="00046B61">
        <w:t xml:space="preserve">38B and </w:t>
      </w:r>
      <w:r w:rsidR="00FD2327">
        <w:t>15224G</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mmunotherapy sensitive advanced or metastatic cancer (based on item codes 15238B and 15224G)"/>
      </w:tblPr>
      <w:tblGrid>
        <w:gridCol w:w="3822"/>
        <w:gridCol w:w="1107"/>
        <w:gridCol w:w="846"/>
        <w:gridCol w:w="882"/>
        <w:gridCol w:w="709"/>
        <w:gridCol w:w="1650"/>
      </w:tblGrid>
      <w:tr w:rsidR="008A0A6A" w:rsidRPr="004F3C3A" w14:paraId="562A3F62" w14:textId="77777777" w:rsidTr="002E529B">
        <w:trPr>
          <w:cantSplit/>
          <w:trHeight w:val="471"/>
        </w:trPr>
        <w:tc>
          <w:tcPr>
            <w:tcW w:w="2120" w:type="pct"/>
          </w:tcPr>
          <w:p w14:paraId="05479FA7" w14:textId="77777777" w:rsidR="008A0A6A" w:rsidRPr="004F3C3A" w:rsidRDefault="008A0A6A" w:rsidP="00C17DC6">
            <w:pPr>
              <w:pStyle w:val="Restrictiontemplate"/>
              <w:rPr>
                <w:b/>
                <w:bCs/>
              </w:rPr>
            </w:pPr>
            <w:r w:rsidRPr="004F3C3A">
              <w:rPr>
                <w:b/>
                <w:bCs/>
              </w:rPr>
              <w:t>MEDICINAL PRODUCT</w:t>
            </w:r>
          </w:p>
          <w:p w14:paraId="27C47354" w14:textId="77777777" w:rsidR="008A0A6A" w:rsidRPr="004F3C3A" w:rsidRDefault="008A0A6A" w:rsidP="00C17DC6">
            <w:pPr>
              <w:pStyle w:val="Restrictiontemplate"/>
              <w:rPr>
                <w:b/>
                <w:bCs/>
              </w:rPr>
            </w:pPr>
            <w:r w:rsidRPr="004F3C3A">
              <w:rPr>
                <w:b/>
                <w:bCs/>
              </w:rPr>
              <w:t>medicinal product pack</w:t>
            </w:r>
          </w:p>
        </w:tc>
        <w:tc>
          <w:tcPr>
            <w:tcW w:w="614" w:type="pct"/>
          </w:tcPr>
          <w:p w14:paraId="3689370E" w14:textId="77777777" w:rsidR="008A0A6A" w:rsidRPr="004F3C3A" w:rsidRDefault="008A0A6A" w:rsidP="00C17DC6">
            <w:pPr>
              <w:pStyle w:val="Restrictiontemplate"/>
              <w:rPr>
                <w:b/>
                <w:bCs/>
              </w:rPr>
            </w:pPr>
            <w:r w:rsidRPr="004F3C3A">
              <w:rPr>
                <w:b/>
                <w:bCs/>
              </w:rPr>
              <w:t>PBS item code</w:t>
            </w:r>
          </w:p>
        </w:tc>
        <w:tc>
          <w:tcPr>
            <w:tcW w:w="469" w:type="pct"/>
          </w:tcPr>
          <w:p w14:paraId="4911F03F" w14:textId="77777777" w:rsidR="008A0A6A" w:rsidRPr="004F3C3A" w:rsidRDefault="008A0A6A" w:rsidP="00C17DC6">
            <w:pPr>
              <w:pStyle w:val="Restrictiontemplate"/>
              <w:rPr>
                <w:b/>
                <w:bCs/>
              </w:rPr>
            </w:pPr>
            <w:r w:rsidRPr="004F3C3A">
              <w:rPr>
                <w:b/>
                <w:bCs/>
              </w:rPr>
              <w:t>Max. qty packs</w:t>
            </w:r>
          </w:p>
        </w:tc>
        <w:tc>
          <w:tcPr>
            <w:tcW w:w="489" w:type="pct"/>
          </w:tcPr>
          <w:p w14:paraId="503A8AC2" w14:textId="77777777" w:rsidR="008A0A6A" w:rsidRPr="004F3C3A" w:rsidRDefault="008A0A6A" w:rsidP="00C17DC6">
            <w:pPr>
              <w:pStyle w:val="Restrictiontemplate"/>
              <w:rPr>
                <w:b/>
                <w:bCs/>
              </w:rPr>
            </w:pPr>
            <w:r w:rsidRPr="004F3C3A">
              <w:rPr>
                <w:b/>
                <w:bCs/>
              </w:rPr>
              <w:t>Max. qty units</w:t>
            </w:r>
          </w:p>
        </w:tc>
        <w:tc>
          <w:tcPr>
            <w:tcW w:w="393" w:type="pct"/>
          </w:tcPr>
          <w:p w14:paraId="70EA2790" w14:textId="674093C4" w:rsidR="008A0A6A" w:rsidRPr="004F3C3A" w:rsidRDefault="00715825" w:rsidP="00C17DC6">
            <w:pPr>
              <w:pStyle w:val="Restrictiontemplate"/>
              <w:rPr>
                <w:b/>
                <w:bCs/>
              </w:rPr>
            </w:pPr>
            <w:r w:rsidRPr="004F3C3A">
              <w:rPr>
                <w:b/>
                <w:bCs/>
              </w:rPr>
              <w:t>№. of</w:t>
            </w:r>
          </w:p>
          <w:p w14:paraId="61FCBF83" w14:textId="77777777" w:rsidR="008A0A6A" w:rsidRPr="004F3C3A" w:rsidRDefault="008A0A6A" w:rsidP="00C17DC6">
            <w:pPr>
              <w:pStyle w:val="Restrictiontemplate"/>
              <w:rPr>
                <w:b/>
                <w:bCs/>
              </w:rPr>
            </w:pPr>
            <w:r w:rsidRPr="004F3C3A">
              <w:rPr>
                <w:b/>
                <w:bCs/>
              </w:rPr>
              <w:t>Rpts</w:t>
            </w:r>
          </w:p>
        </w:tc>
        <w:tc>
          <w:tcPr>
            <w:tcW w:w="915" w:type="pct"/>
          </w:tcPr>
          <w:p w14:paraId="384BFCB3" w14:textId="77777777" w:rsidR="008A0A6A" w:rsidRPr="004F3C3A" w:rsidRDefault="008A0A6A" w:rsidP="00C17DC6">
            <w:pPr>
              <w:pStyle w:val="Restrictiontemplate"/>
              <w:rPr>
                <w:b/>
                <w:bCs/>
                <w:lang w:val="fr-FR"/>
              </w:rPr>
            </w:pPr>
            <w:r w:rsidRPr="004F3C3A">
              <w:rPr>
                <w:b/>
                <w:bCs/>
              </w:rPr>
              <w:t>Available brands</w:t>
            </w:r>
          </w:p>
        </w:tc>
      </w:tr>
      <w:tr w:rsidR="008A0A6A" w:rsidRPr="00BB74B0" w14:paraId="668715AA" w14:textId="77777777" w:rsidTr="002E529B">
        <w:trPr>
          <w:cantSplit/>
          <w:trHeight w:val="224"/>
        </w:trPr>
        <w:tc>
          <w:tcPr>
            <w:tcW w:w="5000" w:type="pct"/>
            <w:gridSpan w:val="6"/>
          </w:tcPr>
          <w:p w14:paraId="2DCE8312" w14:textId="77777777" w:rsidR="008A0A6A" w:rsidRPr="00BB74B0" w:rsidRDefault="008A0A6A" w:rsidP="00C17DC6">
            <w:pPr>
              <w:pStyle w:val="Restrictiontemplate"/>
            </w:pPr>
            <w:r w:rsidRPr="00BB74B0">
              <w:t>NIVOLUMAB</w:t>
            </w:r>
          </w:p>
        </w:tc>
      </w:tr>
      <w:tr w:rsidR="008A0A6A" w:rsidRPr="00BB74B0" w14:paraId="083C6697" w14:textId="77777777" w:rsidTr="002E529B">
        <w:trPr>
          <w:cantSplit/>
          <w:trHeight w:val="347"/>
        </w:trPr>
        <w:tc>
          <w:tcPr>
            <w:tcW w:w="2120" w:type="pct"/>
          </w:tcPr>
          <w:p w14:paraId="67570993" w14:textId="77777777" w:rsidR="008A0A6A" w:rsidRPr="00BB74B0" w:rsidRDefault="008A0A6A" w:rsidP="00C17DC6">
            <w:pPr>
              <w:pStyle w:val="Restrictiontemplate"/>
            </w:pPr>
            <w:r w:rsidRPr="00BB74B0">
              <w:t>nivolumab 600 mg/5 mL injection</w:t>
            </w:r>
            <w:r>
              <w:t>, 5 mL vial</w:t>
            </w:r>
          </w:p>
        </w:tc>
        <w:tc>
          <w:tcPr>
            <w:tcW w:w="614" w:type="pct"/>
          </w:tcPr>
          <w:p w14:paraId="11173F0C" w14:textId="77777777" w:rsidR="008A0A6A" w:rsidRPr="00BB74B0" w:rsidRDefault="008A0A6A" w:rsidP="00C17DC6">
            <w:pPr>
              <w:pStyle w:val="Restrictiontemplate"/>
            </w:pPr>
            <w:r w:rsidRPr="00BB74B0">
              <w:t>NEW (CT)</w:t>
            </w:r>
          </w:p>
        </w:tc>
        <w:tc>
          <w:tcPr>
            <w:tcW w:w="469" w:type="pct"/>
          </w:tcPr>
          <w:p w14:paraId="43DA5F63" w14:textId="77777777" w:rsidR="008A0A6A" w:rsidRPr="00BB74B0" w:rsidRDefault="008A0A6A" w:rsidP="00C17DC6">
            <w:pPr>
              <w:pStyle w:val="Restrictiontemplate"/>
            </w:pPr>
            <w:r w:rsidRPr="00BB74B0">
              <w:t>2</w:t>
            </w:r>
          </w:p>
        </w:tc>
        <w:tc>
          <w:tcPr>
            <w:tcW w:w="489" w:type="pct"/>
          </w:tcPr>
          <w:p w14:paraId="2B8A435D" w14:textId="77777777" w:rsidR="008A0A6A" w:rsidRPr="00BB74B0" w:rsidRDefault="008A0A6A" w:rsidP="00C17DC6">
            <w:pPr>
              <w:pStyle w:val="Restrictiontemplate"/>
            </w:pPr>
            <w:r w:rsidRPr="00BB74B0">
              <w:t>2</w:t>
            </w:r>
          </w:p>
        </w:tc>
        <w:tc>
          <w:tcPr>
            <w:tcW w:w="393" w:type="pct"/>
          </w:tcPr>
          <w:p w14:paraId="72471DED" w14:textId="114E9F5E" w:rsidR="008A0A6A" w:rsidRPr="00BB74B0" w:rsidRDefault="008A0A6A" w:rsidP="00C17DC6">
            <w:pPr>
              <w:pStyle w:val="Restrictiontemplate"/>
            </w:pPr>
            <w:r>
              <w:t>13</w:t>
            </w:r>
          </w:p>
        </w:tc>
        <w:tc>
          <w:tcPr>
            <w:tcW w:w="915" w:type="pct"/>
          </w:tcPr>
          <w:p w14:paraId="2D53F074" w14:textId="77777777" w:rsidR="008A0A6A" w:rsidRPr="00BB74B0" w:rsidRDefault="008A0A6A" w:rsidP="00C17DC6">
            <w:pPr>
              <w:pStyle w:val="Restrictiontemplate"/>
            </w:pPr>
            <w:r w:rsidRPr="00BB74B0">
              <w:t>Opdivo</w:t>
            </w:r>
            <w:r>
              <w:t xml:space="preserve"> SC</w:t>
            </w:r>
          </w:p>
        </w:tc>
      </w:tr>
      <w:tr w:rsidR="008A0A6A" w:rsidRPr="00BB74B0" w14:paraId="404EDB88" w14:textId="77777777" w:rsidTr="002E529B">
        <w:trPr>
          <w:cantSplit/>
          <w:trHeight w:val="347"/>
        </w:trPr>
        <w:tc>
          <w:tcPr>
            <w:tcW w:w="2120" w:type="pct"/>
          </w:tcPr>
          <w:p w14:paraId="1038572C" w14:textId="77777777" w:rsidR="008A0A6A" w:rsidRPr="00BB74B0" w:rsidRDefault="008A0A6A" w:rsidP="00C17DC6">
            <w:pPr>
              <w:pStyle w:val="Restrictiontemplate"/>
            </w:pPr>
            <w:r>
              <w:t>n</w:t>
            </w:r>
            <w:r w:rsidRPr="00BB74B0">
              <w:t>ivolumab 600 mg/5 mL injection</w:t>
            </w:r>
            <w:r>
              <w:t>, 5 mL vial</w:t>
            </w:r>
          </w:p>
        </w:tc>
        <w:tc>
          <w:tcPr>
            <w:tcW w:w="614" w:type="pct"/>
          </w:tcPr>
          <w:p w14:paraId="5C74DBD2" w14:textId="77777777" w:rsidR="008A0A6A" w:rsidRPr="00BB74B0" w:rsidRDefault="008A0A6A" w:rsidP="00C17DC6">
            <w:pPr>
              <w:pStyle w:val="Restrictiontemplate"/>
            </w:pPr>
            <w:r w:rsidRPr="00BB74B0">
              <w:t>NEW (GE)</w:t>
            </w:r>
          </w:p>
        </w:tc>
        <w:tc>
          <w:tcPr>
            <w:tcW w:w="469" w:type="pct"/>
          </w:tcPr>
          <w:p w14:paraId="0A21E0E8" w14:textId="77777777" w:rsidR="008A0A6A" w:rsidRPr="00BB74B0" w:rsidRDefault="008A0A6A" w:rsidP="00C17DC6">
            <w:pPr>
              <w:pStyle w:val="Restrictiontemplate"/>
            </w:pPr>
            <w:r w:rsidRPr="00BB74B0">
              <w:t>2</w:t>
            </w:r>
          </w:p>
        </w:tc>
        <w:tc>
          <w:tcPr>
            <w:tcW w:w="489" w:type="pct"/>
          </w:tcPr>
          <w:p w14:paraId="50BDE10C" w14:textId="77777777" w:rsidR="008A0A6A" w:rsidRPr="00BB74B0" w:rsidRDefault="008A0A6A" w:rsidP="00C17DC6">
            <w:pPr>
              <w:pStyle w:val="Restrictiontemplate"/>
            </w:pPr>
            <w:r w:rsidRPr="00BB74B0">
              <w:t>2</w:t>
            </w:r>
          </w:p>
        </w:tc>
        <w:tc>
          <w:tcPr>
            <w:tcW w:w="393" w:type="pct"/>
          </w:tcPr>
          <w:p w14:paraId="1F6F6F1D" w14:textId="494B6B65" w:rsidR="008A0A6A" w:rsidRPr="00BB74B0" w:rsidRDefault="008A0A6A" w:rsidP="00C17DC6">
            <w:pPr>
              <w:pStyle w:val="Restrictiontemplate"/>
            </w:pPr>
            <w:r>
              <w:t>13</w:t>
            </w:r>
          </w:p>
        </w:tc>
        <w:tc>
          <w:tcPr>
            <w:tcW w:w="915" w:type="pct"/>
          </w:tcPr>
          <w:p w14:paraId="110678A4" w14:textId="77777777" w:rsidR="008A0A6A" w:rsidRPr="00BB74B0" w:rsidRDefault="008A0A6A" w:rsidP="00C17DC6">
            <w:pPr>
              <w:pStyle w:val="Restrictiontemplate"/>
            </w:pPr>
            <w:r w:rsidRPr="00BB74B0">
              <w:t>Opdivo</w:t>
            </w:r>
            <w:r>
              <w:t xml:space="preserve"> SC</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028"/>
      </w:tblGrid>
      <w:tr w:rsidR="00317BEC" w:rsidRPr="00317BEC" w14:paraId="52D1B4E0" w14:textId="77777777">
        <w:trPr>
          <w:cantSplit/>
          <w:trHeight w:val="20"/>
        </w:trPr>
        <w:tc>
          <w:tcPr>
            <w:tcW w:w="5000" w:type="pct"/>
            <w:gridSpan w:val="2"/>
            <w:vAlign w:val="center"/>
          </w:tcPr>
          <w:p w14:paraId="279D2644" w14:textId="3371B4F3" w:rsidR="00317BEC" w:rsidRPr="00317BEC" w:rsidRDefault="00317BEC" w:rsidP="00C17DC6">
            <w:pPr>
              <w:rPr>
                <w:rFonts w:ascii="Arial Narrow" w:hAnsi="Arial Narrow"/>
                <w:color w:val="FF0000"/>
                <w:sz w:val="18"/>
                <w:szCs w:val="18"/>
              </w:rPr>
            </w:pPr>
          </w:p>
        </w:tc>
      </w:tr>
      <w:tr w:rsidR="00317BEC" w:rsidRPr="00317BEC" w14:paraId="421EEDCC" w14:textId="77777777" w:rsidTr="008A0A6A">
        <w:tblPrEx>
          <w:tblCellMar>
            <w:top w:w="15" w:type="dxa"/>
            <w:bottom w:w="15" w:type="dxa"/>
          </w:tblCellMar>
          <w:tblLook w:val="04A0" w:firstRow="1" w:lastRow="0" w:firstColumn="1" w:lastColumn="0" w:noHBand="0" w:noVBand="1"/>
        </w:tblPrEx>
        <w:trPr>
          <w:cantSplit/>
          <w:trHeight w:val="20"/>
        </w:trPr>
        <w:tc>
          <w:tcPr>
            <w:tcW w:w="548" w:type="pct"/>
            <w:vMerge w:val="restart"/>
          </w:tcPr>
          <w:p w14:paraId="5214DBBA" w14:textId="77777777" w:rsidR="00317BEC" w:rsidRPr="00317BEC" w:rsidRDefault="00317BEC" w:rsidP="00C17DC6">
            <w:pPr>
              <w:rPr>
                <w:rFonts w:ascii="Arial Narrow" w:hAnsi="Arial Narrow"/>
                <w:sz w:val="18"/>
                <w:szCs w:val="18"/>
              </w:rPr>
            </w:pPr>
          </w:p>
        </w:tc>
        <w:tc>
          <w:tcPr>
            <w:tcW w:w="4452" w:type="pct"/>
          </w:tcPr>
          <w:p w14:paraId="413FC4E1" w14:textId="77777777" w:rsidR="004224E9" w:rsidRDefault="00317BEC" w:rsidP="00C17DC6">
            <w:pPr>
              <w:rPr>
                <w:rFonts w:ascii="Arial Narrow" w:hAnsi="Arial Narrow"/>
                <w:b/>
                <w:sz w:val="18"/>
                <w:szCs w:val="18"/>
              </w:rPr>
            </w:pPr>
            <w:r w:rsidRPr="00317BEC">
              <w:rPr>
                <w:rFonts w:ascii="Arial Narrow" w:hAnsi="Arial Narrow"/>
                <w:b/>
                <w:sz w:val="18"/>
                <w:szCs w:val="18"/>
              </w:rPr>
              <w:t xml:space="preserve">Category / Program: </w:t>
            </w:r>
          </w:p>
          <w:p w14:paraId="7081AED3" w14:textId="2C379396" w:rsidR="004224E9" w:rsidRDefault="004224E9" w:rsidP="00C17DC6">
            <w:pPr>
              <w:rPr>
                <w:rFonts w:ascii="Arial Narrow" w:hAnsi="Arial Narrow"/>
                <w:sz w:val="18"/>
                <w:szCs w:val="18"/>
              </w:rPr>
            </w:pPr>
            <w:r w:rsidRPr="00717CF2">
              <w:rPr>
                <w:rFonts w:ascii="Arial Narrow" w:hAnsi="Arial Narrow" w:cs="Arial"/>
                <w:bCs/>
                <w:sz w:val="18"/>
                <w:szCs w:val="18"/>
              </w:rPr>
              <w:fldChar w:fldCharType="begin" w:fldLock="1">
                <w:ffData>
                  <w:name w:val=""/>
                  <w:enabled/>
                  <w:calcOnExit w:val="0"/>
                  <w:checkBox>
                    <w:sizeAuto/>
                    <w:default w:val="1"/>
                  </w:checkBox>
                </w:ffData>
              </w:fldChar>
            </w:r>
            <w:r w:rsidRPr="00717CF2">
              <w:rPr>
                <w:rFonts w:ascii="Arial Narrow" w:hAnsi="Arial Narrow" w:cs="Arial"/>
                <w:bCs/>
                <w:sz w:val="18"/>
                <w:szCs w:val="18"/>
              </w:rPr>
              <w:instrText xml:space="preserve"> FORMCHECKBOX </w:instrText>
            </w:r>
            <w:r w:rsidRPr="00717CF2">
              <w:rPr>
                <w:rFonts w:ascii="Arial Narrow" w:hAnsi="Arial Narrow" w:cs="Arial"/>
                <w:bCs/>
                <w:sz w:val="18"/>
                <w:szCs w:val="18"/>
              </w:rPr>
            </w:r>
            <w:r w:rsidRPr="00717CF2">
              <w:rPr>
                <w:rFonts w:ascii="Arial Narrow" w:hAnsi="Arial Narrow" w:cs="Arial"/>
                <w:bCs/>
                <w:sz w:val="18"/>
                <w:szCs w:val="18"/>
              </w:rPr>
              <w:fldChar w:fldCharType="separate"/>
            </w:r>
            <w:r w:rsidRPr="00717CF2">
              <w:rPr>
                <w:rFonts w:ascii="Arial Narrow" w:hAnsi="Arial Narrow" w:cs="Arial"/>
                <w:bCs/>
                <w:sz w:val="18"/>
                <w:szCs w:val="18"/>
              </w:rPr>
              <w:fldChar w:fldCharType="end"/>
            </w:r>
            <w:r>
              <w:rPr>
                <w:rFonts w:ascii="Arial Narrow" w:hAnsi="Arial Narrow" w:cs="Arial"/>
                <w:bCs/>
                <w:sz w:val="18"/>
                <w:szCs w:val="18"/>
              </w:rPr>
              <w:t xml:space="preserve"> </w:t>
            </w:r>
            <w:r w:rsidR="00317BEC" w:rsidRPr="00317BEC">
              <w:rPr>
                <w:rFonts w:ascii="Arial Narrow" w:hAnsi="Arial Narrow"/>
                <w:sz w:val="18"/>
                <w:szCs w:val="18"/>
              </w:rPr>
              <w:t xml:space="preserve">Section 100 – Chemotherapy Related Benefits (CT) </w:t>
            </w:r>
          </w:p>
          <w:p w14:paraId="053E4D0F" w14:textId="37FD3889" w:rsidR="00317BEC" w:rsidRPr="00317BEC" w:rsidRDefault="004224E9" w:rsidP="00C17DC6">
            <w:pPr>
              <w:rPr>
                <w:rFonts w:ascii="Arial Narrow" w:hAnsi="Arial Narrow"/>
                <w:sz w:val="18"/>
                <w:szCs w:val="18"/>
              </w:rPr>
            </w:pPr>
            <w:r w:rsidRPr="00717CF2">
              <w:rPr>
                <w:rFonts w:ascii="Arial Narrow" w:hAnsi="Arial Narrow" w:cs="Arial"/>
                <w:bCs/>
                <w:sz w:val="18"/>
                <w:szCs w:val="18"/>
              </w:rPr>
              <w:fldChar w:fldCharType="begin" w:fldLock="1">
                <w:ffData>
                  <w:name w:val=""/>
                  <w:enabled/>
                  <w:calcOnExit w:val="0"/>
                  <w:checkBox>
                    <w:sizeAuto/>
                    <w:default w:val="1"/>
                  </w:checkBox>
                </w:ffData>
              </w:fldChar>
            </w:r>
            <w:r w:rsidRPr="00717CF2">
              <w:rPr>
                <w:rFonts w:ascii="Arial Narrow" w:hAnsi="Arial Narrow" w:cs="Arial"/>
                <w:bCs/>
                <w:sz w:val="18"/>
                <w:szCs w:val="18"/>
              </w:rPr>
              <w:instrText xml:space="preserve"> FORMCHECKBOX </w:instrText>
            </w:r>
            <w:r w:rsidRPr="00717CF2">
              <w:rPr>
                <w:rFonts w:ascii="Arial Narrow" w:hAnsi="Arial Narrow" w:cs="Arial"/>
                <w:bCs/>
                <w:sz w:val="18"/>
                <w:szCs w:val="18"/>
              </w:rPr>
            </w:r>
            <w:r w:rsidRPr="00717CF2">
              <w:rPr>
                <w:rFonts w:ascii="Arial Narrow" w:hAnsi="Arial Narrow" w:cs="Arial"/>
                <w:bCs/>
                <w:sz w:val="18"/>
                <w:szCs w:val="18"/>
              </w:rPr>
              <w:fldChar w:fldCharType="separate"/>
            </w:r>
            <w:r w:rsidRPr="00717CF2">
              <w:rPr>
                <w:rFonts w:ascii="Arial Narrow" w:hAnsi="Arial Narrow" w:cs="Arial"/>
                <w:bCs/>
                <w:sz w:val="18"/>
                <w:szCs w:val="18"/>
              </w:rPr>
              <w:fldChar w:fldCharType="end"/>
            </w:r>
            <w:r w:rsidR="00317BEC" w:rsidRPr="00317BEC">
              <w:rPr>
                <w:rFonts w:ascii="Arial Narrow" w:hAnsi="Arial Narrow"/>
                <w:sz w:val="18"/>
                <w:szCs w:val="18"/>
              </w:rPr>
              <w:t>General Schedule (GE)</w:t>
            </w:r>
          </w:p>
        </w:tc>
      </w:tr>
      <w:tr w:rsidR="00317BEC" w:rsidRPr="00317BEC" w14:paraId="2BE3D44D" w14:textId="77777777" w:rsidTr="008A0A6A">
        <w:tblPrEx>
          <w:tblCellMar>
            <w:top w:w="15" w:type="dxa"/>
            <w:bottom w:w="15" w:type="dxa"/>
          </w:tblCellMar>
          <w:tblLook w:val="04A0" w:firstRow="1" w:lastRow="0" w:firstColumn="1" w:lastColumn="0" w:noHBand="0" w:noVBand="1"/>
        </w:tblPrEx>
        <w:trPr>
          <w:cantSplit/>
          <w:trHeight w:val="20"/>
        </w:trPr>
        <w:tc>
          <w:tcPr>
            <w:tcW w:w="548" w:type="pct"/>
            <w:vMerge/>
          </w:tcPr>
          <w:p w14:paraId="3795918A" w14:textId="77777777" w:rsidR="00317BEC" w:rsidRPr="00317BEC" w:rsidRDefault="00317BEC" w:rsidP="00C17DC6">
            <w:pPr>
              <w:rPr>
                <w:rFonts w:ascii="Arial Narrow" w:hAnsi="Arial Narrow"/>
                <w:sz w:val="18"/>
                <w:szCs w:val="18"/>
              </w:rPr>
            </w:pPr>
          </w:p>
        </w:tc>
        <w:tc>
          <w:tcPr>
            <w:tcW w:w="4452" w:type="pct"/>
          </w:tcPr>
          <w:p w14:paraId="7FFD1A38" w14:textId="77777777" w:rsidR="00317BEC" w:rsidRPr="00317BEC" w:rsidRDefault="00317BEC" w:rsidP="00C17DC6">
            <w:pPr>
              <w:rPr>
                <w:rFonts w:ascii="Arial Narrow" w:hAnsi="Arial Narrow"/>
                <w:b/>
                <w:sz w:val="18"/>
                <w:szCs w:val="18"/>
              </w:rPr>
            </w:pPr>
            <w:r w:rsidRPr="00317BEC">
              <w:rPr>
                <w:rFonts w:ascii="Arial Narrow" w:hAnsi="Arial Narrow"/>
                <w:b/>
                <w:sz w:val="18"/>
                <w:szCs w:val="18"/>
              </w:rPr>
              <w:t xml:space="preserve">Prescriber type: </w:t>
            </w:r>
            <w:r w:rsidRPr="00317BEC">
              <w:rPr>
                <w:rFonts w:ascii="Arial Narrow" w:hAnsi="Arial Narrow"/>
                <w:sz w:val="18"/>
                <w:szCs w:val="18"/>
              </w:rPr>
              <w:fldChar w:fldCharType="begin">
                <w:ffData>
                  <w:name w:val=""/>
                  <w:enabled/>
                  <w:calcOnExit w:val="0"/>
                  <w:checkBox>
                    <w:sizeAuto/>
                    <w:default w:val="1"/>
                  </w:checkBox>
                </w:ffData>
              </w:fldChar>
            </w:r>
            <w:r w:rsidRPr="00317BEC">
              <w:rPr>
                <w:rFonts w:ascii="Arial Narrow" w:hAnsi="Arial Narrow"/>
                <w:sz w:val="18"/>
                <w:szCs w:val="18"/>
              </w:rPr>
              <w:instrText xml:space="preserve"> FORMCHECKBOX </w:instrText>
            </w:r>
            <w:r w:rsidRPr="00317BEC">
              <w:rPr>
                <w:rFonts w:ascii="Arial Narrow" w:hAnsi="Arial Narrow"/>
                <w:sz w:val="18"/>
                <w:szCs w:val="18"/>
              </w:rPr>
            </w:r>
            <w:r w:rsidRPr="00317BEC">
              <w:rPr>
                <w:rFonts w:ascii="Arial Narrow" w:hAnsi="Arial Narrow"/>
                <w:sz w:val="18"/>
                <w:szCs w:val="18"/>
              </w:rPr>
              <w:fldChar w:fldCharType="separate"/>
            </w:r>
            <w:r w:rsidRPr="00317BEC">
              <w:rPr>
                <w:rFonts w:ascii="Arial Narrow" w:hAnsi="Arial Narrow"/>
                <w:sz w:val="18"/>
                <w:szCs w:val="18"/>
              </w:rPr>
              <w:fldChar w:fldCharType="end"/>
            </w:r>
            <w:r w:rsidRPr="00317BEC">
              <w:rPr>
                <w:rFonts w:ascii="Arial Narrow" w:hAnsi="Arial Narrow"/>
                <w:sz w:val="18"/>
                <w:szCs w:val="18"/>
              </w:rPr>
              <w:t xml:space="preserve">Medical Practitioners </w:t>
            </w:r>
          </w:p>
        </w:tc>
      </w:tr>
      <w:tr w:rsidR="00317BEC" w:rsidRPr="00317BEC" w14:paraId="21F6D025" w14:textId="77777777" w:rsidTr="008A0A6A">
        <w:tblPrEx>
          <w:tblCellMar>
            <w:top w:w="15" w:type="dxa"/>
            <w:bottom w:w="15" w:type="dxa"/>
          </w:tblCellMar>
          <w:tblLook w:val="04A0" w:firstRow="1" w:lastRow="0" w:firstColumn="1" w:lastColumn="0" w:noHBand="0" w:noVBand="1"/>
        </w:tblPrEx>
        <w:trPr>
          <w:cantSplit/>
          <w:trHeight w:val="20"/>
        </w:trPr>
        <w:tc>
          <w:tcPr>
            <w:tcW w:w="548" w:type="pct"/>
            <w:vMerge/>
          </w:tcPr>
          <w:p w14:paraId="5E544E7C" w14:textId="77777777" w:rsidR="00317BEC" w:rsidRPr="00317BEC" w:rsidRDefault="00317BEC" w:rsidP="00C17DC6">
            <w:pPr>
              <w:rPr>
                <w:rFonts w:ascii="Arial Narrow" w:hAnsi="Arial Narrow"/>
                <w:sz w:val="18"/>
                <w:szCs w:val="18"/>
              </w:rPr>
            </w:pPr>
          </w:p>
        </w:tc>
        <w:tc>
          <w:tcPr>
            <w:tcW w:w="4452" w:type="pct"/>
          </w:tcPr>
          <w:p w14:paraId="6353D3F2" w14:textId="77777777" w:rsidR="00317BEC" w:rsidRPr="00317BEC" w:rsidRDefault="00317BEC" w:rsidP="00C17DC6">
            <w:pPr>
              <w:rPr>
                <w:rFonts w:ascii="Arial Narrow" w:hAnsi="Arial Narrow"/>
                <w:sz w:val="18"/>
                <w:szCs w:val="18"/>
              </w:rPr>
            </w:pPr>
            <w:r w:rsidRPr="00317BEC">
              <w:rPr>
                <w:rFonts w:ascii="Arial Narrow" w:hAnsi="Arial Narrow"/>
                <w:b/>
                <w:sz w:val="18"/>
                <w:szCs w:val="18"/>
              </w:rPr>
              <w:t xml:space="preserve">Restriction type: </w:t>
            </w:r>
            <w:r w:rsidRPr="00317BEC">
              <w:rPr>
                <w:rFonts w:ascii="Arial Narrow" w:hAnsi="Arial Narrow"/>
                <w:sz w:val="18"/>
                <w:szCs w:val="18"/>
              </w:rPr>
              <w:fldChar w:fldCharType="begin">
                <w:ffData>
                  <w:name w:val=""/>
                  <w:enabled/>
                  <w:calcOnExit w:val="0"/>
                  <w:checkBox>
                    <w:sizeAuto/>
                    <w:default w:val="1"/>
                  </w:checkBox>
                </w:ffData>
              </w:fldChar>
            </w:r>
            <w:r w:rsidRPr="00317BEC">
              <w:rPr>
                <w:rFonts w:ascii="Arial Narrow" w:hAnsi="Arial Narrow"/>
                <w:sz w:val="18"/>
                <w:szCs w:val="18"/>
              </w:rPr>
              <w:instrText xml:space="preserve"> FORMCHECKBOX </w:instrText>
            </w:r>
            <w:r w:rsidRPr="00317BEC">
              <w:rPr>
                <w:rFonts w:ascii="Arial Narrow" w:hAnsi="Arial Narrow"/>
                <w:sz w:val="18"/>
                <w:szCs w:val="18"/>
              </w:rPr>
            </w:r>
            <w:r w:rsidRPr="00317BEC">
              <w:rPr>
                <w:rFonts w:ascii="Arial Narrow" w:hAnsi="Arial Narrow"/>
                <w:sz w:val="18"/>
                <w:szCs w:val="18"/>
              </w:rPr>
              <w:fldChar w:fldCharType="separate"/>
            </w:r>
            <w:r w:rsidRPr="00317BEC">
              <w:rPr>
                <w:rFonts w:ascii="Arial Narrow" w:hAnsi="Arial Narrow"/>
                <w:sz w:val="18"/>
                <w:szCs w:val="18"/>
              </w:rPr>
              <w:fldChar w:fldCharType="end"/>
            </w:r>
            <w:r w:rsidRPr="00317BEC">
              <w:rPr>
                <w:rFonts w:ascii="Arial Narrow" w:hAnsi="Arial Narrow"/>
                <w:sz w:val="18"/>
                <w:szCs w:val="18"/>
              </w:rPr>
              <w:t xml:space="preserve">Authority Required (STREAMLINED) [NEW] </w:t>
            </w:r>
          </w:p>
        </w:tc>
      </w:tr>
      <w:tr w:rsidR="002741FA" w:rsidRPr="00317BEC" w14:paraId="00B02159" w14:textId="77777777" w:rsidTr="00CD5258">
        <w:tblPrEx>
          <w:tblCellMar>
            <w:top w:w="15" w:type="dxa"/>
            <w:bottom w:w="15" w:type="dxa"/>
          </w:tblCellMar>
        </w:tblPrEx>
        <w:trPr>
          <w:cantSplit/>
          <w:trHeight w:val="20"/>
        </w:trPr>
        <w:tc>
          <w:tcPr>
            <w:tcW w:w="5000" w:type="pct"/>
            <w:gridSpan w:val="2"/>
          </w:tcPr>
          <w:p w14:paraId="2EAEBDB2" w14:textId="7616C5C9" w:rsidR="002741FA" w:rsidRPr="00317BEC" w:rsidRDefault="002741FA" w:rsidP="00C17DC6">
            <w:pPr>
              <w:rPr>
                <w:rFonts w:ascii="Arial Narrow" w:hAnsi="Arial Narrow"/>
                <w:b/>
                <w:bCs/>
                <w:sz w:val="18"/>
                <w:szCs w:val="18"/>
              </w:rPr>
            </w:pPr>
          </w:p>
        </w:tc>
      </w:tr>
      <w:tr w:rsidR="002741FA" w:rsidRPr="00317BEC" w14:paraId="76187A30" w14:textId="77777777" w:rsidTr="008A0A6A">
        <w:tblPrEx>
          <w:tblCellMar>
            <w:top w:w="15" w:type="dxa"/>
            <w:bottom w:w="15" w:type="dxa"/>
          </w:tblCellMar>
        </w:tblPrEx>
        <w:trPr>
          <w:cantSplit/>
          <w:trHeight w:val="20"/>
        </w:trPr>
        <w:tc>
          <w:tcPr>
            <w:tcW w:w="548" w:type="pct"/>
            <w:vAlign w:val="center"/>
          </w:tcPr>
          <w:p w14:paraId="149BDE21" w14:textId="34CDB0CF" w:rsidR="002741FA" w:rsidRPr="00317BEC" w:rsidRDefault="002741FA" w:rsidP="00C17DC6">
            <w:pPr>
              <w:jc w:val="center"/>
              <w:rPr>
                <w:rFonts w:ascii="Arial Narrow" w:hAnsi="Arial Narrow"/>
                <w:sz w:val="18"/>
                <w:szCs w:val="18"/>
              </w:rPr>
            </w:pPr>
          </w:p>
        </w:tc>
        <w:tc>
          <w:tcPr>
            <w:tcW w:w="4452" w:type="pct"/>
            <w:vAlign w:val="center"/>
            <w:hideMark/>
          </w:tcPr>
          <w:p w14:paraId="3AA564CA" w14:textId="77777777" w:rsidR="002741FA" w:rsidRPr="00317BEC" w:rsidRDefault="002741FA" w:rsidP="00C17DC6">
            <w:pPr>
              <w:rPr>
                <w:rFonts w:ascii="Arial Narrow" w:hAnsi="Arial Narrow"/>
                <w:sz w:val="18"/>
                <w:szCs w:val="18"/>
              </w:rPr>
            </w:pPr>
            <w:r w:rsidRPr="00317BEC">
              <w:rPr>
                <w:rFonts w:ascii="Arial Narrow" w:hAnsi="Arial Narrow"/>
                <w:b/>
                <w:bCs/>
                <w:sz w:val="18"/>
                <w:szCs w:val="18"/>
              </w:rPr>
              <w:t>Indication:</w:t>
            </w:r>
            <w:r w:rsidRPr="00317BEC">
              <w:rPr>
                <w:rFonts w:ascii="Arial Narrow" w:hAnsi="Arial Narrow"/>
                <w:sz w:val="18"/>
                <w:szCs w:val="18"/>
              </w:rPr>
              <w:t xml:space="preserve"> Immunotherapy sensitive advanced or metastatic cancer</w:t>
            </w:r>
          </w:p>
        </w:tc>
      </w:tr>
      <w:tr w:rsidR="002741FA" w:rsidRPr="00317BEC" w14:paraId="15630672" w14:textId="77777777" w:rsidTr="008A0A6A">
        <w:tblPrEx>
          <w:tblCellMar>
            <w:top w:w="15" w:type="dxa"/>
            <w:bottom w:w="15" w:type="dxa"/>
          </w:tblCellMar>
          <w:tblLook w:val="04A0" w:firstRow="1" w:lastRow="0" w:firstColumn="1" w:lastColumn="0" w:noHBand="0" w:noVBand="1"/>
        </w:tblPrEx>
        <w:trPr>
          <w:cantSplit/>
          <w:trHeight w:val="20"/>
        </w:trPr>
        <w:tc>
          <w:tcPr>
            <w:tcW w:w="548" w:type="pct"/>
            <w:vAlign w:val="center"/>
          </w:tcPr>
          <w:p w14:paraId="2414775B" w14:textId="77777777" w:rsidR="002741FA" w:rsidRPr="00317BEC" w:rsidRDefault="002741FA" w:rsidP="00C17DC6">
            <w:pPr>
              <w:jc w:val="center"/>
              <w:rPr>
                <w:rFonts w:ascii="Arial Narrow" w:hAnsi="Arial Narrow"/>
                <w:sz w:val="18"/>
                <w:szCs w:val="18"/>
              </w:rPr>
            </w:pPr>
          </w:p>
        </w:tc>
        <w:tc>
          <w:tcPr>
            <w:tcW w:w="4452" w:type="pct"/>
            <w:vAlign w:val="center"/>
          </w:tcPr>
          <w:p w14:paraId="40339189" w14:textId="77777777" w:rsidR="002741FA" w:rsidRPr="00CD5258" w:rsidRDefault="002741FA" w:rsidP="00C17DC6">
            <w:pPr>
              <w:rPr>
                <w:rFonts w:ascii="Arial Narrow" w:hAnsi="Arial Narrow"/>
                <w:b/>
                <w:bCs/>
                <w:sz w:val="18"/>
                <w:szCs w:val="18"/>
              </w:rPr>
            </w:pPr>
            <w:r w:rsidRPr="00CD5258">
              <w:rPr>
                <w:rFonts w:ascii="Arial Narrow" w:hAnsi="Arial Narrow"/>
                <w:b/>
                <w:bCs/>
                <w:sz w:val="18"/>
                <w:szCs w:val="18"/>
              </w:rPr>
              <w:t xml:space="preserve">Clinical criteria: </w:t>
            </w:r>
          </w:p>
        </w:tc>
      </w:tr>
      <w:tr w:rsidR="002741FA" w:rsidRPr="00317BEC" w14:paraId="179C3E8C" w14:textId="77777777" w:rsidTr="008A0A6A">
        <w:tblPrEx>
          <w:tblCellMar>
            <w:top w:w="15" w:type="dxa"/>
            <w:bottom w:w="15" w:type="dxa"/>
          </w:tblCellMar>
          <w:tblLook w:val="04A0" w:firstRow="1" w:lastRow="0" w:firstColumn="1" w:lastColumn="0" w:noHBand="0" w:noVBand="1"/>
        </w:tblPrEx>
        <w:trPr>
          <w:cantSplit/>
          <w:trHeight w:val="20"/>
        </w:trPr>
        <w:tc>
          <w:tcPr>
            <w:tcW w:w="548" w:type="pct"/>
            <w:vAlign w:val="center"/>
          </w:tcPr>
          <w:p w14:paraId="12FAF671" w14:textId="4614B72B" w:rsidR="002741FA" w:rsidRPr="00317BEC" w:rsidRDefault="002741FA" w:rsidP="00C17DC6">
            <w:pPr>
              <w:jc w:val="center"/>
              <w:rPr>
                <w:rFonts w:ascii="Arial Narrow" w:hAnsi="Arial Narrow"/>
                <w:sz w:val="18"/>
                <w:szCs w:val="18"/>
              </w:rPr>
            </w:pPr>
          </w:p>
        </w:tc>
        <w:tc>
          <w:tcPr>
            <w:tcW w:w="4452" w:type="pct"/>
            <w:vAlign w:val="center"/>
          </w:tcPr>
          <w:p w14:paraId="40CD1B47" w14:textId="77777777" w:rsidR="002741FA" w:rsidRPr="00317BEC" w:rsidRDefault="002741FA" w:rsidP="00C17DC6">
            <w:pPr>
              <w:rPr>
                <w:rFonts w:ascii="Arial Narrow" w:hAnsi="Arial Narrow"/>
                <w:sz w:val="18"/>
                <w:szCs w:val="18"/>
              </w:rPr>
            </w:pPr>
            <w:r w:rsidRPr="00317BEC">
              <w:rPr>
                <w:rFonts w:ascii="Arial Narrow" w:hAnsi="Arial Narrow"/>
                <w:sz w:val="18"/>
                <w:szCs w:val="18"/>
              </w:rPr>
              <w:t>Patient must not have developed disease progression while receiving PBS-subsidised treatment with this drug for the condition which treatment was commenced for.</w:t>
            </w:r>
          </w:p>
        </w:tc>
      </w:tr>
      <w:tr w:rsidR="002741FA" w:rsidRPr="00317BEC" w14:paraId="00E5E397" w14:textId="77777777" w:rsidTr="008A0A6A">
        <w:tblPrEx>
          <w:tblCellMar>
            <w:top w:w="15" w:type="dxa"/>
            <w:bottom w:w="15" w:type="dxa"/>
          </w:tblCellMar>
          <w:tblLook w:val="04A0" w:firstRow="1" w:lastRow="0" w:firstColumn="1" w:lastColumn="0" w:noHBand="0" w:noVBand="1"/>
        </w:tblPrEx>
        <w:trPr>
          <w:cantSplit/>
          <w:trHeight w:val="20"/>
        </w:trPr>
        <w:tc>
          <w:tcPr>
            <w:tcW w:w="548" w:type="pct"/>
            <w:vAlign w:val="center"/>
          </w:tcPr>
          <w:p w14:paraId="60184CD6" w14:textId="4619F3F6" w:rsidR="002741FA" w:rsidRPr="00317BEC" w:rsidRDefault="002741FA" w:rsidP="00C17DC6">
            <w:pPr>
              <w:jc w:val="center"/>
              <w:rPr>
                <w:rFonts w:ascii="Arial Narrow" w:hAnsi="Arial Narrow"/>
                <w:sz w:val="18"/>
                <w:szCs w:val="18"/>
              </w:rPr>
            </w:pPr>
          </w:p>
        </w:tc>
        <w:tc>
          <w:tcPr>
            <w:tcW w:w="4452" w:type="pct"/>
            <w:vAlign w:val="center"/>
          </w:tcPr>
          <w:p w14:paraId="1F488EA0" w14:textId="7A7171D9" w:rsidR="002741FA" w:rsidRPr="004224E9" w:rsidRDefault="002741FA" w:rsidP="00C17DC6">
            <w:pPr>
              <w:rPr>
                <w:rFonts w:ascii="Arial Narrow" w:hAnsi="Arial Narrow"/>
                <w:sz w:val="18"/>
                <w:szCs w:val="18"/>
              </w:rPr>
            </w:pPr>
            <w:r w:rsidRPr="00CD5258">
              <w:rPr>
                <w:rFonts w:ascii="Arial Narrow" w:hAnsi="Arial Narrow"/>
                <w:b/>
                <w:bCs/>
                <w:sz w:val="18"/>
                <w:szCs w:val="18"/>
              </w:rPr>
              <w:t>Prescribing instruction</w:t>
            </w:r>
            <w:r w:rsidR="009E2DF5">
              <w:rPr>
                <w:rFonts w:ascii="Arial Narrow" w:hAnsi="Arial Narrow"/>
                <w:b/>
                <w:bCs/>
                <w:sz w:val="18"/>
                <w:szCs w:val="18"/>
              </w:rPr>
              <w:t>s</w:t>
            </w:r>
            <w:r>
              <w:rPr>
                <w:rFonts w:ascii="Arial Narrow" w:hAnsi="Arial Narrow"/>
                <w:sz w:val="18"/>
                <w:szCs w:val="18"/>
              </w:rPr>
              <w:t>:</w:t>
            </w:r>
            <w:r w:rsidRPr="004224E9">
              <w:rPr>
                <w:rFonts w:ascii="Arial Narrow" w:hAnsi="Arial Narrow"/>
                <w:sz w:val="18"/>
                <w:szCs w:val="18"/>
              </w:rPr>
              <w:t xml:space="preserve"> </w:t>
            </w:r>
          </w:p>
          <w:p w14:paraId="3D9464A5" w14:textId="77777777" w:rsidR="002741FA" w:rsidRPr="00317BEC" w:rsidRDefault="002741FA" w:rsidP="00C17DC6">
            <w:pPr>
              <w:rPr>
                <w:rFonts w:ascii="Arial Narrow" w:hAnsi="Arial Narrow"/>
                <w:b/>
                <w:bCs/>
                <w:sz w:val="18"/>
                <w:szCs w:val="18"/>
              </w:rPr>
            </w:pPr>
            <w:r w:rsidRPr="00317BEC">
              <w:rPr>
                <w:rFonts w:ascii="Arial Narrow" w:hAnsi="Arial Narrow"/>
                <w:sz w:val="18"/>
                <w:szCs w:val="18"/>
              </w:rPr>
              <w:t>Patients must only receive 600 mg every two weeks or 1200 mg every four weeks under a flat dosing regimen.</w:t>
            </w:r>
          </w:p>
        </w:tc>
      </w:tr>
      <w:tr w:rsidR="002741FA" w:rsidRPr="00317BEC" w14:paraId="28E582A8" w14:textId="77777777" w:rsidTr="008A0A6A">
        <w:tblPrEx>
          <w:tblCellMar>
            <w:top w:w="15" w:type="dxa"/>
            <w:bottom w:w="15" w:type="dxa"/>
          </w:tblCellMar>
          <w:tblLook w:val="04A0" w:firstRow="1" w:lastRow="0" w:firstColumn="1" w:lastColumn="0" w:noHBand="0" w:noVBand="1"/>
        </w:tblPrEx>
        <w:trPr>
          <w:cantSplit/>
          <w:trHeight w:val="20"/>
        </w:trPr>
        <w:tc>
          <w:tcPr>
            <w:tcW w:w="548" w:type="pct"/>
            <w:vAlign w:val="center"/>
          </w:tcPr>
          <w:p w14:paraId="0E58BC93" w14:textId="4AD2BAFF" w:rsidR="002741FA" w:rsidRPr="00317BEC" w:rsidRDefault="002741FA" w:rsidP="00C17DC6">
            <w:pPr>
              <w:jc w:val="center"/>
              <w:rPr>
                <w:rFonts w:ascii="Arial Narrow" w:hAnsi="Arial Narrow"/>
                <w:sz w:val="18"/>
                <w:szCs w:val="18"/>
              </w:rPr>
            </w:pPr>
          </w:p>
        </w:tc>
        <w:tc>
          <w:tcPr>
            <w:tcW w:w="4452" w:type="pct"/>
            <w:vAlign w:val="center"/>
          </w:tcPr>
          <w:p w14:paraId="7D470707" w14:textId="77777777" w:rsidR="002741FA" w:rsidRPr="00317BEC" w:rsidRDefault="002741FA" w:rsidP="00C17DC6">
            <w:pPr>
              <w:rPr>
                <w:rFonts w:ascii="Arial Narrow" w:hAnsi="Arial Narrow"/>
                <w:color w:val="333333"/>
                <w:sz w:val="18"/>
                <w:szCs w:val="18"/>
              </w:rPr>
            </w:pPr>
            <w:r w:rsidRPr="00317BEC">
              <w:rPr>
                <w:rFonts w:ascii="Arial Narrow" w:hAnsi="Arial Narrow"/>
                <w:b/>
                <w:bCs/>
                <w:color w:val="333333"/>
                <w:sz w:val="18"/>
                <w:szCs w:val="18"/>
              </w:rPr>
              <w:t xml:space="preserve">Administrative Advice: </w:t>
            </w:r>
            <w:r w:rsidRPr="00317BEC">
              <w:rPr>
                <w:rFonts w:ascii="Arial Narrow" w:hAnsi="Arial Narrow"/>
                <w:sz w:val="18"/>
                <w:szCs w:val="18"/>
              </w:rPr>
              <w:t>No increase in the maximum number of repeats may be authorised.</w:t>
            </w:r>
          </w:p>
        </w:tc>
      </w:tr>
      <w:tr w:rsidR="002741FA" w:rsidRPr="00317BEC" w14:paraId="5E5C6E32" w14:textId="77777777" w:rsidTr="008A0A6A">
        <w:tblPrEx>
          <w:tblCellMar>
            <w:top w:w="15" w:type="dxa"/>
            <w:bottom w:w="15" w:type="dxa"/>
          </w:tblCellMar>
          <w:tblLook w:val="04A0" w:firstRow="1" w:lastRow="0" w:firstColumn="1" w:lastColumn="0" w:noHBand="0" w:noVBand="1"/>
        </w:tblPrEx>
        <w:trPr>
          <w:cantSplit/>
          <w:trHeight w:val="20"/>
        </w:trPr>
        <w:tc>
          <w:tcPr>
            <w:tcW w:w="548" w:type="pct"/>
            <w:vAlign w:val="center"/>
          </w:tcPr>
          <w:p w14:paraId="07D22081" w14:textId="6D7C6FAE" w:rsidR="002741FA" w:rsidRPr="00317BEC" w:rsidRDefault="002741FA" w:rsidP="00C17DC6">
            <w:pPr>
              <w:jc w:val="center"/>
              <w:rPr>
                <w:rFonts w:ascii="Arial Narrow" w:hAnsi="Arial Narrow"/>
                <w:sz w:val="18"/>
                <w:szCs w:val="18"/>
              </w:rPr>
            </w:pPr>
          </w:p>
        </w:tc>
        <w:tc>
          <w:tcPr>
            <w:tcW w:w="4452" w:type="pct"/>
            <w:vAlign w:val="center"/>
          </w:tcPr>
          <w:p w14:paraId="2335B48E" w14:textId="77777777" w:rsidR="002741FA" w:rsidRPr="00317BEC" w:rsidRDefault="002741FA" w:rsidP="00C17DC6">
            <w:pPr>
              <w:rPr>
                <w:rFonts w:ascii="Arial Narrow" w:hAnsi="Arial Narrow"/>
                <w:color w:val="333333"/>
                <w:sz w:val="18"/>
                <w:szCs w:val="18"/>
              </w:rPr>
            </w:pPr>
            <w:r w:rsidRPr="00317BEC">
              <w:rPr>
                <w:rFonts w:ascii="Arial Narrow" w:hAnsi="Arial Narrow"/>
                <w:b/>
                <w:sz w:val="18"/>
                <w:szCs w:val="18"/>
              </w:rPr>
              <w:t>Administrative advice:</w:t>
            </w:r>
            <w:r w:rsidRPr="00317BEC">
              <w:rPr>
                <w:rFonts w:ascii="Arial Narrow" w:hAnsi="Arial Narrow"/>
                <w:sz w:val="18"/>
                <w:szCs w:val="18"/>
              </w:rPr>
              <w:t xml:space="preserve"> Special Pricing Arrangements apply.</w:t>
            </w:r>
          </w:p>
        </w:tc>
      </w:tr>
    </w:tbl>
    <w:p w14:paraId="2822D719" w14:textId="77777777" w:rsidR="00324FF8" w:rsidRPr="00525B39" w:rsidRDefault="00324FF8" w:rsidP="00C17DC6">
      <w:pPr>
        <w:contextualSpacing/>
        <w:rPr>
          <w:rFonts w:asciiTheme="minorHAnsi" w:hAnsiTheme="minorHAnsi" w:cs="Arial"/>
          <w:bCs/>
          <w:snapToGrid w:val="0"/>
        </w:rPr>
      </w:pPr>
    </w:p>
    <w:p w14:paraId="30FD3BD1" w14:textId="71E09A73" w:rsidR="00B149BA" w:rsidRPr="00973EC3" w:rsidRDefault="000D60F2" w:rsidP="00973EC3">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7584F9E7" w14:textId="57D21F7D" w:rsidR="00790720" w:rsidRPr="00061CBE" w:rsidRDefault="00884F13" w:rsidP="00790720">
      <w:pPr>
        <w:pStyle w:val="2-SectionHeading"/>
        <w:numPr>
          <w:ilvl w:val="0"/>
          <w:numId w:val="0"/>
        </w:numPr>
        <w:ind w:left="720" w:hanging="720"/>
        <w:rPr>
          <w:lang w:val="en-GB"/>
        </w:rPr>
      </w:pPr>
      <w:r>
        <w:t>8</w:t>
      </w:r>
      <w:r w:rsidR="00790720" w:rsidRPr="00061CBE">
        <w:tab/>
        <w:t>Context for Decision</w:t>
      </w:r>
    </w:p>
    <w:p w14:paraId="09740DBB" w14:textId="77777777" w:rsidR="00790720" w:rsidRPr="00061CBE" w:rsidRDefault="00790720" w:rsidP="00790720">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F6B8AF5" w14:textId="613FBE1B" w:rsidR="00790720" w:rsidRPr="009D7A63" w:rsidRDefault="00884F13" w:rsidP="009D7A63">
      <w:pPr>
        <w:pStyle w:val="2-SectionHeading"/>
        <w:numPr>
          <w:ilvl w:val="0"/>
          <w:numId w:val="0"/>
        </w:numPr>
        <w:ind w:left="720" w:hanging="720"/>
      </w:pPr>
      <w:r>
        <w:t>9</w:t>
      </w:r>
      <w:r w:rsidR="00790720" w:rsidRPr="00061CBE">
        <w:tab/>
        <w:t>Sponsor’s Comment</w:t>
      </w:r>
    </w:p>
    <w:p w14:paraId="73A2CA95" w14:textId="6BBEAE7F" w:rsidR="00790720" w:rsidRPr="005F602B" w:rsidRDefault="00790720" w:rsidP="009D7A63">
      <w:pPr>
        <w:ind w:left="720"/>
        <w:jc w:val="left"/>
        <w:rPr>
          <w:rFonts w:asciiTheme="minorHAnsi" w:hAnsiTheme="minorHAnsi"/>
          <w:sz w:val="22"/>
          <w:szCs w:val="22"/>
        </w:rPr>
      </w:pPr>
      <w:r w:rsidRPr="00061CBE">
        <w:rPr>
          <w:bCs/>
        </w:rPr>
        <w:t>The sponsor had no comment.</w:t>
      </w:r>
    </w:p>
    <w:sectPr w:rsidR="00790720" w:rsidRPr="005F602B"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87BD" w14:textId="77777777" w:rsidR="0056499B" w:rsidRDefault="0056499B">
      <w:r>
        <w:separator/>
      </w:r>
    </w:p>
    <w:p w14:paraId="57192D75" w14:textId="77777777" w:rsidR="0056499B" w:rsidRDefault="0056499B"/>
  </w:endnote>
  <w:endnote w:type="continuationSeparator" w:id="0">
    <w:p w14:paraId="063F3307" w14:textId="77777777" w:rsidR="0056499B" w:rsidRDefault="0056499B">
      <w:r>
        <w:continuationSeparator/>
      </w:r>
    </w:p>
    <w:p w14:paraId="41955601" w14:textId="77777777" w:rsidR="0056499B" w:rsidRDefault="0056499B"/>
  </w:endnote>
  <w:endnote w:type="continuationNotice" w:id="1">
    <w:p w14:paraId="4635BAEF" w14:textId="77777777" w:rsidR="0056499B" w:rsidRDefault="00564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1AD68DEE" w:rsidR="009C26AA" w:rsidRPr="005A3173" w:rsidRDefault="00F00FE9"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340FA626" wp14:editId="2839F993">
                    <wp:simplePos x="635" y="635"/>
                    <wp:positionH relativeFrom="page">
                      <wp:align>center</wp:align>
                    </wp:positionH>
                    <wp:positionV relativeFrom="page">
                      <wp:align>bottom</wp:align>
                    </wp:positionV>
                    <wp:extent cx="622300" cy="376555"/>
                    <wp:effectExtent l="0" t="0" r="6350" b="0"/>
                    <wp:wrapNone/>
                    <wp:docPr id="3027647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67371D" w14:textId="4DBA4773"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FA626"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767371D" w14:textId="4DBA4773"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2B492541"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33A8">
      <w:rPr>
        <w:rStyle w:val="PageNumber"/>
        <w:noProof/>
      </w:rPr>
      <w:t>16</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4D8FB98C" w:rsidR="009C26AA" w:rsidRPr="00D429EC" w:rsidRDefault="00F00FE9"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1DCE1B02" wp14:editId="78C1DAE5">
              <wp:simplePos x="635" y="635"/>
              <wp:positionH relativeFrom="page">
                <wp:align>center</wp:align>
              </wp:positionH>
              <wp:positionV relativeFrom="page">
                <wp:align>bottom</wp:align>
              </wp:positionV>
              <wp:extent cx="622300" cy="376555"/>
              <wp:effectExtent l="0" t="0" r="6350" b="0"/>
              <wp:wrapNone/>
              <wp:docPr id="20818952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D9DE2A" w14:textId="3F2CA2F0"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E1B0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6D9DE2A" w14:textId="3F2CA2F0"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85D3" w14:textId="460DA8D5" w:rsidR="005E1C44" w:rsidRDefault="00F00FE9">
    <w:pPr>
      <w:pStyle w:val="Footer"/>
    </w:pPr>
    <w:r>
      <w:rPr>
        <w:noProof/>
      </w:rPr>
      <mc:AlternateContent>
        <mc:Choice Requires="wps">
          <w:drawing>
            <wp:anchor distT="0" distB="0" distL="0" distR="0" simplePos="0" relativeHeight="251658243" behindDoc="0" locked="0" layoutInCell="1" allowOverlap="1" wp14:anchorId="1512D64A" wp14:editId="48744E7D">
              <wp:simplePos x="635" y="635"/>
              <wp:positionH relativeFrom="page">
                <wp:align>center</wp:align>
              </wp:positionH>
              <wp:positionV relativeFrom="page">
                <wp:align>bottom</wp:align>
              </wp:positionV>
              <wp:extent cx="622300" cy="376555"/>
              <wp:effectExtent l="0" t="0" r="6350" b="0"/>
              <wp:wrapNone/>
              <wp:docPr id="1367815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2A129E" w14:textId="4418E63B"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2D64A"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72A129E" w14:textId="4418E63B"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06C0" w14:textId="77777777" w:rsidR="0056499B" w:rsidRDefault="0056499B">
      <w:r>
        <w:separator/>
      </w:r>
    </w:p>
    <w:p w14:paraId="23E7E6EB" w14:textId="77777777" w:rsidR="0056499B" w:rsidRDefault="0056499B"/>
  </w:footnote>
  <w:footnote w:type="continuationSeparator" w:id="0">
    <w:p w14:paraId="1941225A" w14:textId="77777777" w:rsidR="0056499B" w:rsidRDefault="0056499B">
      <w:r>
        <w:continuationSeparator/>
      </w:r>
    </w:p>
    <w:p w14:paraId="72CF85F9" w14:textId="77777777" w:rsidR="0056499B" w:rsidRDefault="0056499B"/>
  </w:footnote>
  <w:footnote w:type="continuationNotice" w:id="1">
    <w:p w14:paraId="07375BB2" w14:textId="77777777" w:rsidR="0056499B" w:rsidRDefault="0056499B"/>
  </w:footnote>
  <w:footnote w:id="2">
    <w:p w14:paraId="48ACA0BD" w14:textId="7773A8A9" w:rsidR="00481737" w:rsidRDefault="00481737">
      <w:pPr>
        <w:pStyle w:val="FootnoteText"/>
      </w:pPr>
      <w:r>
        <w:rPr>
          <w:rStyle w:val="FootnoteReference"/>
        </w:rPr>
        <w:footnoteRef/>
      </w:r>
      <w:r>
        <w:t xml:space="preserve"> </w:t>
      </w:r>
      <w:hyperlink r:id="rId1" w:history="1">
        <w:r w:rsidR="00DA1715">
          <w:rPr>
            <w:rStyle w:val="Hyperlink"/>
          </w:rPr>
          <w:t>OPDIVO SC (Nivolumab) Product Information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0681F208" w:rsidR="009C26AA" w:rsidRPr="00A06225" w:rsidRDefault="00F00FE9">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422EC12C" wp14:editId="6B21FFE3">
                    <wp:simplePos x="635" y="635"/>
                    <wp:positionH relativeFrom="page">
                      <wp:align>center</wp:align>
                    </wp:positionH>
                    <wp:positionV relativeFrom="page">
                      <wp:align>top</wp:align>
                    </wp:positionV>
                    <wp:extent cx="622300" cy="376555"/>
                    <wp:effectExtent l="0" t="0" r="6350" b="4445"/>
                    <wp:wrapNone/>
                    <wp:docPr id="16206767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B68C04" w14:textId="6F26445A"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2EC12C"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DB68C04" w14:textId="6F26445A"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62AF0E9F" w:rsidR="00C56D78" w:rsidRPr="00C56D78" w:rsidRDefault="00F00FE9"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59A9AE20" wp14:editId="56AB1699">
              <wp:simplePos x="635" y="635"/>
              <wp:positionH relativeFrom="page">
                <wp:align>center</wp:align>
              </wp:positionH>
              <wp:positionV relativeFrom="page">
                <wp:align>top</wp:align>
              </wp:positionV>
              <wp:extent cx="622300" cy="376555"/>
              <wp:effectExtent l="0" t="0" r="6350" b="4445"/>
              <wp:wrapNone/>
              <wp:docPr id="5230652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2219F9" w14:textId="2A4B10B1"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A9AE20"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F2219F9" w14:textId="2A4B10B1"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v:textbox>
              <w10:wrap anchorx="page" anchory="page"/>
            </v:shape>
          </w:pict>
        </mc:Fallback>
      </mc:AlternateContent>
    </w:r>
    <w:r w:rsidR="00C57FC5">
      <w:rPr>
        <w:rFonts w:asciiTheme="minorHAnsi" w:eastAsiaTheme="minorEastAsia" w:hAnsiTheme="minorHAnsi" w:cstheme="minorHAnsi"/>
        <w:i/>
        <w:noProof/>
        <w:color w:val="808080"/>
      </w:rPr>
      <w:t>Public Summary Document</w:t>
    </w:r>
    <w:r w:rsidR="00CC2224">
      <w:rPr>
        <w:rFonts w:asciiTheme="minorHAnsi" w:eastAsiaTheme="minorEastAsia" w:hAnsiTheme="minorHAnsi" w:cstheme="minorHAnsi"/>
        <w:i/>
        <w:color w:val="808080"/>
      </w:rPr>
      <w:t xml:space="preserve"> – </w:t>
    </w:r>
    <w:r w:rsidR="00F0748E">
      <w:rPr>
        <w:rFonts w:asciiTheme="minorHAnsi" w:eastAsiaTheme="minorEastAsia" w:hAnsiTheme="minorHAnsi" w:cstheme="minorHAnsi"/>
        <w:i/>
        <w:color w:val="808080"/>
      </w:rPr>
      <w:t xml:space="preserve">March 2026 </w:t>
    </w:r>
    <w:r w:rsidR="00C56D78" w:rsidRPr="00C56D78">
      <w:rPr>
        <w:rFonts w:asciiTheme="minorHAnsi" w:eastAsiaTheme="minorEastAsia" w:hAnsiTheme="minorHAnsi" w:cstheme="minorHAnsi"/>
        <w:i/>
        <w:color w:val="808080"/>
      </w:rPr>
      <w:t>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7450" w14:textId="2AC53D21" w:rsidR="005E1C44" w:rsidRDefault="00F00FE9">
    <w:pPr>
      <w:pStyle w:val="Header"/>
    </w:pPr>
    <w:r>
      <w:rPr>
        <w:noProof/>
      </w:rPr>
      <mc:AlternateContent>
        <mc:Choice Requires="wps">
          <w:drawing>
            <wp:anchor distT="0" distB="0" distL="0" distR="0" simplePos="0" relativeHeight="251658240" behindDoc="0" locked="0" layoutInCell="1" allowOverlap="1" wp14:anchorId="6BC6D20F" wp14:editId="5F803D43">
              <wp:simplePos x="635" y="635"/>
              <wp:positionH relativeFrom="page">
                <wp:align>center</wp:align>
              </wp:positionH>
              <wp:positionV relativeFrom="page">
                <wp:align>top</wp:align>
              </wp:positionV>
              <wp:extent cx="622300" cy="376555"/>
              <wp:effectExtent l="0" t="0" r="6350" b="4445"/>
              <wp:wrapNone/>
              <wp:docPr id="882927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575E36" w14:textId="20C60567"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6D20F"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6575E36" w14:textId="20C60567" w:rsidR="00F00FE9" w:rsidRPr="00F00FE9" w:rsidRDefault="00F00FE9" w:rsidP="00F00FE9">
                    <w:pPr>
                      <w:rPr>
                        <w:rFonts w:ascii="Aptos" w:eastAsia="Aptos" w:hAnsi="Aptos" w:cs="Aptos"/>
                        <w:noProof/>
                        <w:color w:val="FF0000"/>
                      </w:rPr>
                    </w:pPr>
                    <w:r w:rsidRPr="00F00FE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41225"/>
    <w:multiLevelType w:val="hybridMultilevel"/>
    <w:tmpl w:val="77102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EA10B1"/>
    <w:multiLevelType w:val="hybridMultilevel"/>
    <w:tmpl w:val="B6BE1B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5B144EAF"/>
    <w:multiLevelType w:val="hybridMultilevel"/>
    <w:tmpl w:val="B6BE1B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E413887"/>
    <w:multiLevelType w:val="hybridMultilevel"/>
    <w:tmpl w:val="9C167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D36A5E"/>
    <w:multiLevelType w:val="hybridMultilevel"/>
    <w:tmpl w:val="E2766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4755A2"/>
    <w:multiLevelType w:val="hybridMultilevel"/>
    <w:tmpl w:val="B6BE1B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7570559">
    <w:abstractNumId w:val="9"/>
  </w:num>
  <w:num w:numId="2" w16cid:durableId="1159004663">
    <w:abstractNumId w:val="6"/>
  </w:num>
  <w:num w:numId="3" w16cid:durableId="495537779">
    <w:abstractNumId w:val="4"/>
  </w:num>
  <w:num w:numId="4" w16cid:durableId="1468400811">
    <w:abstractNumId w:val="0"/>
  </w:num>
  <w:num w:numId="5" w16cid:durableId="1103570019">
    <w:abstractNumId w:val="3"/>
  </w:num>
  <w:num w:numId="6" w16cid:durableId="2041346921">
    <w:abstractNumId w:val="9"/>
  </w:num>
  <w:num w:numId="7" w16cid:durableId="480970865">
    <w:abstractNumId w:val="1"/>
  </w:num>
  <w:num w:numId="8" w16cid:durableId="1691951427">
    <w:abstractNumId w:val="10"/>
  </w:num>
  <w:num w:numId="9" w16cid:durableId="49811128">
    <w:abstractNumId w:val="7"/>
  </w:num>
  <w:num w:numId="10" w16cid:durableId="518814910">
    <w:abstractNumId w:val="8"/>
  </w:num>
  <w:num w:numId="11" w16cid:durableId="1471440471">
    <w:abstractNumId w:val="5"/>
  </w:num>
  <w:num w:numId="12" w16cid:durableId="221603668">
    <w:abstractNumId w:val="2"/>
  </w:num>
  <w:num w:numId="13" w16cid:durableId="1408528799">
    <w:abstractNumId w:val="9"/>
  </w:num>
  <w:num w:numId="14" w16cid:durableId="132647378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BAD"/>
    <w:rsid w:val="000022A0"/>
    <w:rsid w:val="000025AD"/>
    <w:rsid w:val="0000286C"/>
    <w:rsid w:val="00002E35"/>
    <w:rsid w:val="00002E82"/>
    <w:rsid w:val="0000335D"/>
    <w:rsid w:val="00003B82"/>
    <w:rsid w:val="00003EC5"/>
    <w:rsid w:val="000040D0"/>
    <w:rsid w:val="00005156"/>
    <w:rsid w:val="00005A05"/>
    <w:rsid w:val="00006782"/>
    <w:rsid w:val="000074F4"/>
    <w:rsid w:val="0001109E"/>
    <w:rsid w:val="00011181"/>
    <w:rsid w:val="0001179A"/>
    <w:rsid w:val="00011A05"/>
    <w:rsid w:val="00011A59"/>
    <w:rsid w:val="000123CA"/>
    <w:rsid w:val="00012471"/>
    <w:rsid w:val="00012BD9"/>
    <w:rsid w:val="00013673"/>
    <w:rsid w:val="0001460C"/>
    <w:rsid w:val="00014C3F"/>
    <w:rsid w:val="00014D69"/>
    <w:rsid w:val="000159D3"/>
    <w:rsid w:val="00015B26"/>
    <w:rsid w:val="00016207"/>
    <w:rsid w:val="00016A41"/>
    <w:rsid w:val="00016A99"/>
    <w:rsid w:val="00016FE1"/>
    <w:rsid w:val="000176A0"/>
    <w:rsid w:val="000205D2"/>
    <w:rsid w:val="000214D1"/>
    <w:rsid w:val="00021CA3"/>
    <w:rsid w:val="00021F20"/>
    <w:rsid w:val="00022F99"/>
    <w:rsid w:val="00023025"/>
    <w:rsid w:val="0002338E"/>
    <w:rsid w:val="000234F2"/>
    <w:rsid w:val="000240A7"/>
    <w:rsid w:val="0002464A"/>
    <w:rsid w:val="0002499A"/>
    <w:rsid w:val="000252AE"/>
    <w:rsid w:val="0002553D"/>
    <w:rsid w:val="000255ED"/>
    <w:rsid w:val="00025A04"/>
    <w:rsid w:val="00026389"/>
    <w:rsid w:val="000263DE"/>
    <w:rsid w:val="0002693D"/>
    <w:rsid w:val="000273E7"/>
    <w:rsid w:val="00027A58"/>
    <w:rsid w:val="0003050E"/>
    <w:rsid w:val="0003106B"/>
    <w:rsid w:val="000335B9"/>
    <w:rsid w:val="0003447B"/>
    <w:rsid w:val="00034905"/>
    <w:rsid w:val="00034952"/>
    <w:rsid w:val="0003692D"/>
    <w:rsid w:val="00037027"/>
    <w:rsid w:val="00037906"/>
    <w:rsid w:val="00040A30"/>
    <w:rsid w:val="000414C9"/>
    <w:rsid w:val="0004170C"/>
    <w:rsid w:val="000421A1"/>
    <w:rsid w:val="0004240E"/>
    <w:rsid w:val="000425A2"/>
    <w:rsid w:val="00042843"/>
    <w:rsid w:val="000433CE"/>
    <w:rsid w:val="00043E98"/>
    <w:rsid w:val="00044E52"/>
    <w:rsid w:val="00044EC4"/>
    <w:rsid w:val="00045E26"/>
    <w:rsid w:val="000464CD"/>
    <w:rsid w:val="00046903"/>
    <w:rsid w:val="00046B61"/>
    <w:rsid w:val="00047247"/>
    <w:rsid w:val="00047745"/>
    <w:rsid w:val="000514B5"/>
    <w:rsid w:val="000521ED"/>
    <w:rsid w:val="0005322E"/>
    <w:rsid w:val="000543AD"/>
    <w:rsid w:val="000546CF"/>
    <w:rsid w:val="00054E2B"/>
    <w:rsid w:val="00055385"/>
    <w:rsid w:val="00055A8E"/>
    <w:rsid w:val="000561A9"/>
    <w:rsid w:val="00056247"/>
    <w:rsid w:val="00056D5B"/>
    <w:rsid w:val="00057E0B"/>
    <w:rsid w:val="00060E64"/>
    <w:rsid w:val="00061B87"/>
    <w:rsid w:val="00061FAA"/>
    <w:rsid w:val="000621AB"/>
    <w:rsid w:val="00062AB3"/>
    <w:rsid w:val="00062ACB"/>
    <w:rsid w:val="00062C03"/>
    <w:rsid w:val="00062E88"/>
    <w:rsid w:val="000643FD"/>
    <w:rsid w:val="00066193"/>
    <w:rsid w:val="00066755"/>
    <w:rsid w:val="00067DA2"/>
    <w:rsid w:val="00070364"/>
    <w:rsid w:val="00070BD8"/>
    <w:rsid w:val="000712FD"/>
    <w:rsid w:val="00071A5B"/>
    <w:rsid w:val="00071CF5"/>
    <w:rsid w:val="000720EA"/>
    <w:rsid w:val="00072730"/>
    <w:rsid w:val="00072E85"/>
    <w:rsid w:val="000730DA"/>
    <w:rsid w:val="0007337F"/>
    <w:rsid w:val="0007360F"/>
    <w:rsid w:val="00074320"/>
    <w:rsid w:val="000763D5"/>
    <w:rsid w:val="00076522"/>
    <w:rsid w:val="00076C38"/>
    <w:rsid w:val="00076F67"/>
    <w:rsid w:val="00077143"/>
    <w:rsid w:val="000771AE"/>
    <w:rsid w:val="00077DF7"/>
    <w:rsid w:val="0008050C"/>
    <w:rsid w:val="00081C13"/>
    <w:rsid w:val="00081FCB"/>
    <w:rsid w:val="00082169"/>
    <w:rsid w:val="0008300E"/>
    <w:rsid w:val="000834BE"/>
    <w:rsid w:val="00083508"/>
    <w:rsid w:val="00083F01"/>
    <w:rsid w:val="000847F6"/>
    <w:rsid w:val="00084854"/>
    <w:rsid w:val="00084999"/>
    <w:rsid w:val="00085C2B"/>
    <w:rsid w:val="000865EF"/>
    <w:rsid w:val="00087A8F"/>
    <w:rsid w:val="00087C4C"/>
    <w:rsid w:val="00087E15"/>
    <w:rsid w:val="000918CB"/>
    <w:rsid w:val="00091B06"/>
    <w:rsid w:val="00092422"/>
    <w:rsid w:val="000951C4"/>
    <w:rsid w:val="00095ADA"/>
    <w:rsid w:val="00095F3A"/>
    <w:rsid w:val="000969AD"/>
    <w:rsid w:val="000975FB"/>
    <w:rsid w:val="000A02F8"/>
    <w:rsid w:val="000A07A5"/>
    <w:rsid w:val="000A0F4C"/>
    <w:rsid w:val="000A2263"/>
    <w:rsid w:val="000A2863"/>
    <w:rsid w:val="000A32D0"/>
    <w:rsid w:val="000A3AA2"/>
    <w:rsid w:val="000A42EF"/>
    <w:rsid w:val="000A44B2"/>
    <w:rsid w:val="000A4874"/>
    <w:rsid w:val="000A4CF7"/>
    <w:rsid w:val="000A4FDD"/>
    <w:rsid w:val="000A52F6"/>
    <w:rsid w:val="000A58B8"/>
    <w:rsid w:val="000A78B8"/>
    <w:rsid w:val="000B0804"/>
    <w:rsid w:val="000B44C3"/>
    <w:rsid w:val="000B558D"/>
    <w:rsid w:val="000B5A89"/>
    <w:rsid w:val="000B65F6"/>
    <w:rsid w:val="000B7767"/>
    <w:rsid w:val="000B78AE"/>
    <w:rsid w:val="000B7BE9"/>
    <w:rsid w:val="000C09FF"/>
    <w:rsid w:val="000C1570"/>
    <w:rsid w:val="000C16E4"/>
    <w:rsid w:val="000C1AFF"/>
    <w:rsid w:val="000C3873"/>
    <w:rsid w:val="000C4DB7"/>
    <w:rsid w:val="000C4E9F"/>
    <w:rsid w:val="000C5740"/>
    <w:rsid w:val="000C5F95"/>
    <w:rsid w:val="000C61B5"/>
    <w:rsid w:val="000C6996"/>
    <w:rsid w:val="000C6DB7"/>
    <w:rsid w:val="000C73CB"/>
    <w:rsid w:val="000C7C46"/>
    <w:rsid w:val="000D09E9"/>
    <w:rsid w:val="000D113F"/>
    <w:rsid w:val="000D23BA"/>
    <w:rsid w:val="000D2E34"/>
    <w:rsid w:val="000D3B99"/>
    <w:rsid w:val="000D4F18"/>
    <w:rsid w:val="000D5229"/>
    <w:rsid w:val="000D60F2"/>
    <w:rsid w:val="000D7714"/>
    <w:rsid w:val="000D77A9"/>
    <w:rsid w:val="000E02EB"/>
    <w:rsid w:val="000E143D"/>
    <w:rsid w:val="000E178E"/>
    <w:rsid w:val="000E19B7"/>
    <w:rsid w:val="000E1ABA"/>
    <w:rsid w:val="000E20FC"/>
    <w:rsid w:val="000E2759"/>
    <w:rsid w:val="000E2D36"/>
    <w:rsid w:val="000E2F9B"/>
    <w:rsid w:val="000E3168"/>
    <w:rsid w:val="000E3C1D"/>
    <w:rsid w:val="000E3DFB"/>
    <w:rsid w:val="000E5820"/>
    <w:rsid w:val="000E5EA1"/>
    <w:rsid w:val="000E66A4"/>
    <w:rsid w:val="000E681E"/>
    <w:rsid w:val="000E696B"/>
    <w:rsid w:val="000E7E52"/>
    <w:rsid w:val="000E7E90"/>
    <w:rsid w:val="000EE1C7"/>
    <w:rsid w:val="000F0003"/>
    <w:rsid w:val="000F008C"/>
    <w:rsid w:val="000F036C"/>
    <w:rsid w:val="000F0527"/>
    <w:rsid w:val="000F185D"/>
    <w:rsid w:val="000F2445"/>
    <w:rsid w:val="000F3384"/>
    <w:rsid w:val="000F3438"/>
    <w:rsid w:val="000F3499"/>
    <w:rsid w:val="000F455B"/>
    <w:rsid w:val="000F4E6A"/>
    <w:rsid w:val="000F5213"/>
    <w:rsid w:val="000F5F37"/>
    <w:rsid w:val="000F640F"/>
    <w:rsid w:val="000F6ABB"/>
    <w:rsid w:val="000F6C0D"/>
    <w:rsid w:val="000F6DE2"/>
    <w:rsid w:val="000F6E51"/>
    <w:rsid w:val="000F7354"/>
    <w:rsid w:val="000F7689"/>
    <w:rsid w:val="000F7C27"/>
    <w:rsid w:val="00100C2A"/>
    <w:rsid w:val="00100DDC"/>
    <w:rsid w:val="00101A98"/>
    <w:rsid w:val="00101ABE"/>
    <w:rsid w:val="00101B24"/>
    <w:rsid w:val="00102131"/>
    <w:rsid w:val="00102202"/>
    <w:rsid w:val="00102700"/>
    <w:rsid w:val="00102A78"/>
    <w:rsid w:val="00103118"/>
    <w:rsid w:val="00103F1B"/>
    <w:rsid w:val="00104227"/>
    <w:rsid w:val="00104D6C"/>
    <w:rsid w:val="001053D5"/>
    <w:rsid w:val="00105AA7"/>
    <w:rsid w:val="00106175"/>
    <w:rsid w:val="00107409"/>
    <w:rsid w:val="001107BF"/>
    <w:rsid w:val="0011089E"/>
    <w:rsid w:val="00111A3C"/>
    <w:rsid w:val="00111F92"/>
    <w:rsid w:val="00112979"/>
    <w:rsid w:val="00113649"/>
    <w:rsid w:val="00113D5C"/>
    <w:rsid w:val="00114EFB"/>
    <w:rsid w:val="001156EB"/>
    <w:rsid w:val="00116B03"/>
    <w:rsid w:val="00117FBE"/>
    <w:rsid w:val="00120AA6"/>
    <w:rsid w:val="001211FA"/>
    <w:rsid w:val="001224A2"/>
    <w:rsid w:val="0012275A"/>
    <w:rsid w:val="00122CC7"/>
    <w:rsid w:val="00122EDE"/>
    <w:rsid w:val="00122F6C"/>
    <w:rsid w:val="001239DB"/>
    <w:rsid w:val="0012417C"/>
    <w:rsid w:val="00124BF2"/>
    <w:rsid w:val="00124F80"/>
    <w:rsid w:val="001255D0"/>
    <w:rsid w:val="00125837"/>
    <w:rsid w:val="0012597F"/>
    <w:rsid w:val="00126B19"/>
    <w:rsid w:val="00126D3A"/>
    <w:rsid w:val="00127016"/>
    <w:rsid w:val="0012749D"/>
    <w:rsid w:val="00127A23"/>
    <w:rsid w:val="001306A5"/>
    <w:rsid w:val="00130918"/>
    <w:rsid w:val="00130C71"/>
    <w:rsid w:val="00130F08"/>
    <w:rsid w:val="00130FB6"/>
    <w:rsid w:val="001311AE"/>
    <w:rsid w:val="001319F9"/>
    <w:rsid w:val="00132063"/>
    <w:rsid w:val="00133FCD"/>
    <w:rsid w:val="00134667"/>
    <w:rsid w:val="00134994"/>
    <w:rsid w:val="00135CED"/>
    <w:rsid w:val="001366C2"/>
    <w:rsid w:val="00136C17"/>
    <w:rsid w:val="00140B74"/>
    <w:rsid w:val="00140CFC"/>
    <w:rsid w:val="00140D94"/>
    <w:rsid w:val="00140F81"/>
    <w:rsid w:val="00141A82"/>
    <w:rsid w:val="00142395"/>
    <w:rsid w:val="0014250D"/>
    <w:rsid w:val="00142714"/>
    <w:rsid w:val="0014433D"/>
    <w:rsid w:val="00144D09"/>
    <w:rsid w:val="00144E06"/>
    <w:rsid w:val="001452ED"/>
    <w:rsid w:val="001467CD"/>
    <w:rsid w:val="0014721E"/>
    <w:rsid w:val="0014792B"/>
    <w:rsid w:val="00147D84"/>
    <w:rsid w:val="00151C45"/>
    <w:rsid w:val="00151CBD"/>
    <w:rsid w:val="00152C71"/>
    <w:rsid w:val="00153009"/>
    <w:rsid w:val="001533C3"/>
    <w:rsid w:val="001542BE"/>
    <w:rsid w:val="001549C1"/>
    <w:rsid w:val="0015519A"/>
    <w:rsid w:val="00156362"/>
    <w:rsid w:val="00156C8D"/>
    <w:rsid w:val="00156FCF"/>
    <w:rsid w:val="00160C82"/>
    <w:rsid w:val="00160F4D"/>
    <w:rsid w:val="001614D7"/>
    <w:rsid w:val="0016283D"/>
    <w:rsid w:val="00162BDD"/>
    <w:rsid w:val="00162D4E"/>
    <w:rsid w:val="00163329"/>
    <w:rsid w:val="00164623"/>
    <w:rsid w:val="001652DE"/>
    <w:rsid w:val="00165323"/>
    <w:rsid w:val="001653EC"/>
    <w:rsid w:val="00165B64"/>
    <w:rsid w:val="00165CA6"/>
    <w:rsid w:val="001661F3"/>
    <w:rsid w:val="00166432"/>
    <w:rsid w:val="00166C39"/>
    <w:rsid w:val="00167B40"/>
    <w:rsid w:val="00167C39"/>
    <w:rsid w:val="00167FEC"/>
    <w:rsid w:val="001701AB"/>
    <w:rsid w:val="001703B0"/>
    <w:rsid w:val="00170C4D"/>
    <w:rsid w:val="00170E55"/>
    <w:rsid w:val="00171AB4"/>
    <w:rsid w:val="00172443"/>
    <w:rsid w:val="0017291E"/>
    <w:rsid w:val="00172BAB"/>
    <w:rsid w:val="0017367D"/>
    <w:rsid w:val="00174EB8"/>
    <w:rsid w:val="001756CB"/>
    <w:rsid w:val="00175787"/>
    <w:rsid w:val="00176B9D"/>
    <w:rsid w:val="00180713"/>
    <w:rsid w:val="00180720"/>
    <w:rsid w:val="001830CE"/>
    <w:rsid w:val="001836E3"/>
    <w:rsid w:val="00183768"/>
    <w:rsid w:val="00183ABF"/>
    <w:rsid w:val="00184659"/>
    <w:rsid w:val="00184B72"/>
    <w:rsid w:val="001860E5"/>
    <w:rsid w:val="0018643B"/>
    <w:rsid w:val="00186738"/>
    <w:rsid w:val="00186B8B"/>
    <w:rsid w:val="001873C0"/>
    <w:rsid w:val="001912EA"/>
    <w:rsid w:val="00191682"/>
    <w:rsid w:val="00191940"/>
    <w:rsid w:val="00191A83"/>
    <w:rsid w:val="00192961"/>
    <w:rsid w:val="00193E3B"/>
    <w:rsid w:val="001945F2"/>
    <w:rsid w:val="00195664"/>
    <w:rsid w:val="00196307"/>
    <w:rsid w:val="00197195"/>
    <w:rsid w:val="00197405"/>
    <w:rsid w:val="00197553"/>
    <w:rsid w:val="00197C70"/>
    <w:rsid w:val="00197F03"/>
    <w:rsid w:val="001A0D10"/>
    <w:rsid w:val="001A10F6"/>
    <w:rsid w:val="001A2909"/>
    <w:rsid w:val="001A33E1"/>
    <w:rsid w:val="001A33EA"/>
    <w:rsid w:val="001A3615"/>
    <w:rsid w:val="001A4021"/>
    <w:rsid w:val="001A4181"/>
    <w:rsid w:val="001A4413"/>
    <w:rsid w:val="001A4C4F"/>
    <w:rsid w:val="001A5899"/>
    <w:rsid w:val="001A5A2B"/>
    <w:rsid w:val="001A656D"/>
    <w:rsid w:val="001A76FB"/>
    <w:rsid w:val="001B017F"/>
    <w:rsid w:val="001B0B79"/>
    <w:rsid w:val="001B19EA"/>
    <w:rsid w:val="001B2294"/>
    <w:rsid w:val="001B2BBC"/>
    <w:rsid w:val="001B2BCD"/>
    <w:rsid w:val="001B3A40"/>
    <w:rsid w:val="001B3FFE"/>
    <w:rsid w:val="001B5129"/>
    <w:rsid w:val="001B67F1"/>
    <w:rsid w:val="001C0B4C"/>
    <w:rsid w:val="001C0EC4"/>
    <w:rsid w:val="001C0FEC"/>
    <w:rsid w:val="001C1195"/>
    <w:rsid w:val="001C12AE"/>
    <w:rsid w:val="001C1CE1"/>
    <w:rsid w:val="001C1E84"/>
    <w:rsid w:val="001C2000"/>
    <w:rsid w:val="001C20E1"/>
    <w:rsid w:val="001C286E"/>
    <w:rsid w:val="001C2898"/>
    <w:rsid w:val="001C2A0F"/>
    <w:rsid w:val="001C2DCC"/>
    <w:rsid w:val="001C2E42"/>
    <w:rsid w:val="001C3739"/>
    <w:rsid w:val="001C5232"/>
    <w:rsid w:val="001C62EB"/>
    <w:rsid w:val="001C6D92"/>
    <w:rsid w:val="001D02BA"/>
    <w:rsid w:val="001D143E"/>
    <w:rsid w:val="001D1F5F"/>
    <w:rsid w:val="001D595B"/>
    <w:rsid w:val="001D5F72"/>
    <w:rsid w:val="001E06D2"/>
    <w:rsid w:val="001E096B"/>
    <w:rsid w:val="001E1238"/>
    <w:rsid w:val="001E1692"/>
    <w:rsid w:val="001E17C4"/>
    <w:rsid w:val="001E23CB"/>
    <w:rsid w:val="001E2A47"/>
    <w:rsid w:val="001E2D65"/>
    <w:rsid w:val="001E37E0"/>
    <w:rsid w:val="001E49F5"/>
    <w:rsid w:val="001E519E"/>
    <w:rsid w:val="001E56F7"/>
    <w:rsid w:val="001E6073"/>
    <w:rsid w:val="001F004E"/>
    <w:rsid w:val="001F005B"/>
    <w:rsid w:val="001F0266"/>
    <w:rsid w:val="001F0C18"/>
    <w:rsid w:val="001F1850"/>
    <w:rsid w:val="001F1869"/>
    <w:rsid w:val="001F1F33"/>
    <w:rsid w:val="001F1FBF"/>
    <w:rsid w:val="001F2311"/>
    <w:rsid w:val="001F2691"/>
    <w:rsid w:val="001F2B80"/>
    <w:rsid w:val="001F2F1C"/>
    <w:rsid w:val="001F3189"/>
    <w:rsid w:val="001F33E1"/>
    <w:rsid w:val="001F3E18"/>
    <w:rsid w:val="001F4775"/>
    <w:rsid w:val="001F567A"/>
    <w:rsid w:val="001F5927"/>
    <w:rsid w:val="001F59AA"/>
    <w:rsid w:val="001F5EB5"/>
    <w:rsid w:val="001F71F7"/>
    <w:rsid w:val="00200A57"/>
    <w:rsid w:val="00200B4E"/>
    <w:rsid w:val="00200BEA"/>
    <w:rsid w:val="00201C43"/>
    <w:rsid w:val="00201FB8"/>
    <w:rsid w:val="00202324"/>
    <w:rsid w:val="002025BB"/>
    <w:rsid w:val="00202DFB"/>
    <w:rsid w:val="00203774"/>
    <w:rsid w:val="002039E9"/>
    <w:rsid w:val="00203FAC"/>
    <w:rsid w:val="00204460"/>
    <w:rsid w:val="0020587A"/>
    <w:rsid w:val="00206095"/>
    <w:rsid w:val="00207B60"/>
    <w:rsid w:val="00210460"/>
    <w:rsid w:val="00212FA3"/>
    <w:rsid w:val="002133FB"/>
    <w:rsid w:val="00213CFB"/>
    <w:rsid w:val="00213DEC"/>
    <w:rsid w:val="00214865"/>
    <w:rsid w:val="002151BA"/>
    <w:rsid w:val="0021553C"/>
    <w:rsid w:val="0021557B"/>
    <w:rsid w:val="00215BF5"/>
    <w:rsid w:val="00215DD2"/>
    <w:rsid w:val="00216B87"/>
    <w:rsid w:val="002174FD"/>
    <w:rsid w:val="00217654"/>
    <w:rsid w:val="00217BE1"/>
    <w:rsid w:val="002206D5"/>
    <w:rsid w:val="00220F76"/>
    <w:rsid w:val="002210AC"/>
    <w:rsid w:val="00221361"/>
    <w:rsid w:val="002214B9"/>
    <w:rsid w:val="00222680"/>
    <w:rsid w:val="002229FA"/>
    <w:rsid w:val="00223370"/>
    <w:rsid w:val="00223FD0"/>
    <w:rsid w:val="00224D1E"/>
    <w:rsid w:val="0022516D"/>
    <w:rsid w:val="002251A9"/>
    <w:rsid w:val="00226203"/>
    <w:rsid w:val="00226611"/>
    <w:rsid w:val="00226BA3"/>
    <w:rsid w:val="00227BC5"/>
    <w:rsid w:val="00227F44"/>
    <w:rsid w:val="00230F63"/>
    <w:rsid w:val="0023141C"/>
    <w:rsid w:val="00231882"/>
    <w:rsid w:val="002319FC"/>
    <w:rsid w:val="002330FD"/>
    <w:rsid w:val="0023356F"/>
    <w:rsid w:val="00234252"/>
    <w:rsid w:val="0023466E"/>
    <w:rsid w:val="00234CD9"/>
    <w:rsid w:val="002352C3"/>
    <w:rsid w:val="00235B49"/>
    <w:rsid w:val="002362F3"/>
    <w:rsid w:val="002365B4"/>
    <w:rsid w:val="002374C3"/>
    <w:rsid w:val="00237AC6"/>
    <w:rsid w:val="00237F15"/>
    <w:rsid w:val="00237F2B"/>
    <w:rsid w:val="002407F6"/>
    <w:rsid w:val="00240F7B"/>
    <w:rsid w:val="00240F91"/>
    <w:rsid w:val="002418D5"/>
    <w:rsid w:val="00241A3B"/>
    <w:rsid w:val="00242B64"/>
    <w:rsid w:val="00242BFD"/>
    <w:rsid w:val="00243488"/>
    <w:rsid w:val="00244139"/>
    <w:rsid w:val="002441E6"/>
    <w:rsid w:val="00244490"/>
    <w:rsid w:val="00244BEC"/>
    <w:rsid w:val="00244E01"/>
    <w:rsid w:val="00245444"/>
    <w:rsid w:val="00245B9C"/>
    <w:rsid w:val="00245C86"/>
    <w:rsid w:val="00246855"/>
    <w:rsid w:val="00250208"/>
    <w:rsid w:val="00250821"/>
    <w:rsid w:val="00250874"/>
    <w:rsid w:val="00250F19"/>
    <w:rsid w:val="00251372"/>
    <w:rsid w:val="00251B85"/>
    <w:rsid w:val="00252587"/>
    <w:rsid w:val="00252C19"/>
    <w:rsid w:val="00253499"/>
    <w:rsid w:val="002551A4"/>
    <w:rsid w:val="00255E10"/>
    <w:rsid w:val="00256BE1"/>
    <w:rsid w:val="00257664"/>
    <w:rsid w:val="0025774C"/>
    <w:rsid w:val="00257D6F"/>
    <w:rsid w:val="00260165"/>
    <w:rsid w:val="00261119"/>
    <w:rsid w:val="002620DC"/>
    <w:rsid w:val="00262572"/>
    <w:rsid w:val="002626E0"/>
    <w:rsid w:val="00265151"/>
    <w:rsid w:val="00265C2C"/>
    <w:rsid w:val="00266509"/>
    <w:rsid w:val="00267098"/>
    <w:rsid w:val="00267EC1"/>
    <w:rsid w:val="00267F96"/>
    <w:rsid w:val="002701F3"/>
    <w:rsid w:val="00270A49"/>
    <w:rsid w:val="00270E32"/>
    <w:rsid w:val="00270F68"/>
    <w:rsid w:val="00271BA1"/>
    <w:rsid w:val="00271E8B"/>
    <w:rsid w:val="00272BEA"/>
    <w:rsid w:val="00272DE5"/>
    <w:rsid w:val="0027386C"/>
    <w:rsid w:val="00273AC5"/>
    <w:rsid w:val="00273B81"/>
    <w:rsid w:val="00273EA6"/>
    <w:rsid w:val="002741FA"/>
    <w:rsid w:val="002743A0"/>
    <w:rsid w:val="002746C6"/>
    <w:rsid w:val="002748B8"/>
    <w:rsid w:val="00275255"/>
    <w:rsid w:val="002756DB"/>
    <w:rsid w:val="002762FA"/>
    <w:rsid w:val="00276420"/>
    <w:rsid w:val="00276BE3"/>
    <w:rsid w:val="00276EC1"/>
    <w:rsid w:val="00277505"/>
    <w:rsid w:val="00277873"/>
    <w:rsid w:val="00277C96"/>
    <w:rsid w:val="002802A9"/>
    <w:rsid w:val="0028158C"/>
    <w:rsid w:val="00281749"/>
    <w:rsid w:val="002823B6"/>
    <w:rsid w:val="00285966"/>
    <w:rsid w:val="00285F29"/>
    <w:rsid w:val="002860F6"/>
    <w:rsid w:val="00286A73"/>
    <w:rsid w:val="00287470"/>
    <w:rsid w:val="00287AF5"/>
    <w:rsid w:val="00290C03"/>
    <w:rsid w:val="00290D15"/>
    <w:rsid w:val="00291807"/>
    <w:rsid w:val="00291D08"/>
    <w:rsid w:val="00292392"/>
    <w:rsid w:val="002925F2"/>
    <w:rsid w:val="00292E3B"/>
    <w:rsid w:val="002933A8"/>
    <w:rsid w:val="002934D7"/>
    <w:rsid w:val="0029380D"/>
    <w:rsid w:val="00294274"/>
    <w:rsid w:val="0029458F"/>
    <w:rsid w:val="0029476E"/>
    <w:rsid w:val="00294B04"/>
    <w:rsid w:val="00295D04"/>
    <w:rsid w:val="002960F3"/>
    <w:rsid w:val="002962B3"/>
    <w:rsid w:val="00297A63"/>
    <w:rsid w:val="002A018F"/>
    <w:rsid w:val="002A0E04"/>
    <w:rsid w:val="002A104C"/>
    <w:rsid w:val="002A1AFD"/>
    <w:rsid w:val="002A1EF7"/>
    <w:rsid w:val="002A2057"/>
    <w:rsid w:val="002A20D9"/>
    <w:rsid w:val="002A2B7B"/>
    <w:rsid w:val="002A3CAE"/>
    <w:rsid w:val="002A42D6"/>
    <w:rsid w:val="002A494D"/>
    <w:rsid w:val="002A4960"/>
    <w:rsid w:val="002A5B3E"/>
    <w:rsid w:val="002A6096"/>
    <w:rsid w:val="002A636A"/>
    <w:rsid w:val="002A652B"/>
    <w:rsid w:val="002A6AC3"/>
    <w:rsid w:val="002A755F"/>
    <w:rsid w:val="002B0152"/>
    <w:rsid w:val="002B0AE0"/>
    <w:rsid w:val="002B0B2B"/>
    <w:rsid w:val="002B1AE6"/>
    <w:rsid w:val="002B1D51"/>
    <w:rsid w:val="002B1E55"/>
    <w:rsid w:val="002B263D"/>
    <w:rsid w:val="002B2B7D"/>
    <w:rsid w:val="002B2DE8"/>
    <w:rsid w:val="002B30F8"/>
    <w:rsid w:val="002B388A"/>
    <w:rsid w:val="002B3BFE"/>
    <w:rsid w:val="002B3C1A"/>
    <w:rsid w:val="002B4277"/>
    <w:rsid w:val="002B4C2A"/>
    <w:rsid w:val="002B5596"/>
    <w:rsid w:val="002B623C"/>
    <w:rsid w:val="002B66F0"/>
    <w:rsid w:val="002B77D7"/>
    <w:rsid w:val="002C04DF"/>
    <w:rsid w:val="002C0763"/>
    <w:rsid w:val="002C196D"/>
    <w:rsid w:val="002C212F"/>
    <w:rsid w:val="002C2A63"/>
    <w:rsid w:val="002C2F35"/>
    <w:rsid w:val="002C372E"/>
    <w:rsid w:val="002C47DF"/>
    <w:rsid w:val="002C5850"/>
    <w:rsid w:val="002C5878"/>
    <w:rsid w:val="002C6AA9"/>
    <w:rsid w:val="002C6B6E"/>
    <w:rsid w:val="002C7485"/>
    <w:rsid w:val="002C785A"/>
    <w:rsid w:val="002C7E8F"/>
    <w:rsid w:val="002D02F4"/>
    <w:rsid w:val="002D05E1"/>
    <w:rsid w:val="002D2641"/>
    <w:rsid w:val="002D26FF"/>
    <w:rsid w:val="002D283A"/>
    <w:rsid w:val="002D4184"/>
    <w:rsid w:val="002D4265"/>
    <w:rsid w:val="002D4543"/>
    <w:rsid w:val="002D675D"/>
    <w:rsid w:val="002D715F"/>
    <w:rsid w:val="002D7276"/>
    <w:rsid w:val="002D7F82"/>
    <w:rsid w:val="002E0086"/>
    <w:rsid w:val="002E022A"/>
    <w:rsid w:val="002E090B"/>
    <w:rsid w:val="002E2954"/>
    <w:rsid w:val="002E3153"/>
    <w:rsid w:val="002E3525"/>
    <w:rsid w:val="002E3FD4"/>
    <w:rsid w:val="002E4A02"/>
    <w:rsid w:val="002E4E44"/>
    <w:rsid w:val="002E5292"/>
    <w:rsid w:val="002E529B"/>
    <w:rsid w:val="002E5774"/>
    <w:rsid w:val="002E5AA0"/>
    <w:rsid w:val="002E72CA"/>
    <w:rsid w:val="002E75DD"/>
    <w:rsid w:val="002E7DE2"/>
    <w:rsid w:val="002F0F5E"/>
    <w:rsid w:val="002F12E8"/>
    <w:rsid w:val="002F1D07"/>
    <w:rsid w:val="002F596B"/>
    <w:rsid w:val="002F5C5B"/>
    <w:rsid w:val="002F5DA7"/>
    <w:rsid w:val="002F600D"/>
    <w:rsid w:val="002F69BA"/>
    <w:rsid w:val="002F6CA5"/>
    <w:rsid w:val="002F6F0F"/>
    <w:rsid w:val="002F7D5C"/>
    <w:rsid w:val="002F7E47"/>
    <w:rsid w:val="00300AD6"/>
    <w:rsid w:val="00300B1B"/>
    <w:rsid w:val="003019D0"/>
    <w:rsid w:val="003019DE"/>
    <w:rsid w:val="00301E02"/>
    <w:rsid w:val="0030311E"/>
    <w:rsid w:val="003036F4"/>
    <w:rsid w:val="003037EB"/>
    <w:rsid w:val="00303CFE"/>
    <w:rsid w:val="00303DBC"/>
    <w:rsid w:val="0030405B"/>
    <w:rsid w:val="003064AF"/>
    <w:rsid w:val="00307DC6"/>
    <w:rsid w:val="00307F2F"/>
    <w:rsid w:val="00310A8B"/>
    <w:rsid w:val="00310B68"/>
    <w:rsid w:val="00311176"/>
    <w:rsid w:val="003119BA"/>
    <w:rsid w:val="003135EB"/>
    <w:rsid w:val="003147CF"/>
    <w:rsid w:val="003160D2"/>
    <w:rsid w:val="00316495"/>
    <w:rsid w:val="00317174"/>
    <w:rsid w:val="003173FC"/>
    <w:rsid w:val="00317BEC"/>
    <w:rsid w:val="00317C6C"/>
    <w:rsid w:val="0032008E"/>
    <w:rsid w:val="00320A2D"/>
    <w:rsid w:val="00320B80"/>
    <w:rsid w:val="00320CD3"/>
    <w:rsid w:val="003215FF"/>
    <w:rsid w:val="00322667"/>
    <w:rsid w:val="003244AA"/>
    <w:rsid w:val="00324FF8"/>
    <w:rsid w:val="0032607C"/>
    <w:rsid w:val="0032622D"/>
    <w:rsid w:val="00326CAF"/>
    <w:rsid w:val="00326E79"/>
    <w:rsid w:val="0032748A"/>
    <w:rsid w:val="003301B1"/>
    <w:rsid w:val="00330FBD"/>
    <w:rsid w:val="00331189"/>
    <w:rsid w:val="00331B98"/>
    <w:rsid w:val="0033263D"/>
    <w:rsid w:val="00332BE6"/>
    <w:rsid w:val="00334E69"/>
    <w:rsid w:val="0033518A"/>
    <w:rsid w:val="00335284"/>
    <w:rsid w:val="00335535"/>
    <w:rsid w:val="00335D24"/>
    <w:rsid w:val="003367EF"/>
    <w:rsid w:val="00336AB3"/>
    <w:rsid w:val="003375E1"/>
    <w:rsid w:val="00337B46"/>
    <w:rsid w:val="00340AD9"/>
    <w:rsid w:val="00340D62"/>
    <w:rsid w:val="003419D7"/>
    <w:rsid w:val="00341AE4"/>
    <w:rsid w:val="003425CA"/>
    <w:rsid w:val="00343741"/>
    <w:rsid w:val="00343FB7"/>
    <w:rsid w:val="00345704"/>
    <w:rsid w:val="003471A9"/>
    <w:rsid w:val="0034768A"/>
    <w:rsid w:val="003476EE"/>
    <w:rsid w:val="00347AE2"/>
    <w:rsid w:val="00351040"/>
    <w:rsid w:val="0035156E"/>
    <w:rsid w:val="00351DCB"/>
    <w:rsid w:val="003530DA"/>
    <w:rsid w:val="003541DD"/>
    <w:rsid w:val="00354257"/>
    <w:rsid w:val="0035571B"/>
    <w:rsid w:val="00355BAA"/>
    <w:rsid w:val="00356E5B"/>
    <w:rsid w:val="00356EA4"/>
    <w:rsid w:val="0036047B"/>
    <w:rsid w:val="00360887"/>
    <w:rsid w:val="003612DA"/>
    <w:rsid w:val="0036249F"/>
    <w:rsid w:val="00362DE5"/>
    <w:rsid w:val="00362FCE"/>
    <w:rsid w:val="003637E7"/>
    <w:rsid w:val="00365CD4"/>
    <w:rsid w:val="0036718C"/>
    <w:rsid w:val="00367237"/>
    <w:rsid w:val="00371246"/>
    <w:rsid w:val="003714B2"/>
    <w:rsid w:val="003736C9"/>
    <w:rsid w:val="003738CC"/>
    <w:rsid w:val="00373BA0"/>
    <w:rsid w:val="00375031"/>
    <w:rsid w:val="00375446"/>
    <w:rsid w:val="00380995"/>
    <w:rsid w:val="00381BF8"/>
    <w:rsid w:val="00383B77"/>
    <w:rsid w:val="00384463"/>
    <w:rsid w:val="00384988"/>
    <w:rsid w:val="00385371"/>
    <w:rsid w:val="00387014"/>
    <w:rsid w:val="003872CF"/>
    <w:rsid w:val="003874CB"/>
    <w:rsid w:val="00391E6E"/>
    <w:rsid w:val="0039248D"/>
    <w:rsid w:val="00393FF7"/>
    <w:rsid w:val="0039547E"/>
    <w:rsid w:val="003958C5"/>
    <w:rsid w:val="00396130"/>
    <w:rsid w:val="00396E08"/>
    <w:rsid w:val="003970DD"/>
    <w:rsid w:val="0039782C"/>
    <w:rsid w:val="00397F98"/>
    <w:rsid w:val="003A06C7"/>
    <w:rsid w:val="003A13A6"/>
    <w:rsid w:val="003A1C7D"/>
    <w:rsid w:val="003A2165"/>
    <w:rsid w:val="003A2C1A"/>
    <w:rsid w:val="003A3AF3"/>
    <w:rsid w:val="003A3DE6"/>
    <w:rsid w:val="003A3FD4"/>
    <w:rsid w:val="003A4BF1"/>
    <w:rsid w:val="003A586A"/>
    <w:rsid w:val="003A5B4A"/>
    <w:rsid w:val="003A5D95"/>
    <w:rsid w:val="003A606F"/>
    <w:rsid w:val="003A614B"/>
    <w:rsid w:val="003A6200"/>
    <w:rsid w:val="003A6510"/>
    <w:rsid w:val="003A6F73"/>
    <w:rsid w:val="003A74E2"/>
    <w:rsid w:val="003A7D0C"/>
    <w:rsid w:val="003B0D3A"/>
    <w:rsid w:val="003B2302"/>
    <w:rsid w:val="003B23C5"/>
    <w:rsid w:val="003B25B4"/>
    <w:rsid w:val="003B2A75"/>
    <w:rsid w:val="003B346F"/>
    <w:rsid w:val="003B49B2"/>
    <w:rsid w:val="003B59F7"/>
    <w:rsid w:val="003B5DB0"/>
    <w:rsid w:val="003B6124"/>
    <w:rsid w:val="003B6432"/>
    <w:rsid w:val="003B7960"/>
    <w:rsid w:val="003C0908"/>
    <w:rsid w:val="003C093A"/>
    <w:rsid w:val="003C1848"/>
    <w:rsid w:val="003C1ECF"/>
    <w:rsid w:val="003C22F0"/>
    <w:rsid w:val="003C28FD"/>
    <w:rsid w:val="003C2FB5"/>
    <w:rsid w:val="003C3B3D"/>
    <w:rsid w:val="003C4786"/>
    <w:rsid w:val="003D0AE9"/>
    <w:rsid w:val="003D1FF6"/>
    <w:rsid w:val="003D24C5"/>
    <w:rsid w:val="003D2A70"/>
    <w:rsid w:val="003D397C"/>
    <w:rsid w:val="003D423E"/>
    <w:rsid w:val="003D4594"/>
    <w:rsid w:val="003D4AC4"/>
    <w:rsid w:val="003D5433"/>
    <w:rsid w:val="003D63B7"/>
    <w:rsid w:val="003D7155"/>
    <w:rsid w:val="003D74C5"/>
    <w:rsid w:val="003D76D2"/>
    <w:rsid w:val="003E0FD3"/>
    <w:rsid w:val="003E12DB"/>
    <w:rsid w:val="003E1A5D"/>
    <w:rsid w:val="003E24A8"/>
    <w:rsid w:val="003E24FF"/>
    <w:rsid w:val="003E2CD5"/>
    <w:rsid w:val="003E4374"/>
    <w:rsid w:val="003E4482"/>
    <w:rsid w:val="003E468B"/>
    <w:rsid w:val="003E50DE"/>
    <w:rsid w:val="003E62BD"/>
    <w:rsid w:val="003E658D"/>
    <w:rsid w:val="003E6A7C"/>
    <w:rsid w:val="003F044F"/>
    <w:rsid w:val="003F0C3A"/>
    <w:rsid w:val="003F13E8"/>
    <w:rsid w:val="003F15F0"/>
    <w:rsid w:val="003F175E"/>
    <w:rsid w:val="003F1CEB"/>
    <w:rsid w:val="003F2AD9"/>
    <w:rsid w:val="003F2D72"/>
    <w:rsid w:val="003F3228"/>
    <w:rsid w:val="003F397A"/>
    <w:rsid w:val="003F3A61"/>
    <w:rsid w:val="003F5C8C"/>
    <w:rsid w:val="003F63CE"/>
    <w:rsid w:val="003F6DA3"/>
    <w:rsid w:val="003F766F"/>
    <w:rsid w:val="003F775A"/>
    <w:rsid w:val="003F7FE4"/>
    <w:rsid w:val="00400042"/>
    <w:rsid w:val="00400432"/>
    <w:rsid w:val="00400E55"/>
    <w:rsid w:val="0040128E"/>
    <w:rsid w:val="00401640"/>
    <w:rsid w:val="00401F95"/>
    <w:rsid w:val="0040216B"/>
    <w:rsid w:val="00402C6D"/>
    <w:rsid w:val="00403302"/>
    <w:rsid w:val="0040469C"/>
    <w:rsid w:val="00404852"/>
    <w:rsid w:val="00405299"/>
    <w:rsid w:val="0040590E"/>
    <w:rsid w:val="0040695B"/>
    <w:rsid w:val="00406A9B"/>
    <w:rsid w:val="00406CD0"/>
    <w:rsid w:val="004077E6"/>
    <w:rsid w:val="00407850"/>
    <w:rsid w:val="00407CC8"/>
    <w:rsid w:val="00407F3D"/>
    <w:rsid w:val="004106E9"/>
    <w:rsid w:val="0041087B"/>
    <w:rsid w:val="004116EF"/>
    <w:rsid w:val="00411D3A"/>
    <w:rsid w:val="00412DAA"/>
    <w:rsid w:val="00414119"/>
    <w:rsid w:val="0041487A"/>
    <w:rsid w:val="00414F0C"/>
    <w:rsid w:val="00416256"/>
    <w:rsid w:val="00416D46"/>
    <w:rsid w:val="00416E5D"/>
    <w:rsid w:val="00417703"/>
    <w:rsid w:val="0042038A"/>
    <w:rsid w:val="00420400"/>
    <w:rsid w:val="00420EA6"/>
    <w:rsid w:val="00421143"/>
    <w:rsid w:val="004216B4"/>
    <w:rsid w:val="004219ED"/>
    <w:rsid w:val="004224E9"/>
    <w:rsid w:val="00423E78"/>
    <w:rsid w:val="004251EC"/>
    <w:rsid w:val="004252EC"/>
    <w:rsid w:val="004253FA"/>
    <w:rsid w:val="00425844"/>
    <w:rsid w:val="00425F99"/>
    <w:rsid w:val="00426104"/>
    <w:rsid w:val="00430788"/>
    <w:rsid w:val="00430D39"/>
    <w:rsid w:val="0043163B"/>
    <w:rsid w:val="00432EBF"/>
    <w:rsid w:val="0043436E"/>
    <w:rsid w:val="004344C2"/>
    <w:rsid w:val="004373F5"/>
    <w:rsid w:val="004400E2"/>
    <w:rsid w:val="0044164C"/>
    <w:rsid w:val="00442801"/>
    <w:rsid w:val="004429BB"/>
    <w:rsid w:val="00442C91"/>
    <w:rsid w:val="00444158"/>
    <w:rsid w:val="00444E9D"/>
    <w:rsid w:val="0044576E"/>
    <w:rsid w:val="004465BD"/>
    <w:rsid w:val="00446938"/>
    <w:rsid w:val="00446959"/>
    <w:rsid w:val="00450F91"/>
    <w:rsid w:val="0045275E"/>
    <w:rsid w:val="004528FA"/>
    <w:rsid w:val="00452A6C"/>
    <w:rsid w:val="0045437B"/>
    <w:rsid w:val="00455D7E"/>
    <w:rsid w:val="00456319"/>
    <w:rsid w:val="00456ACB"/>
    <w:rsid w:val="00457136"/>
    <w:rsid w:val="00457B69"/>
    <w:rsid w:val="00460A81"/>
    <w:rsid w:val="00460AF0"/>
    <w:rsid w:val="0046136B"/>
    <w:rsid w:val="00461A44"/>
    <w:rsid w:val="004621D4"/>
    <w:rsid w:val="00462D26"/>
    <w:rsid w:val="004634BE"/>
    <w:rsid w:val="0046368B"/>
    <w:rsid w:val="0046385A"/>
    <w:rsid w:val="00464039"/>
    <w:rsid w:val="004658FC"/>
    <w:rsid w:val="00465CF6"/>
    <w:rsid w:val="00466ADA"/>
    <w:rsid w:val="00466F23"/>
    <w:rsid w:val="0046737B"/>
    <w:rsid w:val="00467677"/>
    <w:rsid w:val="00467F4D"/>
    <w:rsid w:val="004702BB"/>
    <w:rsid w:val="00471359"/>
    <w:rsid w:val="0047211D"/>
    <w:rsid w:val="00473102"/>
    <w:rsid w:val="0047494B"/>
    <w:rsid w:val="00474D07"/>
    <w:rsid w:val="00476245"/>
    <w:rsid w:val="004766C4"/>
    <w:rsid w:val="004773C4"/>
    <w:rsid w:val="00477A9B"/>
    <w:rsid w:val="00480491"/>
    <w:rsid w:val="00480CFA"/>
    <w:rsid w:val="00481737"/>
    <w:rsid w:val="00482AE4"/>
    <w:rsid w:val="00483035"/>
    <w:rsid w:val="00483920"/>
    <w:rsid w:val="0048570A"/>
    <w:rsid w:val="00485940"/>
    <w:rsid w:val="00486C95"/>
    <w:rsid w:val="004877C2"/>
    <w:rsid w:val="004904B9"/>
    <w:rsid w:val="00490689"/>
    <w:rsid w:val="0049185D"/>
    <w:rsid w:val="00491EDC"/>
    <w:rsid w:val="004928E1"/>
    <w:rsid w:val="00492C10"/>
    <w:rsid w:val="00492D04"/>
    <w:rsid w:val="00492D8D"/>
    <w:rsid w:val="00494455"/>
    <w:rsid w:val="00494A2F"/>
    <w:rsid w:val="0049543A"/>
    <w:rsid w:val="0049599F"/>
    <w:rsid w:val="0049642A"/>
    <w:rsid w:val="00496662"/>
    <w:rsid w:val="004A1431"/>
    <w:rsid w:val="004A1717"/>
    <w:rsid w:val="004A2484"/>
    <w:rsid w:val="004A2D3E"/>
    <w:rsid w:val="004A31A3"/>
    <w:rsid w:val="004A378E"/>
    <w:rsid w:val="004A37EB"/>
    <w:rsid w:val="004A4430"/>
    <w:rsid w:val="004A5A85"/>
    <w:rsid w:val="004A71D1"/>
    <w:rsid w:val="004A77DB"/>
    <w:rsid w:val="004A7C5B"/>
    <w:rsid w:val="004B1845"/>
    <w:rsid w:val="004B2348"/>
    <w:rsid w:val="004B23A9"/>
    <w:rsid w:val="004B2745"/>
    <w:rsid w:val="004B2E01"/>
    <w:rsid w:val="004B2E98"/>
    <w:rsid w:val="004B4515"/>
    <w:rsid w:val="004B5640"/>
    <w:rsid w:val="004B6084"/>
    <w:rsid w:val="004B6B0F"/>
    <w:rsid w:val="004BCF29"/>
    <w:rsid w:val="004C0206"/>
    <w:rsid w:val="004C03D0"/>
    <w:rsid w:val="004C07E7"/>
    <w:rsid w:val="004C164A"/>
    <w:rsid w:val="004C1BD7"/>
    <w:rsid w:val="004C1BF2"/>
    <w:rsid w:val="004C239C"/>
    <w:rsid w:val="004C2896"/>
    <w:rsid w:val="004C31FE"/>
    <w:rsid w:val="004C3E43"/>
    <w:rsid w:val="004C524C"/>
    <w:rsid w:val="004C5EDD"/>
    <w:rsid w:val="004C5FFA"/>
    <w:rsid w:val="004C6432"/>
    <w:rsid w:val="004C691D"/>
    <w:rsid w:val="004C6C07"/>
    <w:rsid w:val="004C7E15"/>
    <w:rsid w:val="004C7E5C"/>
    <w:rsid w:val="004C7EC6"/>
    <w:rsid w:val="004D28B9"/>
    <w:rsid w:val="004D2CD1"/>
    <w:rsid w:val="004D33A8"/>
    <w:rsid w:val="004D365C"/>
    <w:rsid w:val="004D3662"/>
    <w:rsid w:val="004D3670"/>
    <w:rsid w:val="004D4FF6"/>
    <w:rsid w:val="004D5ADD"/>
    <w:rsid w:val="004E0253"/>
    <w:rsid w:val="004E0CC3"/>
    <w:rsid w:val="004E151F"/>
    <w:rsid w:val="004E2C18"/>
    <w:rsid w:val="004E3C80"/>
    <w:rsid w:val="004E43E2"/>
    <w:rsid w:val="004E4D14"/>
    <w:rsid w:val="004E56FF"/>
    <w:rsid w:val="004E692D"/>
    <w:rsid w:val="004E708E"/>
    <w:rsid w:val="004E7230"/>
    <w:rsid w:val="004E7D87"/>
    <w:rsid w:val="004F02B4"/>
    <w:rsid w:val="004F10A7"/>
    <w:rsid w:val="004F1423"/>
    <w:rsid w:val="004F2553"/>
    <w:rsid w:val="004F2875"/>
    <w:rsid w:val="004F306A"/>
    <w:rsid w:val="004F38F6"/>
    <w:rsid w:val="004F3CBB"/>
    <w:rsid w:val="004F53F7"/>
    <w:rsid w:val="004F5E41"/>
    <w:rsid w:val="004F7BE7"/>
    <w:rsid w:val="00500C3C"/>
    <w:rsid w:val="00501554"/>
    <w:rsid w:val="00501C15"/>
    <w:rsid w:val="0050251B"/>
    <w:rsid w:val="00502AFE"/>
    <w:rsid w:val="00502E64"/>
    <w:rsid w:val="00503612"/>
    <w:rsid w:val="00503AD7"/>
    <w:rsid w:val="00503E89"/>
    <w:rsid w:val="00504E0C"/>
    <w:rsid w:val="00504E13"/>
    <w:rsid w:val="00504E85"/>
    <w:rsid w:val="00505ACA"/>
    <w:rsid w:val="00510671"/>
    <w:rsid w:val="005109D4"/>
    <w:rsid w:val="005109F5"/>
    <w:rsid w:val="0051230A"/>
    <w:rsid w:val="00512FAE"/>
    <w:rsid w:val="00513896"/>
    <w:rsid w:val="00514CD7"/>
    <w:rsid w:val="005167EC"/>
    <w:rsid w:val="00516FA9"/>
    <w:rsid w:val="005170DA"/>
    <w:rsid w:val="005208E0"/>
    <w:rsid w:val="00520902"/>
    <w:rsid w:val="00520D6A"/>
    <w:rsid w:val="00521025"/>
    <w:rsid w:val="005228AD"/>
    <w:rsid w:val="00522B6B"/>
    <w:rsid w:val="00522DB6"/>
    <w:rsid w:val="0052478A"/>
    <w:rsid w:val="00524FBF"/>
    <w:rsid w:val="005252C7"/>
    <w:rsid w:val="0052604B"/>
    <w:rsid w:val="005260B4"/>
    <w:rsid w:val="00526243"/>
    <w:rsid w:val="005264A7"/>
    <w:rsid w:val="0052728A"/>
    <w:rsid w:val="0052792D"/>
    <w:rsid w:val="005303D2"/>
    <w:rsid w:val="00530C26"/>
    <w:rsid w:val="00531511"/>
    <w:rsid w:val="005319B2"/>
    <w:rsid w:val="00532127"/>
    <w:rsid w:val="00532188"/>
    <w:rsid w:val="00532402"/>
    <w:rsid w:val="00532C74"/>
    <w:rsid w:val="0053319E"/>
    <w:rsid w:val="00533239"/>
    <w:rsid w:val="0053424C"/>
    <w:rsid w:val="00534E2E"/>
    <w:rsid w:val="00535133"/>
    <w:rsid w:val="00536162"/>
    <w:rsid w:val="005370D3"/>
    <w:rsid w:val="005400A5"/>
    <w:rsid w:val="0054064C"/>
    <w:rsid w:val="005406E3"/>
    <w:rsid w:val="00541A3C"/>
    <w:rsid w:val="00541C02"/>
    <w:rsid w:val="00542171"/>
    <w:rsid w:val="00542990"/>
    <w:rsid w:val="00542BBA"/>
    <w:rsid w:val="00542E0E"/>
    <w:rsid w:val="00543484"/>
    <w:rsid w:val="00544552"/>
    <w:rsid w:val="00545130"/>
    <w:rsid w:val="0054548D"/>
    <w:rsid w:val="00546B36"/>
    <w:rsid w:val="0055012F"/>
    <w:rsid w:val="00550AB2"/>
    <w:rsid w:val="0055180E"/>
    <w:rsid w:val="0055252A"/>
    <w:rsid w:val="0055286A"/>
    <w:rsid w:val="0055303C"/>
    <w:rsid w:val="00553219"/>
    <w:rsid w:val="005536FB"/>
    <w:rsid w:val="005538AA"/>
    <w:rsid w:val="00553A50"/>
    <w:rsid w:val="00554C79"/>
    <w:rsid w:val="00555422"/>
    <w:rsid w:val="00555745"/>
    <w:rsid w:val="005571A0"/>
    <w:rsid w:val="00557D4F"/>
    <w:rsid w:val="0056122E"/>
    <w:rsid w:val="005627D2"/>
    <w:rsid w:val="00562DE0"/>
    <w:rsid w:val="00563352"/>
    <w:rsid w:val="00564480"/>
    <w:rsid w:val="0056484E"/>
    <w:rsid w:val="0056499B"/>
    <w:rsid w:val="00564DFE"/>
    <w:rsid w:val="00565999"/>
    <w:rsid w:val="005679BD"/>
    <w:rsid w:val="00567D8A"/>
    <w:rsid w:val="00570231"/>
    <w:rsid w:val="00570661"/>
    <w:rsid w:val="005714B7"/>
    <w:rsid w:val="00571787"/>
    <w:rsid w:val="005718F8"/>
    <w:rsid w:val="00571C10"/>
    <w:rsid w:val="005720C0"/>
    <w:rsid w:val="005735BD"/>
    <w:rsid w:val="00573C5F"/>
    <w:rsid w:val="00573DAD"/>
    <w:rsid w:val="00573F89"/>
    <w:rsid w:val="005750E9"/>
    <w:rsid w:val="005751D1"/>
    <w:rsid w:val="005756B6"/>
    <w:rsid w:val="005764CD"/>
    <w:rsid w:val="0057703E"/>
    <w:rsid w:val="00577C4D"/>
    <w:rsid w:val="00580532"/>
    <w:rsid w:val="00580877"/>
    <w:rsid w:val="00581932"/>
    <w:rsid w:val="00582D35"/>
    <w:rsid w:val="00582DF0"/>
    <w:rsid w:val="00583002"/>
    <w:rsid w:val="005836E2"/>
    <w:rsid w:val="00583AEE"/>
    <w:rsid w:val="00583FB3"/>
    <w:rsid w:val="005843B4"/>
    <w:rsid w:val="0058470F"/>
    <w:rsid w:val="005856E2"/>
    <w:rsid w:val="0058589E"/>
    <w:rsid w:val="005903BB"/>
    <w:rsid w:val="00592465"/>
    <w:rsid w:val="005935CE"/>
    <w:rsid w:val="00593893"/>
    <w:rsid w:val="0059427C"/>
    <w:rsid w:val="00595750"/>
    <w:rsid w:val="005963BB"/>
    <w:rsid w:val="0059645C"/>
    <w:rsid w:val="00596D37"/>
    <w:rsid w:val="00597DEF"/>
    <w:rsid w:val="005A09DA"/>
    <w:rsid w:val="005A0EE3"/>
    <w:rsid w:val="005A15D2"/>
    <w:rsid w:val="005A1828"/>
    <w:rsid w:val="005A3173"/>
    <w:rsid w:val="005A3223"/>
    <w:rsid w:val="005A3C69"/>
    <w:rsid w:val="005A3DA3"/>
    <w:rsid w:val="005A4043"/>
    <w:rsid w:val="005A4FFA"/>
    <w:rsid w:val="005A52C4"/>
    <w:rsid w:val="005A552E"/>
    <w:rsid w:val="005A563F"/>
    <w:rsid w:val="005A63A1"/>
    <w:rsid w:val="005A671D"/>
    <w:rsid w:val="005A67A8"/>
    <w:rsid w:val="005A6DD8"/>
    <w:rsid w:val="005A7AE6"/>
    <w:rsid w:val="005B0486"/>
    <w:rsid w:val="005B1032"/>
    <w:rsid w:val="005B1473"/>
    <w:rsid w:val="005B36FA"/>
    <w:rsid w:val="005B5599"/>
    <w:rsid w:val="005B7AE4"/>
    <w:rsid w:val="005B7F3B"/>
    <w:rsid w:val="005C0D72"/>
    <w:rsid w:val="005C4F73"/>
    <w:rsid w:val="005C56AE"/>
    <w:rsid w:val="005C58AE"/>
    <w:rsid w:val="005C5BD8"/>
    <w:rsid w:val="005C7C8D"/>
    <w:rsid w:val="005C7EC0"/>
    <w:rsid w:val="005C7F04"/>
    <w:rsid w:val="005D03AB"/>
    <w:rsid w:val="005D0A03"/>
    <w:rsid w:val="005D1A95"/>
    <w:rsid w:val="005D24D1"/>
    <w:rsid w:val="005D2B5F"/>
    <w:rsid w:val="005D401D"/>
    <w:rsid w:val="005D4E8C"/>
    <w:rsid w:val="005D5017"/>
    <w:rsid w:val="005D5708"/>
    <w:rsid w:val="005D63FA"/>
    <w:rsid w:val="005D643D"/>
    <w:rsid w:val="005D73C7"/>
    <w:rsid w:val="005D77F4"/>
    <w:rsid w:val="005E0050"/>
    <w:rsid w:val="005E01EB"/>
    <w:rsid w:val="005E0683"/>
    <w:rsid w:val="005E0C2D"/>
    <w:rsid w:val="005E0D82"/>
    <w:rsid w:val="005E0F59"/>
    <w:rsid w:val="005E1333"/>
    <w:rsid w:val="005E1C44"/>
    <w:rsid w:val="005E200E"/>
    <w:rsid w:val="005E212F"/>
    <w:rsid w:val="005E2B68"/>
    <w:rsid w:val="005E3136"/>
    <w:rsid w:val="005E3CDA"/>
    <w:rsid w:val="005E4BA7"/>
    <w:rsid w:val="005E4E6E"/>
    <w:rsid w:val="005E507D"/>
    <w:rsid w:val="005E5543"/>
    <w:rsid w:val="005E5A90"/>
    <w:rsid w:val="005E64B5"/>
    <w:rsid w:val="005E6A9B"/>
    <w:rsid w:val="005E7150"/>
    <w:rsid w:val="005E7E0B"/>
    <w:rsid w:val="005F0AD0"/>
    <w:rsid w:val="005F0C3F"/>
    <w:rsid w:val="005F1182"/>
    <w:rsid w:val="005F16B5"/>
    <w:rsid w:val="005F25A4"/>
    <w:rsid w:val="005F2780"/>
    <w:rsid w:val="005F2854"/>
    <w:rsid w:val="005F38E1"/>
    <w:rsid w:val="005F3BC8"/>
    <w:rsid w:val="005F5426"/>
    <w:rsid w:val="005F5AC3"/>
    <w:rsid w:val="005F602B"/>
    <w:rsid w:val="005F7BD8"/>
    <w:rsid w:val="005F7FAF"/>
    <w:rsid w:val="00600A18"/>
    <w:rsid w:val="00601A91"/>
    <w:rsid w:val="00602063"/>
    <w:rsid w:val="00602BA3"/>
    <w:rsid w:val="0060379D"/>
    <w:rsid w:val="00605B63"/>
    <w:rsid w:val="00605F9A"/>
    <w:rsid w:val="00606442"/>
    <w:rsid w:val="00606A7B"/>
    <w:rsid w:val="00606BA2"/>
    <w:rsid w:val="00606EED"/>
    <w:rsid w:val="00607DDB"/>
    <w:rsid w:val="00610409"/>
    <w:rsid w:val="006104B5"/>
    <w:rsid w:val="00612118"/>
    <w:rsid w:val="00612218"/>
    <w:rsid w:val="00612A95"/>
    <w:rsid w:val="00612E34"/>
    <w:rsid w:val="0061375C"/>
    <w:rsid w:val="00613CCF"/>
    <w:rsid w:val="00614159"/>
    <w:rsid w:val="006144CF"/>
    <w:rsid w:val="0061540A"/>
    <w:rsid w:val="006158A3"/>
    <w:rsid w:val="006165DD"/>
    <w:rsid w:val="00616C5F"/>
    <w:rsid w:val="00616D47"/>
    <w:rsid w:val="00616DAC"/>
    <w:rsid w:val="00617725"/>
    <w:rsid w:val="00617C00"/>
    <w:rsid w:val="00620B1F"/>
    <w:rsid w:val="00621DB6"/>
    <w:rsid w:val="00622660"/>
    <w:rsid w:val="00622BC8"/>
    <w:rsid w:val="00622BD7"/>
    <w:rsid w:val="0062316F"/>
    <w:rsid w:val="00623BC0"/>
    <w:rsid w:val="00623EE3"/>
    <w:rsid w:val="00624099"/>
    <w:rsid w:val="00624574"/>
    <w:rsid w:val="006256B9"/>
    <w:rsid w:val="00626121"/>
    <w:rsid w:val="006263BF"/>
    <w:rsid w:val="006266FA"/>
    <w:rsid w:val="0062719C"/>
    <w:rsid w:val="0062748A"/>
    <w:rsid w:val="006278DD"/>
    <w:rsid w:val="00627E5B"/>
    <w:rsid w:val="00627FAE"/>
    <w:rsid w:val="006302A0"/>
    <w:rsid w:val="00630546"/>
    <w:rsid w:val="00630A2C"/>
    <w:rsid w:val="0063143F"/>
    <w:rsid w:val="0063170C"/>
    <w:rsid w:val="00631BEB"/>
    <w:rsid w:val="00632180"/>
    <w:rsid w:val="00634A54"/>
    <w:rsid w:val="00634A75"/>
    <w:rsid w:val="00634CCA"/>
    <w:rsid w:val="0063521F"/>
    <w:rsid w:val="006363C6"/>
    <w:rsid w:val="0063682E"/>
    <w:rsid w:val="006368E6"/>
    <w:rsid w:val="00636D93"/>
    <w:rsid w:val="00640088"/>
    <w:rsid w:val="00640B03"/>
    <w:rsid w:val="00640D16"/>
    <w:rsid w:val="00642672"/>
    <w:rsid w:val="0064293D"/>
    <w:rsid w:val="00642DA8"/>
    <w:rsid w:val="006436CD"/>
    <w:rsid w:val="006448F0"/>
    <w:rsid w:val="00644E9A"/>
    <w:rsid w:val="00645195"/>
    <w:rsid w:val="006458B6"/>
    <w:rsid w:val="00647262"/>
    <w:rsid w:val="00647E87"/>
    <w:rsid w:val="006501A4"/>
    <w:rsid w:val="00650976"/>
    <w:rsid w:val="00650D23"/>
    <w:rsid w:val="00651169"/>
    <w:rsid w:val="006512A4"/>
    <w:rsid w:val="00651622"/>
    <w:rsid w:val="00651AF9"/>
    <w:rsid w:val="006522F4"/>
    <w:rsid w:val="006528D1"/>
    <w:rsid w:val="00653D69"/>
    <w:rsid w:val="0065443E"/>
    <w:rsid w:val="006550A6"/>
    <w:rsid w:val="006552E6"/>
    <w:rsid w:val="00655794"/>
    <w:rsid w:val="00656F2F"/>
    <w:rsid w:val="00657C63"/>
    <w:rsid w:val="00660BE2"/>
    <w:rsid w:val="00660BE7"/>
    <w:rsid w:val="00660CAF"/>
    <w:rsid w:val="00660F40"/>
    <w:rsid w:val="0066137B"/>
    <w:rsid w:val="00661CBC"/>
    <w:rsid w:val="00662717"/>
    <w:rsid w:val="00662B78"/>
    <w:rsid w:val="00662B85"/>
    <w:rsid w:val="00663409"/>
    <w:rsid w:val="00663D01"/>
    <w:rsid w:val="00663EE9"/>
    <w:rsid w:val="00664987"/>
    <w:rsid w:val="0066545B"/>
    <w:rsid w:val="0066561D"/>
    <w:rsid w:val="006664DE"/>
    <w:rsid w:val="0066663D"/>
    <w:rsid w:val="00666973"/>
    <w:rsid w:val="00666C4D"/>
    <w:rsid w:val="006670B3"/>
    <w:rsid w:val="006670BE"/>
    <w:rsid w:val="00667926"/>
    <w:rsid w:val="00667FDC"/>
    <w:rsid w:val="00670A76"/>
    <w:rsid w:val="00670FDA"/>
    <w:rsid w:val="00671044"/>
    <w:rsid w:val="006711AA"/>
    <w:rsid w:val="0067196D"/>
    <w:rsid w:val="00672841"/>
    <w:rsid w:val="00672B57"/>
    <w:rsid w:val="00673A94"/>
    <w:rsid w:val="00673F1F"/>
    <w:rsid w:val="00675622"/>
    <w:rsid w:val="00675886"/>
    <w:rsid w:val="00675DEB"/>
    <w:rsid w:val="00677364"/>
    <w:rsid w:val="0067747D"/>
    <w:rsid w:val="0067755F"/>
    <w:rsid w:val="00680C32"/>
    <w:rsid w:val="006818D5"/>
    <w:rsid w:val="00681CA4"/>
    <w:rsid w:val="00683F8C"/>
    <w:rsid w:val="00684165"/>
    <w:rsid w:val="00685158"/>
    <w:rsid w:val="00685332"/>
    <w:rsid w:val="00685D51"/>
    <w:rsid w:val="00686559"/>
    <w:rsid w:val="00686866"/>
    <w:rsid w:val="00687CDB"/>
    <w:rsid w:val="0069039D"/>
    <w:rsid w:val="006906DB"/>
    <w:rsid w:val="00691900"/>
    <w:rsid w:val="00691A2C"/>
    <w:rsid w:val="00691E6C"/>
    <w:rsid w:val="0069237B"/>
    <w:rsid w:val="00692A11"/>
    <w:rsid w:val="00692C67"/>
    <w:rsid w:val="00693425"/>
    <w:rsid w:val="0069342D"/>
    <w:rsid w:val="00693DFB"/>
    <w:rsid w:val="00694FD5"/>
    <w:rsid w:val="0069501D"/>
    <w:rsid w:val="00696129"/>
    <w:rsid w:val="00696CC6"/>
    <w:rsid w:val="006976F0"/>
    <w:rsid w:val="00697CF2"/>
    <w:rsid w:val="006A0CE2"/>
    <w:rsid w:val="006A12A5"/>
    <w:rsid w:val="006A2515"/>
    <w:rsid w:val="006A2592"/>
    <w:rsid w:val="006A2995"/>
    <w:rsid w:val="006A32D9"/>
    <w:rsid w:val="006A3648"/>
    <w:rsid w:val="006A3EB4"/>
    <w:rsid w:val="006A40B5"/>
    <w:rsid w:val="006A507D"/>
    <w:rsid w:val="006A572D"/>
    <w:rsid w:val="006A5E20"/>
    <w:rsid w:val="006A7578"/>
    <w:rsid w:val="006B0D94"/>
    <w:rsid w:val="006B16B6"/>
    <w:rsid w:val="006B3646"/>
    <w:rsid w:val="006B3E5A"/>
    <w:rsid w:val="006B485D"/>
    <w:rsid w:val="006B5B97"/>
    <w:rsid w:val="006B71A9"/>
    <w:rsid w:val="006B7DDA"/>
    <w:rsid w:val="006C0C45"/>
    <w:rsid w:val="006C11C3"/>
    <w:rsid w:val="006C11D8"/>
    <w:rsid w:val="006C14F1"/>
    <w:rsid w:val="006C1AD3"/>
    <w:rsid w:val="006C2679"/>
    <w:rsid w:val="006C2806"/>
    <w:rsid w:val="006C334C"/>
    <w:rsid w:val="006C47B7"/>
    <w:rsid w:val="006C4881"/>
    <w:rsid w:val="006C50D1"/>
    <w:rsid w:val="006C5946"/>
    <w:rsid w:val="006C5A3D"/>
    <w:rsid w:val="006C5F92"/>
    <w:rsid w:val="006C6C10"/>
    <w:rsid w:val="006C708E"/>
    <w:rsid w:val="006D0188"/>
    <w:rsid w:val="006D14E7"/>
    <w:rsid w:val="006D2BA6"/>
    <w:rsid w:val="006D3C36"/>
    <w:rsid w:val="006D401B"/>
    <w:rsid w:val="006D4444"/>
    <w:rsid w:val="006D4511"/>
    <w:rsid w:val="006D4B7B"/>
    <w:rsid w:val="006D6493"/>
    <w:rsid w:val="006D6DEA"/>
    <w:rsid w:val="006D6EC7"/>
    <w:rsid w:val="006D7977"/>
    <w:rsid w:val="006D7B05"/>
    <w:rsid w:val="006D7E45"/>
    <w:rsid w:val="006E064D"/>
    <w:rsid w:val="006E1143"/>
    <w:rsid w:val="006E1656"/>
    <w:rsid w:val="006E1BCD"/>
    <w:rsid w:val="006E2732"/>
    <w:rsid w:val="006E59CD"/>
    <w:rsid w:val="006E77C0"/>
    <w:rsid w:val="006F00ED"/>
    <w:rsid w:val="006F026F"/>
    <w:rsid w:val="006F086F"/>
    <w:rsid w:val="006F0A71"/>
    <w:rsid w:val="006F1C6B"/>
    <w:rsid w:val="006F272E"/>
    <w:rsid w:val="006F2C7A"/>
    <w:rsid w:val="006F2ECE"/>
    <w:rsid w:val="006F40C2"/>
    <w:rsid w:val="006F498E"/>
    <w:rsid w:val="006F49BA"/>
    <w:rsid w:val="006F4C08"/>
    <w:rsid w:val="006F505D"/>
    <w:rsid w:val="006F5125"/>
    <w:rsid w:val="006F5319"/>
    <w:rsid w:val="006F531B"/>
    <w:rsid w:val="006F5CE8"/>
    <w:rsid w:val="006F6D41"/>
    <w:rsid w:val="006F6FC6"/>
    <w:rsid w:val="006F733D"/>
    <w:rsid w:val="006F7E57"/>
    <w:rsid w:val="0070068B"/>
    <w:rsid w:val="00700765"/>
    <w:rsid w:val="00701A2B"/>
    <w:rsid w:val="00702959"/>
    <w:rsid w:val="00702B6F"/>
    <w:rsid w:val="007030B4"/>
    <w:rsid w:val="00703B86"/>
    <w:rsid w:val="00704069"/>
    <w:rsid w:val="007040D0"/>
    <w:rsid w:val="00705F6C"/>
    <w:rsid w:val="0070603A"/>
    <w:rsid w:val="00706A2F"/>
    <w:rsid w:val="0070718E"/>
    <w:rsid w:val="00707255"/>
    <w:rsid w:val="00707E52"/>
    <w:rsid w:val="00710259"/>
    <w:rsid w:val="0071031F"/>
    <w:rsid w:val="00710737"/>
    <w:rsid w:val="007127A2"/>
    <w:rsid w:val="00712F8D"/>
    <w:rsid w:val="0071340B"/>
    <w:rsid w:val="00713565"/>
    <w:rsid w:val="00713C50"/>
    <w:rsid w:val="00713DA6"/>
    <w:rsid w:val="0071436D"/>
    <w:rsid w:val="0071508D"/>
    <w:rsid w:val="007152C8"/>
    <w:rsid w:val="00715825"/>
    <w:rsid w:val="00715BBB"/>
    <w:rsid w:val="00716B0F"/>
    <w:rsid w:val="00716F8E"/>
    <w:rsid w:val="007174BB"/>
    <w:rsid w:val="00717CF2"/>
    <w:rsid w:val="0072025D"/>
    <w:rsid w:val="00720AC7"/>
    <w:rsid w:val="00721377"/>
    <w:rsid w:val="00723328"/>
    <w:rsid w:val="007237DE"/>
    <w:rsid w:val="0072502E"/>
    <w:rsid w:val="00727576"/>
    <w:rsid w:val="00727AAA"/>
    <w:rsid w:val="00727F55"/>
    <w:rsid w:val="00730616"/>
    <w:rsid w:val="0073097C"/>
    <w:rsid w:val="0073137C"/>
    <w:rsid w:val="00731A41"/>
    <w:rsid w:val="007322DF"/>
    <w:rsid w:val="007338F3"/>
    <w:rsid w:val="007340B9"/>
    <w:rsid w:val="0073490A"/>
    <w:rsid w:val="00734E24"/>
    <w:rsid w:val="007353D3"/>
    <w:rsid w:val="007371CE"/>
    <w:rsid w:val="007371E7"/>
    <w:rsid w:val="00737351"/>
    <w:rsid w:val="0073736F"/>
    <w:rsid w:val="007403AB"/>
    <w:rsid w:val="0074067E"/>
    <w:rsid w:val="0074156B"/>
    <w:rsid w:val="00741619"/>
    <w:rsid w:val="00741706"/>
    <w:rsid w:val="0074254F"/>
    <w:rsid w:val="00742885"/>
    <w:rsid w:val="00745465"/>
    <w:rsid w:val="00745EDE"/>
    <w:rsid w:val="00747092"/>
    <w:rsid w:val="007477FF"/>
    <w:rsid w:val="00747D2E"/>
    <w:rsid w:val="00750400"/>
    <w:rsid w:val="00750B50"/>
    <w:rsid w:val="0075183D"/>
    <w:rsid w:val="00751908"/>
    <w:rsid w:val="007526E6"/>
    <w:rsid w:val="0075410F"/>
    <w:rsid w:val="00754C0C"/>
    <w:rsid w:val="00754C18"/>
    <w:rsid w:val="00754DF9"/>
    <w:rsid w:val="007555E8"/>
    <w:rsid w:val="0075563D"/>
    <w:rsid w:val="00755654"/>
    <w:rsid w:val="00755CC5"/>
    <w:rsid w:val="00755DC2"/>
    <w:rsid w:val="0075741B"/>
    <w:rsid w:val="0075768C"/>
    <w:rsid w:val="00757BA6"/>
    <w:rsid w:val="007617A5"/>
    <w:rsid w:val="007619E3"/>
    <w:rsid w:val="00762862"/>
    <w:rsid w:val="00762C44"/>
    <w:rsid w:val="0076420C"/>
    <w:rsid w:val="00764428"/>
    <w:rsid w:val="00765423"/>
    <w:rsid w:val="007658B5"/>
    <w:rsid w:val="00765D54"/>
    <w:rsid w:val="00771144"/>
    <w:rsid w:val="00771D07"/>
    <w:rsid w:val="00772649"/>
    <w:rsid w:val="00772A52"/>
    <w:rsid w:val="00772F5D"/>
    <w:rsid w:val="007739DB"/>
    <w:rsid w:val="00773BE3"/>
    <w:rsid w:val="007743DD"/>
    <w:rsid w:val="0077461C"/>
    <w:rsid w:val="007746F1"/>
    <w:rsid w:val="00774E2C"/>
    <w:rsid w:val="0077503C"/>
    <w:rsid w:val="0077518D"/>
    <w:rsid w:val="007753C2"/>
    <w:rsid w:val="0077596F"/>
    <w:rsid w:val="00775BDC"/>
    <w:rsid w:val="00776068"/>
    <w:rsid w:val="00776292"/>
    <w:rsid w:val="00776BBF"/>
    <w:rsid w:val="00776CD1"/>
    <w:rsid w:val="007772DE"/>
    <w:rsid w:val="00777CCE"/>
    <w:rsid w:val="00780063"/>
    <w:rsid w:val="00780B3C"/>
    <w:rsid w:val="00781ABF"/>
    <w:rsid w:val="00781E78"/>
    <w:rsid w:val="007821C4"/>
    <w:rsid w:val="00782256"/>
    <w:rsid w:val="00782281"/>
    <w:rsid w:val="00783418"/>
    <w:rsid w:val="007838B8"/>
    <w:rsid w:val="007851BF"/>
    <w:rsid w:val="0078571E"/>
    <w:rsid w:val="00785779"/>
    <w:rsid w:val="00786D21"/>
    <w:rsid w:val="00787C2A"/>
    <w:rsid w:val="00787FD8"/>
    <w:rsid w:val="0079019A"/>
    <w:rsid w:val="00790720"/>
    <w:rsid w:val="007908C1"/>
    <w:rsid w:val="00790B99"/>
    <w:rsid w:val="007915BA"/>
    <w:rsid w:val="00791844"/>
    <w:rsid w:val="00792346"/>
    <w:rsid w:val="0079250E"/>
    <w:rsid w:val="00792C46"/>
    <w:rsid w:val="007934E3"/>
    <w:rsid w:val="00793C97"/>
    <w:rsid w:val="00793CE9"/>
    <w:rsid w:val="00794ABB"/>
    <w:rsid w:val="00796667"/>
    <w:rsid w:val="00797068"/>
    <w:rsid w:val="007979BD"/>
    <w:rsid w:val="007A3D8E"/>
    <w:rsid w:val="007A5BD8"/>
    <w:rsid w:val="007A5C88"/>
    <w:rsid w:val="007A6A2F"/>
    <w:rsid w:val="007A71AD"/>
    <w:rsid w:val="007B024E"/>
    <w:rsid w:val="007B0A14"/>
    <w:rsid w:val="007B192D"/>
    <w:rsid w:val="007B1CFE"/>
    <w:rsid w:val="007B2122"/>
    <w:rsid w:val="007B27CA"/>
    <w:rsid w:val="007B2DD8"/>
    <w:rsid w:val="007B34C5"/>
    <w:rsid w:val="007B3BAF"/>
    <w:rsid w:val="007B3DDC"/>
    <w:rsid w:val="007B443C"/>
    <w:rsid w:val="007B51E8"/>
    <w:rsid w:val="007B5E68"/>
    <w:rsid w:val="007B66AA"/>
    <w:rsid w:val="007B72A6"/>
    <w:rsid w:val="007B7A52"/>
    <w:rsid w:val="007C06D2"/>
    <w:rsid w:val="007C0714"/>
    <w:rsid w:val="007C08E0"/>
    <w:rsid w:val="007C0F57"/>
    <w:rsid w:val="007C1CA9"/>
    <w:rsid w:val="007C2F4B"/>
    <w:rsid w:val="007C3560"/>
    <w:rsid w:val="007C3575"/>
    <w:rsid w:val="007C395F"/>
    <w:rsid w:val="007C3F8C"/>
    <w:rsid w:val="007C40B6"/>
    <w:rsid w:val="007C5211"/>
    <w:rsid w:val="007C5975"/>
    <w:rsid w:val="007C680B"/>
    <w:rsid w:val="007C729F"/>
    <w:rsid w:val="007C72AD"/>
    <w:rsid w:val="007C7B08"/>
    <w:rsid w:val="007D13B9"/>
    <w:rsid w:val="007D1A6F"/>
    <w:rsid w:val="007D2685"/>
    <w:rsid w:val="007D28DA"/>
    <w:rsid w:val="007D2CF5"/>
    <w:rsid w:val="007D2D4E"/>
    <w:rsid w:val="007D4CB8"/>
    <w:rsid w:val="007D503D"/>
    <w:rsid w:val="007D5325"/>
    <w:rsid w:val="007D5444"/>
    <w:rsid w:val="007D59E7"/>
    <w:rsid w:val="007D5CBD"/>
    <w:rsid w:val="007D5F2A"/>
    <w:rsid w:val="007D7A60"/>
    <w:rsid w:val="007E07AC"/>
    <w:rsid w:val="007E1014"/>
    <w:rsid w:val="007E12F8"/>
    <w:rsid w:val="007E14EB"/>
    <w:rsid w:val="007E1673"/>
    <w:rsid w:val="007E1D28"/>
    <w:rsid w:val="007E3640"/>
    <w:rsid w:val="007E43FF"/>
    <w:rsid w:val="007E4564"/>
    <w:rsid w:val="007E490F"/>
    <w:rsid w:val="007E6533"/>
    <w:rsid w:val="007E656D"/>
    <w:rsid w:val="007F0021"/>
    <w:rsid w:val="007F1007"/>
    <w:rsid w:val="007F2641"/>
    <w:rsid w:val="007F4D31"/>
    <w:rsid w:val="007F7C36"/>
    <w:rsid w:val="007F7F45"/>
    <w:rsid w:val="0080001F"/>
    <w:rsid w:val="0080160C"/>
    <w:rsid w:val="00801958"/>
    <w:rsid w:val="00804064"/>
    <w:rsid w:val="00804B97"/>
    <w:rsid w:val="008055AF"/>
    <w:rsid w:val="008057CD"/>
    <w:rsid w:val="008066B8"/>
    <w:rsid w:val="00806796"/>
    <w:rsid w:val="00807273"/>
    <w:rsid w:val="008074DA"/>
    <w:rsid w:val="00810167"/>
    <w:rsid w:val="008104D0"/>
    <w:rsid w:val="008106EA"/>
    <w:rsid w:val="0081116E"/>
    <w:rsid w:val="00811AB2"/>
    <w:rsid w:val="00811CC0"/>
    <w:rsid w:val="0081218E"/>
    <w:rsid w:val="00812713"/>
    <w:rsid w:val="00814276"/>
    <w:rsid w:val="008151D6"/>
    <w:rsid w:val="00816322"/>
    <w:rsid w:val="00820803"/>
    <w:rsid w:val="00821527"/>
    <w:rsid w:val="00821A91"/>
    <w:rsid w:val="00821D92"/>
    <w:rsid w:val="00822162"/>
    <w:rsid w:val="008225CE"/>
    <w:rsid w:val="00822696"/>
    <w:rsid w:val="008245F0"/>
    <w:rsid w:val="00825A6C"/>
    <w:rsid w:val="0082617E"/>
    <w:rsid w:val="008268BB"/>
    <w:rsid w:val="00826F6D"/>
    <w:rsid w:val="00827097"/>
    <w:rsid w:val="00827F5F"/>
    <w:rsid w:val="008306F3"/>
    <w:rsid w:val="00830E40"/>
    <w:rsid w:val="00830E8E"/>
    <w:rsid w:val="00831B88"/>
    <w:rsid w:val="00832D9A"/>
    <w:rsid w:val="00832ECB"/>
    <w:rsid w:val="00834B61"/>
    <w:rsid w:val="00835032"/>
    <w:rsid w:val="00835C62"/>
    <w:rsid w:val="0083651E"/>
    <w:rsid w:val="008368A1"/>
    <w:rsid w:val="00837876"/>
    <w:rsid w:val="00837B7F"/>
    <w:rsid w:val="00840E71"/>
    <w:rsid w:val="00840EF7"/>
    <w:rsid w:val="00841A25"/>
    <w:rsid w:val="008426BB"/>
    <w:rsid w:val="008433D0"/>
    <w:rsid w:val="00843AFD"/>
    <w:rsid w:val="00843F8A"/>
    <w:rsid w:val="00844921"/>
    <w:rsid w:val="00844C0A"/>
    <w:rsid w:val="00844EB3"/>
    <w:rsid w:val="00844FD0"/>
    <w:rsid w:val="00845408"/>
    <w:rsid w:val="0084593D"/>
    <w:rsid w:val="00846056"/>
    <w:rsid w:val="0084681F"/>
    <w:rsid w:val="00847777"/>
    <w:rsid w:val="00847B5F"/>
    <w:rsid w:val="00847D08"/>
    <w:rsid w:val="00847EC0"/>
    <w:rsid w:val="0085037E"/>
    <w:rsid w:val="008507A7"/>
    <w:rsid w:val="00850973"/>
    <w:rsid w:val="00850F9C"/>
    <w:rsid w:val="00854058"/>
    <w:rsid w:val="00854506"/>
    <w:rsid w:val="008548E1"/>
    <w:rsid w:val="00854ECD"/>
    <w:rsid w:val="00855D60"/>
    <w:rsid w:val="00855FD6"/>
    <w:rsid w:val="00856DDD"/>
    <w:rsid w:val="00857DD4"/>
    <w:rsid w:val="00857EFF"/>
    <w:rsid w:val="00860233"/>
    <w:rsid w:val="008618EE"/>
    <w:rsid w:val="00862B51"/>
    <w:rsid w:val="00863851"/>
    <w:rsid w:val="00863E68"/>
    <w:rsid w:val="0086473D"/>
    <w:rsid w:val="008647B5"/>
    <w:rsid w:val="00864A11"/>
    <w:rsid w:val="00865056"/>
    <w:rsid w:val="00866948"/>
    <w:rsid w:val="00866FC2"/>
    <w:rsid w:val="008676C7"/>
    <w:rsid w:val="00867D64"/>
    <w:rsid w:val="00867D85"/>
    <w:rsid w:val="00870C57"/>
    <w:rsid w:val="00871679"/>
    <w:rsid w:val="00872E8F"/>
    <w:rsid w:val="008735CE"/>
    <w:rsid w:val="008749B1"/>
    <w:rsid w:val="00874E93"/>
    <w:rsid w:val="00874EAF"/>
    <w:rsid w:val="00875DCB"/>
    <w:rsid w:val="00876BA5"/>
    <w:rsid w:val="00876CA3"/>
    <w:rsid w:val="00876FBF"/>
    <w:rsid w:val="0087755A"/>
    <w:rsid w:val="00882085"/>
    <w:rsid w:val="00883188"/>
    <w:rsid w:val="00884A0C"/>
    <w:rsid w:val="00884F13"/>
    <w:rsid w:val="0088583A"/>
    <w:rsid w:val="00886624"/>
    <w:rsid w:val="00886ACA"/>
    <w:rsid w:val="00886B01"/>
    <w:rsid w:val="0088712D"/>
    <w:rsid w:val="0089031E"/>
    <w:rsid w:val="008903E6"/>
    <w:rsid w:val="008907B5"/>
    <w:rsid w:val="00890EDF"/>
    <w:rsid w:val="0089109A"/>
    <w:rsid w:val="008916D7"/>
    <w:rsid w:val="0089203F"/>
    <w:rsid w:val="00892410"/>
    <w:rsid w:val="00892611"/>
    <w:rsid w:val="008934A0"/>
    <w:rsid w:val="00893D5C"/>
    <w:rsid w:val="0089460B"/>
    <w:rsid w:val="0089548E"/>
    <w:rsid w:val="00897D58"/>
    <w:rsid w:val="00897F22"/>
    <w:rsid w:val="008A0208"/>
    <w:rsid w:val="008A0A6A"/>
    <w:rsid w:val="008A0B39"/>
    <w:rsid w:val="008A0C8F"/>
    <w:rsid w:val="008A17A3"/>
    <w:rsid w:val="008A1956"/>
    <w:rsid w:val="008A1997"/>
    <w:rsid w:val="008A1E85"/>
    <w:rsid w:val="008A2419"/>
    <w:rsid w:val="008A26BD"/>
    <w:rsid w:val="008A3A7C"/>
    <w:rsid w:val="008A41B1"/>
    <w:rsid w:val="008A4407"/>
    <w:rsid w:val="008A4937"/>
    <w:rsid w:val="008A50F1"/>
    <w:rsid w:val="008A59D9"/>
    <w:rsid w:val="008A643E"/>
    <w:rsid w:val="008A6819"/>
    <w:rsid w:val="008A6D78"/>
    <w:rsid w:val="008A7927"/>
    <w:rsid w:val="008A7F6D"/>
    <w:rsid w:val="008B007A"/>
    <w:rsid w:val="008B07DF"/>
    <w:rsid w:val="008B0A97"/>
    <w:rsid w:val="008B0C61"/>
    <w:rsid w:val="008B2EBB"/>
    <w:rsid w:val="008B2EC0"/>
    <w:rsid w:val="008B6DCF"/>
    <w:rsid w:val="008C0A7E"/>
    <w:rsid w:val="008C1590"/>
    <w:rsid w:val="008C2421"/>
    <w:rsid w:val="008C2DC7"/>
    <w:rsid w:val="008C3B39"/>
    <w:rsid w:val="008C3E72"/>
    <w:rsid w:val="008C4B06"/>
    <w:rsid w:val="008C4D49"/>
    <w:rsid w:val="008C5E90"/>
    <w:rsid w:val="008C610B"/>
    <w:rsid w:val="008C6E6E"/>
    <w:rsid w:val="008C7311"/>
    <w:rsid w:val="008D048B"/>
    <w:rsid w:val="008D0531"/>
    <w:rsid w:val="008D0945"/>
    <w:rsid w:val="008D1409"/>
    <w:rsid w:val="008D14CC"/>
    <w:rsid w:val="008D15CC"/>
    <w:rsid w:val="008D1729"/>
    <w:rsid w:val="008D1B5C"/>
    <w:rsid w:val="008D30F5"/>
    <w:rsid w:val="008D3442"/>
    <w:rsid w:val="008D3C82"/>
    <w:rsid w:val="008D430F"/>
    <w:rsid w:val="008D447E"/>
    <w:rsid w:val="008D5585"/>
    <w:rsid w:val="008D595C"/>
    <w:rsid w:val="008D6ACF"/>
    <w:rsid w:val="008D7A41"/>
    <w:rsid w:val="008E0379"/>
    <w:rsid w:val="008E039B"/>
    <w:rsid w:val="008E04B6"/>
    <w:rsid w:val="008E18FD"/>
    <w:rsid w:val="008E22C7"/>
    <w:rsid w:val="008E2946"/>
    <w:rsid w:val="008E2B5E"/>
    <w:rsid w:val="008E2C72"/>
    <w:rsid w:val="008E2C90"/>
    <w:rsid w:val="008E2CE2"/>
    <w:rsid w:val="008E3049"/>
    <w:rsid w:val="008E3680"/>
    <w:rsid w:val="008E39F4"/>
    <w:rsid w:val="008E4C3A"/>
    <w:rsid w:val="008E4DE2"/>
    <w:rsid w:val="008E4F87"/>
    <w:rsid w:val="008E52B5"/>
    <w:rsid w:val="008E5870"/>
    <w:rsid w:val="008E6415"/>
    <w:rsid w:val="008E77E4"/>
    <w:rsid w:val="008F0213"/>
    <w:rsid w:val="008F0674"/>
    <w:rsid w:val="008F07ED"/>
    <w:rsid w:val="008F11F8"/>
    <w:rsid w:val="008F1434"/>
    <w:rsid w:val="008F2BB9"/>
    <w:rsid w:val="008F344C"/>
    <w:rsid w:val="008F3477"/>
    <w:rsid w:val="008F3D6A"/>
    <w:rsid w:val="008F3E2B"/>
    <w:rsid w:val="008F4124"/>
    <w:rsid w:val="008F54C3"/>
    <w:rsid w:val="008F5E16"/>
    <w:rsid w:val="008F5F30"/>
    <w:rsid w:val="008F6314"/>
    <w:rsid w:val="008F7355"/>
    <w:rsid w:val="00900F79"/>
    <w:rsid w:val="0090107C"/>
    <w:rsid w:val="00901DC2"/>
    <w:rsid w:val="00902281"/>
    <w:rsid w:val="009023DC"/>
    <w:rsid w:val="0090274E"/>
    <w:rsid w:val="009027C5"/>
    <w:rsid w:val="0090389B"/>
    <w:rsid w:val="00904413"/>
    <w:rsid w:val="00904BF2"/>
    <w:rsid w:val="00905384"/>
    <w:rsid w:val="009058AA"/>
    <w:rsid w:val="00905B13"/>
    <w:rsid w:val="00905F58"/>
    <w:rsid w:val="009067B7"/>
    <w:rsid w:val="00906E7A"/>
    <w:rsid w:val="00906E7F"/>
    <w:rsid w:val="0090730F"/>
    <w:rsid w:val="0090775A"/>
    <w:rsid w:val="00907DFD"/>
    <w:rsid w:val="0091227A"/>
    <w:rsid w:val="00912E00"/>
    <w:rsid w:val="0091338C"/>
    <w:rsid w:val="00913C99"/>
    <w:rsid w:val="00914777"/>
    <w:rsid w:val="009154BA"/>
    <w:rsid w:val="009158D7"/>
    <w:rsid w:val="00916E20"/>
    <w:rsid w:val="00917D69"/>
    <w:rsid w:val="00920A38"/>
    <w:rsid w:val="00920B6D"/>
    <w:rsid w:val="00921E61"/>
    <w:rsid w:val="0092397B"/>
    <w:rsid w:val="00926560"/>
    <w:rsid w:val="00926B15"/>
    <w:rsid w:val="00927350"/>
    <w:rsid w:val="00927411"/>
    <w:rsid w:val="00927791"/>
    <w:rsid w:val="00930291"/>
    <w:rsid w:val="0093052A"/>
    <w:rsid w:val="00930937"/>
    <w:rsid w:val="00932155"/>
    <w:rsid w:val="009324A6"/>
    <w:rsid w:val="00933B7D"/>
    <w:rsid w:val="00933E6C"/>
    <w:rsid w:val="00934CFC"/>
    <w:rsid w:val="00934F14"/>
    <w:rsid w:val="00935A6E"/>
    <w:rsid w:val="00935FB7"/>
    <w:rsid w:val="00937958"/>
    <w:rsid w:val="00937B90"/>
    <w:rsid w:val="009400EA"/>
    <w:rsid w:val="00940529"/>
    <w:rsid w:val="009406E5"/>
    <w:rsid w:val="00941602"/>
    <w:rsid w:val="00942160"/>
    <w:rsid w:val="0094413B"/>
    <w:rsid w:val="009448AE"/>
    <w:rsid w:val="00944AF6"/>
    <w:rsid w:val="009461BC"/>
    <w:rsid w:val="00946921"/>
    <w:rsid w:val="00946EBC"/>
    <w:rsid w:val="00947343"/>
    <w:rsid w:val="0095146F"/>
    <w:rsid w:val="009519CE"/>
    <w:rsid w:val="00951F2D"/>
    <w:rsid w:val="00952839"/>
    <w:rsid w:val="0095344C"/>
    <w:rsid w:val="009534C7"/>
    <w:rsid w:val="00955733"/>
    <w:rsid w:val="00956694"/>
    <w:rsid w:val="00956BBD"/>
    <w:rsid w:val="00957476"/>
    <w:rsid w:val="00957944"/>
    <w:rsid w:val="0096013A"/>
    <w:rsid w:val="009602C5"/>
    <w:rsid w:val="00960563"/>
    <w:rsid w:val="0096103A"/>
    <w:rsid w:val="00961E62"/>
    <w:rsid w:val="00962223"/>
    <w:rsid w:val="0096252B"/>
    <w:rsid w:val="00964028"/>
    <w:rsid w:val="009644D9"/>
    <w:rsid w:val="009648E0"/>
    <w:rsid w:val="00964A9F"/>
    <w:rsid w:val="00966D0D"/>
    <w:rsid w:val="00967732"/>
    <w:rsid w:val="0096783C"/>
    <w:rsid w:val="00970023"/>
    <w:rsid w:val="00971344"/>
    <w:rsid w:val="009722B3"/>
    <w:rsid w:val="0097281F"/>
    <w:rsid w:val="00972B73"/>
    <w:rsid w:val="00972F1E"/>
    <w:rsid w:val="0097343F"/>
    <w:rsid w:val="00973E24"/>
    <w:rsid w:val="00973EC3"/>
    <w:rsid w:val="0097408A"/>
    <w:rsid w:val="00974C21"/>
    <w:rsid w:val="00974D5F"/>
    <w:rsid w:val="00975948"/>
    <w:rsid w:val="009765A3"/>
    <w:rsid w:val="009772FD"/>
    <w:rsid w:val="00977BF3"/>
    <w:rsid w:val="009803E4"/>
    <w:rsid w:val="00980902"/>
    <w:rsid w:val="00980B0E"/>
    <w:rsid w:val="00981A2B"/>
    <w:rsid w:val="00982B39"/>
    <w:rsid w:val="00982C83"/>
    <w:rsid w:val="009836A3"/>
    <w:rsid w:val="00984359"/>
    <w:rsid w:val="009844CB"/>
    <w:rsid w:val="00984C58"/>
    <w:rsid w:val="009855A8"/>
    <w:rsid w:val="00985CBE"/>
    <w:rsid w:val="00985D1A"/>
    <w:rsid w:val="00986567"/>
    <w:rsid w:val="00987378"/>
    <w:rsid w:val="009874F6"/>
    <w:rsid w:val="009906D9"/>
    <w:rsid w:val="00990CF8"/>
    <w:rsid w:val="009913F4"/>
    <w:rsid w:val="00991782"/>
    <w:rsid w:val="009927E9"/>
    <w:rsid w:val="009937F7"/>
    <w:rsid w:val="00993BF5"/>
    <w:rsid w:val="0099465B"/>
    <w:rsid w:val="00994ED1"/>
    <w:rsid w:val="00994F11"/>
    <w:rsid w:val="009951A1"/>
    <w:rsid w:val="009957D3"/>
    <w:rsid w:val="00995ECE"/>
    <w:rsid w:val="009975E5"/>
    <w:rsid w:val="00997A44"/>
    <w:rsid w:val="00997EDF"/>
    <w:rsid w:val="009A0570"/>
    <w:rsid w:val="009A071B"/>
    <w:rsid w:val="009A0CDD"/>
    <w:rsid w:val="009A1E64"/>
    <w:rsid w:val="009A261F"/>
    <w:rsid w:val="009A3168"/>
    <w:rsid w:val="009A3A84"/>
    <w:rsid w:val="009A3C01"/>
    <w:rsid w:val="009A4621"/>
    <w:rsid w:val="009A4BDF"/>
    <w:rsid w:val="009A4CC6"/>
    <w:rsid w:val="009A531D"/>
    <w:rsid w:val="009A53A6"/>
    <w:rsid w:val="009A5D04"/>
    <w:rsid w:val="009A61CA"/>
    <w:rsid w:val="009A623A"/>
    <w:rsid w:val="009A731F"/>
    <w:rsid w:val="009A7C0B"/>
    <w:rsid w:val="009B0062"/>
    <w:rsid w:val="009B0AE8"/>
    <w:rsid w:val="009B0C64"/>
    <w:rsid w:val="009B0F67"/>
    <w:rsid w:val="009B208A"/>
    <w:rsid w:val="009B2693"/>
    <w:rsid w:val="009B2756"/>
    <w:rsid w:val="009B2D0F"/>
    <w:rsid w:val="009B2F47"/>
    <w:rsid w:val="009B32A8"/>
    <w:rsid w:val="009B3590"/>
    <w:rsid w:val="009B3A2B"/>
    <w:rsid w:val="009B3D56"/>
    <w:rsid w:val="009B3F8C"/>
    <w:rsid w:val="009B44D9"/>
    <w:rsid w:val="009B49DE"/>
    <w:rsid w:val="009B533B"/>
    <w:rsid w:val="009B546B"/>
    <w:rsid w:val="009B5C96"/>
    <w:rsid w:val="009C1D41"/>
    <w:rsid w:val="009C26AA"/>
    <w:rsid w:val="009C26D7"/>
    <w:rsid w:val="009C3EE6"/>
    <w:rsid w:val="009C4638"/>
    <w:rsid w:val="009C49BA"/>
    <w:rsid w:val="009C4B7A"/>
    <w:rsid w:val="009C4DCB"/>
    <w:rsid w:val="009C5429"/>
    <w:rsid w:val="009C56B0"/>
    <w:rsid w:val="009C575E"/>
    <w:rsid w:val="009C6EEA"/>
    <w:rsid w:val="009C703C"/>
    <w:rsid w:val="009C7D1F"/>
    <w:rsid w:val="009D0077"/>
    <w:rsid w:val="009D0C29"/>
    <w:rsid w:val="009D14C1"/>
    <w:rsid w:val="009D183E"/>
    <w:rsid w:val="009D1947"/>
    <w:rsid w:val="009D1A16"/>
    <w:rsid w:val="009D1E03"/>
    <w:rsid w:val="009D206E"/>
    <w:rsid w:val="009D238A"/>
    <w:rsid w:val="009D3CAA"/>
    <w:rsid w:val="009D507A"/>
    <w:rsid w:val="009D5170"/>
    <w:rsid w:val="009D6532"/>
    <w:rsid w:val="009D6AAD"/>
    <w:rsid w:val="009D71FD"/>
    <w:rsid w:val="009D73F1"/>
    <w:rsid w:val="009D7A63"/>
    <w:rsid w:val="009E06F0"/>
    <w:rsid w:val="009E0755"/>
    <w:rsid w:val="009E10AD"/>
    <w:rsid w:val="009E18F3"/>
    <w:rsid w:val="009E2588"/>
    <w:rsid w:val="009E2B5C"/>
    <w:rsid w:val="009E2DF5"/>
    <w:rsid w:val="009E2E8E"/>
    <w:rsid w:val="009E40E1"/>
    <w:rsid w:val="009E451E"/>
    <w:rsid w:val="009E49A7"/>
    <w:rsid w:val="009E7A43"/>
    <w:rsid w:val="009F0EFA"/>
    <w:rsid w:val="009F3CCC"/>
    <w:rsid w:val="009F4E46"/>
    <w:rsid w:val="009F52BA"/>
    <w:rsid w:val="009F5B65"/>
    <w:rsid w:val="009F5F2E"/>
    <w:rsid w:val="009F5F94"/>
    <w:rsid w:val="009F6CD5"/>
    <w:rsid w:val="009F778C"/>
    <w:rsid w:val="009F78C2"/>
    <w:rsid w:val="009F7ED0"/>
    <w:rsid w:val="00A00435"/>
    <w:rsid w:val="00A01331"/>
    <w:rsid w:val="00A01432"/>
    <w:rsid w:val="00A015D6"/>
    <w:rsid w:val="00A0167A"/>
    <w:rsid w:val="00A017E6"/>
    <w:rsid w:val="00A01980"/>
    <w:rsid w:val="00A0248E"/>
    <w:rsid w:val="00A02769"/>
    <w:rsid w:val="00A02FA6"/>
    <w:rsid w:val="00A034BD"/>
    <w:rsid w:val="00A044B7"/>
    <w:rsid w:val="00A05283"/>
    <w:rsid w:val="00A06225"/>
    <w:rsid w:val="00A0640A"/>
    <w:rsid w:val="00A066E6"/>
    <w:rsid w:val="00A0730E"/>
    <w:rsid w:val="00A075C1"/>
    <w:rsid w:val="00A0794E"/>
    <w:rsid w:val="00A07F4E"/>
    <w:rsid w:val="00A110D1"/>
    <w:rsid w:val="00A11AA9"/>
    <w:rsid w:val="00A12587"/>
    <w:rsid w:val="00A128E6"/>
    <w:rsid w:val="00A14163"/>
    <w:rsid w:val="00A144D3"/>
    <w:rsid w:val="00A14824"/>
    <w:rsid w:val="00A16EDF"/>
    <w:rsid w:val="00A17B26"/>
    <w:rsid w:val="00A17EA7"/>
    <w:rsid w:val="00A21D7D"/>
    <w:rsid w:val="00A2270C"/>
    <w:rsid w:val="00A22AC3"/>
    <w:rsid w:val="00A231A3"/>
    <w:rsid w:val="00A2351E"/>
    <w:rsid w:val="00A23529"/>
    <w:rsid w:val="00A238BA"/>
    <w:rsid w:val="00A23F3F"/>
    <w:rsid w:val="00A24067"/>
    <w:rsid w:val="00A24A4B"/>
    <w:rsid w:val="00A25582"/>
    <w:rsid w:val="00A26E51"/>
    <w:rsid w:val="00A2744D"/>
    <w:rsid w:val="00A306F6"/>
    <w:rsid w:val="00A30D16"/>
    <w:rsid w:val="00A31B4F"/>
    <w:rsid w:val="00A32924"/>
    <w:rsid w:val="00A33EB7"/>
    <w:rsid w:val="00A3457E"/>
    <w:rsid w:val="00A34E6C"/>
    <w:rsid w:val="00A34FD0"/>
    <w:rsid w:val="00A361EA"/>
    <w:rsid w:val="00A36398"/>
    <w:rsid w:val="00A36CC1"/>
    <w:rsid w:val="00A37C8D"/>
    <w:rsid w:val="00A4020E"/>
    <w:rsid w:val="00A40493"/>
    <w:rsid w:val="00A408E8"/>
    <w:rsid w:val="00A40FB5"/>
    <w:rsid w:val="00A42826"/>
    <w:rsid w:val="00A429B3"/>
    <w:rsid w:val="00A43501"/>
    <w:rsid w:val="00A43C77"/>
    <w:rsid w:val="00A449BB"/>
    <w:rsid w:val="00A44C0D"/>
    <w:rsid w:val="00A44EC1"/>
    <w:rsid w:val="00A4542B"/>
    <w:rsid w:val="00A456B3"/>
    <w:rsid w:val="00A45D37"/>
    <w:rsid w:val="00A460DA"/>
    <w:rsid w:val="00A508A6"/>
    <w:rsid w:val="00A510E4"/>
    <w:rsid w:val="00A51F8C"/>
    <w:rsid w:val="00A526F7"/>
    <w:rsid w:val="00A5273B"/>
    <w:rsid w:val="00A5288A"/>
    <w:rsid w:val="00A53084"/>
    <w:rsid w:val="00A53A9D"/>
    <w:rsid w:val="00A55FEE"/>
    <w:rsid w:val="00A56304"/>
    <w:rsid w:val="00A56975"/>
    <w:rsid w:val="00A56AD1"/>
    <w:rsid w:val="00A571B9"/>
    <w:rsid w:val="00A57422"/>
    <w:rsid w:val="00A60776"/>
    <w:rsid w:val="00A618C0"/>
    <w:rsid w:val="00A62B1E"/>
    <w:rsid w:val="00A62C1A"/>
    <w:rsid w:val="00A62E6B"/>
    <w:rsid w:val="00A62F5E"/>
    <w:rsid w:val="00A6331A"/>
    <w:rsid w:val="00A6379A"/>
    <w:rsid w:val="00A63BC5"/>
    <w:rsid w:val="00A63CA2"/>
    <w:rsid w:val="00A6426D"/>
    <w:rsid w:val="00A6439B"/>
    <w:rsid w:val="00A64C0D"/>
    <w:rsid w:val="00A65B61"/>
    <w:rsid w:val="00A665C1"/>
    <w:rsid w:val="00A66FF0"/>
    <w:rsid w:val="00A673A4"/>
    <w:rsid w:val="00A67862"/>
    <w:rsid w:val="00A7001A"/>
    <w:rsid w:val="00A70622"/>
    <w:rsid w:val="00A70977"/>
    <w:rsid w:val="00A70B8B"/>
    <w:rsid w:val="00A70D58"/>
    <w:rsid w:val="00A71111"/>
    <w:rsid w:val="00A72BBA"/>
    <w:rsid w:val="00A744F9"/>
    <w:rsid w:val="00A7486C"/>
    <w:rsid w:val="00A753A1"/>
    <w:rsid w:val="00A757F2"/>
    <w:rsid w:val="00A75C53"/>
    <w:rsid w:val="00A77613"/>
    <w:rsid w:val="00A77ABC"/>
    <w:rsid w:val="00A77B87"/>
    <w:rsid w:val="00A77E01"/>
    <w:rsid w:val="00A801AD"/>
    <w:rsid w:val="00A8077F"/>
    <w:rsid w:val="00A807F2"/>
    <w:rsid w:val="00A80C2A"/>
    <w:rsid w:val="00A80D53"/>
    <w:rsid w:val="00A81463"/>
    <w:rsid w:val="00A81851"/>
    <w:rsid w:val="00A81F81"/>
    <w:rsid w:val="00A834E9"/>
    <w:rsid w:val="00A8390C"/>
    <w:rsid w:val="00A84BA4"/>
    <w:rsid w:val="00A85659"/>
    <w:rsid w:val="00A86AE0"/>
    <w:rsid w:val="00A87AAC"/>
    <w:rsid w:val="00A904A5"/>
    <w:rsid w:val="00A912B0"/>
    <w:rsid w:val="00A91362"/>
    <w:rsid w:val="00A9151C"/>
    <w:rsid w:val="00A919C6"/>
    <w:rsid w:val="00A928BD"/>
    <w:rsid w:val="00A92D61"/>
    <w:rsid w:val="00A936B6"/>
    <w:rsid w:val="00A96741"/>
    <w:rsid w:val="00A96BE9"/>
    <w:rsid w:val="00A975FB"/>
    <w:rsid w:val="00A97DE9"/>
    <w:rsid w:val="00AA0583"/>
    <w:rsid w:val="00AA08FA"/>
    <w:rsid w:val="00AA0F78"/>
    <w:rsid w:val="00AA1195"/>
    <w:rsid w:val="00AA126E"/>
    <w:rsid w:val="00AA12CD"/>
    <w:rsid w:val="00AA1350"/>
    <w:rsid w:val="00AA24E9"/>
    <w:rsid w:val="00AA2611"/>
    <w:rsid w:val="00AA2BB7"/>
    <w:rsid w:val="00AA476D"/>
    <w:rsid w:val="00AA4D1C"/>
    <w:rsid w:val="00AA4FF9"/>
    <w:rsid w:val="00AA52FD"/>
    <w:rsid w:val="00AA5D40"/>
    <w:rsid w:val="00AA5F85"/>
    <w:rsid w:val="00AA6849"/>
    <w:rsid w:val="00AA6DD6"/>
    <w:rsid w:val="00AA7006"/>
    <w:rsid w:val="00AB05C9"/>
    <w:rsid w:val="00AB1390"/>
    <w:rsid w:val="00AB3138"/>
    <w:rsid w:val="00AB41D7"/>
    <w:rsid w:val="00AB4684"/>
    <w:rsid w:val="00AB54C7"/>
    <w:rsid w:val="00AB581D"/>
    <w:rsid w:val="00AB5856"/>
    <w:rsid w:val="00AB6A80"/>
    <w:rsid w:val="00AC081D"/>
    <w:rsid w:val="00AC0C6F"/>
    <w:rsid w:val="00AC1266"/>
    <w:rsid w:val="00AC193C"/>
    <w:rsid w:val="00AC2CBE"/>
    <w:rsid w:val="00AC30C1"/>
    <w:rsid w:val="00AC38C7"/>
    <w:rsid w:val="00AC39A3"/>
    <w:rsid w:val="00AC4A03"/>
    <w:rsid w:val="00AC4DE5"/>
    <w:rsid w:val="00AC5206"/>
    <w:rsid w:val="00AC65F4"/>
    <w:rsid w:val="00AC69B6"/>
    <w:rsid w:val="00AC6A6F"/>
    <w:rsid w:val="00AC6B25"/>
    <w:rsid w:val="00AC768C"/>
    <w:rsid w:val="00AC7B19"/>
    <w:rsid w:val="00AD095B"/>
    <w:rsid w:val="00AD1506"/>
    <w:rsid w:val="00AD1670"/>
    <w:rsid w:val="00AD1793"/>
    <w:rsid w:val="00AD2821"/>
    <w:rsid w:val="00AD3106"/>
    <w:rsid w:val="00AD404E"/>
    <w:rsid w:val="00AD4322"/>
    <w:rsid w:val="00AD4A09"/>
    <w:rsid w:val="00AD6719"/>
    <w:rsid w:val="00AE0B99"/>
    <w:rsid w:val="00AE11A5"/>
    <w:rsid w:val="00AE13E2"/>
    <w:rsid w:val="00AE22D3"/>
    <w:rsid w:val="00AE3A4B"/>
    <w:rsid w:val="00AE4530"/>
    <w:rsid w:val="00AE53E4"/>
    <w:rsid w:val="00AE5615"/>
    <w:rsid w:val="00AE5987"/>
    <w:rsid w:val="00AE5A49"/>
    <w:rsid w:val="00AF03E6"/>
    <w:rsid w:val="00AF11D8"/>
    <w:rsid w:val="00AF130D"/>
    <w:rsid w:val="00AF2E61"/>
    <w:rsid w:val="00AF4562"/>
    <w:rsid w:val="00AF5867"/>
    <w:rsid w:val="00AF6013"/>
    <w:rsid w:val="00AF62DF"/>
    <w:rsid w:val="00AF67B3"/>
    <w:rsid w:val="00AF68CC"/>
    <w:rsid w:val="00AF70D7"/>
    <w:rsid w:val="00AF710F"/>
    <w:rsid w:val="00B00086"/>
    <w:rsid w:val="00B00264"/>
    <w:rsid w:val="00B00ACE"/>
    <w:rsid w:val="00B00CD0"/>
    <w:rsid w:val="00B00E7F"/>
    <w:rsid w:val="00B01FF4"/>
    <w:rsid w:val="00B0287B"/>
    <w:rsid w:val="00B0326D"/>
    <w:rsid w:val="00B04128"/>
    <w:rsid w:val="00B04879"/>
    <w:rsid w:val="00B056EB"/>
    <w:rsid w:val="00B06037"/>
    <w:rsid w:val="00B06478"/>
    <w:rsid w:val="00B06BD2"/>
    <w:rsid w:val="00B07533"/>
    <w:rsid w:val="00B07CFB"/>
    <w:rsid w:val="00B1059E"/>
    <w:rsid w:val="00B114D3"/>
    <w:rsid w:val="00B11830"/>
    <w:rsid w:val="00B12284"/>
    <w:rsid w:val="00B125E8"/>
    <w:rsid w:val="00B13AD1"/>
    <w:rsid w:val="00B149BA"/>
    <w:rsid w:val="00B14A36"/>
    <w:rsid w:val="00B16273"/>
    <w:rsid w:val="00B164B4"/>
    <w:rsid w:val="00B16E79"/>
    <w:rsid w:val="00B170A5"/>
    <w:rsid w:val="00B1725F"/>
    <w:rsid w:val="00B176C8"/>
    <w:rsid w:val="00B17EE5"/>
    <w:rsid w:val="00B205AA"/>
    <w:rsid w:val="00B2100A"/>
    <w:rsid w:val="00B21A91"/>
    <w:rsid w:val="00B21B9A"/>
    <w:rsid w:val="00B22DB8"/>
    <w:rsid w:val="00B22E84"/>
    <w:rsid w:val="00B233AD"/>
    <w:rsid w:val="00B23577"/>
    <w:rsid w:val="00B23C69"/>
    <w:rsid w:val="00B23E25"/>
    <w:rsid w:val="00B24232"/>
    <w:rsid w:val="00B25892"/>
    <w:rsid w:val="00B25F75"/>
    <w:rsid w:val="00B26B3F"/>
    <w:rsid w:val="00B26E00"/>
    <w:rsid w:val="00B2722F"/>
    <w:rsid w:val="00B2778F"/>
    <w:rsid w:val="00B3117B"/>
    <w:rsid w:val="00B317C5"/>
    <w:rsid w:val="00B31BDA"/>
    <w:rsid w:val="00B31F09"/>
    <w:rsid w:val="00B327E2"/>
    <w:rsid w:val="00B32DD0"/>
    <w:rsid w:val="00B33635"/>
    <w:rsid w:val="00B33C32"/>
    <w:rsid w:val="00B33DFC"/>
    <w:rsid w:val="00B35FB9"/>
    <w:rsid w:val="00B36092"/>
    <w:rsid w:val="00B37A23"/>
    <w:rsid w:val="00B37CF8"/>
    <w:rsid w:val="00B37DC4"/>
    <w:rsid w:val="00B37ED8"/>
    <w:rsid w:val="00B40110"/>
    <w:rsid w:val="00B4058D"/>
    <w:rsid w:val="00B42AF4"/>
    <w:rsid w:val="00B43E90"/>
    <w:rsid w:val="00B440F0"/>
    <w:rsid w:val="00B44308"/>
    <w:rsid w:val="00B44CC7"/>
    <w:rsid w:val="00B44F44"/>
    <w:rsid w:val="00B45378"/>
    <w:rsid w:val="00B456E1"/>
    <w:rsid w:val="00B45722"/>
    <w:rsid w:val="00B460F4"/>
    <w:rsid w:val="00B467DC"/>
    <w:rsid w:val="00B46CD8"/>
    <w:rsid w:val="00B46D59"/>
    <w:rsid w:val="00B4796B"/>
    <w:rsid w:val="00B47A88"/>
    <w:rsid w:val="00B47BA9"/>
    <w:rsid w:val="00B502E4"/>
    <w:rsid w:val="00B50359"/>
    <w:rsid w:val="00B5163F"/>
    <w:rsid w:val="00B51E09"/>
    <w:rsid w:val="00B52303"/>
    <w:rsid w:val="00B53058"/>
    <w:rsid w:val="00B536F4"/>
    <w:rsid w:val="00B5392A"/>
    <w:rsid w:val="00B539EF"/>
    <w:rsid w:val="00B53A68"/>
    <w:rsid w:val="00B54B78"/>
    <w:rsid w:val="00B56118"/>
    <w:rsid w:val="00B566E1"/>
    <w:rsid w:val="00B56AFB"/>
    <w:rsid w:val="00B572BE"/>
    <w:rsid w:val="00B575CC"/>
    <w:rsid w:val="00B602F6"/>
    <w:rsid w:val="00B6038D"/>
    <w:rsid w:val="00B60ED3"/>
    <w:rsid w:val="00B6250F"/>
    <w:rsid w:val="00B62EC1"/>
    <w:rsid w:val="00B63251"/>
    <w:rsid w:val="00B639D1"/>
    <w:rsid w:val="00B63BF9"/>
    <w:rsid w:val="00B64491"/>
    <w:rsid w:val="00B64A96"/>
    <w:rsid w:val="00B64B42"/>
    <w:rsid w:val="00B6533B"/>
    <w:rsid w:val="00B666AE"/>
    <w:rsid w:val="00B67632"/>
    <w:rsid w:val="00B6773F"/>
    <w:rsid w:val="00B70BC8"/>
    <w:rsid w:val="00B70CC7"/>
    <w:rsid w:val="00B70EB3"/>
    <w:rsid w:val="00B72906"/>
    <w:rsid w:val="00B74885"/>
    <w:rsid w:val="00B74F48"/>
    <w:rsid w:val="00B7525E"/>
    <w:rsid w:val="00B75433"/>
    <w:rsid w:val="00B75628"/>
    <w:rsid w:val="00B75F70"/>
    <w:rsid w:val="00B760FB"/>
    <w:rsid w:val="00B76765"/>
    <w:rsid w:val="00B767AB"/>
    <w:rsid w:val="00B77D90"/>
    <w:rsid w:val="00B801BA"/>
    <w:rsid w:val="00B808D4"/>
    <w:rsid w:val="00B80D50"/>
    <w:rsid w:val="00B812D6"/>
    <w:rsid w:val="00B82C6F"/>
    <w:rsid w:val="00B846E6"/>
    <w:rsid w:val="00B84A5B"/>
    <w:rsid w:val="00B84D5C"/>
    <w:rsid w:val="00B85AF6"/>
    <w:rsid w:val="00B8680C"/>
    <w:rsid w:val="00B91248"/>
    <w:rsid w:val="00B91742"/>
    <w:rsid w:val="00B92E46"/>
    <w:rsid w:val="00B92FC6"/>
    <w:rsid w:val="00B941ED"/>
    <w:rsid w:val="00B956ED"/>
    <w:rsid w:val="00B96A60"/>
    <w:rsid w:val="00B971F6"/>
    <w:rsid w:val="00B972CE"/>
    <w:rsid w:val="00B9740C"/>
    <w:rsid w:val="00B97AB5"/>
    <w:rsid w:val="00BA01F8"/>
    <w:rsid w:val="00BA2DA8"/>
    <w:rsid w:val="00BA347C"/>
    <w:rsid w:val="00BA3EFC"/>
    <w:rsid w:val="00BA404F"/>
    <w:rsid w:val="00BA4C79"/>
    <w:rsid w:val="00BA4D84"/>
    <w:rsid w:val="00BA4F20"/>
    <w:rsid w:val="00BA5711"/>
    <w:rsid w:val="00BA5DA6"/>
    <w:rsid w:val="00BA6571"/>
    <w:rsid w:val="00BA6ABD"/>
    <w:rsid w:val="00BA6AC2"/>
    <w:rsid w:val="00BA76BF"/>
    <w:rsid w:val="00BA7ADF"/>
    <w:rsid w:val="00BB120A"/>
    <w:rsid w:val="00BB298A"/>
    <w:rsid w:val="00BB3453"/>
    <w:rsid w:val="00BB3469"/>
    <w:rsid w:val="00BB4795"/>
    <w:rsid w:val="00BB4BED"/>
    <w:rsid w:val="00BB5C49"/>
    <w:rsid w:val="00BB6240"/>
    <w:rsid w:val="00BB6285"/>
    <w:rsid w:val="00BB69C0"/>
    <w:rsid w:val="00BB69F5"/>
    <w:rsid w:val="00BB6E48"/>
    <w:rsid w:val="00BB7EC3"/>
    <w:rsid w:val="00BC0006"/>
    <w:rsid w:val="00BC04B1"/>
    <w:rsid w:val="00BC2BD3"/>
    <w:rsid w:val="00BC470E"/>
    <w:rsid w:val="00BC4B9A"/>
    <w:rsid w:val="00BC6F47"/>
    <w:rsid w:val="00BD02C3"/>
    <w:rsid w:val="00BD1FF5"/>
    <w:rsid w:val="00BD201D"/>
    <w:rsid w:val="00BD3119"/>
    <w:rsid w:val="00BD3D4F"/>
    <w:rsid w:val="00BD7483"/>
    <w:rsid w:val="00BD784C"/>
    <w:rsid w:val="00BE020A"/>
    <w:rsid w:val="00BE03AE"/>
    <w:rsid w:val="00BE13DF"/>
    <w:rsid w:val="00BE1A05"/>
    <w:rsid w:val="00BE1ED9"/>
    <w:rsid w:val="00BE1EF0"/>
    <w:rsid w:val="00BE25D7"/>
    <w:rsid w:val="00BE2D5F"/>
    <w:rsid w:val="00BE3C4B"/>
    <w:rsid w:val="00BF092C"/>
    <w:rsid w:val="00BF1BD7"/>
    <w:rsid w:val="00BF21D1"/>
    <w:rsid w:val="00BF27A0"/>
    <w:rsid w:val="00BF2963"/>
    <w:rsid w:val="00BF2DEE"/>
    <w:rsid w:val="00BF40E6"/>
    <w:rsid w:val="00BF4188"/>
    <w:rsid w:val="00BF4CB6"/>
    <w:rsid w:val="00BF51E1"/>
    <w:rsid w:val="00BF59E2"/>
    <w:rsid w:val="00BF5D23"/>
    <w:rsid w:val="00BF6CBD"/>
    <w:rsid w:val="00BF70F4"/>
    <w:rsid w:val="00BF7ABB"/>
    <w:rsid w:val="00BF7F0B"/>
    <w:rsid w:val="00C00CD5"/>
    <w:rsid w:val="00C00DA7"/>
    <w:rsid w:val="00C01B2C"/>
    <w:rsid w:val="00C030C3"/>
    <w:rsid w:val="00C034FB"/>
    <w:rsid w:val="00C0357A"/>
    <w:rsid w:val="00C04C3E"/>
    <w:rsid w:val="00C04CDE"/>
    <w:rsid w:val="00C0550C"/>
    <w:rsid w:val="00C059D5"/>
    <w:rsid w:val="00C064E2"/>
    <w:rsid w:val="00C068A6"/>
    <w:rsid w:val="00C06BF5"/>
    <w:rsid w:val="00C07573"/>
    <w:rsid w:val="00C11DEA"/>
    <w:rsid w:val="00C1216A"/>
    <w:rsid w:val="00C121F9"/>
    <w:rsid w:val="00C12768"/>
    <w:rsid w:val="00C12972"/>
    <w:rsid w:val="00C12D70"/>
    <w:rsid w:val="00C12D98"/>
    <w:rsid w:val="00C12EE8"/>
    <w:rsid w:val="00C14EAF"/>
    <w:rsid w:val="00C14F69"/>
    <w:rsid w:val="00C16724"/>
    <w:rsid w:val="00C16F0F"/>
    <w:rsid w:val="00C175DC"/>
    <w:rsid w:val="00C17DC6"/>
    <w:rsid w:val="00C21B09"/>
    <w:rsid w:val="00C234F7"/>
    <w:rsid w:val="00C23B9C"/>
    <w:rsid w:val="00C24639"/>
    <w:rsid w:val="00C25E1A"/>
    <w:rsid w:val="00C25EFF"/>
    <w:rsid w:val="00C265EC"/>
    <w:rsid w:val="00C2673A"/>
    <w:rsid w:val="00C278CD"/>
    <w:rsid w:val="00C27B58"/>
    <w:rsid w:val="00C27C1C"/>
    <w:rsid w:val="00C30454"/>
    <w:rsid w:val="00C312B7"/>
    <w:rsid w:val="00C3166C"/>
    <w:rsid w:val="00C33186"/>
    <w:rsid w:val="00C336AF"/>
    <w:rsid w:val="00C34206"/>
    <w:rsid w:val="00C35996"/>
    <w:rsid w:val="00C3615D"/>
    <w:rsid w:val="00C36E05"/>
    <w:rsid w:val="00C40308"/>
    <w:rsid w:val="00C4041A"/>
    <w:rsid w:val="00C4060E"/>
    <w:rsid w:val="00C40A12"/>
    <w:rsid w:val="00C42BCD"/>
    <w:rsid w:val="00C43B16"/>
    <w:rsid w:val="00C444D0"/>
    <w:rsid w:val="00C4485F"/>
    <w:rsid w:val="00C44920"/>
    <w:rsid w:val="00C44DED"/>
    <w:rsid w:val="00C4518F"/>
    <w:rsid w:val="00C46C13"/>
    <w:rsid w:val="00C4747E"/>
    <w:rsid w:val="00C5151E"/>
    <w:rsid w:val="00C52256"/>
    <w:rsid w:val="00C5342C"/>
    <w:rsid w:val="00C53864"/>
    <w:rsid w:val="00C53B2B"/>
    <w:rsid w:val="00C547F5"/>
    <w:rsid w:val="00C54F3F"/>
    <w:rsid w:val="00C5635B"/>
    <w:rsid w:val="00C56D78"/>
    <w:rsid w:val="00C57465"/>
    <w:rsid w:val="00C578A5"/>
    <w:rsid w:val="00C57FC5"/>
    <w:rsid w:val="00C60272"/>
    <w:rsid w:val="00C603D4"/>
    <w:rsid w:val="00C60AD8"/>
    <w:rsid w:val="00C6256A"/>
    <w:rsid w:val="00C6274B"/>
    <w:rsid w:val="00C63FDA"/>
    <w:rsid w:val="00C63FED"/>
    <w:rsid w:val="00C6433C"/>
    <w:rsid w:val="00C64EBC"/>
    <w:rsid w:val="00C64FA2"/>
    <w:rsid w:val="00C65B17"/>
    <w:rsid w:val="00C65D7F"/>
    <w:rsid w:val="00C66190"/>
    <w:rsid w:val="00C664D2"/>
    <w:rsid w:val="00C664E7"/>
    <w:rsid w:val="00C666D8"/>
    <w:rsid w:val="00C67309"/>
    <w:rsid w:val="00C677E1"/>
    <w:rsid w:val="00C67D0E"/>
    <w:rsid w:val="00C70AC8"/>
    <w:rsid w:val="00C70C0B"/>
    <w:rsid w:val="00C70E6E"/>
    <w:rsid w:val="00C710E2"/>
    <w:rsid w:val="00C71C3F"/>
    <w:rsid w:val="00C71E08"/>
    <w:rsid w:val="00C720DE"/>
    <w:rsid w:val="00C72825"/>
    <w:rsid w:val="00C73BA8"/>
    <w:rsid w:val="00C7409E"/>
    <w:rsid w:val="00C74D6D"/>
    <w:rsid w:val="00C7626C"/>
    <w:rsid w:val="00C76B66"/>
    <w:rsid w:val="00C76E76"/>
    <w:rsid w:val="00C77891"/>
    <w:rsid w:val="00C77B74"/>
    <w:rsid w:val="00C8190D"/>
    <w:rsid w:val="00C82062"/>
    <w:rsid w:val="00C824BB"/>
    <w:rsid w:val="00C829A9"/>
    <w:rsid w:val="00C83849"/>
    <w:rsid w:val="00C83AAE"/>
    <w:rsid w:val="00C860CC"/>
    <w:rsid w:val="00C87B80"/>
    <w:rsid w:val="00C90330"/>
    <w:rsid w:val="00C91449"/>
    <w:rsid w:val="00C91664"/>
    <w:rsid w:val="00C92D10"/>
    <w:rsid w:val="00C92F79"/>
    <w:rsid w:val="00C9330C"/>
    <w:rsid w:val="00C938A9"/>
    <w:rsid w:val="00C93BB7"/>
    <w:rsid w:val="00C93BF3"/>
    <w:rsid w:val="00C93F6F"/>
    <w:rsid w:val="00C93FF4"/>
    <w:rsid w:val="00C94422"/>
    <w:rsid w:val="00C95200"/>
    <w:rsid w:val="00C95DD3"/>
    <w:rsid w:val="00C961E1"/>
    <w:rsid w:val="00C96EC0"/>
    <w:rsid w:val="00C97591"/>
    <w:rsid w:val="00CA0347"/>
    <w:rsid w:val="00CA06F9"/>
    <w:rsid w:val="00CA120D"/>
    <w:rsid w:val="00CA14BB"/>
    <w:rsid w:val="00CA1E04"/>
    <w:rsid w:val="00CA230C"/>
    <w:rsid w:val="00CA3419"/>
    <w:rsid w:val="00CA48D9"/>
    <w:rsid w:val="00CA5761"/>
    <w:rsid w:val="00CA5782"/>
    <w:rsid w:val="00CA6113"/>
    <w:rsid w:val="00CA68BA"/>
    <w:rsid w:val="00CB0784"/>
    <w:rsid w:val="00CB1193"/>
    <w:rsid w:val="00CB192B"/>
    <w:rsid w:val="00CB358A"/>
    <w:rsid w:val="00CB3AEE"/>
    <w:rsid w:val="00CB4767"/>
    <w:rsid w:val="00CB493D"/>
    <w:rsid w:val="00CB5DFE"/>
    <w:rsid w:val="00CB5FB0"/>
    <w:rsid w:val="00CB69B7"/>
    <w:rsid w:val="00CC0320"/>
    <w:rsid w:val="00CC189F"/>
    <w:rsid w:val="00CC2224"/>
    <w:rsid w:val="00CC2DB0"/>
    <w:rsid w:val="00CC3257"/>
    <w:rsid w:val="00CC3B97"/>
    <w:rsid w:val="00CC3DCF"/>
    <w:rsid w:val="00CC40B9"/>
    <w:rsid w:val="00CC4410"/>
    <w:rsid w:val="00CC46FB"/>
    <w:rsid w:val="00CC49DA"/>
    <w:rsid w:val="00CC6578"/>
    <w:rsid w:val="00CC7099"/>
    <w:rsid w:val="00CD0292"/>
    <w:rsid w:val="00CD0AF7"/>
    <w:rsid w:val="00CD14C9"/>
    <w:rsid w:val="00CD1594"/>
    <w:rsid w:val="00CD3603"/>
    <w:rsid w:val="00CD4A8C"/>
    <w:rsid w:val="00CD5258"/>
    <w:rsid w:val="00CD52AF"/>
    <w:rsid w:val="00CD60F4"/>
    <w:rsid w:val="00CD611B"/>
    <w:rsid w:val="00CD6257"/>
    <w:rsid w:val="00CD7C0B"/>
    <w:rsid w:val="00CE10C4"/>
    <w:rsid w:val="00CE1AC1"/>
    <w:rsid w:val="00CE2343"/>
    <w:rsid w:val="00CE27B5"/>
    <w:rsid w:val="00CE2BDF"/>
    <w:rsid w:val="00CE2CF9"/>
    <w:rsid w:val="00CE57F7"/>
    <w:rsid w:val="00CE58DF"/>
    <w:rsid w:val="00CE6880"/>
    <w:rsid w:val="00CE6D24"/>
    <w:rsid w:val="00CE6DAF"/>
    <w:rsid w:val="00CE7257"/>
    <w:rsid w:val="00CE7440"/>
    <w:rsid w:val="00CE79E4"/>
    <w:rsid w:val="00CF010B"/>
    <w:rsid w:val="00CF0E5E"/>
    <w:rsid w:val="00CF23A8"/>
    <w:rsid w:val="00CF36E2"/>
    <w:rsid w:val="00CF410A"/>
    <w:rsid w:val="00CF47B8"/>
    <w:rsid w:val="00CF64BA"/>
    <w:rsid w:val="00CF67A4"/>
    <w:rsid w:val="00CF7528"/>
    <w:rsid w:val="00CF7FDE"/>
    <w:rsid w:val="00D012AF"/>
    <w:rsid w:val="00D01D38"/>
    <w:rsid w:val="00D02EAA"/>
    <w:rsid w:val="00D0321E"/>
    <w:rsid w:val="00D040B3"/>
    <w:rsid w:val="00D041EB"/>
    <w:rsid w:val="00D05457"/>
    <w:rsid w:val="00D069EB"/>
    <w:rsid w:val="00D078C6"/>
    <w:rsid w:val="00D07A8A"/>
    <w:rsid w:val="00D101F0"/>
    <w:rsid w:val="00D10E31"/>
    <w:rsid w:val="00D11199"/>
    <w:rsid w:val="00D13532"/>
    <w:rsid w:val="00D1377F"/>
    <w:rsid w:val="00D1455A"/>
    <w:rsid w:val="00D14573"/>
    <w:rsid w:val="00D14A70"/>
    <w:rsid w:val="00D15A96"/>
    <w:rsid w:val="00D17437"/>
    <w:rsid w:val="00D2060F"/>
    <w:rsid w:val="00D207EA"/>
    <w:rsid w:val="00D211FB"/>
    <w:rsid w:val="00D21496"/>
    <w:rsid w:val="00D21DA2"/>
    <w:rsid w:val="00D22093"/>
    <w:rsid w:val="00D2252D"/>
    <w:rsid w:val="00D260BE"/>
    <w:rsid w:val="00D30106"/>
    <w:rsid w:val="00D31150"/>
    <w:rsid w:val="00D3138B"/>
    <w:rsid w:val="00D31404"/>
    <w:rsid w:val="00D31FCE"/>
    <w:rsid w:val="00D32199"/>
    <w:rsid w:val="00D32307"/>
    <w:rsid w:val="00D3280C"/>
    <w:rsid w:val="00D330B7"/>
    <w:rsid w:val="00D3406A"/>
    <w:rsid w:val="00D34D24"/>
    <w:rsid w:val="00D34EFE"/>
    <w:rsid w:val="00D36993"/>
    <w:rsid w:val="00D36B48"/>
    <w:rsid w:val="00D40798"/>
    <w:rsid w:val="00D40B11"/>
    <w:rsid w:val="00D41511"/>
    <w:rsid w:val="00D4166D"/>
    <w:rsid w:val="00D41EBF"/>
    <w:rsid w:val="00D42864"/>
    <w:rsid w:val="00D429EC"/>
    <w:rsid w:val="00D441F1"/>
    <w:rsid w:val="00D44CB4"/>
    <w:rsid w:val="00D451CC"/>
    <w:rsid w:val="00D454A2"/>
    <w:rsid w:val="00D4572C"/>
    <w:rsid w:val="00D457EC"/>
    <w:rsid w:val="00D469B2"/>
    <w:rsid w:val="00D470A6"/>
    <w:rsid w:val="00D50BB6"/>
    <w:rsid w:val="00D50D43"/>
    <w:rsid w:val="00D52863"/>
    <w:rsid w:val="00D52B24"/>
    <w:rsid w:val="00D52CA0"/>
    <w:rsid w:val="00D52EAA"/>
    <w:rsid w:val="00D52ECF"/>
    <w:rsid w:val="00D53366"/>
    <w:rsid w:val="00D53F0C"/>
    <w:rsid w:val="00D5411A"/>
    <w:rsid w:val="00D54B09"/>
    <w:rsid w:val="00D5553F"/>
    <w:rsid w:val="00D55D5F"/>
    <w:rsid w:val="00D56758"/>
    <w:rsid w:val="00D579A2"/>
    <w:rsid w:val="00D6045B"/>
    <w:rsid w:val="00D61734"/>
    <w:rsid w:val="00D61953"/>
    <w:rsid w:val="00D61AC5"/>
    <w:rsid w:val="00D6243E"/>
    <w:rsid w:val="00D63170"/>
    <w:rsid w:val="00D63C89"/>
    <w:rsid w:val="00D65376"/>
    <w:rsid w:val="00D65658"/>
    <w:rsid w:val="00D66D59"/>
    <w:rsid w:val="00D67853"/>
    <w:rsid w:val="00D67A7E"/>
    <w:rsid w:val="00D67EB2"/>
    <w:rsid w:val="00D70349"/>
    <w:rsid w:val="00D71150"/>
    <w:rsid w:val="00D72B6F"/>
    <w:rsid w:val="00D741EB"/>
    <w:rsid w:val="00D745A6"/>
    <w:rsid w:val="00D74CEA"/>
    <w:rsid w:val="00D75511"/>
    <w:rsid w:val="00D75F04"/>
    <w:rsid w:val="00D7679C"/>
    <w:rsid w:val="00D80B3A"/>
    <w:rsid w:val="00D814B4"/>
    <w:rsid w:val="00D817A9"/>
    <w:rsid w:val="00D81ED0"/>
    <w:rsid w:val="00D820F3"/>
    <w:rsid w:val="00D82758"/>
    <w:rsid w:val="00D82B43"/>
    <w:rsid w:val="00D82EEE"/>
    <w:rsid w:val="00D8357E"/>
    <w:rsid w:val="00D83605"/>
    <w:rsid w:val="00D84934"/>
    <w:rsid w:val="00D866EB"/>
    <w:rsid w:val="00D86C52"/>
    <w:rsid w:val="00D87D1A"/>
    <w:rsid w:val="00D906DA"/>
    <w:rsid w:val="00D909C6"/>
    <w:rsid w:val="00D91271"/>
    <w:rsid w:val="00D91938"/>
    <w:rsid w:val="00D919F5"/>
    <w:rsid w:val="00D91DC6"/>
    <w:rsid w:val="00D92845"/>
    <w:rsid w:val="00D945F6"/>
    <w:rsid w:val="00D94F03"/>
    <w:rsid w:val="00D95161"/>
    <w:rsid w:val="00D952F1"/>
    <w:rsid w:val="00D95921"/>
    <w:rsid w:val="00D95C23"/>
    <w:rsid w:val="00DA009E"/>
    <w:rsid w:val="00DA02A5"/>
    <w:rsid w:val="00DA0A82"/>
    <w:rsid w:val="00DA0D14"/>
    <w:rsid w:val="00DA1715"/>
    <w:rsid w:val="00DA1FC9"/>
    <w:rsid w:val="00DA2CB5"/>
    <w:rsid w:val="00DA3175"/>
    <w:rsid w:val="00DA32AE"/>
    <w:rsid w:val="00DA337D"/>
    <w:rsid w:val="00DA358F"/>
    <w:rsid w:val="00DA383E"/>
    <w:rsid w:val="00DA4B65"/>
    <w:rsid w:val="00DA4BAC"/>
    <w:rsid w:val="00DA4F29"/>
    <w:rsid w:val="00DA722E"/>
    <w:rsid w:val="00DA7715"/>
    <w:rsid w:val="00DA792A"/>
    <w:rsid w:val="00DB0151"/>
    <w:rsid w:val="00DB0160"/>
    <w:rsid w:val="00DB04D7"/>
    <w:rsid w:val="00DB12C7"/>
    <w:rsid w:val="00DB2AFB"/>
    <w:rsid w:val="00DB30E4"/>
    <w:rsid w:val="00DB3A7C"/>
    <w:rsid w:val="00DB508B"/>
    <w:rsid w:val="00DB50E1"/>
    <w:rsid w:val="00DB510B"/>
    <w:rsid w:val="00DB5DF6"/>
    <w:rsid w:val="00DB6E44"/>
    <w:rsid w:val="00DB7209"/>
    <w:rsid w:val="00DC0110"/>
    <w:rsid w:val="00DC01D3"/>
    <w:rsid w:val="00DC0493"/>
    <w:rsid w:val="00DC0566"/>
    <w:rsid w:val="00DC05E1"/>
    <w:rsid w:val="00DC1499"/>
    <w:rsid w:val="00DC16CF"/>
    <w:rsid w:val="00DC1A0B"/>
    <w:rsid w:val="00DC1BFA"/>
    <w:rsid w:val="00DC2C11"/>
    <w:rsid w:val="00DC2C3E"/>
    <w:rsid w:val="00DC2F03"/>
    <w:rsid w:val="00DC3137"/>
    <w:rsid w:val="00DC3A71"/>
    <w:rsid w:val="00DC3EEC"/>
    <w:rsid w:val="00DC3F3B"/>
    <w:rsid w:val="00DC4880"/>
    <w:rsid w:val="00DC4ECD"/>
    <w:rsid w:val="00DC5671"/>
    <w:rsid w:val="00DC5777"/>
    <w:rsid w:val="00DC581F"/>
    <w:rsid w:val="00DC58D5"/>
    <w:rsid w:val="00DC5E90"/>
    <w:rsid w:val="00DC6219"/>
    <w:rsid w:val="00DC6AF3"/>
    <w:rsid w:val="00DC6EC3"/>
    <w:rsid w:val="00DC732A"/>
    <w:rsid w:val="00DC7393"/>
    <w:rsid w:val="00DC7974"/>
    <w:rsid w:val="00DD04D7"/>
    <w:rsid w:val="00DD04F4"/>
    <w:rsid w:val="00DD0BD6"/>
    <w:rsid w:val="00DD0BE9"/>
    <w:rsid w:val="00DD10CD"/>
    <w:rsid w:val="00DD26F9"/>
    <w:rsid w:val="00DD2E9D"/>
    <w:rsid w:val="00DD350E"/>
    <w:rsid w:val="00DD373D"/>
    <w:rsid w:val="00DD4047"/>
    <w:rsid w:val="00DD42AB"/>
    <w:rsid w:val="00DD44CF"/>
    <w:rsid w:val="00DD4C98"/>
    <w:rsid w:val="00DD68BD"/>
    <w:rsid w:val="00DD74AD"/>
    <w:rsid w:val="00DE06AF"/>
    <w:rsid w:val="00DE282E"/>
    <w:rsid w:val="00DE2851"/>
    <w:rsid w:val="00DE3267"/>
    <w:rsid w:val="00DE428A"/>
    <w:rsid w:val="00DE685B"/>
    <w:rsid w:val="00DE6992"/>
    <w:rsid w:val="00DE6B23"/>
    <w:rsid w:val="00DE6D27"/>
    <w:rsid w:val="00DE7537"/>
    <w:rsid w:val="00DE76EA"/>
    <w:rsid w:val="00DE782A"/>
    <w:rsid w:val="00DE78CA"/>
    <w:rsid w:val="00DF01F8"/>
    <w:rsid w:val="00DF021D"/>
    <w:rsid w:val="00DF0705"/>
    <w:rsid w:val="00DF073C"/>
    <w:rsid w:val="00DF078B"/>
    <w:rsid w:val="00DF14EE"/>
    <w:rsid w:val="00DF1BD8"/>
    <w:rsid w:val="00DF217D"/>
    <w:rsid w:val="00DF26A7"/>
    <w:rsid w:val="00DF2904"/>
    <w:rsid w:val="00DF2FEA"/>
    <w:rsid w:val="00DF3277"/>
    <w:rsid w:val="00DF3401"/>
    <w:rsid w:val="00DF6A31"/>
    <w:rsid w:val="00DF73F6"/>
    <w:rsid w:val="00DF7407"/>
    <w:rsid w:val="00DF77A1"/>
    <w:rsid w:val="00DF7919"/>
    <w:rsid w:val="00E00FCA"/>
    <w:rsid w:val="00E0207E"/>
    <w:rsid w:val="00E026BA"/>
    <w:rsid w:val="00E02AE6"/>
    <w:rsid w:val="00E02C75"/>
    <w:rsid w:val="00E03256"/>
    <w:rsid w:val="00E038A7"/>
    <w:rsid w:val="00E03912"/>
    <w:rsid w:val="00E04748"/>
    <w:rsid w:val="00E048BA"/>
    <w:rsid w:val="00E04CB8"/>
    <w:rsid w:val="00E0580F"/>
    <w:rsid w:val="00E060AF"/>
    <w:rsid w:val="00E066BA"/>
    <w:rsid w:val="00E07204"/>
    <w:rsid w:val="00E078D9"/>
    <w:rsid w:val="00E100D7"/>
    <w:rsid w:val="00E10293"/>
    <w:rsid w:val="00E103A0"/>
    <w:rsid w:val="00E1043F"/>
    <w:rsid w:val="00E1157E"/>
    <w:rsid w:val="00E11F44"/>
    <w:rsid w:val="00E13113"/>
    <w:rsid w:val="00E13E60"/>
    <w:rsid w:val="00E1403C"/>
    <w:rsid w:val="00E15627"/>
    <w:rsid w:val="00E164B3"/>
    <w:rsid w:val="00E16910"/>
    <w:rsid w:val="00E17C89"/>
    <w:rsid w:val="00E17D07"/>
    <w:rsid w:val="00E17EAB"/>
    <w:rsid w:val="00E201E7"/>
    <w:rsid w:val="00E20FED"/>
    <w:rsid w:val="00E21164"/>
    <w:rsid w:val="00E239E2"/>
    <w:rsid w:val="00E243D9"/>
    <w:rsid w:val="00E24E09"/>
    <w:rsid w:val="00E25607"/>
    <w:rsid w:val="00E25D0C"/>
    <w:rsid w:val="00E26CFB"/>
    <w:rsid w:val="00E27234"/>
    <w:rsid w:val="00E327EB"/>
    <w:rsid w:val="00E32ABC"/>
    <w:rsid w:val="00E32AE8"/>
    <w:rsid w:val="00E32FF7"/>
    <w:rsid w:val="00E3495C"/>
    <w:rsid w:val="00E34968"/>
    <w:rsid w:val="00E34971"/>
    <w:rsid w:val="00E34C08"/>
    <w:rsid w:val="00E34C33"/>
    <w:rsid w:val="00E34D29"/>
    <w:rsid w:val="00E353EF"/>
    <w:rsid w:val="00E35F4E"/>
    <w:rsid w:val="00E41CC1"/>
    <w:rsid w:val="00E42812"/>
    <w:rsid w:val="00E42BDB"/>
    <w:rsid w:val="00E4451F"/>
    <w:rsid w:val="00E4562A"/>
    <w:rsid w:val="00E45CBD"/>
    <w:rsid w:val="00E4774C"/>
    <w:rsid w:val="00E47A76"/>
    <w:rsid w:val="00E502D2"/>
    <w:rsid w:val="00E50F18"/>
    <w:rsid w:val="00E524A9"/>
    <w:rsid w:val="00E52766"/>
    <w:rsid w:val="00E52D97"/>
    <w:rsid w:val="00E53615"/>
    <w:rsid w:val="00E53F1A"/>
    <w:rsid w:val="00E5544D"/>
    <w:rsid w:val="00E5546B"/>
    <w:rsid w:val="00E55C36"/>
    <w:rsid w:val="00E56FC2"/>
    <w:rsid w:val="00E5726D"/>
    <w:rsid w:val="00E57EEB"/>
    <w:rsid w:val="00E60553"/>
    <w:rsid w:val="00E611E5"/>
    <w:rsid w:val="00E62D94"/>
    <w:rsid w:val="00E62ECC"/>
    <w:rsid w:val="00E6365A"/>
    <w:rsid w:val="00E63724"/>
    <w:rsid w:val="00E63AE7"/>
    <w:rsid w:val="00E64F37"/>
    <w:rsid w:val="00E65091"/>
    <w:rsid w:val="00E652E1"/>
    <w:rsid w:val="00E65393"/>
    <w:rsid w:val="00E65E54"/>
    <w:rsid w:val="00E661C7"/>
    <w:rsid w:val="00E665A0"/>
    <w:rsid w:val="00E66679"/>
    <w:rsid w:val="00E70FDD"/>
    <w:rsid w:val="00E7131B"/>
    <w:rsid w:val="00E72A55"/>
    <w:rsid w:val="00E732A5"/>
    <w:rsid w:val="00E732C4"/>
    <w:rsid w:val="00E74496"/>
    <w:rsid w:val="00E7474E"/>
    <w:rsid w:val="00E74CE3"/>
    <w:rsid w:val="00E74D8C"/>
    <w:rsid w:val="00E74E41"/>
    <w:rsid w:val="00E75151"/>
    <w:rsid w:val="00E75293"/>
    <w:rsid w:val="00E77088"/>
    <w:rsid w:val="00E77384"/>
    <w:rsid w:val="00E7778E"/>
    <w:rsid w:val="00E80155"/>
    <w:rsid w:val="00E80593"/>
    <w:rsid w:val="00E80C75"/>
    <w:rsid w:val="00E80F17"/>
    <w:rsid w:val="00E80F94"/>
    <w:rsid w:val="00E8134B"/>
    <w:rsid w:val="00E81E0D"/>
    <w:rsid w:val="00E81F28"/>
    <w:rsid w:val="00E82089"/>
    <w:rsid w:val="00E83EEA"/>
    <w:rsid w:val="00E848C0"/>
    <w:rsid w:val="00E84990"/>
    <w:rsid w:val="00E84BB8"/>
    <w:rsid w:val="00E84FC3"/>
    <w:rsid w:val="00E85B44"/>
    <w:rsid w:val="00E86F92"/>
    <w:rsid w:val="00E8785F"/>
    <w:rsid w:val="00E91B96"/>
    <w:rsid w:val="00E92BFD"/>
    <w:rsid w:val="00E92F2E"/>
    <w:rsid w:val="00E935DA"/>
    <w:rsid w:val="00E93D1E"/>
    <w:rsid w:val="00E940FA"/>
    <w:rsid w:val="00E941A1"/>
    <w:rsid w:val="00E9425E"/>
    <w:rsid w:val="00E952CC"/>
    <w:rsid w:val="00E9598B"/>
    <w:rsid w:val="00E95CE3"/>
    <w:rsid w:val="00E95F9A"/>
    <w:rsid w:val="00E96E99"/>
    <w:rsid w:val="00E973E4"/>
    <w:rsid w:val="00EA0856"/>
    <w:rsid w:val="00EA1DC4"/>
    <w:rsid w:val="00EA252F"/>
    <w:rsid w:val="00EA2825"/>
    <w:rsid w:val="00EA3E22"/>
    <w:rsid w:val="00EA5027"/>
    <w:rsid w:val="00EA64C2"/>
    <w:rsid w:val="00EA6518"/>
    <w:rsid w:val="00EA6F8C"/>
    <w:rsid w:val="00EA71A2"/>
    <w:rsid w:val="00EA7466"/>
    <w:rsid w:val="00EA74B3"/>
    <w:rsid w:val="00EA7EDE"/>
    <w:rsid w:val="00EB0B63"/>
    <w:rsid w:val="00EB0EB5"/>
    <w:rsid w:val="00EB160A"/>
    <w:rsid w:val="00EB1936"/>
    <w:rsid w:val="00EB22A2"/>
    <w:rsid w:val="00EB3545"/>
    <w:rsid w:val="00EB37BE"/>
    <w:rsid w:val="00EB4BAE"/>
    <w:rsid w:val="00EB5088"/>
    <w:rsid w:val="00EB5842"/>
    <w:rsid w:val="00EB6B3A"/>
    <w:rsid w:val="00EB7210"/>
    <w:rsid w:val="00EB72EC"/>
    <w:rsid w:val="00EC1633"/>
    <w:rsid w:val="00EC19FC"/>
    <w:rsid w:val="00EC1EB7"/>
    <w:rsid w:val="00EC23A4"/>
    <w:rsid w:val="00EC2726"/>
    <w:rsid w:val="00EC3128"/>
    <w:rsid w:val="00EC3213"/>
    <w:rsid w:val="00EC3DCD"/>
    <w:rsid w:val="00EC4247"/>
    <w:rsid w:val="00EC453B"/>
    <w:rsid w:val="00EC4C6E"/>
    <w:rsid w:val="00EC5430"/>
    <w:rsid w:val="00EC575E"/>
    <w:rsid w:val="00EC5DD8"/>
    <w:rsid w:val="00EC5F58"/>
    <w:rsid w:val="00EC681C"/>
    <w:rsid w:val="00EC6EC6"/>
    <w:rsid w:val="00EC74B3"/>
    <w:rsid w:val="00EC74E8"/>
    <w:rsid w:val="00EC7B87"/>
    <w:rsid w:val="00ED0EA2"/>
    <w:rsid w:val="00ED104C"/>
    <w:rsid w:val="00ED1519"/>
    <w:rsid w:val="00ED1644"/>
    <w:rsid w:val="00ED2593"/>
    <w:rsid w:val="00ED2C82"/>
    <w:rsid w:val="00ED32C8"/>
    <w:rsid w:val="00ED3709"/>
    <w:rsid w:val="00ED3B9A"/>
    <w:rsid w:val="00ED432F"/>
    <w:rsid w:val="00ED5005"/>
    <w:rsid w:val="00ED50AA"/>
    <w:rsid w:val="00ED5CB1"/>
    <w:rsid w:val="00ED6E34"/>
    <w:rsid w:val="00ED6E4A"/>
    <w:rsid w:val="00ED7D55"/>
    <w:rsid w:val="00ED7D9C"/>
    <w:rsid w:val="00EE00A7"/>
    <w:rsid w:val="00EE0FE4"/>
    <w:rsid w:val="00EE19F5"/>
    <w:rsid w:val="00EE1E3F"/>
    <w:rsid w:val="00EE2F77"/>
    <w:rsid w:val="00EE3158"/>
    <w:rsid w:val="00EE31A2"/>
    <w:rsid w:val="00EE327E"/>
    <w:rsid w:val="00EE34E4"/>
    <w:rsid w:val="00EE3A7A"/>
    <w:rsid w:val="00EE3C79"/>
    <w:rsid w:val="00EE410B"/>
    <w:rsid w:val="00EE4329"/>
    <w:rsid w:val="00EE5338"/>
    <w:rsid w:val="00EE6203"/>
    <w:rsid w:val="00EF0069"/>
    <w:rsid w:val="00EF0DF0"/>
    <w:rsid w:val="00EF0ED3"/>
    <w:rsid w:val="00EF175E"/>
    <w:rsid w:val="00EF229C"/>
    <w:rsid w:val="00EF3C52"/>
    <w:rsid w:val="00EF3C7F"/>
    <w:rsid w:val="00EF44A0"/>
    <w:rsid w:val="00EF4580"/>
    <w:rsid w:val="00EF4FED"/>
    <w:rsid w:val="00EF51C8"/>
    <w:rsid w:val="00EF5F45"/>
    <w:rsid w:val="00EF6367"/>
    <w:rsid w:val="00EF6843"/>
    <w:rsid w:val="00EF6941"/>
    <w:rsid w:val="00EF6FB3"/>
    <w:rsid w:val="00EF7EAD"/>
    <w:rsid w:val="00F0068B"/>
    <w:rsid w:val="00F00756"/>
    <w:rsid w:val="00F007C6"/>
    <w:rsid w:val="00F00FE9"/>
    <w:rsid w:val="00F0172E"/>
    <w:rsid w:val="00F01993"/>
    <w:rsid w:val="00F01E6F"/>
    <w:rsid w:val="00F02C07"/>
    <w:rsid w:val="00F036C3"/>
    <w:rsid w:val="00F03CBA"/>
    <w:rsid w:val="00F04380"/>
    <w:rsid w:val="00F050BD"/>
    <w:rsid w:val="00F05657"/>
    <w:rsid w:val="00F05AB0"/>
    <w:rsid w:val="00F0614E"/>
    <w:rsid w:val="00F06DDD"/>
    <w:rsid w:val="00F0748E"/>
    <w:rsid w:val="00F10DC9"/>
    <w:rsid w:val="00F10FD2"/>
    <w:rsid w:val="00F112FD"/>
    <w:rsid w:val="00F1250E"/>
    <w:rsid w:val="00F12C74"/>
    <w:rsid w:val="00F13214"/>
    <w:rsid w:val="00F13860"/>
    <w:rsid w:val="00F14BAB"/>
    <w:rsid w:val="00F14D49"/>
    <w:rsid w:val="00F1559A"/>
    <w:rsid w:val="00F15E68"/>
    <w:rsid w:val="00F15F39"/>
    <w:rsid w:val="00F1670F"/>
    <w:rsid w:val="00F17ED6"/>
    <w:rsid w:val="00F20676"/>
    <w:rsid w:val="00F209E2"/>
    <w:rsid w:val="00F20EE9"/>
    <w:rsid w:val="00F21CB0"/>
    <w:rsid w:val="00F227C8"/>
    <w:rsid w:val="00F22F1A"/>
    <w:rsid w:val="00F2398F"/>
    <w:rsid w:val="00F2502B"/>
    <w:rsid w:val="00F25578"/>
    <w:rsid w:val="00F25707"/>
    <w:rsid w:val="00F258E5"/>
    <w:rsid w:val="00F25B9C"/>
    <w:rsid w:val="00F2619B"/>
    <w:rsid w:val="00F2675A"/>
    <w:rsid w:val="00F26CC6"/>
    <w:rsid w:val="00F26D80"/>
    <w:rsid w:val="00F300BC"/>
    <w:rsid w:val="00F30200"/>
    <w:rsid w:val="00F305FA"/>
    <w:rsid w:val="00F31BFD"/>
    <w:rsid w:val="00F3263C"/>
    <w:rsid w:val="00F3313C"/>
    <w:rsid w:val="00F3334E"/>
    <w:rsid w:val="00F33D87"/>
    <w:rsid w:val="00F34CA6"/>
    <w:rsid w:val="00F35227"/>
    <w:rsid w:val="00F3573A"/>
    <w:rsid w:val="00F368BD"/>
    <w:rsid w:val="00F36CCB"/>
    <w:rsid w:val="00F374E5"/>
    <w:rsid w:val="00F37B93"/>
    <w:rsid w:val="00F37BAD"/>
    <w:rsid w:val="00F37ECA"/>
    <w:rsid w:val="00F37FF9"/>
    <w:rsid w:val="00F40A1C"/>
    <w:rsid w:val="00F40FAA"/>
    <w:rsid w:val="00F42C7A"/>
    <w:rsid w:val="00F437D1"/>
    <w:rsid w:val="00F43AF2"/>
    <w:rsid w:val="00F43C3B"/>
    <w:rsid w:val="00F44107"/>
    <w:rsid w:val="00F44FAE"/>
    <w:rsid w:val="00F45216"/>
    <w:rsid w:val="00F5007E"/>
    <w:rsid w:val="00F508F6"/>
    <w:rsid w:val="00F50BB6"/>
    <w:rsid w:val="00F50EC4"/>
    <w:rsid w:val="00F50FD5"/>
    <w:rsid w:val="00F5162E"/>
    <w:rsid w:val="00F52232"/>
    <w:rsid w:val="00F52717"/>
    <w:rsid w:val="00F527B1"/>
    <w:rsid w:val="00F52DC2"/>
    <w:rsid w:val="00F53327"/>
    <w:rsid w:val="00F54AF9"/>
    <w:rsid w:val="00F550CF"/>
    <w:rsid w:val="00F553D2"/>
    <w:rsid w:val="00F55859"/>
    <w:rsid w:val="00F56A2D"/>
    <w:rsid w:val="00F56F0A"/>
    <w:rsid w:val="00F57A6D"/>
    <w:rsid w:val="00F57FEF"/>
    <w:rsid w:val="00F6044B"/>
    <w:rsid w:val="00F610D5"/>
    <w:rsid w:val="00F61385"/>
    <w:rsid w:val="00F615D6"/>
    <w:rsid w:val="00F6256B"/>
    <w:rsid w:val="00F62F19"/>
    <w:rsid w:val="00F6312A"/>
    <w:rsid w:val="00F638CC"/>
    <w:rsid w:val="00F63FA5"/>
    <w:rsid w:val="00F64157"/>
    <w:rsid w:val="00F6431F"/>
    <w:rsid w:val="00F6451B"/>
    <w:rsid w:val="00F64C9E"/>
    <w:rsid w:val="00F64CC1"/>
    <w:rsid w:val="00F64E22"/>
    <w:rsid w:val="00F64FC8"/>
    <w:rsid w:val="00F650C2"/>
    <w:rsid w:val="00F6522F"/>
    <w:rsid w:val="00F67742"/>
    <w:rsid w:val="00F67D54"/>
    <w:rsid w:val="00F708B1"/>
    <w:rsid w:val="00F7191B"/>
    <w:rsid w:val="00F72317"/>
    <w:rsid w:val="00F72E40"/>
    <w:rsid w:val="00F730E9"/>
    <w:rsid w:val="00F73848"/>
    <w:rsid w:val="00F73DC1"/>
    <w:rsid w:val="00F75BB8"/>
    <w:rsid w:val="00F75CC3"/>
    <w:rsid w:val="00F77714"/>
    <w:rsid w:val="00F77EA6"/>
    <w:rsid w:val="00F80475"/>
    <w:rsid w:val="00F80E6E"/>
    <w:rsid w:val="00F81390"/>
    <w:rsid w:val="00F81F7A"/>
    <w:rsid w:val="00F8247A"/>
    <w:rsid w:val="00F82909"/>
    <w:rsid w:val="00F82E5C"/>
    <w:rsid w:val="00F83124"/>
    <w:rsid w:val="00F83328"/>
    <w:rsid w:val="00F834DD"/>
    <w:rsid w:val="00F83E86"/>
    <w:rsid w:val="00F83F58"/>
    <w:rsid w:val="00F84830"/>
    <w:rsid w:val="00F848A3"/>
    <w:rsid w:val="00F85206"/>
    <w:rsid w:val="00F872B5"/>
    <w:rsid w:val="00F87641"/>
    <w:rsid w:val="00F87C7A"/>
    <w:rsid w:val="00F87CEA"/>
    <w:rsid w:val="00F90D7A"/>
    <w:rsid w:val="00F91204"/>
    <w:rsid w:val="00F91685"/>
    <w:rsid w:val="00F91993"/>
    <w:rsid w:val="00F9265D"/>
    <w:rsid w:val="00F944E2"/>
    <w:rsid w:val="00F946DA"/>
    <w:rsid w:val="00F9571F"/>
    <w:rsid w:val="00F96162"/>
    <w:rsid w:val="00F9629A"/>
    <w:rsid w:val="00F96BC4"/>
    <w:rsid w:val="00F97C59"/>
    <w:rsid w:val="00F97EFC"/>
    <w:rsid w:val="00FA00B7"/>
    <w:rsid w:val="00FA054E"/>
    <w:rsid w:val="00FA0B04"/>
    <w:rsid w:val="00FA0C7C"/>
    <w:rsid w:val="00FA1249"/>
    <w:rsid w:val="00FA1BDD"/>
    <w:rsid w:val="00FA305C"/>
    <w:rsid w:val="00FA351B"/>
    <w:rsid w:val="00FA462E"/>
    <w:rsid w:val="00FA4A72"/>
    <w:rsid w:val="00FA4DD5"/>
    <w:rsid w:val="00FA5883"/>
    <w:rsid w:val="00FA6055"/>
    <w:rsid w:val="00FA60AD"/>
    <w:rsid w:val="00FA623A"/>
    <w:rsid w:val="00FA6446"/>
    <w:rsid w:val="00FA6967"/>
    <w:rsid w:val="00FA6ED7"/>
    <w:rsid w:val="00FA72F9"/>
    <w:rsid w:val="00FA7A41"/>
    <w:rsid w:val="00FA7CB7"/>
    <w:rsid w:val="00FA7E5E"/>
    <w:rsid w:val="00FB0429"/>
    <w:rsid w:val="00FB0B39"/>
    <w:rsid w:val="00FB0BE1"/>
    <w:rsid w:val="00FB17D4"/>
    <w:rsid w:val="00FB203A"/>
    <w:rsid w:val="00FB24E6"/>
    <w:rsid w:val="00FB2862"/>
    <w:rsid w:val="00FB322F"/>
    <w:rsid w:val="00FB442F"/>
    <w:rsid w:val="00FB4FC6"/>
    <w:rsid w:val="00FC0AEB"/>
    <w:rsid w:val="00FC0B02"/>
    <w:rsid w:val="00FC0BFC"/>
    <w:rsid w:val="00FC118C"/>
    <w:rsid w:val="00FC1929"/>
    <w:rsid w:val="00FC3CC4"/>
    <w:rsid w:val="00FC3FCC"/>
    <w:rsid w:val="00FC566C"/>
    <w:rsid w:val="00FC5B46"/>
    <w:rsid w:val="00FC727E"/>
    <w:rsid w:val="00FC7E4D"/>
    <w:rsid w:val="00FD15B3"/>
    <w:rsid w:val="00FD1D4F"/>
    <w:rsid w:val="00FD2327"/>
    <w:rsid w:val="00FD24BF"/>
    <w:rsid w:val="00FD2AE2"/>
    <w:rsid w:val="00FD3B6E"/>
    <w:rsid w:val="00FD4140"/>
    <w:rsid w:val="00FD46BD"/>
    <w:rsid w:val="00FD4858"/>
    <w:rsid w:val="00FD4B7E"/>
    <w:rsid w:val="00FD503E"/>
    <w:rsid w:val="00FD57EB"/>
    <w:rsid w:val="00FD6D8E"/>
    <w:rsid w:val="00FD7ACF"/>
    <w:rsid w:val="00FE02B7"/>
    <w:rsid w:val="00FE0663"/>
    <w:rsid w:val="00FE0E94"/>
    <w:rsid w:val="00FE16D8"/>
    <w:rsid w:val="00FE2991"/>
    <w:rsid w:val="00FE369C"/>
    <w:rsid w:val="00FE3CD9"/>
    <w:rsid w:val="00FE4C5D"/>
    <w:rsid w:val="00FE4F7D"/>
    <w:rsid w:val="00FF00BD"/>
    <w:rsid w:val="00FF067C"/>
    <w:rsid w:val="00FF0B13"/>
    <w:rsid w:val="00FF1672"/>
    <w:rsid w:val="00FF1ED4"/>
    <w:rsid w:val="00FF2801"/>
    <w:rsid w:val="00FF372B"/>
    <w:rsid w:val="00FF431F"/>
    <w:rsid w:val="00FF46CE"/>
    <w:rsid w:val="00FF569F"/>
    <w:rsid w:val="00FF621B"/>
    <w:rsid w:val="00FF6252"/>
    <w:rsid w:val="00FF799B"/>
    <w:rsid w:val="00FF7D6F"/>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8DEE221"/>
    <w:rsid w:val="29365BD7"/>
    <w:rsid w:val="29882150"/>
    <w:rsid w:val="29E0E709"/>
    <w:rsid w:val="2AA490C3"/>
    <w:rsid w:val="2AB480AD"/>
    <w:rsid w:val="2B8D5B09"/>
    <w:rsid w:val="2C4C1D68"/>
    <w:rsid w:val="2C7C3DFB"/>
    <w:rsid w:val="2D0E8055"/>
    <w:rsid w:val="2D470254"/>
    <w:rsid w:val="2DECC312"/>
    <w:rsid w:val="2E4579D6"/>
    <w:rsid w:val="2EF0545B"/>
    <w:rsid w:val="2F928019"/>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70E890"/>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7DD8E4"/>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15:docId w15:val="{FD5823FF-2EE5-42EB-90DD-AB349BC7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F2619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RTI AMCP Table,new styl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Restrictiontemplate">
    <w:name w:val="Restriction template"/>
    <w:basedOn w:val="Normal"/>
    <w:link w:val="RestrictiontemplateChar"/>
    <w:qFormat/>
    <w:rsid w:val="00401F95"/>
    <w:pPr>
      <w:tabs>
        <w:tab w:val="left" w:pos="851"/>
      </w:tabs>
      <w:jc w:val="left"/>
    </w:pPr>
    <w:rPr>
      <w:rFonts w:ascii="Arial Narrow" w:eastAsiaTheme="minorHAnsi" w:hAnsi="Arial Narrow" w:cs="Calibri"/>
      <w:color w:val="000000" w:themeColor="text1"/>
      <w:sz w:val="18"/>
      <w:szCs w:val="18"/>
      <w:lang w:eastAsia="en-US"/>
    </w:rPr>
  </w:style>
  <w:style w:type="character" w:customStyle="1" w:styleId="RestrictiontemplateChar">
    <w:name w:val="Restriction template Char"/>
    <w:basedOn w:val="DefaultParagraphFont"/>
    <w:link w:val="Restrictiontemplate"/>
    <w:rsid w:val="00401F95"/>
    <w:rPr>
      <w:rFonts w:ascii="Arial Narrow" w:eastAsiaTheme="minorHAnsi" w:hAnsi="Arial Narrow" w:cs="Calibri"/>
      <w:color w:val="000000" w:themeColor="text1"/>
      <w:sz w:val="18"/>
      <w:szCs w:val="18"/>
      <w:lang w:eastAsia="en-US"/>
    </w:rPr>
  </w:style>
  <w:style w:type="character" w:styleId="Strong">
    <w:name w:val="Strong"/>
    <w:basedOn w:val="DefaultParagraphFont"/>
    <w:uiPriority w:val="22"/>
    <w:qFormat/>
    <w:rsid w:val="00401F95"/>
    <w:rPr>
      <w:b/>
      <w:bCs/>
    </w:rPr>
  </w:style>
  <w:style w:type="paragraph" w:styleId="FootnoteText">
    <w:name w:val="footnote text"/>
    <w:basedOn w:val="Normal"/>
    <w:link w:val="FootnoteTextChar"/>
    <w:semiHidden/>
    <w:unhideWhenUsed/>
    <w:rsid w:val="00C6433C"/>
    <w:rPr>
      <w:sz w:val="20"/>
      <w:szCs w:val="20"/>
    </w:rPr>
  </w:style>
  <w:style w:type="character" w:customStyle="1" w:styleId="FootnoteTextChar">
    <w:name w:val="Footnote Text Char"/>
    <w:basedOn w:val="DefaultParagraphFont"/>
    <w:link w:val="FootnoteText"/>
    <w:semiHidden/>
    <w:rsid w:val="00C6433C"/>
    <w:rPr>
      <w:rFonts w:ascii="Calibri" w:hAnsi="Calibri"/>
    </w:rPr>
  </w:style>
  <w:style w:type="character" w:styleId="FootnoteReference">
    <w:name w:val="footnote reference"/>
    <w:basedOn w:val="DefaultParagraphFont"/>
    <w:semiHidden/>
    <w:unhideWhenUsed/>
    <w:rsid w:val="00C6433C"/>
    <w:rPr>
      <w:vertAlign w:val="superscript"/>
    </w:rPr>
  </w:style>
  <w:style w:type="paragraph" w:customStyle="1" w:styleId="TableHeading0">
    <w:name w:val="Table Heading"/>
    <w:basedOn w:val="TableText1"/>
    <w:link w:val="TableHeadingChar"/>
    <w:rsid w:val="009C7D1F"/>
    <w:rPr>
      <w:b/>
      <w:bCs/>
    </w:rPr>
  </w:style>
  <w:style w:type="character" w:customStyle="1" w:styleId="TableHeadingChar">
    <w:name w:val="Table Heading Char"/>
    <w:link w:val="TableHeading0"/>
    <w:rsid w:val="009C7D1F"/>
    <w:rPr>
      <w:rFonts w:asciiTheme="minorHAnsi" w:eastAsiaTheme="minorHAnsi" w:hAnsiTheme="minorHAnsi" w:cstheme="minorHAnsi"/>
      <w:b/>
      <w:bCs/>
      <w:color w:val="000000"/>
      <w:lang w:eastAsia="en-US"/>
    </w:rPr>
  </w:style>
  <w:style w:type="paragraph" w:customStyle="1" w:styleId="TableText1">
    <w:name w:val="TableText"/>
    <w:basedOn w:val="Normal"/>
    <w:link w:val="TableTextChar1"/>
    <w:qFormat/>
    <w:rsid w:val="009C7D1F"/>
    <w:pPr>
      <w:tabs>
        <w:tab w:val="left" w:pos="851"/>
      </w:tabs>
      <w:jc w:val="left"/>
    </w:pPr>
    <w:rPr>
      <w:rFonts w:asciiTheme="minorHAnsi" w:eastAsiaTheme="minorHAnsi" w:hAnsiTheme="minorHAnsi" w:cstheme="minorHAnsi"/>
      <w:color w:val="000000"/>
      <w:sz w:val="20"/>
      <w:szCs w:val="20"/>
      <w:lang w:eastAsia="en-US"/>
    </w:rPr>
  </w:style>
  <w:style w:type="character" w:customStyle="1" w:styleId="TableTextChar1">
    <w:name w:val="TableText Char"/>
    <w:link w:val="TableText1"/>
    <w:rsid w:val="009C7D1F"/>
    <w:rPr>
      <w:rFonts w:asciiTheme="minorHAnsi" w:eastAsiaTheme="minorHAnsi" w:hAnsiTheme="minorHAnsi" w:cstheme="minorHAnsi"/>
      <w:color w:val="000000"/>
      <w:lang w:eastAsia="en-US"/>
    </w:rPr>
  </w:style>
  <w:style w:type="paragraph" w:customStyle="1" w:styleId="Tablenotes0">
    <w:name w:val="Table notes"/>
    <w:basedOn w:val="Normal"/>
    <w:link w:val="TablenotesChar"/>
    <w:qFormat/>
    <w:rsid w:val="00E32AE8"/>
    <w:pPr>
      <w:tabs>
        <w:tab w:val="left" w:pos="851"/>
      </w:tabs>
      <w:jc w:val="left"/>
    </w:pPr>
    <w:rPr>
      <w:rFonts w:eastAsiaTheme="minorHAnsi" w:cs="Calibri"/>
      <w:color w:val="000000"/>
      <w:sz w:val="16"/>
      <w:szCs w:val="16"/>
      <w:lang w:eastAsia="en-US"/>
    </w:rPr>
  </w:style>
  <w:style w:type="character" w:customStyle="1" w:styleId="TablenotesChar">
    <w:name w:val="Table notes Char"/>
    <w:basedOn w:val="DefaultParagraphFont"/>
    <w:link w:val="Tablenotes0"/>
    <w:rsid w:val="00E32AE8"/>
    <w:rPr>
      <w:rFonts w:ascii="Calibri" w:eastAsiaTheme="minorHAnsi" w:hAnsi="Calibri" w:cs="Calibri"/>
      <w:color w:val="000000"/>
      <w:sz w:val="16"/>
      <w:szCs w:val="16"/>
      <w:lang w:eastAsia="en-US"/>
    </w:rPr>
  </w:style>
  <w:style w:type="character" w:styleId="Mention">
    <w:name w:val="Mention"/>
    <w:basedOn w:val="DefaultParagraphFont"/>
    <w:uiPriority w:val="99"/>
    <w:unhideWhenUsed/>
    <w:rsid w:val="002C785A"/>
    <w:rPr>
      <w:color w:val="2B579A"/>
      <w:shd w:val="clear" w:color="auto" w:fill="E1DFDD"/>
    </w:rPr>
  </w:style>
  <w:style w:type="paragraph" w:customStyle="1" w:styleId="COMESH2">
    <w:name w:val="COM ES H2"/>
    <w:next w:val="COMESnumberedpara"/>
    <w:qFormat/>
    <w:rsid w:val="007B2DD8"/>
    <w:pPr>
      <w:keepNext/>
      <w:spacing w:before="240" w:after="120"/>
      <w:ind w:left="720" w:hanging="720"/>
      <w:outlineLvl w:val="0"/>
    </w:pPr>
    <w:rPr>
      <w:rFonts w:asciiTheme="minorHAnsi" w:hAnsiTheme="minorHAnsi" w:cs="Arial"/>
      <w:b/>
      <w:snapToGrid w:val="0"/>
      <w:sz w:val="32"/>
      <w:szCs w:val="32"/>
    </w:rPr>
  </w:style>
  <w:style w:type="paragraph" w:customStyle="1" w:styleId="COMESnumberedpara">
    <w:name w:val="COM ES numbered para"/>
    <w:qFormat/>
    <w:rsid w:val="007B2DD8"/>
    <w:pPr>
      <w:spacing w:before="60" w:after="60"/>
      <w:ind w:left="720" w:hanging="720"/>
      <w:jc w:val="both"/>
    </w:pPr>
    <w:rPr>
      <w:rFonts w:asciiTheme="minorHAnsi" w:eastAsiaTheme="minorHAnsi" w:hAnsiTheme="minorHAnsi" w:cstheme="minorBidi"/>
      <w:sz w:val="24"/>
      <w:szCs w:val="22"/>
    </w:rPr>
  </w:style>
  <w:style w:type="character" w:customStyle="1" w:styleId="Heading4Char">
    <w:name w:val="Heading 4 Char"/>
    <w:basedOn w:val="DefaultParagraphFont"/>
    <w:link w:val="Heading4"/>
    <w:semiHidden/>
    <w:rsid w:val="00F2619B"/>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s.tga.gov.au/ebs/picmi/picmirepository.nsf/pdf?OpenAgent=&amp;id=CP-2025-PI-02479-1&amp;d=2026021017231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5DE2C-A44F-453C-9560-F5272AA162A2}">
  <ds:schemaRefs>
    <ds:schemaRef ds:uri="http://schemas.microsoft.com/sharepoint/v3/contenttype/forms"/>
  </ds:schemaRefs>
</ds:datastoreItem>
</file>

<file path=customXml/itemProps2.xml><?xml version="1.0" encoding="utf-8"?>
<ds:datastoreItem xmlns:ds="http://schemas.openxmlformats.org/officeDocument/2006/customXml" ds:itemID="{A33E419F-8E2E-4FAA-A5EE-33CCCB986CE3}">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B8AEC6FE-20A4-452A-BEFE-CBF08C2EF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6511</Words>
  <Characters>36401</Characters>
  <Application>Microsoft Office Word</Application>
  <DocSecurity>0</DocSecurity>
  <Lines>1174</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42173</CharactersWithSpaces>
  <SharedDoc>false</SharedDoc>
  <HLinks>
    <vt:vector size="6" baseType="variant">
      <vt:variant>
        <vt:i4>1638400</vt:i4>
      </vt:variant>
      <vt:variant>
        <vt:i4>0</vt:i4>
      </vt:variant>
      <vt:variant>
        <vt:i4>0</vt:i4>
      </vt:variant>
      <vt:variant>
        <vt:i4>5</vt:i4>
      </vt:variant>
      <vt:variant>
        <vt:lpwstr>https://www.ebs.tga.gov.au/ebs/picmi/picmirepository.nsf/pdf?OpenAgent=&amp;id=CP-2025-PI-02479-1&amp;d=20260210172310101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 Jason</dc:creator>
  <cp:keywords/>
  <cp:lastModifiedBy>MAK, Jason</cp:lastModifiedBy>
  <cp:revision>2</cp:revision>
  <dcterms:created xsi:type="dcterms:W3CDTF">2026-07-07T01:35:00Z</dcterms:created>
  <dcterms:modified xsi:type="dcterms:W3CDTF">2026-07-07T01:35:00Z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5433d7c,609990a4,1f2d5774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8271f04,120bd2c5,7c173377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2026-04-01T05:31:38Z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46f08d94-ceac-4e1e-8d2b-45d5c776e61b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