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4C5" w14:textId="45EF8381" w:rsidR="00433044" w:rsidRPr="0098262F" w:rsidRDefault="00D50551" w:rsidP="001020EF">
      <w:pPr>
        <w:pStyle w:val="1-MainHeading"/>
      </w:pPr>
      <w:bookmarkStart w:id="0" w:name="_Toc219886537"/>
      <w:r>
        <w:t>6</w:t>
      </w:r>
      <w:r w:rsidR="00433044" w:rsidRPr="0098262F">
        <w:t>.</w:t>
      </w:r>
      <w:r>
        <w:t>09</w:t>
      </w:r>
      <w:r w:rsidR="00163F66" w:rsidRPr="0098262F">
        <w:tab/>
      </w:r>
      <w:r w:rsidR="00A05FB4" w:rsidRPr="00A05FB4">
        <w:t>OBINUTUZUMAB</w:t>
      </w:r>
      <w:r w:rsidR="00163F66" w:rsidRPr="0098262F">
        <w:t>,</w:t>
      </w:r>
      <w:r w:rsidR="00163F66" w:rsidRPr="0098262F">
        <w:br/>
      </w:r>
      <w:r w:rsidR="00A05FB4" w:rsidRPr="00A05FB4">
        <w:t>Solution for I.V. infusion</w:t>
      </w:r>
      <w:r w:rsidR="00A406A2">
        <w:t xml:space="preserve"> </w:t>
      </w:r>
      <w:r w:rsidR="00566559" w:rsidRPr="00A05FB4">
        <w:t>1000 mg in 40 mL</w:t>
      </w:r>
      <w:r w:rsidR="00163F66" w:rsidRPr="0098262F">
        <w:t>,</w:t>
      </w:r>
      <w:r w:rsidR="00163F66" w:rsidRPr="0098262F">
        <w:br/>
      </w:r>
      <w:r w:rsidR="00643DE1">
        <w:t>G</w:t>
      </w:r>
      <w:r w:rsidR="001B0810">
        <w:t>azyva</w:t>
      </w:r>
      <w:r w:rsidR="00566559">
        <w:t>®</w:t>
      </w:r>
      <w:r w:rsidR="004A6040" w:rsidRPr="0098262F">
        <w:t>,</w:t>
      </w:r>
      <w:r w:rsidR="004A6040" w:rsidRPr="0098262F">
        <w:br/>
      </w:r>
      <w:r w:rsidR="008F1425">
        <w:t>R</w:t>
      </w:r>
      <w:r w:rsidR="008F1425" w:rsidRPr="00566559">
        <w:t xml:space="preserve">oche </w:t>
      </w:r>
      <w:r w:rsidR="008F1425">
        <w:t>P</w:t>
      </w:r>
      <w:r w:rsidR="008F1425" w:rsidRPr="00566559">
        <w:t xml:space="preserve">roducts </w:t>
      </w:r>
      <w:r w:rsidR="008F1425">
        <w:t>P</w:t>
      </w:r>
      <w:r w:rsidR="008F1425" w:rsidRPr="00566559">
        <w:t xml:space="preserve">ty </w:t>
      </w:r>
      <w:r w:rsidR="008F1425">
        <w:t>L</w:t>
      </w:r>
      <w:r w:rsidR="008F1425" w:rsidRPr="00566559">
        <w:t>td</w:t>
      </w:r>
      <w:r w:rsidR="00B60939" w:rsidRPr="0098262F">
        <w:t>.</w:t>
      </w:r>
      <w:bookmarkEnd w:id="0"/>
    </w:p>
    <w:p w14:paraId="11C00795" w14:textId="3DFB6D23" w:rsidR="00B50DB8" w:rsidRPr="0098262F" w:rsidRDefault="00B50DB8" w:rsidP="004A6040">
      <w:pPr>
        <w:pStyle w:val="2-SectionHeading"/>
      </w:pPr>
      <w:bookmarkStart w:id="1" w:name="_Toc219886539"/>
      <w:r w:rsidRPr="0098262F">
        <w:t xml:space="preserve">Purpose of </w:t>
      </w:r>
      <w:r w:rsidR="00CD7193" w:rsidRPr="0098262F">
        <w:t>s</w:t>
      </w:r>
      <w:r w:rsidR="00BB3A45" w:rsidRPr="0098262F">
        <w:t>ubmission</w:t>
      </w:r>
      <w:bookmarkEnd w:id="1"/>
    </w:p>
    <w:p w14:paraId="0FDB7EC5" w14:textId="727FBA69" w:rsidR="00280B51" w:rsidRDefault="00280B51" w:rsidP="004E18E9">
      <w:pPr>
        <w:pStyle w:val="3-BodyText"/>
      </w:pPr>
      <w:r>
        <w:t xml:space="preserve">The Category </w:t>
      </w:r>
      <w:r w:rsidR="001474DF">
        <w:t>2</w:t>
      </w:r>
      <w:r>
        <w:t xml:space="preserve"> submission requested Section 100 (Highly Specialised Drugs Program) Authority Required (telephone/online) listing of obinutuzumab for </w:t>
      </w:r>
      <w:r w:rsidR="004E3FF5">
        <w:t xml:space="preserve">the treatment of patients with a confirmed diagnosis of </w:t>
      </w:r>
      <w:r>
        <w:t>active class III</w:t>
      </w:r>
      <w:r w:rsidR="005A2D64">
        <w:t xml:space="preserve"> or</w:t>
      </w:r>
      <w:r w:rsidR="00C74328">
        <w:t xml:space="preserve"> </w:t>
      </w:r>
      <w:r>
        <w:t xml:space="preserve">IV </w:t>
      </w:r>
      <w:r w:rsidR="004C6B17">
        <w:t xml:space="preserve">lupus nephritis </w:t>
      </w:r>
      <w:r w:rsidR="00925A9E">
        <w:t xml:space="preserve">with or without class V who are receiving </w:t>
      </w:r>
      <w:r w:rsidR="003544E8">
        <w:t xml:space="preserve">standard therapy with </w:t>
      </w:r>
      <w:r w:rsidR="00F1375A" w:rsidRPr="00F1375A">
        <w:t>mycophenolate</w:t>
      </w:r>
      <w:r w:rsidR="004C547B">
        <w:t xml:space="preserve"> mofetil (MMF)</w:t>
      </w:r>
      <w:r w:rsidR="00F1375A" w:rsidRPr="00F1375A">
        <w:t xml:space="preserve"> </w:t>
      </w:r>
      <w:r w:rsidR="003544E8">
        <w:t>and corti</w:t>
      </w:r>
      <w:r w:rsidR="000E6808">
        <w:t>co</w:t>
      </w:r>
      <w:r w:rsidR="003544E8">
        <w:t>steroids</w:t>
      </w:r>
      <w:r w:rsidR="00F1375A">
        <w:t>.</w:t>
      </w:r>
    </w:p>
    <w:p w14:paraId="2186E311" w14:textId="25ACED13" w:rsidR="00350FB4" w:rsidRPr="00350FB4" w:rsidRDefault="00F1375A" w:rsidP="00350FB4">
      <w:pPr>
        <w:pStyle w:val="3-BodyText"/>
      </w:pPr>
      <w:r>
        <w:t>Listing was requested on the basis of cost</w:t>
      </w:r>
      <w:r w:rsidR="00FF1914">
        <w:noBreakHyphen/>
      </w:r>
      <w:r>
        <w:t>utility analysis versus</w:t>
      </w:r>
      <w:r w:rsidR="001F0E29">
        <w:t xml:space="preserve"> </w:t>
      </w:r>
      <w:r w:rsidR="00413AE3">
        <w:t>standard of care</w:t>
      </w:r>
      <w:r>
        <w:t xml:space="preserve"> </w:t>
      </w:r>
      <w:r w:rsidR="00413AE3">
        <w:t>(</w:t>
      </w:r>
      <w:r w:rsidR="00350FB4">
        <w:t>SOC</w:t>
      </w:r>
      <w:r w:rsidR="00413AE3">
        <w:t>)</w:t>
      </w:r>
      <w:r w:rsidR="00350FB4">
        <w:t xml:space="preserve">. </w:t>
      </w:r>
      <w:r w:rsidR="005D1B76">
        <w:fldChar w:fldCharType="begin"/>
      </w:r>
      <w:r w:rsidR="005D1B76">
        <w:instrText xml:space="preserve"> REF _Ref218520270 \h </w:instrText>
      </w:r>
      <w:r w:rsidR="005D1B76">
        <w:fldChar w:fldCharType="separate"/>
      </w:r>
      <w:r w:rsidR="002255D9">
        <w:t xml:space="preserve">Table </w:t>
      </w:r>
      <w:r w:rsidR="002255D9">
        <w:rPr>
          <w:noProof/>
        </w:rPr>
        <w:t>1</w:t>
      </w:r>
      <w:r w:rsidR="005D1B76">
        <w:fldChar w:fldCharType="end"/>
      </w:r>
      <w:r w:rsidR="00350FB4" w:rsidRPr="00350FB4">
        <w:t xml:space="preserve"> summarises the components of the overall clinical claim addressed by the submission.</w:t>
      </w:r>
      <w:r w:rsidR="00350FB4">
        <w:t xml:space="preserve"> </w:t>
      </w:r>
    </w:p>
    <w:p w14:paraId="724A8BED" w14:textId="50BAE769" w:rsidR="00350FB4" w:rsidRPr="0098262F" w:rsidRDefault="005D1B76" w:rsidP="005D1B76">
      <w:pPr>
        <w:pStyle w:val="Caption"/>
        <w:jc w:val="left"/>
      </w:pPr>
      <w:bookmarkStart w:id="2" w:name="_Ref218520270"/>
      <w:r>
        <w:t xml:space="preserve">Table </w:t>
      </w:r>
      <w:fldSimple w:instr=" SEQ Table \* ARABIC ">
        <w:r w:rsidR="002255D9">
          <w:rPr>
            <w:noProof/>
          </w:rPr>
          <w:t>1</w:t>
        </w:r>
      </w:fldSimple>
      <w:bookmarkEnd w:id="2"/>
      <w:r>
        <w:t>:</w:t>
      </w:r>
      <w:r w:rsidR="00350FB4" w:rsidRPr="0098262F">
        <w:rPr>
          <w:rStyle w:val="CommentReference"/>
          <w:b/>
          <w:szCs w:val="24"/>
        </w:rPr>
        <w:t xml:space="preserve"> Key components of the clinical issue addressed by the submission</w:t>
      </w:r>
    </w:p>
    <w:tbl>
      <w:tblPr>
        <w:tblStyle w:val="PBACtable"/>
        <w:tblW w:w="9156" w:type="dxa"/>
        <w:tblLook w:val="04A0" w:firstRow="1" w:lastRow="0" w:firstColumn="1" w:lastColumn="0" w:noHBand="0" w:noVBand="1"/>
        <w:tblCaption w:val="Table 1: Key components of the clinical issue addressed by the submission"/>
      </w:tblPr>
      <w:tblGrid>
        <w:gridCol w:w="1413"/>
        <w:gridCol w:w="7743"/>
      </w:tblGrid>
      <w:tr w:rsidR="00350FB4" w:rsidRPr="0098262F" w14:paraId="6C238287" w14:textId="77777777" w:rsidTr="0072568D">
        <w:tc>
          <w:tcPr>
            <w:tcW w:w="1413" w:type="dxa"/>
          </w:tcPr>
          <w:p w14:paraId="30E6E6FA" w14:textId="77777777" w:rsidR="00350FB4" w:rsidRPr="0098262F" w:rsidRDefault="00350FB4" w:rsidP="0072568D">
            <w:pPr>
              <w:pStyle w:val="In-tableHeading"/>
              <w:rPr>
                <w:lang w:val="en-AU"/>
              </w:rPr>
            </w:pPr>
            <w:r w:rsidRPr="0098262F">
              <w:rPr>
                <w:lang w:val="en-AU"/>
              </w:rPr>
              <w:t>Component</w:t>
            </w:r>
          </w:p>
        </w:tc>
        <w:tc>
          <w:tcPr>
            <w:tcW w:w="7743" w:type="dxa"/>
          </w:tcPr>
          <w:p w14:paraId="2537E39B" w14:textId="77777777" w:rsidR="00350FB4" w:rsidRPr="0098262F" w:rsidRDefault="00350FB4" w:rsidP="0072568D">
            <w:pPr>
              <w:pStyle w:val="In-tableHeading"/>
              <w:rPr>
                <w:lang w:val="en-AU"/>
              </w:rPr>
            </w:pPr>
            <w:r w:rsidRPr="0098262F">
              <w:rPr>
                <w:lang w:val="en-AU"/>
              </w:rPr>
              <w:t>Description</w:t>
            </w:r>
          </w:p>
        </w:tc>
      </w:tr>
      <w:tr w:rsidR="00350FB4" w:rsidRPr="0098262F" w14:paraId="34A17BE5" w14:textId="77777777" w:rsidTr="0072568D">
        <w:tc>
          <w:tcPr>
            <w:tcW w:w="1413" w:type="dxa"/>
          </w:tcPr>
          <w:p w14:paraId="2953715A" w14:textId="77777777" w:rsidR="00350FB4" w:rsidRPr="0098262F" w:rsidRDefault="00350FB4" w:rsidP="0072568D">
            <w:pPr>
              <w:pStyle w:val="TableText0"/>
            </w:pPr>
            <w:r w:rsidRPr="0098262F">
              <w:t>Population</w:t>
            </w:r>
          </w:p>
        </w:tc>
        <w:tc>
          <w:tcPr>
            <w:tcW w:w="7743" w:type="dxa"/>
          </w:tcPr>
          <w:p w14:paraId="01304A5D" w14:textId="77777777" w:rsidR="00350FB4" w:rsidRPr="0098262F" w:rsidRDefault="00350FB4" w:rsidP="0072568D">
            <w:pPr>
              <w:pStyle w:val="TableText0"/>
            </w:pPr>
            <w:r w:rsidRPr="00947DF0">
              <w:t>Patients with active class III/IV ± V LN as per the ISN/RPS classification of LN</w:t>
            </w:r>
          </w:p>
        </w:tc>
      </w:tr>
      <w:tr w:rsidR="00350FB4" w:rsidRPr="0098262F" w14:paraId="6D2040B5" w14:textId="77777777" w:rsidTr="0072568D">
        <w:tc>
          <w:tcPr>
            <w:tcW w:w="1413" w:type="dxa"/>
          </w:tcPr>
          <w:p w14:paraId="321ADD2E" w14:textId="77777777" w:rsidR="00350FB4" w:rsidRPr="0098262F" w:rsidRDefault="00350FB4" w:rsidP="0072568D">
            <w:pPr>
              <w:pStyle w:val="TableText0"/>
            </w:pPr>
            <w:r w:rsidRPr="0098262F">
              <w:t>Intervention</w:t>
            </w:r>
          </w:p>
        </w:tc>
        <w:tc>
          <w:tcPr>
            <w:tcW w:w="7743" w:type="dxa"/>
          </w:tcPr>
          <w:p w14:paraId="4BA3FCA6" w14:textId="77777777" w:rsidR="00350FB4" w:rsidRPr="0098262F" w:rsidRDefault="00350FB4" w:rsidP="0072568D">
            <w:pPr>
              <w:pStyle w:val="TableText0"/>
            </w:pPr>
            <w:r w:rsidRPr="00947DF0">
              <w:t>Obinutuzumab plus standard therapy (glucocorticoids and MMF)</w:t>
            </w:r>
          </w:p>
        </w:tc>
      </w:tr>
      <w:tr w:rsidR="00350FB4" w:rsidRPr="0098262F" w14:paraId="43210091" w14:textId="77777777" w:rsidTr="0072568D">
        <w:tc>
          <w:tcPr>
            <w:tcW w:w="1413" w:type="dxa"/>
          </w:tcPr>
          <w:p w14:paraId="095F6488" w14:textId="77777777" w:rsidR="00350FB4" w:rsidRPr="0098262F" w:rsidRDefault="00350FB4" w:rsidP="0072568D">
            <w:pPr>
              <w:pStyle w:val="TableText0"/>
            </w:pPr>
            <w:r w:rsidRPr="0098262F">
              <w:t>Comparator</w:t>
            </w:r>
          </w:p>
        </w:tc>
        <w:tc>
          <w:tcPr>
            <w:tcW w:w="7743" w:type="dxa"/>
          </w:tcPr>
          <w:p w14:paraId="2BA063CA" w14:textId="77777777" w:rsidR="00350FB4" w:rsidRPr="0098262F" w:rsidRDefault="00350FB4" w:rsidP="0072568D">
            <w:pPr>
              <w:pStyle w:val="TableText0"/>
            </w:pPr>
            <w:r w:rsidRPr="00947DF0">
              <w:t>Standard therapy (glucocorticoids and MMF)</w:t>
            </w:r>
          </w:p>
        </w:tc>
      </w:tr>
      <w:tr w:rsidR="00350FB4" w:rsidRPr="0098262F" w14:paraId="72D58150" w14:textId="77777777" w:rsidTr="0072568D">
        <w:tc>
          <w:tcPr>
            <w:tcW w:w="1413" w:type="dxa"/>
          </w:tcPr>
          <w:p w14:paraId="641F9FC1" w14:textId="77777777" w:rsidR="00350FB4" w:rsidRPr="0098262F" w:rsidRDefault="00350FB4" w:rsidP="0072568D">
            <w:pPr>
              <w:pStyle w:val="TableText0"/>
            </w:pPr>
            <w:r w:rsidRPr="0098262F">
              <w:t>Outcomes</w:t>
            </w:r>
          </w:p>
        </w:tc>
        <w:tc>
          <w:tcPr>
            <w:tcW w:w="7743" w:type="dxa"/>
          </w:tcPr>
          <w:p w14:paraId="2C408A3A" w14:textId="77777777" w:rsidR="00350FB4" w:rsidRDefault="00350FB4" w:rsidP="004B0ABD">
            <w:pPr>
              <w:pStyle w:val="TableText0"/>
              <w:numPr>
                <w:ilvl w:val="0"/>
                <w:numId w:val="8"/>
              </w:numPr>
            </w:pPr>
            <w:r>
              <w:t>Complete renal response at Week 76</w:t>
            </w:r>
          </w:p>
          <w:p w14:paraId="4303A81D" w14:textId="77777777" w:rsidR="00350FB4" w:rsidRDefault="00350FB4" w:rsidP="004B0ABD">
            <w:pPr>
              <w:pStyle w:val="TableText0"/>
              <w:numPr>
                <w:ilvl w:val="0"/>
                <w:numId w:val="8"/>
              </w:numPr>
            </w:pPr>
            <w:r>
              <w:t>Complete renal response with successful prednisone taper at Week 76</w:t>
            </w:r>
          </w:p>
          <w:p w14:paraId="7E554097" w14:textId="77777777" w:rsidR="00350FB4" w:rsidRDefault="00350FB4" w:rsidP="004B0ABD">
            <w:pPr>
              <w:pStyle w:val="TableText0"/>
              <w:numPr>
                <w:ilvl w:val="0"/>
                <w:numId w:val="8"/>
              </w:numPr>
            </w:pPr>
            <w:r>
              <w:t>Proteinuria response at Week 76</w:t>
            </w:r>
          </w:p>
          <w:p w14:paraId="279BDBD1" w14:textId="77777777" w:rsidR="00350FB4" w:rsidRDefault="00350FB4" w:rsidP="004B0ABD">
            <w:pPr>
              <w:pStyle w:val="TableText0"/>
              <w:numPr>
                <w:ilvl w:val="0"/>
                <w:numId w:val="8"/>
              </w:numPr>
            </w:pPr>
            <w:r>
              <w:t>Mean change in eGFR from baseline to Week 76</w:t>
            </w:r>
          </w:p>
          <w:p w14:paraId="214C9740" w14:textId="53EEAD63" w:rsidR="00350FB4" w:rsidRDefault="00350FB4" w:rsidP="004B0ABD">
            <w:pPr>
              <w:pStyle w:val="TableText0"/>
              <w:numPr>
                <w:ilvl w:val="0"/>
                <w:numId w:val="8"/>
              </w:numPr>
            </w:pPr>
            <w:r>
              <w:t>Death or renal</w:t>
            </w:r>
            <w:r w:rsidR="00FF1914">
              <w:noBreakHyphen/>
            </w:r>
            <w:r>
              <w:t>related events through Week 76</w:t>
            </w:r>
          </w:p>
          <w:p w14:paraId="1253402E" w14:textId="77777777" w:rsidR="00350FB4" w:rsidRDefault="00350FB4" w:rsidP="004B0ABD">
            <w:pPr>
              <w:pStyle w:val="TableText0"/>
              <w:numPr>
                <w:ilvl w:val="0"/>
                <w:numId w:val="8"/>
              </w:numPr>
            </w:pPr>
            <w:r>
              <w:t>Overall renal response at Week 50</w:t>
            </w:r>
          </w:p>
          <w:p w14:paraId="1ED1D498" w14:textId="77777777" w:rsidR="00350FB4" w:rsidRPr="0098262F" w:rsidRDefault="00350FB4" w:rsidP="004B0ABD">
            <w:pPr>
              <w:pStyle w:val="TableText0"/>
              <w:numPr>
                <w:ilvl w:val="0"/>
                <w:numId w:val="8"/>
              </w:numPr>
            </w:pPr>
            <w:r>
              <w:t>Safety</w:t>
            </w:r>
          </w:p>
        </w:tc>
      </w:tr>
      <w:tr w:rsidR="00350FB4" w:rsidRPr="0098262F" w14:paraId="177B9C0C" w14:textId="77777777" w:rsidTr="0072568D">
        <w:tc>
          <w:tcPr>
            <w:tcW w:w="1413" w:type="dxa"/>
          </w:tcPr>
          <w:p w14:paraId="03CEDFD0" w14:textId="77777777" w:rsidR="00350FB4" w:rsidRPr="0098262F" w:rsidRDefault="00350FB4" w:rsidP="0072568D">
            <w:pPr>
              <w:pStyle w:val="TableText0"/>
            </w:pPr>
            <w:r w:rsidRPr="0098262F">
              <w:t>Clinical claim</w:t>
            </w:r>
          </w:p>
        </w:tc>
        <w:tc>
          <w:tcPr>
            <w:tcW w:w="7743" w:type="dxa"/>
          </w:tcPr>
          <w:p w14:paraId="326CEAE2" w14:textId="77F280E0" w:rsidR="00350FB4" w:rsidRPr="0098262F" w:rsidRDefault="00BA4503" w:rsidP="0072568D">
            <w:pPr>
              <w:pStyle w:val="TableText0"/>
            </w:pPr>
            <w:r w:rsidRPr="00BA4503">
              <w:t>In patients with active class III/IV ± V LN, treatment with obinutuzumab plus standard therapy (glucocorticoids and MMF) is superior in effectiveness and inferior but manageable in safety compared with standard therapy alone.</w:t>
            </w:r>
          </w:p>
        </w:tc>
      </w:tr>
    </w:tbl>
    <w:p w14:paraId="7C1E37D2" w14:textId="77777777" w:rsidR="00350FB4" w:rsidRDefault="00350FB4" w:rsidP="00350FB4">
      <w:pPr>
        <w:pStyle w:val="FooterTableFigure"/>
      </w:pPr>
      <w:r w:rsidRPr="0098262F">
        <w:t xml:space="preserve">Source: </w:t>
      </w:r>
      <w:r>
        <w:t xml:space="preserve">Table 1.1, p3 </w:t>
      </w:r>
      <w:r w:rsidRPr="0098262F">
        <w:t>of the submission.</w:t>
      </w:r>
    </w:p>
    <w:p w14:paraId="2E506DB9" w14:textId="77777777" w:rsidR="00350FB4" w:rsidRDefault="00350FB4" w:rsidP="00350FB4">
      <w:pPr>
        <w:pStyle w:val="FooterTableFigure"/>
      </w:pPr>
      <w:r w:rsidRPr="00947DF0">
        <w:t>eGFR=estimated glomerular filtration rate; ISN/RPS=International Society of Nephrology/Renal Pathology Society; LN=lupus nephritis; MMF=mycophenolate mofetil</w:t>
      </w:r>
      <w:r>
        <w:t>;</w:t>
      </w:r>
    </w:p>
    <w:p w14:paraId="6B4AB6C2" w14:textId="7F01D731" w:rsidR="005C25FF" w:rsidRPr="0098262F" w:rsidRDefault="005C25FF" w:rsidP="004A6040">
      <w:pPr>
        <w:pStyle w:val="2-SectionHeading"/>
      </w:pPr>
      <w:bookmarkStart w:id="3" w:name="_Toc219886540"/>
      <w:r w:rsidRPr="0098262F">
        <w:t>Background</w:t>
      </w:r>
      <w:bookmarkEnd w:id="3"/>
    </w:p>
    <w:p w14:paraId="2C521D6D" w14:textId="78CF03EE" w:rsidR="005C25FF" w:rsidRPr="0098262F" w:rsidRDefault="005C25FF" w:rsidP="004A6040">
      <w:pPr>
        <w:pStyle w:val="4-SubsectionHeading"/>
      </w:pPr>
      <w:bookmarkStart w:id="4" w:name="_Toc22897638"/>
      <w:bookmarkStart w:id="5" w:name="_Toc219886541"/>
      <w:r w:rsidRPr="0098262F">
        <w:t>Registration status</w:t>
      </w:r>
      <w:bookmarkEnd w:id="4"/>
      <w:bookmarkEnd w:id="5"/>
    </w:p>
    <w:p w14:paraId="06429544" w14:textId="68D86523" w:rsidR="00350FB4" w:rsidRDefault="00350FB4" w:rsidP="0072568D">
      <w:pPr>
        <w:pStyle w:val="3-BodyText"/>
      </w:pPr>
      <w:r>
        <w:t xml:space="preserve">The sponsor sought </w:t>
      </w:r>
      <w:r w:rsidR="00A303A0">
        <w:t xml:space="preserve">an </w:t>
      </w:r>
      <w:r>
        <w:t xml:space="preserve">assessment of obinutuzumab for lupus nephritis </w:t>
      </w:r>
      <w:r w:rsidR="00A303A0">
        <w:t xml:space="preserve">through </w:t>
      </w:r>
      <w:r>
        <w:t xml:space="preserve">the PBAC/TGA parallel process. The proposed TGA indication </w:t>
      </w:r>
      <w:r w:rsidR="00A303A0">
        <w:t>was</w:t>
      </w:r>
      <w:r>
        <w:t xml:space="preserve">: </w:t>
      </w:r>
      <w:r w:rsidR="00C26094">
        <w:t>‘</w:t>
      </w:r>
      <w:r w:rsidRPr="00394B00">
        <w:t>the treatment of adult patients with active lupus nephritis who are receiving standard therapy</w:t>
      </w:r>
      <w:r w:rsidR="00C26094">
        <w:t>’</w:t>
      </w:r>
      <w:r w:rsidRPr="00394B00">
        <w:t>.</w:t>
      </w:r>
    </w:p>
    <w:p w14:paraId="025F7618" w14:textId="75179A21" w:rsidR="00B04B45" w:rsidRDefault="00DF0249" w:rsidP="007310C2">
      <w:pPr>
        <w:pStyle w:val="3-BodyText"/>
      </w:pPr>
      <w:r w:rsidRPr="00B65EDE">
        <w:t xml:space="preserve">The TGA </w:t>
      </w:r>
      <w:r w:rsidR="00482232" w:rsidRPr="00B65EDE">
        <w:t xml:space="preserve">Delegate’s Overview </w:t>
      </w:r>
      <w:r w:rsidR="00BE1C1F" w:rsidRPr="00B65EDE">
        <w:t>wa</w:t>
      </w:r>
      <w:r w:rsidR="00482232" w:rsidRPr="00B65EDE">
        <w:t xml:space="preserve">s </w:t>
      </w:r>
      <w:r w:rsidR="00955E4E" w:rsidRPr="00B65EDE">
        <w:t>receiv</w:t>
      </w:r>
      <w:r w:rsidR="00482232" w:rsidRPr="00B65EDE">
        <w:t xml:space="preserve">ed on </w:t>
      </w:r>
      <w:r w:rsidR="008D06DB" w:rsidRPr="00B65EDE">
        <w:t xml:space="preserve">6 </w:t>
      </w:r>
      <w:r w:rsidR="00482232" w:rsidRPr="00B65EDE">
        <w:t>January 2026.</w:t>
      </w:r>
      <w:r w:rsidR="00291ED0" w:rsidRPr="00B65EDE">
        <w:t xml:space="preserve"> The Delegate</w:t>
      </w:r>
      <w:r w:rsidR="00451ACF" w:rsidRPr="00B65EDE">
        <w:t>’</w:t>
      </w:r>
      <w:r w:rsidR="00291ED0" w:rsidRPr="00B65EDE">
        <w:t>s Overview noted</w:t>
      </w:r>
      <w:r w:rsidR="00AC013C" w:rsidRPr="00B65EDE">
        <w:t xml:space="preserve"> </w:t>
      </w:r>
      <w:r w:rsidR="00291ED0" w:rsidRPr="00B65EDE">
        <w:t>(p</w:t>
      </w:r>
      <w:r w:rsidR="00AC013C" w:rsidRPr="00B65EDE">
        <w:t>p26</w:t>
      </w:r>
      <w:r w:rsidR="00FF1914">
        <w:noBreakHyphen/>
      </w:r>
      <w:r w:rsidR="00291ED0" w:rsidRPr="00B65EDE">
        <w:t>27) that results from REGENCY and NOBILITY show</w:t>
      </w:r>
      <w:r w:rsidR="00FE4A48">
        <w:t>ed</w:t>
      </w:r>
      <w:r w:rsidR="00291ED0" w:rsidRPr="00B65EDE">
        <w:t xml:space="preserve"> a modest effect when obinutuzumab is used in combination with MMF and corticosteroid in adult patients with lupus nephritis class III/IV with and without class V and consider</w:t>
      </w:r>
      <w:r w:rsidR="004B6ADC">
        <w:t>ed</w:t>
      </w:r>
      <w:r w:rsidR="00291ED0" w:rsidRPr="00B65EDE">
        <w:t xml:space="preserve"> </w:t>
      </w:r>
      <w:r w:rsidR="00291ED0" w:rsidRPr="00B65EDE">
        <w:lastRenderedPageBreak/>
        <w:t>the benefit/risk profile for obinutuzumab to be positive for some patients.</w:t>
      </w:r>
      <w:r w:rsidR="00AC013C" w:rsidRPr="00B65EDE">
        <w:t xml:space="preserve"> However, </w:t>
      </w:r>
      <w:r w:rsidR="004B6ADC">
        <w:t xml:space="preserve">the Delegate considered that </w:t>
      </w:r>
      <w:r w:rsidR="00AC013C" w:rsidRPr="00B65EDE">
        <w:t xml:space="preserve">the optimal dosing/ need for further dosing </w:t>
      </w:r>
      <w:r w:rsidR="006C2CBE">
        <w:t xml:space="preserve">(after week 52) </w:t>
      </w:r>
      <w:r w:rsidR="00AC013C" w:rsidRPr="00B65EDE">
        <w:t xml:space="preserve">of obinutuzumab </w:t>
      </w:r>
      <w:r w:rsidR="004B6ADC">
        <w:t>wa</w:t>
      </w:r>
      <w:r w:rsidR="00AC013C" w:rsidRPr="00B65EDE">
        <w:t xml:space="preserve">s unknown. </w:t>
      </w:r>
      <w:r w:rsidR="00970119">
        <w:t>The Delegate considered that i</w:t>
      </w:r>
      <w:r w:rsidR="00AC013C" w:rsidRPr="00B65EDE">
        <w:t>t remain</w:t>
      </w:r>
      <w:r w:rsidR="004B6ADC">
        <w:t>e</w:t>
      </w:r>
      <w:r w:rsidR="00970119">
        <w:t>d</w:t>
      </w:r>
      <w:r w:rsidR="00AC013C" w:rsidRPr="00B65EDE">
        <w:t xml:space="preserve"> unclear if lower doses of obinutuzumab would have achieved similar results, given no dose</w:t>
      </w:r>
      <w:r w:rsidR="00FF1914">
        <w:noBreakHyphen/>
      </w:r>
      <w:r w:rsidR="00AC013C" w:rsidRPr="00B65EDE">
        <w:t>response relationship was explored in the trials and only a single dose (1</w:t>
      </w:r>
      <w:r w:rsidR="00E87FE3">
        <w:t>,</w:t>
      </w:r>
      <w:r w:rsidR="00AC013C" w:rsidRPr="00B65EDE">
        <w:t>000 mg IV) was used in both REGENCY and NOBILITY.</w:t>
      </w:r>
      <w:r w:rsidR="007310C2">
        <w:t xml:space="preserve"> </w:t>
      </w:r>
    </w:p>
    <w:p w14:paraId="7CDAD9DB" w14:textId="490D29D2" w:rsidR="007310C2" w:rsidRDefault="007310C2" w:rsidP="007310C2">
      <w:pPr>
        <w:pStyle w:val="3-BodyText"/>
      </w:pPr>
      <w:r>
        <w:t xml:space="preserve">The TGA Delegate’s </w:t>
      </w:r>
      <w:r w:rsidR="00970119">
        <w:t>O</w:t>
      </w:r>
      <w:r>
        <w:t xml:space="preserve">verview recommended approval </w:t>
      </w:r>
      <w:r w:rsidR="007F12EC">
        <w:t xml:space="preserve">(pending advice from the Advisory Committee on Medicines and </w:t>
      </w:r>
      <w:r w:rsidR="00537D5F">
        <w:t xml:space="preserve">completion of </w:t>
      </w:r>
      <w:r w:rsidR="00AB5ACD">
        <w:t xml:space="preserve">Product Information negotiations) </w:t>
      </w:r>
      <w:r w:rsidR="00B04B45">
        <w:t>with the following indication:</w:t>
      </w:r>
      <w:r w:rsidR="00B04B45" w:rsidRPr="00B73A5D">
        <w:t xml:space="preserve"> ‘</w:t>
      </w:r>
      <w:r w:rsidR="00060D9C" w:rsidRPr="00B73A5D">
        <w:t>the treatment of adult patients with active Class III or IV, with or without concomitant Class V, lupus nephritis (LN) who are receiving standard therapy.’</w:t>
      </w:r>
    </w:p>
    <w:p w14:paraId="47FAB420" w14:textId="6DE4F0F8" w:rsidR="00630375" w:rsidRPr="00B65EDE" w:rsidRDefault="00AC723F" w:rsidP="007310C2">
      <w:pPr>
        <w:pStyle w:val="3-BodyText"/>
      </w:pPr>
      <w:r>
        <w:t>T</w:t>
      </w:r>
      <w:r w:rsidRPr="00630375">
        <w:t xml:space="preserve">he </w:t>
      </w:r>
      <w:r w:rsidR="00C93CDB">
        <w:t xml:space="preserve">Minutes of the </w:t>
      </w:r>
      <w:r>
        <w:t xml:space="preserve">TGA’s </w:t>
      </w:r>
      <w:r w:rsidRPr="00630375">
        <w:t>A</w:t>
      </w:r>
      <w:r>
        <w:t>dvisory Committee on Medicines (A</w:t>
      </w:r>
      <w:r w:rsidRPr="00630375">
        <w:t>CM</w:t>
      </w:r>
      <w:r>
        <w:t>)</w:t>
      </w:r>
      <w:r w:rsidRPr="00630375">
        <w:t xml:space="preserve"> </w:t>
      </w:r>
      <w:r w:rsidR="00DA29BD">
        <w:t>were provided in February 2026. The ACM Minutes n</w:t>
      </w:r>
      <w:r w:rsidR="00630375" w:rsidRPr="00630375">
        <w:t>ot</w:t>
      </w:r>
      <w:r w:rsidR="00DA29BD">
        <w:t>ed</w:t>
      </w:r>
      <w:r w:rsidR="00630375" w:rsidRPr="00630375">
        <w:t xml:space="preserve"> the absence of data following week 52 of treatment and that some patients continued to improve up until week 52, </w:t>
      </w:r>
      <w:r w:rsidR="00A948BC">
        <w:t xml:space="preserve">and thus the ACM </w:t>
      </w:r>
      <w:r w:rsidR="00630375" w:rsidRPr="00630375">
        <w:t>advised that treatment should be continued for a total of 52 weeks</w:t>
      </w:r>
      <w:r w:rsidR="00CF1D00">
        <w:t xml:space="preserve"> (doses on day 1, weeks 2, 24, 26</w:t>
      </w:r>
      <w:r w:rsidR="00BC42D9">
        <w:t>,</w:t>
      </w:r>
      <w:r w:rsidR="00CF1D00">
        <w:t xml:space="preserve"> (50)</w:t>
      </w:r>
      <w:r w:rsidR="00BC42D9">
        <w:t>,</w:t>
      </w:r>
      <w:r w:rsidR="00CF1D00">
        <w:t xml:space="preserve"> and 52)</w:t>
      </w:r>
      <w:r w:rsidR="00630375" w:rsidRPr="00630375">
        <w:t xml:space="preserve"> with re</w:t>
      </w:r>
      <w:r w:rsidR="00FF1914">
        <w:noBreakHyphen/>
      </w:r>
      <w:r w:rsidR="00630375" w:rsidRPr="00630375">
        <w:t>evaluation of response at week 72. The ACM further advised monitoring of renal function tests, serology panels, urine microscopy and protein studies be completed routinely throughout the course of treatment</w:t>
      </w:r>
      <w:r w:rsidR="00D539BB">
        <w:t xml:space="preserve">. </w:t>
      </w:r>
      <w:r w:rsidR="001E3198" w:rsidRPr="001E3198">
        <w:t>The ACM agreed to include a statement in the Prescribing Information instructing clinicians to discontinue treatment if no renal response is observed at the re</w:t>
      </w:r>
      <w:r w:rsidR="00FF1914">
        <w:noBreakHyphen/>
      </w:r>
      <w:r w:rsidR="001E3198" w:rsidRPr="001E3198">
        <w:t>evaluation conducted at week 72</w:t>
      </w:r>
      <w:r w:rsidR="001E3198">
        <w:t>.</w:t>
      </w:r>
    </w:p>
    <w:p w14:paraId="3E2A6EAB" w14:textId="056980C1" w:rsidR="005C25FF" w:rsidRPr="0098262F" w:rsidRDefault="005C25FF" w:rsidP="0072568D">
      <w:pPr>
        <w:pStyle w:val="4-SubsectionHeading"/>
      </w:pPr>
      <w:bookmarkStart w:id="6" w:name="_Toc22897639"/>
      <w:bookmarkStart w:id="7" w:name="_Toc219886542"/>
      <w:r w:rsidRPr="0098262F">
        <w:t>Previous PBAC consideration</w:t>
      </w:r>
      <w:bookmarkEnd w:id="6"/>
      <w:bookmarkEnd w:id="7"/>
    </w:p>
    <w:p w14:paraId="427F1A45" w14:textId="1ED2B1F2" w:rsidR="00350FB4" w:rsidRPr="00350FB4" w:rsidRDefault="00974849" w:rsidP="002E4F02">
      <w:pPr>
        <w:pStyle w:val="3-BodyText"/>
      </w:pPr>
      <w:r>
        <w:t>The PBAC ha</w:t>
      </w:r>
      <w:r w:rsidR="00AA5831">
        <w:t>d</w:t>
      </w:r>
      <w:r>
        <w:t xml:space="preserve"> not previously considered obinutuzumab for the treatment of lupus nephritis. </w:t>
      </w:r>
      <w:r w:rsidR="00611C68" w:rsidRPr="00611C68">
        <w:t>Obinutuzumab is currently listed on the PBS for the treatment of chronic lymphocytic leukaemia (CLL), small lymphocytic lymphoma (SLL) and follicular lymphoma (FL)</w:t>
      </w:r>
      <w:r>
        <w:t>.</w:t>
      </w:r>
    </w:p>
    <w:p w14:paraId="1CFAAB8E" w14:textId="4AE2BB37" w:rsidR="00B73A5D" w:rsidRDefault="00974849" w:rsidP="00102373">
      <w:pPr>
        <w:pStyle w:val="3-BodyText"/>
      </w:pPr>
      <w:r w:rsidRPr="00F13D6E">
        <w:t>If recommended, obinutuzumab would be the first biologic treatment available on the PBS for lupus nephritis. Currently, belimumab is the only biologic therapy TGA</w:t>
      </w:r>
      <w:r w:rsidR="00FF1914">
        <w:noBreakHyphen/>
      </w:r>
      <w:r w:rsidRPr="00F13D6E">
        <w:t xml:space="preserve">registered for active lupus nephritis in adult patients on </w:t>
      </w:r>
      <w:r w:rsidR="00737941" w:rsidRPr="00F13D6E">
        <w:t>standard therapy</w:t>
      </w:r>
      <w:r w:rsidRPr="00F13D6E">
        <w:t xml:space="preserve">, </w:t>
      </w:r>
      <w:r w:rsidR="0063732A" w:rsidRPr="00F13D6E">
        <w:t>but</w:t>
      </w:r>
      <w:r w:rsidRPr="00F13D6E">
        <w:t xml:space="preserve"> it is not </w:t>
      </w:r>
      <w:r w:rsidR="0063732A" w:rsidRPr="00F13D6E">
        <w:t xml:space="preserve">PBS </w:t>
      </w:r>
      <w:r w:rsidRPr="00F13D6E">
        <w:t>listed. Belimumab was considered by the PBAC for systemic lupus erythematosus (SLE) in November 2019 and July 2020 but was not recommended on both occasions.</w:t>
      </w:r>
      <w:r w:rsidR="0063732A" w:rsidRPr="00F13D6E">
        <w:t xml:space="preserve"> Anifrolumab was recommended by the PBAC for SLE in March 2024 (listed July 2024), but </w:t>
      </w:r>
      <w:r w:rsidR="00737941" w:rsidRPr="00F13D6E">
        <w:t>it</w:t>
      </w:r>
      <w:r w:rsidR="0063732A" w:rsidRPr="00F13D6E">
        <w:t xml:space="preserve"> is not TGA</w:t>
      </w:r>
      <w:r w:rsidR="00FF1914">
        <w:noBreakHyphen/>
      </w:r>
      <w:r w:rsidR="0063732A" w:rsidRPr="00F13D6E">
        <w:t xml:space="preserve">registered for </w:t>
      </w:r>
      <w:r w:rsidR="00893A3F" w:rsidRPr="00F13D6E">
        <w:t xml:space="preserve">the treatment of </w:t>
      </w:r>
      <w:r w:rsidR="0063732A" w:rsidRPr="00F13D6E">
        <w:t>lupus nephritis.</w:t>
      </w:r>
      <w:r w:rsidR="008F5E11">
        <w:t xml:space="preserve"> While rituximab is not TGA</w:t>
      </w:r>
      <w:r w:rsidR="00FF1914">
        <w:noBreakHyphen/>
      </w:r>
      <w:r w:rsidR="008F5E11">
        <w:t xml:space="preserve">registered for lupus nephritis, it has an unrestricted PBS listing. </w:t>
      </w:r>
    </w:p>
    <w:p w14:paraId="5C048740" w14:textId="339625F8" w:rsidR="00B73A5D" w:rsidRPr="00B73A5D" w:rsidRDefault="00B73A5D" w:rsidP="0099214E">
      <w:pPr>
        <w:pStyle w:val="3-BodyText"/>
        <w:numPr>
          <w:ilvl w:val="0"/>
          <w:numId w:val="0"/>
        </w:numPr>
        <w:ind w:left="510" w:firstLine="170"/>
        <w:rPr>
          <w:i/>
          <w:iCs/>
        </w:rPr>
      </w:pPr>
      <w:r w:rsidRPr="00B73A5D">
        <w:rPr>
          <w:i/>
          <w:iCs/>
        </w:rPr>
        <w:t>For more detail on PBAC’s view, see section 7 PBAC outcome.</w:t>
      </w:r>
    </w:p>
    <w:p w14:paraId="76E4EF3C" w14:textId="13040F70" w:rsidR="00B60939" w:rsidRPr="0098262F" w:rsidRDefault="00B50DB8" w:rsidP="004E18E9">
      <w:pPr>
        <w:pStyle w:val="2-SectionHeading"/>
      </w:pPr>
      <w:bookmarkStart w:id="8" w:name="_Toc107902078"/>
      <w:bookmarkStart w:id="9" w:name="_Toc219886543"/>
      <w:bookmarkEnd w:id="8"/>
      <w:r w:rsidRPr="0098262F">
        <w:lastRenderedPageBreak/>
        <w:t>Requested listing</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quested listing"/>
      </w:tblPr>
      <w:tblGrid>
        <w:gridCol w:w="3322"/>
        <w:gridCol w:w="1636"/>
        <w:gridCol w:w="849"/>
        <w:gridCol w:w="851"/>
        <w:gridCol w:w="851"/>
        <w:gridCol w:w="1508"/>
      </w:tblGrid>
      <w:tr w:rsidR="00812CAD" w:rsidRPr="0098262F" w14:paraId="35377E55" w14:textId="77777777" w:rsidTr="00812CAD">
        <w:trPr>
          <w:cantSplit/>
          <w:trHeight w:val="20"/>
        </w:trPr>
        <w:tc>
          <w:tcPr>
            <w:tcW w:w="1842" w:type="pct"/>
            <w:vAlign w:val="center"/>
          </w:tcPr>
          <w:p w14:paraId="0AF125B5" w14:textId="77777777" w:rsidR="00974849" w:rsidRPr="00EE7434" w:rsidRDefault="00974849" w:rsidP="0072568D">
            <w:pPr>
              <w:pStyle w:val="TableText0"/>
              <w:rPr>
                <w:b/>
                <w:bCs w:val="0"/>
              </w:rPr>
            </w:pPr>
            <w:r w:rsidRPr="00EE7434">
              <w:rPr>
                <w:b/>
                <w:bCs w:val="0"/>
              </w:rPr>
              <w:t>MEDICINAL PRODUCT</w:t>
            </w:r>
          </w:p>
          <w:p w14:paraId="60405995" w14:textId="77777777" w:rsidR="00974849" w:rsidRPr="00EE7434" w:rsidRDefault="00974849" w:rsidP="0072568D">
            <w:pPr>
              <w:pStyle w:val="TableText0"/>
              <w:rPr>
                <w:b/>
                <w:bCs w:val="0"/>
              </w:rPr>
            </w:pPr>
            <w:r w:rsidRPr="00EE7434">
              <w:rPr>
                <w:b/>
                <w:bCs w:val="0"/>
              </w:rPr>
              <w:t>medicinal product pack</w:t>
            </w:r>
          </w:p>
        </w:tc>
        <w:tc>
          <w:tcPr>
            <w:tcW w:w="907" w:type="pct"/>
            <w:vAlign w:val="center"/>
          </w:tcPr>
          <w:p w14:paraId="1FB99840" w14:textId="77777777" w:rsidR="00974849" w:rsidRPr="00EE7434" w:rsidRDefault="00974849" w:rsidP="0072568D">
            <w:pPr>
              <w:pStyle w:val="TableText0"/>
              <w:rPr>
                <w:b/>
                <w:bCs w:val="0"/>
              </w:rPr>
            </w:pPr>
            <w:r w:rsidRPr="00EE7434">
              <w:rPr>
                <w:b/>
                <w:bCs w:val="0"/>
                <w:snapToGrid w:val="0"/>
              </w:rPr>
              <w:t xml:space="preserve">Dispensed Price for Max. Qty </w:t>
            </w:r>
          </w:p>
        </w:tc>
        <w:tc>
          <w:tcPr>
            <w:tcW w:w="471" w:type="pct"/>
            <w:vAlign w:val="center"/>
          </w:tcPr>
          <w:p w14:paraId="2E12910A" w14:textId="77777777" w:rsidR="00974849" w:rsidRPr="00EE7434" w:rsidRDefault="00974849" w:rsidP="0072568D">
            <w:pPr>
              <w:pStyle w:val="TableText0"/>
              <w:jc w:val="center"/>
              <w:rPr>
                <w:b/>
                <w:bCs w:val="0"/>
              </w:rPr>
            </w:pPr>
            <w:r w:rsidRPr="00EE7434">
              <w:rPr>
                <w:b/>
                <w:bCs w:val="0"/>
              </w:rPr>
              <w:t>Max. qty packs</w:t>
            </w:r>
          </w:p>
        </w:tc>
        <w:tc>
          <w:tcPr>
            <w:tcW w:w="472" w:type="pct"/>
            <w:vAlign w:val="center"/>
          </w:tcPr>
          <w:p w14:paraId="1952F28B" w14:textId="77777777" w:rsidR="00974849" w:rsidRPr="00EE7434" w:rsidRDefault="00974849" w:rsidP="0072568D">
            <w:pPr>
              <w:pStyle w:val="TableText0"/>
              <w:jc w:val="center"/>
              <w:rPr>
                <w:b/>
                <w:bCs w:val="0"/>
              </w:rPr>
            </w:pPr>
            <w:r w:rsidRPr="00EE7434">
              <w:rPr>
                <w:b/>
                <w:bCs w:val="0"/>
              </w:rPr>
              <w:t>Max. qty units</w:t>
            </w:r>
          </w:p>
        </w:tc>
        <w:tc>
          <w:tcPr>
            <w:tcW w:w="472" w:type="pct"/>
            <w:vAlign w:val="center"/>
          </w:tcPr>
          <w:p w14:paraId="1E2F8408" w14:textId="77777777" w:rsidR="00974849" w:rsidRPr="00EE7434" w:rsidRDefault="00974849" w:rsidP="0072568D">
            <w:pPr>
              <w:pStyle w:val="TableText0"/>
              <w:jc w:val="center"/>
              <w:rPr>
                <w:b/>
                <w:bCs w:val="0"/>
              </w:rPr>
            </w:pPr>
            <w:r w:rsidRPr="00EE7434">
              <w:rPr>
                <w:b/>
                <w:bCs w:val="0"/>
              </w:rPr>
              <w:t>№.of</w:t>
            </w:r>
          </w:p>
          <w:p w14:paraId="1FE8EFF7" w14:textId="77777777" w:rsidR="00974849" w:rsidRPr="00EE7434" w:rsidRDefault="00974849" w:rsidP="0072568D">
            <w:pPr>
              <w:pStyle w:val="TableText0"/>
              <w:jc w:val="center"/>
              <w:rPr>
                <w:b/>
                <w:bCs w:val="0"/>
              </w:rPr>
            </w:pPr>
            <w:r w:rsidRPr="00EE7434">
              <w:rPr>
                <w:b/>
                <w:bCs w:val="0"/>
              </w:rPr>
              <w:t>Rpts</w:t>
            </w:r>
          </w:p>
        </w:tc>
        <w:tc>
          <w:tcPr>
            <w:tcW w:w="836" w:type="pct"/>
            <w:vAlign w:val="center"/>
          </w:tcPr>
          <w:p w14:paraId="464A8E07" w14:textId="77777777" w:rsidR="00974849" w:rsidRPr="00EE7434" w:rsidRDefault="00974849" w:rsidP="0072568D">
            <w:pPr>
              <w:pStyle w:val="TableText0"/>
              <w:rPr>
                <w:b/>
                <w:bCs w:val="0"/>
              </w:rPr>
            </w:pPr>
            <w:r w:rsidRPr="00EE7434">
              <w:rPr>
                <w:b/>
                <w:bCs w:val="0"/>
              </w:rPr>
              <w:t>Available brands</w:t>
            </w:r>
          </w:p>
        </w:tc>
      </w:tr>
      <w:tr w:rsidR="00974849" w:rsidRPr="0098262F" w14:paraId="7F7E50F9" w14:textId="77777777" w:rsidTr="00812CAD">
        <w:trPr>
          <w:cantSplit/>
          <w:trHeight w:val="20"/>
        </w:trPr>
        <w:tc>
          <w:tcPr>
            <w:tcW w:w="5000" w:type="pct"/>
            <w:gridSpan w:val="6"/>
            <w:vAlign w:val="center"/>
          </w:tcPr>
          <w:p w14:paraId="2CF649EA" w14:textId="77777777" w:rsidR="00974849" w:rsidRPr="0098262F" w:rsidRDefault="00974849" w:rsidP="0072568D">
            <w:pPr>
              <w:pStyle w:val="TableText0"/>
              <w:rPr>
                <w:rFonts w:cs="Arial"/>
                <w:szCs w:val="20"/>
              </w:rPr>
            </w:pPr>
            <w:r>
              <w:rPr>
                <w:smallCaps/>
              </w:rPr>
              <w:t>Obinutuzumab</w:t>
            </w:r>
          </w:p>
        </w:tc>
      </w:tr>
      <w:tr w:rsidR="00812CAD" w:rsidRPr="0098262F" w14:paraId="7485956C" w14:textId="77777777" w:rsidTr="00812CAD">
        <w:trPr>
          <w:cantSplit/>
          <w:trHeight w:val="20"/>
        </w:trPr>
        <w:tc>
          <w:tcPr>
            <w:tcW w:w="1842" w:type="pct"/>
            <w:vAlign w:val="center"/>
          </w:tcPr>
          <w:p w14:paraId="2BF55ECA" w14:textId="77777777" w:rsidR="00974849" w:rsidRPr="00E0399E" w:rsidRDefault="00974849" w:rsidP="0072568D">
            <w:pPr>
              <w:pStyle w:val="TableText0"/>
              <w:rPr>
                <w:b/>
                <w:bCs w:val="0"/>
              </w:rPr>
            </w:pPr>
            <w:r w:rsidRPr="00E0399E">
              <w:rPr>
                <w:b/>
                <w:bCs w:val="0"/>
              </w:rPr>
              <w:t>Initial treatment</w:t>
            </w:r>
          </w:p>
          <w:p w14:paraId="7F422872" w14:textId="77777777" w:rsidR="00974849" w:rsidRPr="0098262F" w:rsidRDefault="00974849" w:rsidP="0072568D">
            <w:pPr>
              <w:pStyle w:val="TableText0"/>
              <w:rPr>
                <w:color w:val="0066FF"/>
                <w:szCs w:val="20"/>
              </w:rPr>
            </w:pPr>
            <w:r>
              <w:t>1000 mg / 40 mL vial, solution for IV infusion</w:t>
            </w:r>
          </w:p>
        </w:tc>
        <w:tc>
          <w:tcPr>
            <w:tcW w:w="907" w:type="pct"/>
            <w:vAlign w:val="center"/>
          </w:tcPr>
          <w:p w14:paraId="28169F0B" w14:textId="69571874" w:rsidR="00974849" w:rsidRPr="00906E80" w:rsidRDefault="00974849" w:rsidP="0072568D">
            <w:pPr>
              <w:pStyle w:val="TableText0"/>
              <w:jc w:val="center"/>
            </w:pPr>
            <w:r w:rsidRPr="00906E80">
              <w:t>$</w:t>
            </w:r>
            <w:r w:rsidR="00102373" w:rsidRPr="00102373">
              <w:rPr>
                <w:sz w:val="2"/>
                <w:highlight w:val="black"/>
              </w:rPr>
              <w:t>redacted content</w:t>
            </w:r>
            <w:r w:rsidRPr="00906E80">
              <w:t xml:space="preserve"> (public)</w:t>
            </w:r>
          </w:p>
          <w:p w14:paraId="06E025C4" w14:textId="61ACB4EF" w:rsidR="00974849" w:rsidRPr="00906E80" w:rsidRDefault="00974849" w:rsidP="0072568D">
            <w:pPr>
              <w:pStyle w:val="TableText0"/>
              <w:jc w:val="center"/>
              <w:rPr>
                <w:szCs w:val="20"/>
              </w:rPr>
            </w:pPr>
            <w:r w:rsidRPr="00906E80">
              <w:t>$</w:t>
            </w:r>
            <w:r w:rsidR="00102373" w:rsidRPr="00102373">
              <w:rPr>
                <w:sz w:val="2"/>
                <w:highlight w:val="black"/>
              </w:rPr>
              <w:t>redacted content</w:t>
            </w:r>
            <w:r w:rsidRPr="00906E80">
              <w:t xml:space="preserve"> (private)</w:t>
            </w:r>
          </w:p>
        </w:tc>
        <w:tc>
          <w:tcPr>
            <w:tcW w:w="471" w:type="pct"/>
            <w:vAlign w:val="center"/>
          </w:tcPr>
          <w:p w14:paraId="60158F97" w14:textId="77777777" w:rsidR="00974849" w:rsidRPr="0098262F" w:rsidRDefault="00974849" w:rsidP="0072568D">
            <w:pPr>
              <w:pStyle w:val="TableText0"/>
              <w:jc w:val="center"/>
              <w:rPr>
                <w:szCs w:val="20"/>
              </w:rPr>
            </w:pPr>
            <w:r>
              <w:t>1</w:t>
            </w:r>
          </w:p>
        </w:tc>
        <w:tc>
          <w:tcPr>
            <w:tcW w:w="472" w:type="pct"/>
            <w:vAlign w:val="center"/>
          </w:tcPr>
          <w:p w14:paraId="36328752" w14:textId="77777777" w:rsidR="00974849" w:rsidRPr="0098262F" w:rsidRDefault="00974849" w:rsidP="0072568D">
            <w:pPr>
              <w:pStyle w:val="TableText0"/>
              <w:jc w:val="center"/>
              <w:rPr>
                <w:szCs w:val="20"/>
              </w:rPr>
            </w:pPr>
            <w:r>
              <w:t>1</w:t>
            </w:r>
          </w:p>
        </w:tc>
        <w:tc>
          <w:tcPr>
            <w:tcW w:w="472" w:type="pct"/>
            <w:vAlign w:val="center"/>
          </w:tcPr>
          <w:p w14:paraId="4B7E2B1B" w14:textId="77777777" w:rsidR="00974849" w:rsidRPr="0098262F" w:rsidRDefault="00974849" w:rsidP="0072568D">
            <w:pPr>
              <w:pStyle w:val="TableText0"/>
              <w:jc w:val="center"/>
              <w:rPr>
                <w:szCs w:val="20"/>
              </w:rPr>
            </w:pPr>
            <w:r>
              <w:t>4</w:t>
            </w:r>
          </w:p>
        </w:tc>
        <w:tc>
          <w:tcPr>
            <w:tcW w:w="836" w:type="pct"/>
            <w:vMerge w:val="restart"/>
            <w:vAlign w:val="center"/>
          </w:tcPr>
          <w:p w14:paraId="42488E3D" w14:textId="77777777" w:rsidR="00974849" w:rsidRPr="00E0399E" w:rsidRDefault="00974849" w:rsidP="0072568D">
            <w:pPr>
              <w:pStyle w:val="TableText0"/>
              <w:rPr>
                <w:szCs w:val="20"/>
              </w:rPr>
            </w:pPr>
            <w:r>
              <w:rPr>
                <w:szCs w:val="20"/>
              </w:rPr>
              <w:t>GAZYVA®</w:t>
            </w:r>
          </w:p>
        </w:tc>
      </w:tr>
      <w:tr w:rsidR="00812CAD" w:rsidRPr="0098262F" w14:paraId="3A30131D" w14:textId="77777777" w:rsidTr="00812CAD">
        <w:trPr>
          <w:cantSplit/>
          <w:trHeight w:val="20"/>
        </w:trPr>
        <w:tc>
          <w:tcPr>
            <w:tcW w:w="1842" w:type="pct"/>
            <w:vAlign w:val="center"/>
          </w:tcPr>
          <w:p w14:paraId="43C23337" w14:textId="77777777" w:rsidR="00974849" w:rsidRPr="00E0399E" w:rsidRDefault="00974849" w:rsidP="0072568D">
            <w:pPr>
              <w:pStyle w:val="TableText0"/>
              <w:rPr>
                <w:b/>
                <w:bCs w:val="0"/>
                <w:szCs w:val="20"/>
              </w:rPr>
            </w:pPr>
            <w:r w:rsidRPr="00E0399E">
              <w:rPr>
                <w:b/>
                <w:bCs w:val="0"/>
                <w:szCs w:val="20"/>
              </w:rPr>
              <w:t>Continuing treatment</w:t>
            </w:r>
          </w:p>
          <w:p w14:paraId="0C339CE0" w14:textId="77777777" w:rsidR="00974849" w:rsidRPr="00E0399E" w:rsidRDefault="00974849" w:rsidP="0072568D">
            <w:pPr>
              <w:pStyle w:val="TableText0"/>
              <w:rPr>
                <w:szCs w:val="20"/>
              </w:rPr>
            </w:pPr>
            <w:r>
              <w:t>1000 mg / 40 mL vial, solution for IV infusion</w:t>
            </w:r>
          </w:p>
        </w:tc>
        <w:tc>
          <w:tcPr>
            <w:tcW w:w="907" w:type="pct"/>
            <w:vAlign w:val="center"/>
          </w:tcPr>
          <w:p w14:paraId="3315F353" w14:textId="32E95D4B" w:rsidR="00974849" w:rsidRPr="00906E80" w:rsidRDefault="00974849" w:rsidP="0072568D">
            <w:pPr>
              <w:pStyle w:val="TableText0"/>
              <w:jc w:val="center"/>
            </w:pPr>
            <w:r w:rsidRPr="00906E80">
              <w:t>$</w:t>
            </w:r>
            <w:r w:rsidR="00102373" w:rsidRPr="00102373">
              <w:rPr>
                <w:sz w:val="2"/>
                <w:highlight w:val="black"/>
              </w:rPr>
              <w:t>redacted content</w:t>
            </w:r>
            <w:r w:rsidRPr="00906E80">
              <w:t xml:space="preserve"> (public)</w:t>
            </w:r>
          </w:p>
          <w:p w14:paraId="6C248899" w14:textId="29885B69" w:rsidR="00974849" w:rsidRPr="00906E80" w:rsidRDefault="00974849" w:rsidP="0072568D">
            <w:pPr>
              <w:pStyle w:val="TableText0"/>
              <w:jc w:val="center"/>
              <w:rPr>
                <w:szCs w:val="20"/>
              </w:rPr>
            </w:pPr>
            <w:r w:rsidRPr="00906E80">
              <w:t>$</w:t>
            </w:r>
            <w:r w:rsidR="00102373" w:rsidRPr="00102373">
              <w:rPr>
                <w:sz w:val="2"/>
                <w:highlight w:val="black"/>
              </w:rPr>
              <w:t>redacted content</w:t>
            </w:r>
            <w:r w:rsidRPr="00906E80">
              <w:t xml:space="preserve"> (private)</w:t>
            </w:r>
          </w:p>
        </w:tc>
        <w:tc>
          <w:tcPr>
            <w:tcW w:w="471" w:type="pct"/>
            <w:vAlign w:val="center"/>
          </w:tcPr>
          <w:p w14:paraId="5099406E" w14:textId="77777777" w:rsidR="00974849" w:rsidRPr="0098262F" w:rsidRDefault="00974849" w:rsidP="0072568D">
            <w:pPr>
              <w:pStyle w:val="TableText0"/>
              <w:jc w:val="center"/>
              <w:rPr>
                <w:szCs w:val="20"/>
              </w:rPr>
            </w:pPr>
            <w:r>
              <w:rPr>
                <w:szCs w:val="20"/>
              </w:rPr>
              <w:t>1</w:t>
            </w:r>
          </w:p>
        </w:tc>
        <w:tc>
          <w:tcPr>
            <w:tcW w:w="472" w:type="pct"/>
            <w:vAlign w:val="center"/>
          </w:tcPr>
          <w:p w14:paraId="224996B4" w14:textId="77777777" w:rsidR="00974849" w:rsidRPr="0098262F" w:rsidRDefault="00974849" w:rsidP="0072568D">
            <w:pPr>
              <w:pStyle w:val="TableText0"/>
              <w:jc w:val="center"/>
              <w:rPr>
                <w:szCs w:val="20"/>
              </w:rPr>
            </w:pPr>
            <w:r>
              <w:rPr>
                <w:szCs w:val="20"/>
              </w:rPr>
              <w:t>1</w:t>
            </w:r>
          </w:p>
        </w:tc>
        <w:tc>
          <w:tcPr>
            <w:tcW w:w="472" w:type="pct"/>
            <w:vAlign w:val="center"/>
          </w:tcPr>
          <w:p w14:paraId="7C272997" w14:textId="77777777" w:rsidR="00974849" w:rsidRPr="0098262F" w:rsidRDefault="00974849" w:rsidP="0072568D">
            <w:pPr>
              <w:pStyle w:val="TableText0"/>
              <w:jc w:val="center"/>
              <w:rPr>
                <w:szCs w:val="20"/>
              </w:rPr>
            </w:pPr>
            <w:r>
              <w:rPr>
                <w:szCs w:val="20"/>
              </w:rPr>
              <w:t>1</w:t>
            </w:r>
          </w:p>
        </w:tc>
        <w:tc>
          <w:tcPr>
            <w:tcW w:w="836" w:type="pct"/>
            <w:vMerge/>
            <w:vAlign w:val="center"/>
          </w:tcPr>
          <w:p w14:paraId="05737A86" w14:textId="77777777" w:rsidR="00974849" w:rsidRPr="0098262F" w:rsidRDefault="00974849" w:rsidP="0072568D">
            <w:pPr>
              <w:pStyle w:val="TableText0"/>
              <w:rPr>
                <w:color w:val="0066FF"/>
                <w:szCs w:val="20"/>
              </w:rPr>
            </w:pPr>
          </w:p>
        </w:tc>
      </w:tr>
      <w:tr w:rsidR="00812CAD" w:rsidRPr="0098262F" w14:paraId="437A29CB"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tcPr>
          <w:p w14:paraId="758326F3" w14:textId="77777777" w:rsidR="00812CAD" w:rsidRPr="0098262F" w:rsidRDefault="00812CAD" w:rsidP="0072568D">
            <w:pPr>
              <w:pStyle w:val="TableText0"/>
              <w:keepNext w:val="0"/>
              <w:keepLines w:val="0"/>
            </w:pPr>
            <w:r w:rsidRPr="0098262F">
              <w:rPr>
                <w:b/>
              </w:rPr>
              <w:t xml:space="preserve">Category / Program: </w:t>
            </w:r>
            <w:r w:rsidRPr="0098262F">
              <w:t>Section 100</w:t>
            </w:r>
            <w:r>
              <w:t xml:space="preserve"> </w:t>
            </w:r>
            <w:r w:rsidRPr="0098262F">
              <w:t>–</w:t>
            </w:r>
            <w:r>
              <w:t xml:space="preserve"> Highly Specialised Drugs Program</w:t>
            </w:r>
          </w:p>
        </w:tc>
      </w:tr>
      <w:tr w:rsidR="00812CAD" w:rsidRPr="0098262F" w14:paraId="295C81C0"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tcPr>
          <w:p w14:paraId="40A231C7" w14:textId="77777777" w:rsidR="00812CAD" w:rsidRPr="0098262F" w:rsidRDefault="00812CAD" w:rsidP="0072568D">
            <w:pPr>
              <w:pStyle w:val="TableText0"/>
              <w:keepNext w:val="0"/>
              <w:keepLines w:val="0"/>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812CAD" w:rsidRPr="0098262F" w14:paraId="28DD53FF"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tcPr>
          <w:p w14:paraId="5CEA7026" w14:textId="77777777" w:rsidR="00812CAD" w:rsidRPr="0098262F" w:rsidRDefault="00812CAD" w:rsidP="0072568D">
            <w:pPr>
              <w:pStyle w:val="TableText0"/>
              <w:keepNext w:val="0"/>
              <w:keepLines w:val="0"/>
              <w:rPr>
                <w:rFonts w:eastAsia="Times New Roman"/>
              </w:rPr>
            </w:pPr>
            <w:r w:rsidRPr="0098262F">
              <w:rPr>
                <w:b/>
              </w:rPr>
              <w:t xml:space="preserve">Restriction type: </w:t>
            </w:r>
            <w:r>
              <w:rPr>
                <w:rFonts w:eastAsia="Times New Roman"/>
              </w:rPr>
              <w:fldChar w:fldCharType="begin">
                <w:ffData>
                  <w:name w:val="Check3"/>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 xml:space="preserve">Authority Required (telephone/online PBS Authorities system) </w:t>
            </w:r>
          </w:p>
        </w:tc>
      </w:tr>
      <w:tr w:rsidR="00812CAD" w:rsidRPr="0098262F" w14:paraId="7910A0E3"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DEC3095" w14:textId="77777777" w:rsidR="00812CAD" w:rsidRPr="0098262F" w:rsidRDefault="00812CAD" w:rsidP="0072568D">
            <w:pPr>
              <w:pStyle w:val="TableText0"/>
              <w:keepNext w:val="0"/>
              <w:keepLines w:val="0"/>
            </w:pPr>
            <w:r w:rsidRPr="0098262F">
              <w:rPr>
                <w:b/>
              </w:rPr>
              <w:t>Indication</w:t>
            </w:r>
            <w:r w:rsidRPr="00D60249">
              <w:rPr>
                <w:b/>
              </w:rPr>
              <w:t>:</w:t>
            </w:r>
            <w:r w:rsidRPr="00D60249">
              <w:t xml:space="preserve"> Lupus nephritis</w:t>
            </w:r>
          </w:p>
        </w:tc>
      </w:tr>
      <w:tr w:rsidR="00812CAD" w:rsidRPr="0098262F" w14:paraId="2942CE68"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DF91FBA" w14:textId="77777777" w:rsidR="00812CAD" w:rsidRPr="008B5067" w:rsidRDefault="00812CAD" w:rsidP="0072568D">
            <w:pPr>
              <w:pStyle w:val="TableText0"/>
              <w:keepNext w:val="0"/>
              <w:keepLines w:val="0"/>
              <w:rPr>
                <w:b/>
              </w:rPr>
            </w:pPr>
            <w:r w:rsidRPr="008B5067">
              <w:rPr>
                <w:b/>
              </w:rPr>
              <w:t>Treatment Phase: Initial treatment</w:t>
            </w:r>
          </w:p>
        </w:tc>
      </w:tr>
      <w:tr w:rsidR="00812CAD" w:rsidRPr="0098262F" w14:paraId="123B4774"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2F5293A" w14:textId="77777777" w:rsidR="00812CAD" w:rsidRPr="0098262F" w:rsidRDefault="00812CAD" w:rsidP="0072568D">
            <w:pPr>
              <w:pStyle w:val="TableText0"/>
              <w:keepNext w:val="0"/>
              <w:keepLines w:val="0"/>
            </w:pPr>
            <w:r w:rsidRPr="0098262F">
              <w:rPr>
                <w:b/>
              </w:rPr>
              <w:t>Clinical criteria:</w:t>
            </w:r>
          </w:p>
        </w:tc>
      </w:tr>
      <w:tr w:rsidR="00812CAD" w:rsidRPr="0098262F" w14:paraId="776E29DB"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730D529" w14:textId="77777777" w:rsidR="00812CAD" w:rsidRPr="0098262F" w:rsidRDefault="00812CAD" w:rsidP="0072568D">
            <w:pPr>
              <w:pStyle w:val="TableText0"/>
              <w:keepNext w:val="0"/>
              <w:keepLines w:val="0"/>
            </w:pPr>
            <w:r w:rsidRPr="00D60249">
              <w:t>Patient must have a confirmed diagnosis of active class III or IV lupus nephritis with or without class V disease as per the International Society of Nephrology (ISN)/Renal Pathology Society (RPS) classification of lupus nephritis;</w:t>
            </w:r>
          </w:p>
        </w:tc>
      </w:tr>
      <w:tr w:rsidR="00812CAD" w:rsidRPr="0098262F" w14:paraId="79AC1C2B"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848BDF4" w14:textId="77777777" w:rsidR="00812CAD" w:rsidRPr="0098262F" w:rsidRDefault="00812CAD" w:rsidP="0072568D">
            <w:pPr>
              <w:pStyle w:val="TableText0"/>
              <w:keepNext w:val="0"/>
              <w:keepLines w:val="0"/>
            </w:pPr>
            <w:r w:rsidRPr="0098262F">
              <w:rPr>
                <w:b/>
              </w:rPr>
              <w:t>AND</w:t>
            </w:r>
          </w:p>
        </w:tc>
      </w:tr>
      <w:tr w:rsidR="00812CAD" w:rsidRPr="0098262F" w14:paraId="4FFEA2EA"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AC1985A" w14:textId="77777777" w:rsidR="00812CAD" w:rsidRPr="0098262F" w:rsidRDefault="00812CAD" w:rsidP="0072568D">
            <w:pPr>
              <w:pStyle w:val="TableText0"/>
              <w:keepNext w:val="0"/>
              <w:keepLines w:val="0"/>
            </w:pPr>
            <w:r w:rsidRPr="0098262F">
              <w:rPr>
                <w:b/>
              </w:rPr>
              <w:t>Clinical criteria:</w:t>
            </w:r>
          </w:p>
        </w:tc>
      </w:tr>
      <w:tr w:rsidR="00812CAD" w:rsidRPr="0098262F" w14:paraId="43F51DB3"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6BCCC43" w14:textId="77777777" w:rsidR="00812CAD" w:rsidRPr="00D60249" w:rsidRDefault="00812CAD" w:rsidP="0072568D">
            <w:pPr>
              <w:pStyle w:val="TableText0"/>
              <w:keepNext w:val="0"/>
              <w:keepLines w:val="0"/>
            </w:pPr>
            <w:r w:rsidRPr="00D60249">
              <w:t>Patient must not have severe renal impairment, defined by an estimated glomerular filtration rate (eGFR) less than 30 mL/min per 1.73 m2 of body surface area, or end stage kidney disease requiring dialysis or renal transplantation;</w:t>
            </w:r>
          </w:p>
        </w:tc>
      </w:tr>
      <w:tr w:rsidR="00812CAD" w:rsidRPr="0098262F" w14:paraId="53077FC8"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D814381" w14:textId="77777777" w:rsidR="00812CAD" w:rsidRPr="00D60249" w:rsidRDefault="00812CAD" w:rsidP="0072568D">
            <w:pPr>
              <w:pStyle w:val="TableText0"/>
              <w:keepNext w:val="0"/>
              <w:keepLines w:val="0"/>
            </w:pPr>
            <w:r w:rsidRPr="0098262F">
              <w:rPr>
                <w:b/>
              </w:rPr>
              <w:t>AND</w:t>
            </w:r>
          </w:p>
        </w:tc>
      </w:tr>
      <w:tr w:rsidR="00812CAD" w:rsidRPr="0098262F" w14:paraId="5203BDD7"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1BE0647" w14:textId="77777777" w:rsidR="00812CAD" w:rsidRPr="00D60249" w:rsidRDefault="00812CAD" w:rsidP="0072568D">
            <w:pPr>
              <w:pStyle w:val="TableText0"/>
              <w:keepNext w:val="0"/>
              <w:keepLines w:val="0"/>
            </w:pPr>
            <w:r w:rsidRPr="0098262F">
              <w:rPr>
                <w:b/>
              </w:rPr>
              <w:t>Clinical criteria:</w:t>
            </w:r>
          </w:p>
        </w:tc>
      </w:tr>
      <w:tr w:rsidR="00812CAD" w:rsidRPr="0098262F" w14:paraId="55216C80"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496B818" w14:textId="229EC130" w:rsidR="00812CAD" w:rsidRPr="00D60249" w:rsidRDefault="00812CAD" w:rsidP="0072568D">
            <w:pPr>
              <w:pStyle w:val="TableText0"/>
              <w:keepNext w:val="0"/>
              <w:keepLines w:val="0"/>
            </w:pPr>
            <w:r w:rsidRPr="00D60249">
              <w:t>Patient must have a urinary protein</w:t>
            </w:r>
            <w:r w:rsidR="00FF1914">
              <w:noBreakHyphen/>
            </w:r>
            <w:r w:rsidRPr="00D60249">
              <w:t>to</w:t>
            </w:r>
            <w:r w:rsidR="00FF1914">
              <w:noBreakHyphen/>
            </w:r>
            <w:r w:rsidRPr="00D60249">
              <w:t>creatinine ratio (UPCR) of at least 113 mg/mmol;</w:t>
            </w:r>
          </w:p>
        </w:tc>
      </w:tr>
      <w:tr w:rsidR="00812CAD" w:rsidRPr="0098262F" w14:paraId="4F4E0A9F"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E4C4708" w14:textId="77777777" w:rsidR="00812CAD" w:rsidRPr="00D60249" w:rsidRDefault="00812CAD" w:rsidP="0072568D">
            <w:pPr>
              <w:pStyle w:val="TableText0"/>
              <w:keepNext w:val="0"/>
              <w:keepLines w:val="0"/>
            </w:pPr>
            <w:r w:rsidRPr="0098262F">
              <w:rPr>
                <w:b/>
              </w:rPr>
              <w:t>AND</w:t>
            </w:r>
          </w:p>
        </w:tc>
      </w:tr>
      <w:tr w:rsidR="00812CAD" w:rsidRPr="0098262F" w14:paraId="41849057"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FFA5464" w14:textId="77777777" w:rsidR="00812CAD" w:rsidRPr="00D60249" w:rsidRDefault="00812CAD" w:rsidP="0072568D">
            <w:pPr>
              <w:pStyle w:val="TableText0"/>
              <w:keepNext w:val="0"/>
              <w:keepLines w:val="0"/>
            </w:pPr>
            <w:r w:rsidRPr="0098262F">
              <w:rPr>
                <w:b/>
              </w:rPr>
              <w:t>Clinical criteria:</w:t>
            </w:r>
          </w:p>
        </w:tc>
      </w:tr>
      <w:tr w:rsidR="00812CAD" w:rsidRPr="0098262F" w14:paraId="0B48E654"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5A237F1" w14:textId="77777777" w:rsidR="00812CAD" w:rsidRPr="00D60249" w:rsidRDefault="00812CAD" w:rsidP="0072568D">
            <w:pPr>
              <w:pStyle w:val="TableText0"/>
              <w:keepNext w:val="0"/>
              <w:keepLines w:val="0"/>
            </w:pPr>
            <w:r w:rsidRPr="00D60249">
              <w:t>Treatment must be administered with mycophenolate and corticosteroids unless contraindicated.</w:t>
            </w:r>
          </w:p>
        </w:tc>
      </w:tr>
      <w:tr w:rsidR="00812CAD" w:rsidRPr="0098262F" w14:paraId="7F6218FD"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6B8ECD3" w14:textId="77777777" w:rsidR="00812CAD" w:rsidRPr="0098262F" w:rsidRDefault="00812CAD" w:rsidP="0072568D">
            <w:pPr>
              <w:pStyle w:val="TableText0"/>
              <w:keepNext w:val="0"/>
              <w:keepLines w:val="0"/>
            </w:pPr>
            <w:r w:rsidRPr="0098262F">
              <w:rPr>
                <w:b/>
              </w:rPr>
              <w:t>Treatment criteria:</w:t>
            </w:r>
          </w:p>
        </w:tc>
      </w:tr>
      <w:tr w:rsidR="00812CAD" w:rsidRPr="0098262F" w14:paraId="63C0FC01"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tcBorders>
              <w:bottom w:val="double" w:sz="4" w:space="0" w:color="auto"/>
            </w:tcBorders>
            <w:vAlign w:val="center"/>
            <w:hideMark/>
          </w:tcPr>
          <w:p w14:paraId="7165A6E8" w14:textId="77777777" w:rsidR="00812CAD" w:rsidRPr="00D60249" w:rsidRDefault="00812CAD" w:rsidP="0072568D">
            <w:pPr>
              <w:pStyle w:val="TableText0"/>
              <w:keepNext w:val="0"/>
              <w:keepLines w:val="0"/>
            </w:pPr>
            <w:r w:rsidRPr="00D60249">
              <w:t>Patient must be treated by a specialist physician experienced in the management of this condition.</w:t>
            </w:r>
          </w:p>
        </w:tc>
      </w:tr>
      <w:tr w:rsidR="00812CAD" w:rsidRPr="0098262F" w14:paraId="2F1464E8"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tcBorders>
              <w:top w:val="double" w:sz="4" w:space="0" w:color="auto"/>
            </w:tcBorders>
            <w:vAlign w:val="center"/>
          </w:tcPr>
          <w:p w14:paraId="7D909797" w14:textId="77777777" w:rsidR="00812CAD" w:rsidRPr="00966B67" w:rsidRDefault="00812CAD" w:rsidP="0072568D">
            <w:pPr>
              <w:pStyle w:val="TableText0"/>
              <w:keepNext w:val="0"/>
              <w:keepLines w:val="0"/>
              <w:rPr>
                <w:b/>
              </w:rPr>
            </w:pPr>
            <w:r w:rsidRPr="00966B67">
              <w:rPr>
                <w:b/>
              </w:rPr>
              <w:t>Treatment Phase: Continuing treatment</w:t>
            </w:r>
          </w:p>
        </w:tc>
      </w:tr>
      <w:tr w:rsidR="00812CAD" w:rsidRPr="0098262F" w14:paraId="2BB9F72E"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C6FE53C" w14:textId="77777777" w:rsidR="00812CAD" w:rsidRPr="00D60249" w:rsidRDefault="00812CAD" w:rsidP="0072568D">
            <w:pPr>
              <w:pStyle w:val="TableText0"/>
              <w:keepNext w:val="0"/>
              <w:keepLines w:val="0"/>
            </w:pPr>
            <w:r w:rsidRPr="0098262F">
              <w:rPr>
                <w:b/>
              </w:rPr>
              <w:t>Clinical criteria:</w:t>
            </w:r>
          </w:p>
        </w:tc>
      </w:tr>
      <w:tr w:rsidR="00812CAD" w:rsidRPr="0098262F" w14:paraId="45CC4B54"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84C6506" w14:textId="77777777" w:rsidR="00812CAD" w:rsidRPr="00D60249" w:rsidRDefault="00812CAD" w:rsidP="0072568D">
            <w:pPr>
              <w:pStyle w:val="TableText0"/>
              <w:keepNext w:val="0"/>
              <w:keepLines w:val="0"/>
            </w:pPr>
            <w:r w:rsidRPr="00D60249">
              <w:t>Patient must have previously been issued with an authority prescription for this drug for this condition;</w:t>
            </w:r>
          </w:p>
        </w:tc>
      </w:tr>
      <w:tr w:rsidR="00812CAD" w:rsidRPr="0098262F" w14:paraId="522AEBCC"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972BF8A" w14:textId="77777777" w:rsidR="00812CAD" w:rsidRPr="00D60249" w:rsidRDefault="00812CAD" w:rsidP="0072568D">
            <w:pPr>
              <w:pStyle w:val="TableText0"/>
              <w:keepNext w:val="0"/>
              <w:keepLines w:val="0"/>
            </w:pPr>
            <w:r w:rsidRPr="0098262F">
              <w:rPr>
                <w:b/>
              </w:rPr>
              <w:t>AND</w:t>
            </w:r>
          </w:p>
        </w:tc>
      </w:tr>
      <w:tr w:rsidR="00812CAD" w:rsidRPr="0098262F" w14:paraId="72CE6C2C"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3A4C2B5" w14:textId="77777777" w:rsidR="00812CAD" w:rsidRPr="00D60249" w:rsidRDefault="00812CAD" w:rsidP="0072568D">
            <w:pPr>
              <w:pStyle w:val="TableText0"/>
              <w:keepNext w:val="0"/>
              <w:keepLines w:val="0"/>
            </w:pPr>
            <w:r w:rsidRPr="0098262F">
              <w:rPr>
                <w:b/>
              </w:rPr>
              <w:t>Clinical criteria:</w:t>
            </w:r>
          </w:p>
        </w:tc>
      </w:tr>
      <w:tr w:rsidR="00812CAD" w:rsidRPr="0098262F" w14:paraId="7671941D"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418CCB1" w14:textId="4C9A03AC" w:rsidR="00812CAD" w:rsidRPr="00D60249" w:rsidRDefault="00812CAD" w:rsidP="0072568D">
            <w:pPr>
              <w:pStyle w:val="TableText0"/>
              <w:keepNext w:val="0"/>
              <w:keepLines w:val="0"/>
            </w:pPr>
            <w:r w:rsidRPr="00D60249">
              <w:t>Patient must not have new end</w:t>
            </w:r>
            <w:r w:rsidR="00FF1914">
              <w:noBreakHyphen/>
            </w:r>
            <w:r w:rsidRPr="00D60249">
              <w:t>stage kidney disease or need for chronic dialysis or renal transplantation;</w:t>
            </w:r>
          </w:p>
        </w:tc>
      </w:tr>
      <w:tr w:rsidR="00812CAD" w:rsidRPr="0098262F" w14:paraId="4878D619"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E4C1970" w14:textId="77777777" w:rsidR="00812CAD" w:rsidRPr="00D60249" w:rsidRDefault="00812CAD" w:rsidP="0072568D">
            <w:pPr>
              <w:pStyle w:val="TableText0"/>
              <w:keepNext w:val="0"/>
              <w:keepLines w:val="0"/>
            </w:pPr>
            <w:r w:rsidRPr="0098262F">
              <w:rPr>
                <w:b/>
              </w:rPr>
              <w:t>AND</w:t>
            </w:r>
          </w:p>
        </w:tc>
      </w:tr>
      <w:tr w:rsidR="00812CAD" w:rsidRPr="0098262F" w14:paraId="2D0FF422"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EBA5306" w14:textId="77777777" w:rsidR="00812CAD" w:rsidRPr="00D60249" w:rsidRDefault="00812CAD" w:rsidP="0072568D">
            <w:pPr>
              <w:pStyle w:val="TableText0"/>
              <w:keepNext w:val="0"/>
              <w:keepLines w:val="0"/>
            </w:pPr>
            <w:r w:rsidRPr="0098262F">
              <w:rPr>
                <w:b/>
              </w:rPr>
              <w:t>Clinical criteria:</w:t>
            </w:r>
          </w:p>
        </w:tc>
      </w:tr>
      <w:tr w:rsidR="00812CAD" w:rsidRPr="0098262F" w14:paraId="4CBD03AA"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tcBorders>
              <w:bottom w:val="double" w:sz="4" w:space="0" w:color="auto"/>
            </w:tcBorders>
            <w:vAlign w:val="center"/>
          </w:tcPr>
          <w:p w14:paraId="581585DB" w14:textId="6898D739" w:rsidR="00812CAD" w:rsidRPr="00D60249" w:rsidRDefault="004D579B" w:rsidP="0072568D">
            <w:pPr>
              <w:pStyle w:val="TableText0"/>
              <w:keepNext w:val="0"/>
              <w:keepLines w:val="0"/>
              <w:rPr>
                <w:bCs w:val="0"/>
              </w:rPr>
            </w:pPr>
            <w:r w:rsidRPr="00D60249">
              <w:rPr>
                <w:bCs w:val="0"/>
              </w:rPr>
              <w:t>Patient must not have clinically significant, sustained worsening in urinary protein</w:t>
            </w:r>
            <w:r w:rsidR="00FF1914">
              <w:rPr>
                <w:bCs w:val="0"/>
              </w:rPr>
              <w:noBreakHyphen/>
            </w:r>
            <w:r w:rsidRPr="00D60249">
              <w:rPr>
                <w:bCs w:val="0"/>
              </w:rPr>
              <w:t>to</w:t>
            </w:r>
            <w:r w:rsidR="00FF1914">
              <w:rPr>
                <w:bCs w:val="0"/>
              </w:rPr>
              <w:noBreakHyphen/>
            </w:r>
            <w:r w:rsidRPr="00D60249">
              <w:rPr>
                <w:bCs w:val="0"/>
              </w:rPr>
              <w:t>creatinine ratio (UPCR) and/or estimated glomerular filtration rate (eGFR) that leads the specialist physician to conclude that the patient is no longer responding to obinutuzumab.</w:t>
            </w:r>
          </w:p>
        </w:tc>
      </w:tr>
      <w:tr w:rsidR="00812CAD" w:rsidRPr="0098262F" w14:paraId="3356265B"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tcBorders>
              <w:top w:val="double" w:sz="4" w:space="0" w:color="auto"/>
            </w:tcBorders>
            <w:vAlign w:val="center"/>
          </w:tcPr>
          <w:p w14:paraId="0A427A2F" w14:textId="5100D087" w:rsidR="00812CAD" w:rsidRPr="00D60249" w:rsidRDefault="00812CAD" w:rsidP="0072568D">
            <w:pPr>
              <w:pStyle w:val="TableText0"/>
              <w:keepNext w:val="0"/>
              <w:keepLines w:val="0"/>
              <w:rPr>
                <w:bCs w:val="0"/>
              </w:rPr>
            </w:pPr>
            <w:r w:rsidRPr="0098262F">
              <w:rPr>
                <w:b/>
              </w:rPr>
              <w:t>Treatment Phase:</w:t>
            </w:r>
            <w:r w:rsidRPr="0098262F">
              <w:t xml:space="preserve"> </w:t>
            </w:r>
            <w:r w:rsidRPr="00D60249">
              <w:t>Transitioning from non</w:t>
            </w:r>
            <w:r w:rsidR="00FF1914">
              <w:noBreakHyphen/>
            </w:r>
            <w:r w:rsidRPr="00D60249">
              <w:t>PBS to PBS</w:t>
            </w:r>
            <w:r w:rsidR="00FF1914">
              <w:noBreakHyphen/>
            </w:r>
            <w:r w:rsidRPr="00D60249">
              <w:t>subsidised supply – ‘Grandfather’ arrangements</w:t>
            </w:r>
          </w:p>
        </w:tc>
      </w:tr>
      <w:tr w:rsidR="00812CAD" w:rsidRPr="0098262F" w14:paraId="22DD02C4"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B0A3D44" w14:textId="77777777" w:rsidR="00812CAD" w:rsidRPr="00D60249" w:rsidRDefault="00812CAD" w:rsidP="0072568D">
            <w:pPr>
              <w:pStyle w:val="TableText0"/>
              <w:keepNext w:val="0"/>
              <w:keepLines w:val="0"/>
            </w:pPr>
            <w:r w:rsidRPr="0098262F">
              <w:rPr>
                <w:b/>
              </w:rPr>
              <w:t>Clinical criteria:</w:t>
            </w:r>
          </w:p>
        </w:tc>
      </w:tr>
      <w:tr w:rsidR="00812CAD" w:rsidRPr="0098262F" w14:paraId="43355D30"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3BFE15D" w14:textId="6A548956" w:rsidR="00812CAD" w:rsidRPr="0098262F" w:rsidRDefault="00812CAD" w:rsidP="0072568D">
            <w:pPr>
              <w:pStyle w:val="TableText0"/>
              <w:keepNext w:val="0"/>
              <w:keepLines w:val="0"/>
            </w:pPr>
            <w:r w:rsidRPr="00D60249">
              <w:t>Patient must have received non</w:t>
            </w:r>
            <w:r w:rsidR="00FF1914">
              <w:noBreakHyphen/>
            </w:r>
            <w:r w:rsidRPr="00D60249">
              <w:t>PBS</w:t>
            </w:r>
            <w:r w:rsidR="00FF1914">
              <w:noBreakHyphen/>
            </w:r>
            <w:r w:rsidRPr="00D60249">
              <w:t>subsidised treatment with this drug for this PBS indication prior to [listing date];</w:t>
            </w:r>
          </w:p>
        </w:tc>
      </w:tr>
      <w:tr w:rsidR="00812CAD" w:rsidRPr="0098262F" w14:paraId="7A84A2F5"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144E150" w14:textId="77777777" w:rsidR="00812CAD" w:rsidRPr="00D60249" w:rsidRDefault="00812CAD" w:rsidP="0072568D">
            <w:pPr>
              <w:pStyle w:val="TableText0"/>
              <w:keepNext w:val="0"/>
              <w:keepLines w:val="0"/>
            </w:pPr>
            <w:r w:rsidRPr="0098262F">
              <w:rPr>
                <w:b/>
              </w:rPr>
              <w:t>AND</w:t>
            </w:r>
          </w:p>
        </w:tc>
      </w:tr>
      <w:tr w:rsidR="00812CAD" w:rsidRPr="0098262F" w14:paraId="5AC05C58"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D6C9C98" w14:textId="77777777" w:rsidR="00812CAD" w:rsidRPr="0098262F" w:rsidRDefault="00812CAD" w:rsidP="0072568D">
            <w:pPr>
              <w:pStyle w:val="TableText0"/>
              <w:keepNext w:val="0"/>
              <w:keepLines w:val="0"/>
            </w:pPr>
            <w:r w:rsidRPr="0098262F">
              <w:rPr>
                <w:b/>
              </w:rPr>
              <w:t>Clinical criteria:</w:t>
            </w:r>
          </w:p>
        </w:tc>
      </w:tr>
      <w:tr w:rsidR="00812CAD" w:rsidRPr="0098262F" w14:paraId="39028259"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0A36FBE" w14:textId="6757539C" w:rsidR="00812CAD" w:rsidRPr="0098262F" w:rsidRDefault="00812CAD" w:rsidP="0072568D">
            <w:pPr>
              <w:pStyle w:val="TableText0"/>
              <w:keepNext w:val="0"/>
              <w:keepLines w:val="0"/>
            </w:pPr>
            <w:r w:rsidRPr="00D60249">
              <w:t>Patient must not have new end</w:t>
            </w:r>
            <w:r w:rsidR="00FF1914">
              <w:noBreakHyphen/>
            </w:r>
            <w:r w:rsidRPr="00D60249">
              <w:t>stage kidney disease or need for chronic dialysis or renal transplantation;</w:t>
            </w:r>
          </w:p>
        </w:tc>
      </w:tr>
      <w:tr w:rsidR="00812CAD" w:rsidRPr="0098262F" w14:paraId="6FDFE037"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04F5E42" w14:textId="77777777" w:rsidR="00812CAD" w:rsidRPr="0098262F" w:rsidRDefault="00812CAD" w:rsidP="0072568D">
            <w:pPr>
              <w:pStyle w:val="TableText0"/>
              <w:keepNext w:val="0"/>
              <w:keepLines w:val="0"/>
            </w:pPr>
            <w:r w:rsidRPr="0098262F">
              <w:rPr>
                <w:b/>
              </w:rPr>
              <w:t>AND</w:t>
            </w:r>
          </w:p>
        </w:tc>
      </w:tr>
      <w:tr w:rsidR="00812CAD" w:rsidRPr="0098262F" w14:paraId="588ADE5E"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AA9A0CD" w14:textId="77777777" w:rsidR="00812CAD" w:rsidRPr="0098262F" w:rsidRDefault="00812CAD" w:rsidP="0072568D">
            <w:pPr>
              <w:pStyle w:val="TableText0"/>
              <w:keepNext w:val="0"/>
              <w:keepLines w:val="0"/>
            </w:pPr>
            <w:r w:rsidRPr="0098262F">
              <w:rPr>
                <w:b/>
              </w:rPr>
              <w:t>Clinical criteria:</w:t>
            </w:r>
          </w:p>
        </w:tc>
      </w:tr>
      <w:tr w:rsidR="00812CAD" w:rsidRPr="0098262F" w14:paraId="23CDB545" w14:textId="77777777" w:rsidTr="00812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281ACC4" w14:textId="596D78D1" w:rsidR="00812CAD" w:rsidRPr="0098262F" w:rsidRDefault="004D579B" w:rsidP="0072568D">
            <w:pPr>
              <w:pStyle w:val="TableText0"/>
              <w:keepNext w:val="0"/>
              <w:keepLines w:val="0"/>
            </w:pPr>
            <w:r w:rsidRPr="00D60249">
              <w:lastRenderedPageBreak/>
              <w:t>Patient must not have clinically significant, sustained worsening in urinary protein</w:t>
            </w:r>
            <w:r w:rsidR="00FF1914">
              <w:noBreakHyphen/>
            </w:r>
            <w:r w:rsidRPr="00D60249">
              <w:t>to</w:t>
            </w:r>
            <w:r w:rsidR="00FF1914">
              <w:noBreakHyphen/>
            </w:r>
            <w:r w:rsidRPr="00D60249">
              <w:t>creatinine ratio (UPCR) and/or estimated glomerular filtration rate (eGFR) that leads the specialist physician to conclude that the patient is no longer responding to obinutuzumab</w:t>
            </w:r>
          </w:p>
        </w:tc>
      </w:tr>
    </w:tbl>
    <w:p w14:paraId="410D71E0" w14:textId="51DE4FB3" w:rsidR="00363384" w:rsidRPr="0098262F" w:rsidRDefault="00812CAD" w:rsidP="00812CAD">
      <w:pPr>
        <w:pStyle w:val="TableFooter"/>
        <w:keepNext/>
        <w:keepLines/>
      </w:pPr>
      <w:r w:rsidRPr="0098262F">
        <w:t xml:space="preserve">Source: </w:t>
      </w:r>
      <w:r>
        <w:t>Tables 1.7 and 1.8, pp23</w:t>
      </w:r>
      <w:r w:rsidR="00FF1914">
        <w:noBreakHyphen/>
      </w:r>
      <w:r>
        <w:t>24</w:t>
      </w:r>
      <w:r w:rsidR="00363384">
        <w:t>,</w:t>
      </w:r>
      <w:r>
        <w:t xml:space="preserve"> Tables 1.9, 1.10 and 1.11, pp25</w:t>
      </w:r>
      <w:r w:rsidR="00FF1914">
        <w:noBreakHyphen/>
      </w:r>
      <w:r>
        <w:t>27 of the submission.</w:t>
      </w:r>
    </w:p>
    <w:p w14:paraId="5B1EAB55" w14:textId="36DEA3B9" w:rsidR="00363384" w:rsidRPr="00F367B1" w:rsidRDefault="00363384" w:rsidP="00363384">
      <w:pPr>
        <w:pStyle w:val="3-BodyText"/>
      </w:pPr>
      <w:r>
        <w:t>Each dispensed pack containing a single</w:t>
      </w:r>
      <w:r w:rsidR="00FF1914">
        <w:noBreakHyphen/>
      </w:r>
      <w:r>
        <w:t xml:space="preserve">dose vial would provide for one infusion. </w:t>
      </w:r>
      <w:r w:rsidRPr="00F367B1">
        <w:t xml:space="preserve">The requested maximum quantities for initial treatment of 1 x 1000 mg vial plus four repeats were sufficient to </w:t>
      </w:r>
      <w:r w:rsidR="00893A3F" w:rsidRPr="00F367B1">
        <w:t>provide</w:t>
      </w:r>
      <w:r w:rsidRPr="00F367B1">
        <w:t xml:space="preserve"> 76 weeks of treatment. For continuing treatment, the requested maximum quantities of 1 x 1000 mg vial plus one repeat would allow for two doses of obinutuzumab treatment per year.</w:t>
      </w:r>
      <w:r w:rsidR="005A7710">
        <w:t xml:space="preserve"> Refer to paragraph </w:t>
      </w:r>
      <w:r w:rsidR="005A7710">
        <w:fldChar w:fldCharType="begin"/>
      </w:r>
      <w:r w:rsidR="005A7710">
        <w:instrText xml:space="preserve"> REF _Ref224568371 \r \h </w:instrText>
      </w:r>
      <w:r w:rsidR="005A7710">
        <w:fldChar w:fldCharType="separate"/>
      </w:r>
      <w:r w:rsidR="005A7710">
        <w:t>7.4</w:t>
      </w:r>
      <w:r w:rsidR="005A7710">
        <w:fldChar w:fldCharType="end"/>
      </w:r>
      <w:r w:rsidR="005A7710">
        <w:t>.</w:t>
      </w:r>
    </w:p>
    <w:p w14:paraId="1FA886F2" w14:textId="1262EDA8" w:rsidR="001A162A" w:rsidRPr="00F367B1" w:rsidRDefault="001E1300" w:rsidP="006D7D9C">
      <w:pPr>
        <w:pStyle w:val="3-BodyText"/>
      </w:pPr>
      <w:bookmarkStart w:id="10" w:name="_Ref221289280"/>
      <w:bookmarkStart w:id="11" w:name="_Ref221519745"/>
      <w:bookmarkStart w:id="12" w:name="_Ref221631708"/>
      <w:r>
        <w:t xml:space="preserve">The evaluation considered that it was </w:t>
      </w:r>
      <w:r w:rsidR="00363384" w:rsidRPr="00F367B1">
        <w:t xml:space="preserve">unclear </w:t>
      </w:r>
      <w:r w:rsidR="00787EEC" w:rsidRPr="00F367B1">
        <w:t>what the optimal number of obinutu</w:t>
      </w:r>
      <w:r w:rsidR="00CC73B5" w:rsidRPr="00F367B1">
        <w:t>z</w:t>
      </w:r>
      <w:r w:rsidR="00787EEC" w:rsidRPr="00F367B1">
        <w:t xml:space="preserve">umab doses should be, particularly whether an additional </w:t>
      </w:r>
      <w:r w:rsidR="00363384" w:rsidRPr="00F367B1">
        <w:t>script at Week 52</w:t>
      </w:r>
      <w:r w:rsidR="00787EEC" w:rsidRPr="00F367B1">
        <w:t xml:space="preserve"> (i.e., </w:t>
      </w:r>
      <w:r w:rsidR="00EA3DC2" w:rsidRPr="00F367B1">
        <w:t>the fifth script</w:t>
      </w:r>
      <w:r w:rsidR="00787EEC" w:rsidRPr="00F367B1">
        <w:t>) is necessary</w:t>
      </w:r>
      <w:r w:rsidR="00363384" w:rsidRPr="00F367B1">
        <w:t>.</w:t>
      </w:r>
      <w:r w:rsidR="00C52935" w:rsidRPr="00F367B1">
        <w:t xml:space="preserve"> The </w:t>
      </w:r>
      <w:r w:rsidR="00D26923" w:rsidRPr="00F367B1">
        <w:t>S</w:t>
      </w:r>
      <w:r w:rsidR="00C52935" w:rsidRPr="00F367B1">
        <w:t>ub</w:t>
      </w:r>
      <w:r w:rsidR="00FF1914">
        <w:noBreakHyphen/>
      </w:r>
      <w:r w:rsidR="00D26923" w:rsidRPr="00F367B1">
        <w:t>C</w:t>
      </w:r>
      <w:r w:rsidR="00C52935" w:rsidRPr="00F367B1">
        <w:t xml:space="preserve">ommittees </w:t>
      </w:r>
      <w:r w:rsidR="00A834BA" w:rsidRPr="00F367B1">
        <w:t xml:space="preserve">agreed that </w:t>
      </w:r>
      <w:r w:rsidR="007A5324" w:rsidRPr="00F367B1">
        <w:t>there was</w:t>
      </w:r>
      <w:r w:rsidR="00A834BA" w:rsidRPr="00F367B1">
        <w:t xml:space="preserve"> lack of clarity on the </w:t>
      </w:r>
      <w:r w:rsidR="00C52935" w:rsidRPr="00F367B1">
        <w:t xml:space="preserve">optimal number of obinutuzumab doses. </w:t>
      </w:r>
      <w:r w:rsidR="00363384" w:rsidRPr="00F367B1">
        <w:t xml:space="preserve">Clinical data </w:t>
      </w:r>
      <w:r w:rsidR="00787EEC" w:rsidRPr="00F367B1">
        <w:t xml:space="preserve">from the NOBILITY trial suggest </w:t>
      </w:r>
      <w:r w:rsidR="00363384" w:rsidRPr="00F367B1">
        <w:t>that patients who stopped treatment at Week 26 (four</w:t>
      </w:r>
      <w:r w:rsidR="00FF1914">
        <w:noBreakHyphen/>
      </w:r>
      <w:r w:rsidR="00363384" w:rsidRPr="00F367B1">
        <w:t xml:space="preserve">dose regimen) </w:t>
      </w:r>
      <w:r w:rsidR="00787EEC" w:rsidRPr="00F367B1">
        <w:t xml:space="preserve">achieved better </w:t>
      </w:r>
      <w:r w:rsidR="00363384" w:rsidRPr="00F367B1">
        <w:t xml:space="preserve">renal response </w:t>
      </w:r>
      <w:r w:rsidR="00787EEC" w:rsidRPr="00F367B1">
        <w:t xml:space="preserve">at </w:t>
      </w:r>
      <w:r w:rsidR="00363384" w:rsidRPr="00F367B1">
        <w:t>one</w:t>
      </w:r>
      <w:r w:rsidR="00447082" w:rsidRPr="00F367B1">
        <w:t xml:space="preserve"> </w:t>
      </w:r>
      <w:r w:rsidR="00363384" w:rsidRPr="00F367B1">
        <w:t>year post</w:t>
      </w:r>
      <w:r w:rsidR="00FF1914">
        <w:noBreakHyphen/>
      </w:r>
      <w:r w:rsidR="00363384" w:rsidRPr="00F367B1">
        <w:t xml:space="preserve">treatment </w:t>
      </w:r>
      <w:r w:rsidR="00787EEC" w:rsidRPr="00F367B1">
        <w:t>(</w:t>
      </w:r>
      <w:r w:rsidR="00363384" w:rsidRPr="00F367B1">
        <w:t>Week 76</w:t>
      </w:r>
      <w:r w:rsidR="00787EEC" w:rsidRPr="00F367B1">
        <w:t>)</w:t>
      </w:r>
      <w:r w:rsidR="00363384" w:rsidRPr="00F367B1">
        <w:t xml:space="preserve"> </w:t>
      </w:r>
      <w:r w:rsidR="00787EEC" w:rsidRPr="00F367B1">
        <w:t xml:space="preserve">compared to </w:t>
      </w:r>
      <w:r w:rsidR="00363384" w:rsidRPr="00F367B1">
        <w:t>those who received additional treatment at Week 50</w:t>
      </w:r>
      <w:r w:rsidR="00FF1914">
        <w:noBreakHyphen/>
      </w:r>
      <w:r w:rsidR="00363384" w:rsidRPr="00F367B1">
        <w:t>52 (five and six</w:t>
      </w:r>
      <w:r w:rsidR="00FF1914">
        <w:noBreakHyphen/>
      </w:r>
      <w:r w:rsidR="00363384" w:rsidRPr="00F367B1">
        <w:t>dose regimen</w:t>
      </w:r>
      <w:r w:rsidR="000266C1" w:rsidRPr="00F367B1">
        <w:t>s</w:t>
      </w:r>
      <w:r w:rsidR="00363384" w:rsidRPr="00F367B1">
        <w:t xml:space="preserve">) in </w:t>
      </w:r>
      <w:r w:rsidR="00464A8E" w:rsidRPr="00F367B1">
        <w:t xml:space="preserve">the </w:t>
      </w:r>
      <w:r w:rsidR="00363384" w:rsidRPr="00F367B1">
        <w:t>REGENCY trial (TGA CER).</w:t>
      </w:r>
      <w:r w:rsidR="00C52935" w:rsidRPr="00F367B1">
        <w:t xml:space="preserve"> </w:t>
      </w:r>
      <w:r w:rsidR="00310568" w:rsidRPr="00F367B1">
        <w:t>T</w:t>
      </w:r>
      <w:r w:rsidR="00162074" w:rsidRPr="00F367B1">
        <w:rPr>
          <w:rFonts w:ascii="Calibri" w:eastAsia="Calibri" w:hAnsi="Calibri" w:cs="Times New Roman"/>
        </w:rPr>
        <w:t>he</w:t>
      </w:r>
      <w:r w:rsidR="009868CD" w:rsidRPr="00F367B1">
        <w:rPr>
          <w:rFonts w:ascii="Calibri" w:eastAsia="Calibri" w:hAnsi="Calibri" w:cs="Times New Roman"/>
        </w:rPr>
        <w:t xml:space="preserve"> </w:t>
      </w:r>
      <w:r w:rsidR="00577C59" w:rsidRPr="00F367B1">
        <w:rPr>
          <w:color w:val="000000" w:themeColor="text1"/>
        </w:rPr>
        <w:t>Pre</w:t>
      </w:r>
      <w:r w:rsidR="00FF1914">
        <w:rPr>
          <w:color w:val="000000" w:themeColor="text1"/>
        </w:rPr>
        <w:noBreakHyphen/>
      </w:r>
      <w:r w:rsidR="00577C59" w:rsidRPr="00F367B1">
        <w:rPr>
          <w:color w:val="000000" w:themeColor="text1"/>
        </w:rPr>
        <w:t>Sub</w:t>
      </w:r>
      <w:r w:rsidR="00FF1914">
        <w:rPr>
          <w:color w:val="000000" w:themeColor="text1"/>
        </w:rPr>
        <w:noBreakHyphen/>
      </w:r>
      <w:r w:rsidR="00577C59" w:rsidRPr="00F367B1">
        <w:rPr>
          <w:color w:val="000000" w:themeColor="text1"/>
        </w:rPr>
        <w:t>Committee Response (</w:t>
      </w:r>
      <w:r w:rsidR="009868CD" w:rsidRPr="00F367B1">
        <w:rPr>
          <w:rFonts w:ascii="Calibri" w:eastAsia="Calibri" w:hAnsi="Calibri" w:cs="Times New Roman"/>
        </w:rPr>
        <w:t>PSCR</w:t>
      </w:r>
      <w:r w:rsidR="00577C59" w:rsidRPr="00F367B1">
        <w:rPr>
          <w:rFonts w:ascii="Calibri" w:eastAsia="Calibri" w:hAnsi="Calibri" w:cs="Times New Roman"/>
        </w:rPr>
        <w:t>)</w:t>
      </w:r>
      <w:r w:rsidR="00817FF2" w:rsidRPr="00F367B1">
        <w:rPr>
          <w:rFonts w:ascii="Calibri" w:eastAsia="Calibri" w:hAnsi="Calibri" w:cs="Times New Roman"/>
        </w:rPr>
        <w:t xml:space="preserve"> </w:t>
      </w:r>
      <w:r w:rsidR="00E61B20" w:rsidRPr="00F367B1">
        <w:rPr>
          <w:rFonts w:ascii="Calibri" w:eastAsia="Calibri" w:hAnsi="Calibri" w:cs="Times New Roman"/>
        </w:rPr>
        <w:t xml:space="preserve"> </w:t>
      </w:r>
      <w:r w:rsidR="000B76FC">
        <w:rPr>
          <w:rFonts w:ascii="Calibri" w:eastAsia="Calibri" w:hAnsi="Calibri" w:cs="Times New Roman"/>
        </w:rPr>
        <w:t>stated that the 5 dose (2</w:t>
      </w:r>
      <w:r w:rsidR="00FF1914">
        <w:rPr>
          <w:rFonts w:ascii="Calibri" w:eastAsia="Calibri" w:hAnsi="Calibri" w:cs="Times New Roman"/>
        </w:rPr>
        <w:noBreakHyphen/>
      </w:r>
      <w:r w:rsidR="000B76FC">
        <w:rPr>
          <w:rFonts w:ascii="Calibri" w:eastAsia="Calibri" w:hAnsi="Calibri" w:cs="Times New Roman"/>
        </w:rPr>
        <w:t>2</w:t>
      </w:r>
      <w:r w:rsidR="00FF1914">
        <w:rPr>
          <w:rFonts w:ascii="Calibri" w:eastAsia="Calibri" w:hAnsi="Calibri" w:cs="Times New Roman"/>
        </w:rPr>
        <w:noBreakHyphen/>
      </w:r>
      <w:r w:rsidR="000B76FC">
        <w:rPr>
          <w:rFonts w:ascii="Calibri" w:eastAsia="Calibri" w:hAnsi="Calibri" w:cs="Times New Roman"/>
        </w:rPr>
        <w:t>1) regimen rather than the 6 dose (2</w:t>
      </w:r>
      <w:r w:rsidR="00FF1914">
        <w:rPr>
          <w:rFonts w:ascii="Calibri" w:eastAsia="Calibri" w:hAnsi="Calibri" w:cs="Times New Roman"/>
        </w:rPr>
        <w:noBreakHyphen/>
      </w:r>
      <w:r w:rsidR="000B76FC">
        <w:rPr>
          <w:rFonts w:ascii="Calibri" w:eastAsia="Calibri" w:hAnsi="Calibri" w:cs="Times New Roman"/>
        </w:rPr>
        <w:t>2</w:t>
      </w:r>
      <w:r w:rsidR="00FF1914">
        <w:rPr>
          <w:rFonts w:ascii="Calibri" w:eastAsia="Calibri" w:hAnsi="Calibri" w:cs="Times New Roman"/>
        </w:rPr>
        <w:noBreakHyphen/>
      </w:r>
      <w:r w:rsidR="000B76FC">
        <w:rPr>
          <w:rFonts w:ascii="Calibri" w:eastAsia="Calibri" w:hAnsi="Calibri" w:cs="Times New Roman"/>
        </w:rPr>
        <w:t xml:space="preserve">2) regimen had been submitted for TGA approval and recommended by the Delegate. The PSCR also </w:t>
      </w:r>
      <w:r w:rsidR="00E61B20" w:rsidRPr="00F367B1">
        <w:rPr>
          <w:rFonts w:ascii="Calibri" w:eastAsia="Calibri" w:hAnsi="Calibri" w:cs="Times New Roman"/>
        </w:rPr>
        <w:t>suggested</w:t>
      </w:r>
      <w:r w:rsidR="00162074" w:rsidRPr="00F367B1">
        <w:rPr>
          <w:rFonts w:ascii="Calibri" w:eastAsia="Calibri" w:hAnsi="Calibri" w:cs="Times New Roman"/>
        </w:rPr>
        <w:t xml:space="preserve"> </w:t>
      </w:r>
      <w:r w:rsidR="009868CD" w:rsidRPr="00F367B1">
        <w:rPr>
          <w:rFonts w:ascii="Calibri" w:eastAsia="Calibri" w:hAnsi="Calibri" w:cs="Times New Roman"/>
        </w:rPr>
        <w:t>that patients in REGENCY who received the additional dose of obinutuzumab at Week 52</w:t>
      </w:r>
      <w:r w:rsidR="00E61B20" w:rsidRPr="00F367B1">
        <w:rPr>
          <w:rFonts w:ascii="Calibri" w:eastAsia="Calibri" w:hAnsi="Calibri" w:cs="Times New Roman"/>
        </w:rPr>
        <w:t xml:space="preserve"> with 6 monthly maintenance dosing </w:t>
      </w:r>
      <w:r w:rsidR="009868CD" w:rsidRPr="00F367B1">
        <w:rPr>
          <w:rFonts w:ascii="Calibri" w:eastAsia="Calibri" w:hAnsi="Calibri" w:cs="Times New Roman"/>
        </w:rPr>
        <w:t>continued to show improvement in CRR, based on unpublished masked and open</w:t>
      </w:r>
      <w:r w:rsidR="00FF1914">
        <w:rPr>
          <w:rFonts w:ascii="Calibri" w:eastAsia="Calibri" w:hAnsi="Calibri" w:cs="Times New Roman"/>
        </w:rPr>
        <w:noBreakHyphen/>
      </w:r>
      <w:r w:rsidR="009868CD" w:rsidRPr="00F367B1">
        <w:rPr>
          <w:rFonts w:ascii="Calibri" w:eastAsia="Calibri" w:hAnsi="Calibri" w:cs="Times New Roman"/>
        </w:rPr>
        <w:t xml:space="preserve">label extension data </w:t>
      </w:r>
      <w:r w:rsidR="00874CCF" w:rsidRPr="00F367B1">
        <w:rPr>
          <w:rFonts w:ascii="Calibri" w:eastAsia="Calibri" w:hAnsi="Calibri" w:cs="Times New Roman"/>
        </w:rPr>
        <w:t>on</w:t>
      </w:r>
      <w:r w:rsidR="009868CD" w:rsidRPr="00F367B1">
        <w:rPr>
          <w:rFonts w:ascii="Calibri" w:eastAsia="Calibri" w:hAnsi="Calibri" w:cs="Times New Roman"/>
        </w:rPr>
        <w:t xml:space="preserve"> CRR from Week 76 to Week 210</w:t>
      </w:r>
      <w:r w:rsidR="00151EDA" w:rsidRPr="00F367B1">
        <w:rPr>
          <w:rFonts w:ascii="Calibri" w:eastAsia="Calibri" w:hAnsi="Calibri" w:cs="Times New Roman"/>
        </w:rPr>
        <w:t xml:space="preserve"> </w:t>
      </w:r>
      <w:r w:rsidR="00933F41" w:rsidRPr="00F367B1">
        <w:rPr>
          <w:rFonts w:ascii="Calibri" w:eastAsia="Calibri" w:hAnsi="Calibri" w:cs="Times New Roman"/>
        </w:rPr>
        <w:t>which ranged</w:t>
      </w:r>
      <w:r w:rsidR="00151EDA" w:rsidRPr="00F367B1">
        <w:rPr>
          <w:rFonts w:ascii="Calibri" w:eastAsia="Calibri" w:hAnsi="Calibri" w:cs="Times New Roman"/>
        </w:rPr>
        <w:t xml:space="preserve"> from 66.7% to </w:t>
      </w:r>
      <w:r w:rsidR="00AF20ED" w:rsidRPr="00F367B1">
        <w:rPr>
          <w:rFonts w:ascii="Calibri" w:eastAsia="Calibri" w:hAnsi="Calibri" w:cs="Times New Roman"/>
        </w:rPr>
        <w:t>72.4%</w:t>
      </w:r>
      <w:r w:rsidR="009868CD" w:rsidRPr="00F367B1">
        <w:rPr>
          <w:rFonts w:ascii="Calibri" w:eastAsia="Calibri" w:hAnsi="Calibri" w:cs="Times New Roman"/>
        </w:rPr>
        <w:t>.</w:t>
      </w:r>
      <w:r w:rsidR="00296099" w:rsidRPr="00F367B1">
        <w:rPr>
          <w:rFonts w:ascii="Calibri" w:eastAsia="Calibri" w:hAnsi="Calibri" w:cs="Times New Roman"/>
        </w:rPr>
        <w:t xml:space="preserve"> It was noted that these analyses were exploratory</w:t>
      </w:r>
      <w:r w:rsidR="0089172B" w:rsidRPr="00F367B1">
        <w:rPr>
          <w:rFonts w:ascii="Calibri" w:eastAsia="Calibri" w:hAnsi="Calibri" w:cs="Times New Roman"/>
        </w:rPr>
        <w:t xml:space="preserve">, </w:t>
      </w:r>
      <w:r w:rsidR="00296099" w:rsidRPr="00F367B1">
        <w:rPr>
          <w:rFonts w:ascii="Calibri" w:eastAsia="Calibri" w:hAnsi="Calibri" w:cs="Times New Roman"/>
        </w:rPr>
        <w:t>based on small patient numbers</w:t>
      </w:r>
      <w:r w:rsidR="00310568" w:rsidRPr="00F367B1">
        <w:rPr>
          <w:rFonts w:ascii="Calibri" w:eastAsia="Calibri" w:hAnsi="Calibri" w:cs="Times New Roman"/>
        </w:rPr>
        <w:t xml:space="preserve"> and restricted to the adequate responder population</w:t>
      </w:r>
      <w:r w:rsidR="00296099" w:rsidRPr="00F367B1">
        <w:rPr>
          <w:rFonts w:ascii="Calibri" w:eastAsia="Calibri" w:hAnsi="Calibri" w:cs="Times New Roman"/>
        </w:rPr>
        <w:t>.</w:t>
      </w:r>
      <w:bookmarkEnd w:id="10"/>
      <w:r w:rsidR="00296099" w:rsidRPr="00F367B1">
        <w:rPr>
          <w:rFonts w:ascii="Calibri" w:eastAsia="Calibri" w:hAnsi="Calibri" w:cs="Times New Roman"/>
        </w:rPr>
        <w:t xml:space="preserve"> </w:t>
      </w:r>
      <w:bookmarkEnd w:id="11"/>
      <w:bookmarkEnd w:id="12"/>
      <w:r w:rsidR="00A27868">
        <w:rPr>
          <w:rFonts w:ascii="Calibri" w:eastAsia="Calibri" w:hAnsi="Calibri" w:cs="Times New Roman"/>
        </w:rPr>
        <w:t xml:space="preserve">The PBAC noted that the ACM advised that </w:t>
      </w:r>
      <w:r w:rsidR="00A27868" w:rsidRPr="00A27868">
        <w:rPr>
          <w:rFonts w:ascii="Calibri" w:eastAsia="Calibri" w:hAnsi="Calibri" w:cs="Times New Roman"/>
        </w:rPr>
        <w:t>treatment should be continued for a total of 52 weeks (doses on day 1, weeks 2, 24, 26, (50), and 52)</w:t>
      </w:r>
      <w:r w:rsidR="00094E2D">
        <w:rPr>
          <w:rFonts w:ascii="Calibri" w:eastAsia="Calibri" w:hAnsi="Calibri" w:cs="Times New Roman"/>
        </w:rPr>
        <w:t xml:space="preserve"> with re</w:t>
      </w:r>
      <w:r w:rsidR="00FF1914">
        <w:rPr>
          <w:rFonts w:ascii="Calibri" w:eastAsia="Calibri" w:hAnsi="Calibri" w:cs="Times New Roman"/>
        </w:rPr>
        <w:noBreakHyphen/>
      </w:r>
      <w:r w:rsidR="00094E2D">
        <w:rPr>
          <w:rFonts w:ascii="Calibri" w:eastAsia="Calibri" w:hAnsi="Calibri" w:cs="Times New Roman"/>
        </w:rPr>
        <w:t>evaluation of response at week 72</w:t>
      </w:r>
      <w:r w:rsidR="00B147B2">
        <w:rPr>
          <w:rFonts w:ascii="Calibri" w:eastAsia="Calibri" w:hAnsi="Calibri" w:cs="Times New Roman"/>
        </w:rPr>
        <w:t>.</w:t>
      </w:r>
    </w:p>
    <w:p w14:paraId="1E0C7A31" w14:textId="4F8E9738" w:rsidR="00363384" w:rsidRPr="00F367B1" w:rsidRDefault="00363384" w:rsidP="00363384">
      <w:pPr>
        <w:pStyle w:val="3-BodyText"/>
      </w:pPr>
      <w:r w:rsidRPr="00F367B1">
        <w:t xml:space="preserve">The submission requested a grandfathering restriction for eligible patients </w:t>
      </w:r>
      <w:r w:rsidR="00464A8E" w:rsidRPr="00F367B1">
        <w:t xml:space="preserve">currently </w:t>
      </w:r>
      <w:r w:rsidRPr="00F367B1">
        <w:t xml:space="preserve">receiving obinutuzumab </w:t>
      </w:r>
      <w:r w:rsidR="00464A8E" w:rsidRPr="00F367B1">
        <w:t xml:space="preserve">through </w:t>
      </w:r>
      <w:r w:rsidRPr="00F367B1">
        <w:t>a compassionate access program for active lupus nephritis</w:t>
      </w:r>
      <w:r w:rsidR="00464A8E" w:rsidRPr="00F367B1">
        <w:t xml:space="preserve">, as well as those enrolled in a </w:t>
      </w:r>
      <w:r w:rsidRPr="00F367B1">
        <w:t xml:space="preserve">formal patient access program planned </w:t>
      </w:r>
      <w:r w:rsidR="00464A8E" w:rsidRPr="00F367B1">
        <w:t xml:space="preserve">to </w:t>
      </w:r>
      <w:r w:rsidRPr="00F367B1">
        <w:t>commence</w:t>
      </w:r>
      <w:r w:rsidR="00464A8E" w:rsidRPr="00F367B1">
        <w:t xml:space="preserve"> </w:t>
      </w:r>
      <w:r w:rsidRPr="00F367B1">
        <w:t>following TGA approval</w:t>
      </w:r>
      <w:r w:rsidR="001954F8" w:rsidRPr="00F367B1">
        <w:t xml:space="preserve">. </w:t>
      </w:r>
      <w:r w:rsidR="00F61404" w:rsidRPr="00F367B1">
        <w:t xml:space="preserve">Details about patients in the compassionate access program were not provided; however, the submission </w:t>
      </w:r>
      <w:r w:rsidR="00094E2D">
        <w:t>indicated</w:t>
      </w:r>
      <w:r w:rsidR="00094E2D" w:rsidRPr="00F367B1">
        <w:t xml:space="preserve"> </w:t>
      </w:r>
      <w:r w:rsidR="00F61404" w:rsidRPr="00F367B1">
        <w:t>that eligibility</w:t>
      </w:r>
      <w:r w:rsidR="001954F8" w:rsidRPr="00F367B1">
        <w:t xml:space="preserve"> for the patient access program</w:t>
      </w:r>
      <w:r w:rsidR="00F61404" w:rsidRPr="00F367B1">
        <w:t xml:space="preserve"> </w:t>
      </w:r>
      <w:r w:rsidR="001954F8" w:rsidRPr="00F367B1">
        <w:t xml:space="preserve">aligns with the eligibility criteria </w:t>
      </w:r>
      <w:r w:rsidR="00F61404" w:rsidRPr="00F367B1">
        <w:t xml:space="preserve">of </w:t>
      </w:r>
      <w:r w:rsidR="001954F8" w:rsidRPr="00F367B1">
        <w:t xml:space="preserve">REGENCY and </w:t>
      </w:r>
      <w:r w:rsidR="00F61404" w:rsidRPr="00F367B1">
        <w:t xml:space="preserve">the </w:t>
      </w:r>
      <w:r w:rsidR="001954F8" w:rsidRPr="00F367B1">
        <w:t>proposed initial PBS restriction.</w:t>
      </w:r>
      <w:r w:rsidR="00F61404" w:rsidRPr="00F367B1">
        <w:t xml:space="preserve"> </w:t>
      </w:r>
      <w:r w:rsidR="005433CE" w:rsidRPr="00F367B1">
        <w:t>T</w:t>
      </w:r>
      <w:r w:rsidRPr="00F367B1">
        <w:t xml:space="preserve">he number of patients in </w:t>
      </w:r>
      <w:r w:rsidR="0026083B" w:rsidRPr="00F367B1">
        <w:t>these programs had not been quantified</w:t>
      </w:r>
      <w:r w:rsidRPr="00F367B1">
        <w:t>. The submission</w:t>
      </w:r>
      <w:r w:rsidR="00A303A0" w:rsidRPr="00F367B1">
        <w:t>’s financial estimates</w:t>
      </w:r>
      <w:r w:rsidRPr="00F367B1">
        <w:t xml:space="preserve"> assumed that </w:t>
      </w:r>
      <w:r w:rsidR="0026083B" w:rsidRPr="00F367B1">
        <w:t xml:space="preserve">these </w:t>
      </w:r>
      <w:r w:rsidRPr="00F367B1">
        <w:t xml:space="preserve">patients </w:t>
      </w:r>
      <w:r w:rsidR="00A303A0" w:rsidRPr="00F367B1">
        <w:t>would be</w:t>
      </w:r>
      <w:r w:rsidRPr="00F367B1">
        <w:t xml:space="preserve"> included in the prevalent population.</w:t>
      </w:r>
    </w:p>
    <w:p w14:paraId="45938F5B" w14:textId="730821F4" w:rsidR="00EB749B" w:rsidRPr="00061BF1" w:rsidRDefault="00363384" w:rsidP="00363384">
      <w:pPr>
        <w:pStyle w:val="3-BodyText"/>
        <w:rPr>
          <w:i/>
          <w:iCs/>
        </w:rPr>
      </w:pPr>
      <w:r w:rsidRPr="00F367B1">
        <w:t xml:space="preserve">The proposed wording in the requested restriction was based on the key eligibility criteria </w:t>
      </w:r>
      <w:r w:rsidR="0026083B" w:rsidRPr="00F367B1">
        <w:t xml:space="preserve">of </w:t>
      </w:r>
      <w:r w:rsidRPr="00F367B1">
        <w:t>REGENCY</w:t>
      </w:r>
      <w:r w:rsidR="0026083B" w:rsidRPr="00F367B1">
        <w:t xml:space="preserve"> </w:t>
      </w:r>
      <w:r w:rsidRPr="00F367B1">
        <w:t xml:space="preserve">and </w:t>
      </w:r>
      <w:r w:rsidR="00A303A0" w:rsidRPr="00F367B1">
        <w:t xml:space="preserve">feedback from </w:t>
      </w:r>
      <w:r w:rsidRPr="00F367B1">
        <w:t xml:space="preserve">the </w:t>
      </w:r>
      <w:r w:rsidR="002427E3" w:rsidRPr="00F367B1">
        <w:t>sponsor</w:t>
      </w:r>
      <w:r w:rsidR="00FF1914">
        <w:noBreakHyphen/>
      </w:r>
      <w:r w:rsidR="002427E3" w:rsidRPr="00F367B1">
        <w:t>commissioned clinical advisors (Advisory Board Minutes 2025), comprising nephrologists and rheumatologists from Australia</w:t>
      </w:r>
      <w:r w:rsidRPr="00F367B1">
        <w:t>.</w:t>
      </w:r>
      <w:r w:rsidR="009177F2" w:rsidRPr="00F367B1">
        <w:t xml:space="preserve"> The </w:t>
      </w:r>
      <w:r w:rsidR="000A793E" w:rsidRPr="00F367B1">
        <w:t>S</w:t>
      </w:r>
      <w:r w:rsidR="009177F2" w:rsidRPr="00F367B1">
        <w:t>ub</w:t>
      </w:r>
      <w:r w:rsidR="00FF1914">
        <w:noBreakHyphen/>
      </w:r>
      <w:r w:rsidR="000A793E" w:rsidRPr="00F367B1">
        <w:t>C</w:t>
      </w:r>
      <w:r w:rsidR="009177F2" w:rsidRPr="00F367B1">
        <w:t xml:space="preserve">ommittees </w:t>
      </w:r>
      <w:r w:rsidR="00EB6833" w:rsidRPr="00F367B1">
        <w:t>noted</w:t>
      </w:r>
      <w:r w:rsidR="009177F2" w:rsidRPr="00F367B1">
        <w:t xml:space="preserve"> that the proposed wording in the requested restriction was consistent with the REGENCY </w:t>
      </w:r>
      <w:r w:rsidR="009177F2" w:rsidRPr="00327132">
        <w:t xml:space="preserve">trial. </w:t>
      </w:r>
      <w:r w:rsidRPr="00327132">
        <w:t xml:space="preserve">The requested PBS restriction criteria permit use of obinutuzumab in patients with </w:t>
      </w:r>
      <w:r w:rsidR="00A303A0" w:rsidRPr="00327132">
        <w:t xml:space="preserve">a </w:t>
      </w:r>
      <w:r w:rsidRPr="00327132">
        <w:t xml:space="preserve">confirmed diagnosis of active class III/IV </w:t>
      </w:r>
      <w:r w:rsidRPr="00327132">
        <w:rPr>
          <w:rFonts w:cs="Calibri"/>
        </w:rPr>
        <w:t>±</w:t>
      </w:r>
      <w:r w:rsidRPr="00327132">
        <w:t xml:space="preserve"> V lupus nephritis </w:t>
      </w:r>
      <w:r w:rsidR="0026083B" w:rsidRPr="00327132">
        <w:t xml:space="preserve">according to </w:t>
      </w:r>
      <w:r w:rsidRPr="00327132">
        <w:t xml:space="preserve">the </w:t>
      </w:r>
      <w:r w:rsidR="00A52F99" w:rsidRPr="00327132">
        <w:t xml:space="preserve">International Society of </w:t>
      </w:r>
      <w:r w:rsidR="00A52F99" w:rsidRPr="00327132">
        <w:lastRenderedPageBreak/>
        <w:t xml:space="preserve">Nephrology/Renal Pathology Society (ISN/RPS) </w:t>
      </w:r>
      <w:r w:rsidRPr="00327132">
        <w:t xml:space="preserve">classification. </w:t>
      </w:r>
      <w:r w:rsidR="008636C1" w:rsidRPr="00327132">
        <w:t>In the requested restriction, p</w:t>
      </w:r>
      <w:r w:rsidRPr="00327132">
        <w:t xml:space="preserve">atients must not have severe renal impairment, defined </w:t>
      </w:r>
      <w:r w:rsidR="00A303A0" w:rsidRPr="00327132">
        <w:t>as</w:t>
      </w:r>
      <w:r w:rsidRPr="00327132">
        <w:t xml:space="preserve"> </w:t>
      </w:r>
      <w:r w:rsidR="00A52F99" w:rsidRPr="00327132">
        <w:t xml:space="preserve">estimated glomerular filtration rate (eGFR) </w:t>
      </w:r>
      <w:r w:rsidRPr="00327132">
        <w:t>&lt;30mL/min per 1.73 m</w:t>
      </w:r>
      <w:r w:rsidRPr="00327132">
        <w:rPr>
          <w:vertAlign w:val="superscript"/>
        </w:rPr>
        <w:t>2</w:t>
      </w:r>
      <w:r w:rsidRPr="00327132">
        <w:t xml:space="preserve"> of body surface area, or end stage kidney disease (ESKD) requiring dialysis or kidney transplantation, and </w:t>
      </w:r>
      <w:r w:rsidR="00EF1D43" w:rsidRPr="00327132">
        <w:t>urine protein</w:t>
      </w:r>
      <w:r w:rsidR="00FF1914">
        <w:noBreakHyphen/>
      </w:r>
      <w:r w:rsidR="00EF1D43" w:rsidRPr="00327132">
        <w:t>to</w:t>
      </w:r>
      <w:r w:rsidR="00FF1914">
        <w:noBreakHyphen/>
      </w:r>
      <w:r w:rsidR="00EF1D43" w:rsidRPr="00327132">
        <w:t xml:space="preserve">creatinine ratio (UPCR) </w:t>
      </w:r>
      <w:r w:rsidRPr="00327132">
        <w:rPr>
          <w:rFonts w:cs="Calibri"/>
        </w:rPr>
        <w:t>≥</w:t>
      </w:r>
      <w:r w:rsidRPr="00327132">
        <w:t xml:space="preserve">113 mg/mmol (or </w:t>
      </w:r>
      <w:r w:rsidRPr="00327132">
        <w:rPr>
          <w:rFonts w:cs="Calibri"/>
        </w:rPr>
        <w:t>≥</w:t>
      </w:r>
      <w:r w:rsidRPr="00327132">
        <w:t>1 g/g equivalent using American standard unit measurement). Patient</w:t>
      </w:r>
      <w:r w:rsidR="009E1DE8" w:rsidRPr="00327132">
        <w:t>s</w:t>
      </w:r>
      <w:r w:rsidRPr="00327132">
        <w:t xml:space="preserve"> must be receiving concomitant treatment with MMF and corticosteroid unless contraindicated</w:t>
      </w:r>
      <w:r w:rsidRPr="00B73A5D">
        <w:t xml:space="preserve">. </w:t>
      </w:r>
      <w:r w:rsidR="00CE7754" w:rsidRPr="00B73A5D">
        <w:t>The Sub</w:t>
      </w:r>
      <w:r w:rsidR="00FF1914">
        <w:noBreakHyphen/>
      </w:r>
      <w:r w:rsidR="00CE7754" w:rsidRPr="00B73A5D">
        <w:t xml:space="preserve">Committees </w:t>
      </w:r>
      <w:r w:rsidR="006E7C1E" w:rsidRPr="00B73A5D">
        <w:t>considered</w:t>
      </w:r>
      <w:r w:rsidR="00CE7754" w:rsidRPr="00B73A5D">
        <w:t xml:space="preserve"> that the</w:t>
      </w:r>
      <w:r w:rsidR="00061BF1" w:rsidRPr="00B73A5D">
        <w:t xml:space="preserve"> </w:t>
      </w:r>
      <w:r w:rsidR="00CE7754" w:rsidRPr="00B73A5D">
        <w:t>patient population</w:t>
      </w:r>
      <w:r w:rsidR="005C2172" w:rsidRPr="00B73A5D">
        <w:t xml:space="preserve"> for treatment </w:t>
      </w:r>
      <w:r w:rsidR="00744F54" w:rsidRPr="00B73A5D">
        <w:t>with obinutuzum</w:t>
      </w:r>
      <w:r w:rsidR="00230654" w:rsidRPr="00B73A5D">
        <w:t>a</w:t>
      </w:r>
      <w:r w:rsidR="00744F54" w:rsidRPr="00B73A5D">
        <w:t>b</w:t>
      </w:r>
      <w:r w:rsidR="00CE7754" w:rsidRPr="00B73A5D">
        <w:t xml:space="preserve"> </w:t>
      </w:r>
      <w:r w:rsidR="006E7C1E" w:rsidRPr="00B73A5D">
        <w:t>was</w:t>
      </w:r>
      <w:r w:rsidR="00CE7754" w:rsidRPr="00B73A5D">
        <w:t xml:space="preserve"> clearly defined.</w:t>
      </w:r>
      <w:r w:rsidR="00CE7754" w:rsidRPr="00061BF1">
        <w:rPr>
          <w:i/>
          <w:iCs/>
        </w:rPr>
        <w:t xml:space="preserve"> </w:t>
      </w:r>
      <w:r w:rsidR="00D847B5">
        <w:t xml:space="preserve">Refer to paragraph </w:t>
      </w:r>
      <w:r w:rsidR="00D847B5">
        <w:fldChar w:fldCharType="begin"/>
      </w:r>
      <w:r w:rsidR="00D847B5">
        <w:instrText xml:space="preserve"> REF _Ref224568371 \r \h </w:instrText>
      </w:r>
      <w:r w:rsidR="00D847B5">
        <w:fldChar w:fldCharType="separate"/>
      </w:r>
      <w:r w:rsidR="00D847B5">
        <w:t>7.4</w:t>
      </w:r>
      <w:r w:rsidR="00D847B5">
        <w:fldChar w:fldCharType="end"/>
      </w:r>
      <w:r w:rsidR="00D847B5">
        <w:t>.</w:t>
      </w:r>
    </w:p>
    <w:p w14:paraId="7185F7F7" w14:textId="76346C73" w:rsidR="00363384" w:rsidRPr="004A04A2" w:rsidRDefault="00363384" w:rsidP="00363384">
      <w:pPr>
        <w:pStyle w:val="3-BodyText"/>
      </w:pPr>
      <w:bookmarkStart w:id="13" w:name="_Ref221544747"/>
      <w:r w:rsidRPr="004A04A2">
        <w:t xml:space="preserve">The requested restriction was silent on age. However, </w:t>
      </w:r>
      <w:r w:rsidR="00785990" w:rsidRPr="004A04A2">
        <w:t xml:space="preserve">in the modelled economic evaluation and financial estimates </w:t>
      </w:r>
      <w:r w:rsidRPr="004A04A2">
        <w:t xml:space="preserve">the submission assumed </w:t>
      </w:r>
      <w:r w:rsidR="009226DC" w:rsidRPr="004A04A2">
        <w:t xml:space="preserve">that </w:t>
      </w:r>
      <w:r w:rsidRPr="004A04A2">
        <w:t>only adult patients would access treatment. The proposed TGA indication was limited to adult patients</w:t>
      </w:r>
      <w:r w:rsidR="0026083B" w:rsidRPr="004A04A2">
        <w:t>,</w:t>
      </w:r>
      <w:r w:rsidRPr="004A04A2">
        <w:t xml:space="preserve"> and the REGENCY tria</w:t>
      </w:r>
      <w:r w:rsidRPr="00B73A5D">
        <w:t xml:space="preserve">l enrolled </w:t>
      </w:r>
      <w:r w:rsidR="0026083B" w:rsidRPr="00B73A5D">
        <w:t xml:space="preserve">only </w:t>
      </w:r>
      <w:r w:rsidRPr="00B73A5D">
        <w:t>adult</w:t>
      </w:r>
      <w:r w:rsidR="0026083B" w:rsidRPr="00B73A5D">
        <w:t>s</w:t>
      </w:r>
      <w:r w:rsidRPr="00B73A5D">
        <w:t xml:space="preserve"> (aged 18</w:t>
      </w:r>
      <w:r w:rsidR="00FF1914">
        <w:noBreakHyphen/>
      </w:r>
      <w:r w:rsidRPr="00B73A5D">
        <w:t>75 years).</w:t>
      </w:r>
      <w:bookmarkEnd w:id="13"/>
      <w:r w:rsidR="007D27A4" w:rsidRPr="00B73A5D">
        <w:t xml:space="preserve"> The Sub</w:t>
      </w:r>
      <w:r w:rsidR="00FF1914">
        <w:noBreakHyphen/>
      </w:r>
      <w:r w:rsidR="007D27A4" w:rsidRPr="00B73A5D">
        <w:t>Committees noted that this meant that patients aged &lt;18 years could be treated, for which there are no evidence</w:t>
      </w:r>
      <w:r w:rsidR="009119F1" w:rsidRPr="00B73A5D">
        <w:t>.</w:t>
      </w:r>
      <w:r w:rsidR="001E3774">
        <w:t xml:space="preserve"> The PBAC considered that the </w:t>
      </w:r>
      <w:r w:rsidR="001E3774" w:rsidRPr="001E3774">
        <w:t>restriction should be age agnostic, as proposed by the submission</w:t>
      </w:r>
      <w:r w:rsidR="001E3774">
        <w:t>.</w:t>
      </w:r>
    </w:p>
    <w:p w14:paraId="02247009" w14:textId="431F59C6" w:rsidR="00B31779" w:rsidRDefault="002427E3" w:rsidP="00363384">
      <w:pPr>
        <w:pStyle w:val="3-BodyText"/>
      </w:pPr>
      <w:r>
        <w:t>T</w:t>
      </w:r>
      <w:r w:rsidRPr="00815156">
        <w:t xml:space="preserve">he </w:t>
      </w:r>
      <w:r>
        <w:t xml:space="preserve">REGENCY trial </w:t>
      </w:r>
      <w:r w:rsidRPr="00815156">
        <w:t>enrolled patients</w:t>
      </w:r>
      <w:r>
        <w:t xml:space="preserve"> with class III/IV </w:t>
      </w:r>
      <w:r>
        <w:rPr>
          <w:rFonts w:cs="Calibri"/>
        </w:rPr>
        <w:t>±</w:t>
      </w:r>
      <w:r>
        <w:t xml:space="preserve"> V lupus nephritis</w:t>
      </w:r>
      <w:r w:rsidRPr="00815156">
        <w:t xml:space="preserve"> based on ISN/RPS 2003</w:t>
      </w:r>
      <w:r>
        <w:t>, however, based on clinical feedback</w:t>
      </w:r>
      <w:r w:rsidR="0026083B">
        <w:t>,</w:t>
      </w:r>
      <w:r w:rsidRPr="00AE482F">
        <w:t xml:space="preserve"> the </w:t>
      </w:r>
      <w:r>
        <w:t xml:space="preserve">wording of the </w:t>
      </w:r>
      <w:r w:rsidRPr="00AE482F">
        <w:t>requested restriction</w:t>
      </w:r>
      <w:r>
        <w:t xml:space="preserve"> allows patients with</w:t>
      </w:r>
      <w:r w:rsidR="00F437ED">
        <w:t xml:space="preserve"> a</w:t>
      </w:r>
      <w:r>
        <w:t xml:space="preserve"> confirmed diagnosis of active lupus nephritis classified using any version of </w:t>
      </w:r>
      <w:r w:rsidRPr="00AE482F">
        <w:t>ISN/RPS</w:t>
      </w:r>
      <w:r>
        <w:t xml:space="preserve"> classification</w:t>
      </w:r>
      <w:r w:rsidRPr="00127804">
        <w:t xml:space="preserve"> </w:t>
      </w:r>
      <w:r>
        <w:t>to initiate obinutuzumab treatment</w:t>
      </w:r>
      <w:r w:rsidR="00B31779" w:rsidRPr="00815156">
        <w:t>.</w:t>
      </w:r>
    </w:p>
    <w:p w14:paraId="655AE60D" w14:textId="4AFFF3DC" w:rsidR="00363384" w:rsidRPr="00436A00" w:rsidRDefault="00621106" w:rsidP="00436A00">
      <w:pPr>
        <w:pStyle w:val="3-BodyText"/>
      </w:pPr>
      <w:bookmarkStart w:id="14" w:name="_Ref221526012"/>
      <w:r>
        <w:t>In the requested listing, f</w:t>
      </w:r>
      <w:r w:rsidR="00A52F99">
        <w:t xml:space="preserve">or continuing treatment, patients </w:t>
      </w:r>
      <w:r w:rsidR="00A52F99" w:rsidRPr="00D95C78">
        <w:t xml:space="preserve">must not have new ESKD, need for chronic dialysis or renal transplantation and must not have clinically significant, sustained worsening in UPCR and/or eGFR that leads </w:t>
      </w:r>
      <w:r w:rsidR="009226DC" w:rsidRPr="00D95C78">
        <w:t xml:space="preserve">the </w:t>
      </w:r>
      <w:r w:rsidR="00A52F99" w:rsidRPr="00D95C78">
        <w:t>specialist physician to conclude that the patient is no longer responding to obinutuzumab, based on the REGENCY trial definition of treatment failure. In REGENCY, treatment</w:t>
      </w:r>
      <w:r w:rsidR="00A52F99" w:rsidRPr="004A04A2">
        <w:t xml:space="preserve"> failure included the use of rescue therapy (such as cyclophosphamide (CYC), biologics with anti</w:t>
      </w:r>
      <w:r w:rsidR="00FF1914">
        <w:noBreakHyphen/>
      </w:r>
      <w:r w:rsidR="00A52F99" w:rsidRPr="004A04A2">
        <w:t xml:space="preserve">CD20 agents including rituximab, ocrelizumab and ofatumumab, </w:t>
      </w:r>
      <w:r w:rsidR="00EF1D43" w:rsidRPr="004A04A2">
        <w:t xml:space="preserve">calcineurin inhibitor (CNI) </w:t>
      </w:r>
      <w:r w:rsidR="00A52F99" w:rsidRPr="004A04A2">
        <w:t>or other biologics for lupus nephritis), except corticosteroid</w:t>
      </w:r>
      <w:r w:rsidR="00FF1914">
        <w:noBreakHyphen/>
      </w:r>
      <w:r w:rsidR="00A52F99" w:rsidRPr="004A04A2">
        <w:t>only rescue. Treatment failure due to clinically significant, sustained worsening in UPCR and/or eGFR was from Week 24 onwards.</w:t>
      </w:r>
      <w:r w:rsidR="00E24587" w:rsidRPr="00E24587">
        <w:t xml:space="preserve"> </w:t>
      </w:r>
      <w:r w:rsidR="003103B7" w:rsidRPr="00A16A67">
        <w:t xml:space="preserve">The </w:t>
      </w:r>
      <w:r w:rsidR="007A0828" w:rsidRPr="00A16A67">
        <w:t>S</w:t>
      </w:r>
      <w:r w:rsidR="003103B7" w:rsidRPr="00A16A67">
        <w:t>ub</w:t>
      </w:r>
      <w:r w:rsidR="00FF1914">
        <w:noBreakHyphen/>
      </w:r>
      <w:r w:rsidR="007A0828" w:rsidRPr="00A16A67">
        <w:t>C</w:t>
      </w:r>
      <w:r w:rsidR="003103B7" w:rsidRPr="00A16A67">
        <w:t>ommittees noted that while an aim of treatment is to reduce UPCR, UPCR is just one measure of response and can remain elevated due to chronic damage despite other objective measures of remission. Therefore</w:t>
      </w:r>
      <w:r w:rsidR="00436A00" w:rsidRPr="00A16A67">
        <w:t>,</w:t>
      </w:r>
      <w:r w:rsidR="003103B7" w:rsidRPr="00A16A67">
        <w:t xml:space="preserve"> the </w:t>
      </w:r>
      <w:r w:rsidR="007A0828" w:rsidRPr="00A16A67">
        <w:t>S</w:t>
      </w:r>
      <w:r w:rsidR="003103B7" w:rsidRPr="00A16A67">
        <w:t>ub</w:t>
      </w:r>
      <w:r w:rsidR="00FF1914">
        <w:noBreakHyphen/>
      </w:r>
      <w:r w:rsidR="007A0828" w:rsidRPr="00A16A67">
        <w:t>C</w:t>
      </w:r>
      <w:r w:rsidR="003103B7" w:rsidRPr="00A16A67">
        <w:t xml:space="preserve">ommittees considered that it was reasonable not to specify a fixed UCPR percentage reduction in the restriction </w:t>
      </w:r>
      <w:r w:rsidR="00C311D5" w:rsidRPr="00A16A67">
        <w:t>text</w:t>
      </w:r>
      <w:r w:rsidR="003103B7" w:rsidRPr="00A16A67">
        <w:t xml:space="preserve"> for continuing treatment</w:t>
      </w:r>
      <w:r w:rsidR="00C311D5" w:rsidRPr="00A16A67">
        <w:t>.</w:t>
      </w:r>
      <w:bookmarkEnd w:id="14"/>
    </w:p>
    <w:p w14:paraId="46B07294" w14:textId="0FB63C1D" w:rsidR="00DE7D35" w:rsidRDefault="00A52F99" w:rsidP="00A42B91">
      <w:pPr>
        <w:pStyle w:val="3-BodyText"/>
      </w:pPr>
      <w:r>
        <w:t xml:space="preserve">The submission indicated that </w:t>
      </w:r>
      <w:r w:rsidR="009226DC">
        <w:t xml:space="preserve">a </w:t>
      </w:r>
      <w:r>
        <w:t xml:space="preserve">kidney biopsy (MBS item 36561) is used as diagnostic confirmation of lupus nephritis and would be part of routine assessment for patients with SLE and signs of kidney involvement. Routine monitoring also includes blood tests and urinalysis to assess treatment response and disease progression. </w:t>
      </w:r>
      <w:r w:rsidRPr="004A04A2">
        <w:t>In the REGENCY trial, complete renal response (CRR) was assessed at Week 76 and then every six months. Optimal follow</w:t>
      </w:r>
      <w:r w:rsidR="00FF1914">
        <w:noBreakHyphen/>
      </w:r>
      <w:r w:rsidRPr="004A04A2">
        <w:t xml:space="preserve">up intervals for lupus nephritis are not well defined and vary </w:t>
      </w:r>
      <w:r w:rsidRPr="004A04A2">
        <w:lastRenderedPageBreak/>
        <w:t>by treatment phase, therapy intensity, clinical response, and comorbidities. Clinical guidelines noted that patients with active disease should have blood serum and urine protein assessed at every clinic visit (initially every 1–4 weeks), with subsequent frequency based on response and complications. Patients in sustained remission should be monitored every 3–6 months, while those without CRR are monitored at least every three months (APLAR 2025, ACR 2024).</w:t>
      </w:r>
      <w:r w:rsidR="00A42B91" w:rsidRPr="00A42B91">
        <w:t xml:space="preserve"> </w:t>
      </w:r>
    </w:p>
    <w:p w14:paraId="5E2C68FC" w14:textId="4DFFCA13" w:rsidR="005B07BE" w:rsidRDefault="005B07BE" w:rsidP="0013360B">
      <w:pPr>
        <w:pStyle w:val="3-BodyText"/>
      </w:pPr>
      <w:bookmarkStart w:id="15" w:name="_Ref225930426"/>
      <w:r>
        <w:t xml:space="preserve">The requested PBS </w:t>
      </w:r>
      <w:r w:rsidR="00064739">
        <w:t>listing</w:t>
      </w:r>
      <w:r>
        <w:t xml:space="preserve"> for continuing treatment </w:t>
      </w:r>
      <w:r w:rsidR="000033BA" w:rsidRPr="000033BA">
        <w:t xml:space="preserve">did not specify the criteria for clinical response </w:t>
      </w:r>
      <w:r w:rsidR="00657590">
        <w:t xml:space="preserve">and </w:t>
      </w:r>
      <w:r w:rsidR="00D67901">
        <w:t>enable</w:t>
      </w:r>
      <w:r w:rsidR="00657590">
        <w:t>d</w:t>
      </w:r>
      <w:r w:rsidR="00D67901">
        <w:t xml:space="preserve"> p</w:t>
      </w:r>
      <w:r>
        <w:t xml:space="preserve">atients </w:t>
      </w:r>
      <w:r w:rsidR="00D67901">
        <w:t>to</w:t>
      </w:r>
      <w:r>
        <w:t xml:space="preserve"> continue treatment as long as they do not have new ESKD, need for chronic dialysis or renal transplantation and do not have clinically significant, sustained worsening in UPCR and/or eGFR that specialist physicians determined as treatment failure. </w:t>
      </w:r>
      <w:r w:rsidR="008A01F5">
        <w:t xml:space="preserve">Refer to paragraph </w:t>
      </w:r>
      <w:r w:rsidR="008A01F5">
        <w:fldChar w:fldCharType="begin"/>
      </w:r>
      <w:r w:rsidR="008A01F5">
        <w:instrText xml:space="preserve"> REF _Ref224568371 \r \h </w:instrText>
      </w:r>
      <w:r w:rsidR="008A01F5">
        <w:fldChar w:fldCharType="separate"/>
      </w:r>
      <w:r w:rsidR="008A01F5">
        <w:t>7.4</w:t>
      </w:r>
      <w:r w:rsidR="008A01F5">
        <w:fldChar w:fldCharType="end"/>
      </w:r>
      <w:r w:rsidR="008A01F5">
        <w:t>.</w:t>
      </w:r>
      <w:r w:rsidR="009B2A44">
        <w:t xml:space="preserve"> </w:t>
      </w:r>
      <w:r>
        <w:t>There is currently no consensus definition of CRR; however, the key components of response are improvement in proteinuria and stabilisation or improvement in kidney function.</w:t>
      </w:r>
      <w:r w:rsidR="00E347F3">
        <w:t xml:space="preserve"> The definitions used </w:t>
      </w:r>
      <w:r w:rsidR="00C17404">
        <w:t>differed between REGENCY and NOBILITY as</w:t>
      </w:r>
      <w:r w:rsidR="00E347F3">
        <w:t xml:space="preserve"> outlined in paragraphs </w:t>
      </w:r>
      <w:r w:rsidR="00E347F3">
        <w:fldChar w:fldCharType="begin"/>
      </w:r>
      <w:r w:rsidR="00E347F3">
        <w:instrText xml:space="preserve"> REF _Ref225930209 \r \h </w:instrText>
      </w:r>
      <w:r w:rsidR="00E347F3">
        <w:fldChar w:fldCharType="separate"/>
      </w:r>
      <w:r w:rsidR="002255D9">
        <w:t>6.17</w:t>
      </w:r>
      <w:r w:rsidR="00E347F3">
        <w:fldChar w:fldCharType="end"/>
      </w:r>
      <w:r w:rsidR="00E347F3">
        <w:t xml:space="preserve"> and </w:t>
      </w:r>
      <w:r w:rsidR="00E347F3">
        <w:fldChar w:fldCharType="begin"/>
      </w:r>
      <w:r w:rsidR="00E347F3">
        <w:instrText xml:space="preserve"> REF _Ref225930210 \r \h </w:instrText>
      </w:r>
      <w:r w:rsidR="00E347F3">
        <w:fldChar w:fldCharType="separate"/>
      </w:r>
      <w:r w:rsidR="002255D9">
        <w:t>6.18</w:t>
      </w:r>
      <w:r w:rsidR="00E347F3">
        <w:fldChar w:fldCharType="end"/>
      </w:r>
      <w:r w:rsidR="001F6CBB">
        <w:t>, with the key REGENCY trial defin</w:t>
      </w:r>
      <w:r w:rsidR="0013360B">
        <w:t>in</w:t>
      </w:r>
      <w:r w:rsidR="001F6CBB">
        <w:t>g CRR as</w:t>
      </w:r>
      <w:r>
        <w:t xml:space="preserve"> achieving UPCR &lt;0.5 g/g, eGFR ≥85% of baseline, and no intercurrent events (i.e. rescue therapy, treatment failure, death or early study withdrawal). Treatment failure was defined as ESKD, initiation of long</w:t>
      </w:r>
      <w:r w:rsidR="00FF1914">
        <w:noBreakHyphen/>
      </w:r>
      <w:r>
        <w:t>term dialysis or renal transplantation, receipt of rescue therapy (except for glucocorticoid</w:t>
      </w:r>
      <w:r w:rsidR="00FF1914">
        <w:noBreakHyphen/>
      </w:r>
      <w:r>
        <w:t>only rescue), or clinically significant and sustained worsening of UPCR or eGFR beyond Week 24 that led the investigator to conclude that the assigned treatment had failed.</w:t>
      </w:r>
      <w:bookmarkEnd w:id="15"/>
    </w:p>
    <w:p w14:paraId="2F9BF47F" w14:textId="22BE52D7" w:rsidR="0015028D" w:rsidRPr="0015028D" w:rsidRDefault="00A42B91" w:rsidP="0015028D">
      <w:pPr>
        <w:pStyle w:val="3-BodyText"/>
      </w:pPr>
      <w:bookmarkStart w:id="16" w:name="_Ref221525947"/>
      <w:r w:rsidRPr="00A16A67">
        <w:t xml:space="preserve">The </w:t>
      </w:r>
      <w:r w:rsidR="00385263" w:rsidRPr="00A16A67">
        <w:t>S</w:t>
      </w:r>
      <w:r w:rsidRPr="00A16A67">
        <w:t>ub</w:t>
      </w:r>
      <w:r w:rsidR="00FF1914">
        <w:noBreakHyphen/>
      </w:r>
      <w:r w:rsidR="00385263" w:rsidRPr="00A16A67">
        <w:t>C</w:t>
      </w:r>
      <w:r w:rsidRPr="00A16A67">
        <w:t>ommittees noted that the PSCR</w:t>
      </w:r>
      <w:r w:rsidR="001C7779" w:rsidRPr="00A16A67">
        <w:t xml:space="preserve"> </w:t>
      </w:r>
      <w:r w:rsidRPr="00A16A67">
        <w:t xml:space="preserve">supported retaining the </w:t>
      </w:r>
      <w:r w:rsidR="00767627" w:rsidRPr="00A16A67">
        <w:t>generic</w:t>
      </w:r>
      <w:r w:rsidRPr="00A16A67">
        <w:t xml:space="preserve"> reference to ‘specialist physician’ in the treatment criteria because the multidisciplinary approach to the management of </w:t>
      </w:r>
      <w:r w:rsidR="001863DD">
        <w:t>lupus nephritis</w:t>
      </w:r>
      <w:r w:rsidR="001863DD" w:rsidRPr="00A16A67">
        <w:t xml:space="preserve"> </w:t>
      </w:r>
      <w:r w:rsidRPr="00A16A67">
        <w:t xml:space="preserve">requires the combined expertise of nephrologists and rheumatologists and may include haematologists or immunologists. The </w:t>
      </w:r>
      <w:r w:rsidR="00385263" w:rsidRPr="00A16A67">
        <w:t>S</w:t>
      </w:r>
      <w:r w:rsidRPr="00A16A67">
        <w:t>ub</w:t>
      </w:r>
      <w:r w:rsidR="00FF1914">
        <w:noBreakHyphen/>
      </w:r>
      <w:r w:rsidR="00385263" w:rsidRPr="00A16A67">
        <w:t>C</w:t>
      </w:r>
      <w:r w:rsidRPr="00A16A67">
        <w:t>ommittees considered that</w:t>
      </w:r>
      <w:r w:rsidR="00111FCF">
        <w:t>,</w:t>
      </w:r>
      <w:r w:rsidRPr="00A16A67">
        <w:t xml:space="preserve"> while immunologists may also be involved in the management of </w:t>
      </w:r>
      <w:r w:rsidR="001863DD">
        <w:t>lupus nephritis</w:t>
      </w:r>
      <w:r w:rsidRPr="00A16A67">
        <w:t xml:space="preserve">, the role of haematologists in managing this condition was unclear although they </w:t>
      </w:r>
      <w:r w:rsidR="006E54CA" w:rsidRPr="00A16A67">
        <w:t>likely</w:t>
      </w:r>
      <w:r w:rsidRPr="00A16A67">
        <w:t xml:space="preserve"> have experience with obinutuzumab for other indications (i.e. CLL and lymphoma). The </w:t>
      </w:r>
      <w:r w:rsidR="00385263" w:rsidRPr="00A16A67">
        <w:t>S</w:t>
      </w:r>
      <w:r w:rsidRPr="00A16A67">
        <w:t>ub</w:t>
      </w:r>
      <w:r w:rsidR="00FF1914">
        <w:noBreakHyphen/>
      </w:r>
      <w:r w:rsidR="00446191" w:rsidRPr="00A16A67">
        <w:t>C</w:t>
      </w:r>
      <w:r w:rsidRPr="00A16A67">
        <w:t xml:space="preserve">ommittees considered that overall, the majority of </w:t>
      </w:r>
      <w:r w:rsidR="006E50C9" w:rsidRPr="00A16A67">
        <w:t>patients</w:t>
      </w:r>
      <w:r w:rsidR="006E50C9" w:rsidRPr="00A16A67" w:rsidDel="001863DD">
        <w:t xml:space="preserve"> </w:t>
      </w:r>
      <w:r w:rsidR="006E50C9">
        <w:t xml:space="preserve">with </w:t>
      </w:r>
      <w:r w:rsidR="001863DD">
        <w:t>lupus nephritis</w:t>
      </w:r>
      <w:r w:rsidR="001863DD" w:rsidRPr="00A16A67">
        <w:t xml:space="preserve"> </w:t>
      </w:r>
      <w:r w:rsidRPr="00A16A67">
        <w:t xml:space="preserve">are likely to be treated by </w:t>
      </w:r>
      <w:r w:rsidR="00111FCF">
        <w:t xml:space="preserve">both </w:t>
      </w:r>
      <w:r w:rsidRPr="00A16A67">
        <w:t xml:space="preserve">nephrologists and rheumatologists. </w:t>
      </w:r>
      <w:bookmarkEnd w:id="16"/>
      <w:r w:rsidR="0015028D" w:rsidRPr="0015028D">
        <w:t xml:space="preserve">The PBAC did not support specifying particular specialist types (e.g. nephrologist or rheumatologist only), to allow flexibility in clinical practice and access, </w:t>
      </w:r>
      <w:r w:rsidR="00111FCF">
        <w:t>especially</w:t>
      </w:r>
      <w:r w:rsidR="00111FCF" w:rsidRPr="0015028D">
        <w:t xml:space="preserve"> </w:t>
      </w:r>
      <w:r w:rsidR="0015028D" w:rsidRPr="0015028D">
        <w:t>in rural and regional settings.</w:t>
      </w:r>
    </w:p>
    <w:p w14:paraId="21D8BD85" w14:textId="795621D8" w:rsidR="00A52F99" w:rsidRDefault="00931203" w:rsidP="0076713F">
      <w:pPr>
        <w:pStyle w:val="3-BodyText"/>
      </w:pPr>
      <w:r w:rsidRPr="00A16A67">
        <w:t xml:space="preserve">The </w:t>
      </w:r>
      <w:r w:rsidR="00385263" w:rsidRPr="00A16A67">
        <w:t>S</w:t>
      </w:r>
      <w:r w:rsidRPr="00A16A67">
        <w:t>ub</w:t>
      </w:r>
      <w:r w:rsidR="00FF1914">
        <w:noBreakHyphen/>
      </w:r>
      <w:r w:rsidR="00385263" w:rsidRPr="00A16A67">
        <w:t>C</w:t>
      </w:r>
      <w:r w:rsidRPr="00A16A67">
        <w:t>ommittees noted</w:t>
      </w:r>
      <w:r w:rsidR="004104E6" w:rsidRPr="00A16A67">
        <w:t xml:space="preserve"> </w:t>
      </w:r>
      <w:r w:rsidR="00F1598C" w:rsidRPr="00A16A67">
        <w:t>that</w:t>
      </w:r>
      <w:r w:rsidR="004104E6" w:rsidRPr="00A16A67">
        <w:t xml:space="preserve"> the PSCR</w:t>
      </w:r>
      <w:r w:rsidR="00F1598C" w:rsidRPr="00A16A67">
        <w:t xml:space="preserve"> clarified</w:t>
      </w:r>
      <w:r w:rsidR="004104E6" w:rsidRPr="00A16A67">
        <w:t xml:space="preserve"> </w:t>
      </w:r>
      <w:r w:rsidR="005D51BF" w:rsidRPr="00A16A67">
        <w:t xml:space="preserve">that while clinical practice guidelines have suggested that </w:t>
      </w:r>
      <w:r w:rsidR="005167E3" w:rsidRPr="00A16A67">
        <w:t>following renal response, treatment should continue for at least 3 years</w:t>
      </w:r>
      <w:r w:rsidR="00B0530A" w:rsidRPr="00A16A67">
        <w:rPr>
          <w:rStyle w:val="FootnoteReference"/>
        </w:rPr>
        <w:footnoteReference w:id="1"/>
      </w:r>
      <w:r w:rsidR="00941307" w:rsidRPr="00A16A67">
        <w:t xml:space="preserve">, </w:t>
      </w:r>
      <w:r w:rsidRPr="00A16A67">
        <w:t xml:space="preserve">the most recent update from the European Alliance of </w:t>
      </w:r>
      <w:r w:rsidRPr="00A16A67">
        <w:lastRenderedPageBreak/>
        <w:t>Associations for Rheumatology (EULAR)</w:t>
      </w:r>
      <w:r w:rsidR="0042500B" w:rsidRPr="00A16A67">
        <w:rPr>
          <w:rStyle w:val="FootnoteReference"/>
        </w:rPr>
        <w:footnoteReference w:id="2"/>
      </w:r>
      <w:r w:rsidRPr="00A16A67">
        <w:t xml:space="preserve"> stated that courses of treatment with obinutuzumab longer than the maximum of 1 year used in the REGENCY trial awaited further evaluation</w:t>
      </w:r>
      <w:r w:rsidR="00FB2BC5" w:rsidRPr="00A16A67">
        <w:t>.</w:t>
      </w:r>
    </w:p>
    <w:p w14:paraId="06BA68E8" w14:textId="7EA889C3" w:rsidR="00A16A67" w:rsidRPr="00A16A67" w:rsidRDefault="00A16A67" w:rsidP="0099214E">
      <w:pPr>
        <w:pStyle w:val="3-BodyText"/>
        <w:numPr>
          <w:ilvl w:val="0"/>
          <w:numId w:val="0"/>
        </w:numPr>
        <w:ind w:left="680"/>
      </w:pPr>
      <w:r>
        <w:rPr>
          <w:i/>
          <w:iCs/>
        </w:rPr>
        <w:br/>
      </w:r>
      <w:r w:rsidRPr="00B73A5D">
        <w:rPr>
          <w:i/>
          <w:iCs/>
        </w:rPr>
        <w:t>For more detail on PBAC’s view, see section 7 PBAC outcome.</w:t>
      </w:r>
    </w:p>
    <w:p w14:paraId="7075B85C" w14:textId="62A47B7B" w:rsidR="00B50DB8" w:rsidRPr="0098262F" w:rsidDel="00195452" w:rsidRDefault="00203181" w:rsidP="004E18E9">
      <w:pPr>
        <w:pStyle w:val="2-SectionHeading"/>
      </w:pPr>
      <w:bookmarkStart w:id="17" w:name="_Toc219886544"/>
      <w:r w:rsidRPr="0098262F" w:rsidDel="00195452">
        <w:t xml:space="preserve">Population and </w:t>
      </w:r>
      <w:r w:rsidR="008E0D3C" w:rsidRPr="0098262F" w:rsidDel="00195452">
        <w:t>d</w:t>
      </w:r>
      <w:r w:rsidRPr="0098262F" w:rsidDel="00195452">
        <w:t>isease</w:t>
      </w:r>
      <w:bookmarkEnd w:id="17"/>
    </w:p>
    <w:p w14:paraId="1548471C" w14:textId="277E08CF" w:rsidR="00A52F99" w:rsidRPr="00A52F99" w:rsidRDefault="00A52F99" w:rsidP="004E18E9">
      <w:pPr>
        <w:pStyle w:val="3-BodyText"/>
      </w:pPr>
      <w:r>
        <w:t>SLE is a chronic autoimmune disease characterised by autoantibody formation and immune complex deposition, leading to inflammation and end</w:t>
      </w:r>
      <w:r w:rsidR="00FF1914">
        <w:noBreakHyphen/>
      </w:r>
      <w:r>
        <w:t>organ damage. Lupus nephritis is the most common organ</w:t>
      </w:r>
      <w:r w:rsidR="00FF1914">
        <w:noBreakHyphen/>
      </w:r>
      <w:r>
        <w:t xml:space="preserve">threatening manifestation of SLE, developing in up to 40% of patients with SLE, often within five years of SLE diagnosis. </w:t>
      </w:r>
      <w:r w:rsidRPr="005777D4">
        <w:t xml:space="preserve">The pathogenesis of </w:t>
      </w:r>
      <w:r>
        <w:t>lupus nephritis</w:t>
      </w:r>
      <w:r w:rsidRPr="005777D4">
        <w:t xml:space="preserve"> is driven by the deposition of immune complexes </w:t>
      </w:r>
      <w:r>
        <w:t xml:space="preserve">in </w:t>
      </w:r>
      <w:r w:rsidRPr="005777D4">
        <w:t>the glomerul</w:t>
      </w:r>
      <w:r>
        <w:t>i</w:t>
      </w:r>
      <w:r w:rsidRPr="005777D4">
        <w:t xml:space="preserve"> and the tubulointerstitium of the kidney, leading to inflammation and irreversible scarring (fibrosis).</w:t>
      </w:r>
      <w:r w:rsidRPr="00602022">
        <w:t xml:space="preserve"> </w:t>
      </w:r>
      <w:r w:rsidRPr="005777D4">
        <w:t xml:space="preserve">The clinical signs and symptoms </w:t>
      </w:r>
      <w:r>
        <w:t xml:space="preserve">of lupus nephritis </w:t>
      </w:r>
      <w:r w:rsidRPr="005777D4">
        <w:t>often overlap with those of SLE</w:t>
      </w:r>
      <w:r>
        <w:t>,</w:t>
      </w:r>
      <w:r w:rsidRPr="005777D4">
        <w:t xml:space="preserve"> and its presentation varies widely between individuals. Common symptoms include systemic features such as arthritis, fever, fatigue, rash, hair loss, oral or nasal ulcers, swollen glands, swelling in the legs or around the eyes, and abdominal pain</w:t>
      </w:r>
      <w:r>
        <w:t>.</w:t>
      </w:r>
    </w:p>
    <w:p w14:paraId="5314CD13" w14:textId="6A9B574B" w:rsidR="00A52F99" w:rsidRPr="00A52F99" w:rsidRDefault="00B31779" w:rsidP="0072568D">
      <w:pPr>
        <w:pStyle w:val="3-BodyText"/>
      </w:pPr>
      <w:r>
        <w:t>The natural history of lupus nephritis features a relapsing</w:t>
      </w:r>
      <w:r w:rsidR="00FF1914">
        <w:noBreakHyphen/>
      </w:r>
      <w:r>
        <w:t>remitting disease course characterised by cycles of inflammatory renal flares, which are measurable increases in kidney disease activity (i.e. worsening kidney function), marked by increases in proteinuria, haematuria, urine sediment and/or decreasing eGFR. Cumulative damage from repeated renal flares is the main mechanism driving disease progression to chronic kidney disease (CKD) and/or ESKD. The frequency and duration of renal flares are associated with increased risk of ESKD and mortality. Treatment advances for lupus nephritis have improved renal function and overall survival, with 10</w:t>
      </w:r>
      <w:r w:rsidR="00FF1914">
        <w:noBreakHyphen/>
      </w:r>
      <w:r>
        <w:t>year survival rate of approximately 86% (Wang 2018</w:t>
      </w:r>
      <w:r>
        <w:rPr>
          <w:rStyle w:val="FootnoteReference"/>
        </w:rPr>
        <w:footnoteReference w:id="3"/>
      </w:r>
      <w:r>
        <w:t xml:space="preserve">). </w:t>
      </w:r>
      <w:r w:rsidRPr="005777D4">
        <w:t xml:space="preserve">Lupus nephritis is most commonly diagnosed in individuals between 15 and 45 years old. It </w:t>
      </w:r>
      <w:r>
        <w:t>predomina</w:t>
      </w:r>
      <w:r w:rsidR="00F437ED">
        <w:t>n</w:t>
      </w:r>
      <w:r>
        <w:t>tly</w:t>
      </w:r>
      <w:r w:rsidRPr="005777D4">
        <w:t xml:space="preserve"> affects </w:t>
      </w:r>
      <w:r>
        <w:t>women</w:t>
      </w:r>
      <w:r w:rsidRPr="005777D4">
        <w:t xml:space="preserve"> and is more prevalent among individuals of </w:t>
      </w:r>
      <w:r w:rsidR="00F20918">
        <w:t>African</w:t>
      </w:r>
      <w:r w:rsidRPr="005777D4">
        <w:t>, Asian or Hispanic ethnic descent</w:t>
      </w:r>
      <w:r>
        <w:t>.</w:t>
      </w:r>
    </w:p>
    <w:p w14:paraId="4D58D0CF" w14:textId="4AD14C19" w:rsidR="00A52F99" w:rsidRPr="00A52F99" w:rsidRDefault="00B31779" w:rsidP="004E18E9">
      <w:pPr>
        <w:pStyle w:val="3-BodyText"/>
      </w:pPr>
      <w:r>
        <w:t>At the initial diagnosis of SLE, m</w:t>
      </w:r>
      <w:r w:rsidRPr="00343CE7">
        <w:t xml:space="preserve">ost patients </w:t>
      </w:r>
      <w:r>
        <w:t>will</w:t>
      </w:r>
      <w:r w:rsidRPr="00343CE7">
        <w:t xml:space="preserve"> have clinical evidence of kidney disease</w:t>
      </w:r>
      <w:r>
        <w:t xml:space="preserve">, and patients with SLE undergo routine monitoring for signs and symptoms of the development or progression of lupus nephritis. Assessments for lupus nephritis include blood tests and urinalysis. Blood tests measure serum creatinine to determine eGFR. Urinalysis assesses protein (proteinuria), red blood cells (haematuria) and cellular debris (urinary sediment) in the urine. The UPCR is used to detect proteinuria by quantifying daily protein excretion. </w:t>
      </w:r>
    </w:p>
    <w:p w14:paraId="78CB4B28" w14:textId="560A0202" w:rsidR="00A52F99" w:rsidRPr="0063337F" w:rsidRDefault="00B31779" w:rsidP="004E18E9">
      <w:pPr>
        <w:pStyle w:val="3-BodyText"/>
      </w:pPr>
      <w:r w:rsidRPr="00A90CF7">
        <w:lastRenderedPageBreak/>
        <w:t xml:space="preserve">The </w:t>
      </w:r>
      <w:r>
        <w:t xml:space="preserve">gold standard for </w:t>
      </w:r>
      <w:r w:rsidRPr="00A90CF7">
        <w:t>diagnosi</w:t>
      </w:r>
      <w:r>
        <w:t>ng</w:t>
      </w:r>
      <w:r w:rsidRPr="00A90CF7">
        <w:t xml:space="preserve"> </w:t>
      </w:r>
      <w:r>
        <w:t xml:space="preserve">lupus nephritis </w:t>
      </w:r>
      <w:r w:rsidRPr="00A90CF7">
        <w:t xml:space="preserve">is histologic </w:t>
      </w:r>
      <w:r>
        <w:t xml:space="preserve">confirmation by percutaneous </w:t>
      </w:r>
      <w:r w:rsidRPr="00A90CF7">
        <w:t>kidney biopsy.</w:t>
      </w:r>
      <w:r>
        <w:t xml:space="preserve"> </w:t>
      </w:r>
      <w:r w:rsidRPr="006006FC">
        <w:t xml:space="preserve">The classification of </w:t>
      </w:r>
      <w:r>
        <w:t>lupus nephritis</w:t>
      </w:r>
      <w:r w:rsidRPr="006006FC">
        <w:t xml:space="preserve"> is based on the ISN/RPS classification, which categorises the disease into six histological classes according to the type and severity of glomerular </w:t>
      </w:r>
      <w:r w:rsidRPr="005B4821">
        <w:t xml:space="preserve">morphological changes </w:t>
      </w:r>
      <w:r>
        <w:t>identified on kidney biopsy. ISN/RPS classification for lupus nephritis was developed in 2003 to standardise diagnosis, and revisions were proposed in 2018 to include an increased emphasis on the National Institutes of Health activity index and chronicity index.</w:t>
      </w:r>
      <w:r w:rsidR="002427E3">
        <w:t xml:space="preserve"> </w:t>
      </w:r>
      <w:r w:rsidR="002427E3" w:rsidRPr="0063337F">
        <w:t>Clinical guidelines generally recommend assessment of kidney biopsy according to ISN/PRS 2003 classification and/or its revisions in the diagnosis and guidance of treatment. The ISN/PRS 2018 revised classification has not been officially approved by the institutional entities that developed the initial 2003 classification. Several validation studies have indicated that the revised version has a stronger correlation (in terms of chronicity index) to kidney outcomes of lupus nephritis compared to the original version; however, further evidence</w:t>
      </w:r>
      <w:r w:rsidR="00FF1914">
        <w:noBreakHyphen/>
      </w:r>
      <w:r w:rsidR="002427E3" w:rsidRPr="0063337F">
        <w:t>based evaluations are required (Choi 2023</w:t>
      </w:r>
      <w:r w:rsidR="002427E3" w:rsidRPr="0063337F">
        <w:rPr>
          <w:rStyle w:val="FootnoteReference"/>
        </w:rPr>
        <w:footnoteReference w:id="4"/>
      </w:r>
      <w:r w:rsidR="002427E3" w:rsidRPr="0063337F">
        <w:t>).</w:t>
      </w:r>
    </w:p>
    <w:p w14:paraId="34F3068B" w14:textId="0540E169" w:rsidR="00B31779" w:rsidRPr="00A52F99" w:rsidRDefault="00B31779" w:rsidP="004E18E9">
      <w:pPr>
        <w:pStyle w:val="3-BodyText"/>
      </w:pPr>
      <w:r>
        <w:t>Classes I and II are considered mild forms of renal involvement with a good prognosis. Class III and IV are known as active lupus nephritis</w:t>
      </w:r>
      <w:r w:rsidRPr="00606FEA">
        <w:t xml:space="preserve"> </w:t>
      </w:r>
      <w:r>
        <w:t>and have a worse prognosis</w:t>
      </w:r>
      <w:r w:rsidR="00F437ED">
        <w:t>,</w:t>
      </w:r>
      <w:r>
        <w:t xml:space="preserve"> requiring prompt treatment. Class III (focal lupus nephritis) and class IV (diffuse lupus nephritis) often present with proteinuria, haematuria and impaired kidney function. Class IV is the most prevalent and most severe form of lupus nephritis. It is associated with the highest risk of ESKD (Gasparotto 2020</w:t>
      </w:r>
      <w:r>
        <w:rPr>
          <w:rStyle w:val="FootnoteReference"/>
        </w:rPr>
        <w:footnoteReference w:id="5"/>
      </w:r>
      <w:r>
        <w:t xml:space="preserve">). Class V (membranous lupus nephritis) is characterised </w:t>
      </w:r>
      <w:r w:rsidR="00F437ED">
        <w:t xml:space="preserve">by </w:t>
      </w:r>
      <w:r>
        <w:t xml:space="preserve">thickened glomerular capillary walls and it may occur in isolation or in combination with class III/IV. It presents with signs of nephrotic syndrome and has a relatively low rate of progression to ESKD but is accompanied by a high rate of complications. Class VI (advanced sclerosing lupus nephritis) represents progressive loss of renal function (i.e. ESKD), </w:t>
      </w:r>
      <w:r w:rsidRPr="0045358B">
        <w:t>resulting from any class of active lupus nephritis and implies an impending need f</w:t>
      </w:r>
      <w:r>
        <w:t>or a</w:t>
      </w:r>
      <w:r w:rsidRPr="0045358B">
        <w:t xml:space="preserve"> kidney transplant.</w:t>
      </w:r>
    </w:p>
    <w:p w14:paraId="7D33A606" w14:textId="715156C7" w:rsidR="002427E3" w:rsidRPr="002427E3" w:rsidRDefault="002427E3" w:rsidP="004E18E9">
      <w:pPr>
        <w:pStyle w:val="3-BodyText"/>
      </w:pPr>
      <w:r>
        <w:t>The short</w:t>
      </w:r>
      <w:r w:rsidR="00FF1914">
        <w:noBreakHyphen/>
      </w:r>
      <w:r>
        <w:t>term treatment goals include rapid attainment of remission and minimisation of treatment</w:t>
      </w:r>
      <w:r w:rsidR="00FF1914">
        <w:noBreakHyphen/>
      </w:r>
      <w:r>
        <w:t>related toxicity. Long</w:t>
      </w:r>
      <w:r w:rsidR="00FF1914">
        <w:noBreakHyphen/>
      </w:r>
      <w:r>
        <w:t>term goals include preventing flares, preventing CKD progression, preserving kidney function, and reducing morbidity and mortality. The choice of the treatment mainly depends on the histological class, activity and chronicity indexes (Parodis 2025</w:t>
      </w:r>
      <w:r>
        <w:rPr>
          <w:rStyle w:val="FootnoteReference"/>
        </w:rPr>
        <w:footnoteReference w:id="6"/>
      </w:r>
      <w:r>
        <w:t>, Gasparotto 2020).</w:t>
      </w:r>
    </w:p>
    <w:p w14:paraId="4A500F5D" w14:textId="009FB311" w:rsidR="002427E3" w:rsidRPr="002427E3" w:rsidRDefault="00937C8B" w:rsidP="004E18E9">
      <w:pPr>
        <w:pStyle w:val="3-BodyText"/>
      </w:pPr>
      <w:r>
        <w:t>T</w:t>
      </w:r>
      <w:r w:rsidR="002427E3">
        <w:t>he standard therapy for lupus nephritis for over 40 years has been glucocorticoids and immunosuppressants (i.e. dual therapy)</w:t>
      </w:r>
      <w:r>
        <w:t xml:space="preserve"> to</w:t>
      </w:r>
      <w:r w:rsidR="002427E3">
        <w:t xml:space="preserve"> control intrarenal inflammation and attenuate autoimmune activity. However, recent updates to clinical guidelines include initial treatment with combination biologic or small molecule agent in a triple therapy </w:t>
      </w:r>
      <w:r w:rsidR="002427E3">
        <w:lastRenderedPageBreak/>
        <w:t xml:space="preserve">regimen for patients with active lupus nephritis class III/IV </w:t>
      </w:r>
      <w:r w:rsidR="002427E3">
        <w:rPr>
          <w:rFonts w:cs="Calibri"/>
        </w:rPr>
        <w:t>±</w:t>
      </w:r>
      <w:r w:rsidR="002427E3">
        <w:t xml:space="preserve"> V. This was based on the approval of belimumab (BAF inhibitor) and voclosporin (CNI) by the United States Food and Drug Administration (FDA) and the European Medicines Agency (EMA) as add</w:t>
      </w:r>
      <w:r w:rsidR="00FF1914">
        <w:noBreakHyphen/>
      </w:r>
      <w:r w:rsidR="002427E3">
        <w:t>on immunosuppressives to SOC for the treatment of lupus nephritis.</w:t>
      </w:r>
    </w:p>
    <w:p w14:paraId="121D7DE1" w14:textId="67055B92" w:rsidR="002427E3" w:rsidRPr="0063337F" w:rsidRDefault="002427E3" w:rsidP="004E18E9">
      <w:pPr>
        <w:pStyle w:val="3-BodyText"/>
      </w:pPr>
      <w:bookmarkStart w:id="18" w:name="_Ref224831677"/>
      <w:r w:rsidRPr="0063337F">
        <w:t xml:space="preserve">In Australia, voclosporin is not </w:t>
      </w:r>
      <w:r w:rsidR="00E97D90" w:rsidRPr="0063337F">
        <w:t xml:space="preserve">TGA </w:t>
      </w:r>
      <w:r w:rsidRPr="0063337F">
        <w:t>registered</w:t>
      </w:r>
      <w:r w:rsidR="00E97D90" w:rsidRPr="0063337F">
        <w:t>. While</w:t>
      </w:r>
      <w:r w:rsidR="00222164" w:rsidRPr="0063337F">
        <w:t xml:space="preserve"> </w:t>
      </w:r>
      <w:r w:rsidRPr="0063337F">
        <w:t>belimumab is TGA registered for SLE and active lupus nephritis</w:t>
      </w:r>
      <w:r w:rsidR="00222164" w:rsidRPr="0063337F">
        <w:t>,</w:t>
      </w:r>
      <w:r w:rsidRPr="0063337F">
        <w:t xml:space="preserve"> it is not listed on the PBS. Belimumab is</w:t>
      </w:r>
      <w:r w:rsidR="00E97D90" w:rsidRPr="0063337F">
        <w:t xml:space="preserve"> however</w:t>
      </w:r>
      <w:r w:rsidRPr="0063337F">
        <w:t xml:space="preserve"> available through private prescription and through several hospitals in Australia</w:t>
      </w:r>
      <w:r w:rsidRPr="0063337F">
        <w:rPr>
          <w:rStyle w:val="FootnoteReference"/>
        </w:rPr>
        <w:footnoteReference w:id="7"/>
      </w:r>
      <w:r w:rsidRPr="0063337F">
        <w:t>.</w:t>
      </w:r>
      <w:r w:rsidR="00BE77ED" w:rsidRPr="0063337F">
        <w:t xml:space="preserve"> A study of longitudinal data from patients with SLE in the Australian Lupus Registry and Biobank (ALRB) between June 2010</w:t>
      </w:r>
      <w:r w:rsidR="00FF1914">
        <w:noBreakHyphen/>
      </w:r>
      <w:r w:rsidR="00BE77ED" w:rsidRPr="0063337F">
        <w:t>2021 identified 10 patients who received belimumab; three for lupus nephritis</w:t>
      </w:r>
      <w:r w:rsidR="002E02E5" w:rsidRPr="0063337F">
        <w:t xml:space="preserve"> class III/IV/V</w:t>
      </w:r>
      <w:r w:rsidR="00BE77ED" w:rsidRPr="0063337F">
        <w:t xml:space="preserve"> (Malaweera 2023)</w:t>
      </w:r>
      <w:r w:rsidR="00BE77ED" w:rsidRPr="0063337F">
        <w:rPr>
          <w:rStyle w:val="FootnoteReference"/>
        </w:rPr>
        <w:footnoteReference w:id="8"/>
      </w:r>
      <w:r w:rsidR="00BE77ED" w:rsidRPr="0063337F">
        <w:t>.</w:t>
      </w:r>
      <w:r w:rsidRPr="0063337F">
        <w:t xml:space="preserve"> Patients with refractory disease may also be treated with rituximab (off</w:t>
      </w:r>
      <w:r w:rsidR="00FF1914">
        <w:noBreakHyphen/>
      </w:r>
      <w:r w:rsidRPr="0063337F">
        <w:t>label), despite trial results</w:t>
      </w:r>
      <w:r>
        <w:rPr>
          <w:i/>
          <w:iCs/>
        </w:rPr>
        <w:t xml:space="preserve"> </w:t>
      </w:r>
      <w:r w:rsidRPr="0063337F">
        <w:t xml:space="preserve">demonstrating no benefit in patients with class III/IV </w:t>
      </w:r>
      <w:r w:rsidRPr="0063337F">
        <w:rPr>
          <w:rFonts w:cs="Calibri"/>
        </w:rPr>
        <w:t>±</w:t>
      </w:r>
      <w:r w:rsidRPr="0063337F">
        <w:t xml:space="preserve"> V lupus nephritis (Rossi 2025</w:t>
      </w:r>
      <w:r w:rsidRPr="0063337F">
        <w:rPr>
          <w:rStyle w:val="FootnoteReference"/>
        </w:rPr>
        <w:footnoteReference w:id="9"/>
      </w:r>
      <w:r w:rsidRPr="0063337F">
        <w:t>, Rovin 2012</w:t>
      </w:r>
      <w:r w:rsidRPr="0063337F">
        <w:rPr>
          <w:rStyle w:val="FootnoteReference"/>
        </w:rPr>
        <w:footnoteReference w:id="10"/>
      </w:r>
      <w:r w:rsidRPr="0063337F">
        <w:t>). A retrospective study by Nakagawa 2025</w:t>
      </w:r>
      <w:r w:rsidRPr="0063337F">
        <w:rPr>
          <w:rStyle w:val="FootnoteReference"/>
        </w:rPr>
        <w:footnoteReference w:id="11"/>
      </w:r>
      <w:r w:rsidRPr="0063337F">
        <w:t>, using ALRB</w:t>
      </w:r>
      <w:r w:rsidR="00666E66" w:rsidRPr="0063337F">
        <w:t xml:space="preserve"> data</w:t>
      </w:r>
      <w:r w:rsidRPr="0063337F">
        <w:t>, found that 3% and 7% of patients with class III/IV ± V lupus nephritis</w:t>
      </w:r>
      <w:r w:rsidR="00FA40F9" w:rsidRPr="0063337F">
        <w:t xml:space="preserve"> </w:t>
      </w:r>
      <w:r w:rsidRPr="0063337F">
        <w:t>initiated treatment with rituximab monotherapy and rituximab combination with immunosuppressants, respectively.</w:t>
      </w:r>
      <w:bookmarkEnd w:id="18"/>
    </w:p>
    <w:p w14:paraId="5946EC28" w14:textId="318565ED" w:rsidR="006376FC" w:rsidRPr="0063337F" w:rsidRDefault="006376FC" w:rsidP="004E18E9">
      <w:pPr>
        <w:pStyle w:val="3-BodyText"/>
      </w:pPr>
      <w:bookmarkStart w:id="19" w:name="_Ref221630740"/>
      <w:r w:rsidRPr="0063337F">
        <w:t>Anifrolumab is the only biologic agent available on the PBS for SLE</w:t>
      </w:r>
      <w:r w:rsidR="00E97D90" w:rsidRPr="0063337F">
        <w:t xml:space="preserve">, but its market authorisation specifically excludes use in </w:t>
      </w:r>
      <w:r w:rsidRPr="0063337F">
        <w:t>lupus nephritis. Previous studies (TULIP</w:t>
      </w:r>
      <w:r w:rsidR="00FF1914">
        <w:noBreakHyphen/>
      </w:r>
      <w:r w:rsidRPr="0063337F">
        <w:t>LN, NCT02547922</w:t>
      </w:r>
      <w:r w:rsidRPr="0063337F">
        <w:rPr>
          <w:rStyle w:val="FootnoteReference"/>
        </w:rPr>
        <w:footnoteReference w:id="12"/>
      </w:r>
      <w:r w:rsidRPr="0063337F">
        <w:t xml:space="preserve">) of anifrolumab in active lupus nephritis did not demonstrate a treatment effect across the trial endpoints, including CRR. Under the requested PBS restriction, it </w:t>
      </w:r>
      <w:r w:rsidR="00E97D90" w:rsidRPr="0063337F">
        <w:t>wa</w:t>
      </w:r>
      <w:r w:rsidRPr="0063337F">
        <w:t>s unclear whether patients who initiate combination therapy with anifrolumab for the treatment of SLE without lupus nephritis would then discontinue anifrolumab and switch to obinutuzumab or add</w:t>
      </w:r>
      <w:r w:rsidR="00FF1914">
        <w:noBreakHyphen/>
      </w:r>
      <w:r w:rsidRPr="0063337F">
        <w:t xml:space="preserve">on obinutuzumab to SOC when the patient develops lupus nephritis. </w:t>
      </w:r>
      <w:r w:rsidR="00114B34">
        <w:t>(</w:t>
      </w:r>
      <w:r w:rsidR="00DB31ED">
        <w:t>The PBAC advised that combination use of anifrol</w:t>
      </w:r>
      <w:r w:rsidR="00114B34">
        <w:t>umab and obinutuzumab should be prohibited in the PBS restrictions</w:t>
      </w:r>
      <w:r w:rsidR="00D31BA2">
        <w:t xml:space="preserve"> due to lack of clinical evidence especially of safety</w:t>
      </w:r>
      <w:r w:rsidR="00114B34">
        <w:t xml:space="preserve">.) </w:t>
      </w:r>
      <w:r w:rsidRPr="0063337F">
        <w:t xml:space="preserve">There is also limited evidence on the </w:t>
      </w:r>
      <w:r w:rsidRPr="0063337F">
        <w:lastRenderedPageBreak/>
        <w:t>profile of patients with lupus nephritis who may need more than SOC (Gatto 2025</w:t>
      </w:r>
      <w:r w:rsidRPr="0063337F">
        <w:rPr>
          <w:rStyle w:val="FootnoteReference"/>
        </w:rPr>
        <w:footnoteReference w:id="13"/>
      </w:r>
      <w:r w:rsidRPr="0063337F">
        <w:t>, Rovin 2024</w:t>
      </w:r>
      <w:r w:rsidRPr="0063337F">
        <w:rPr>
          <w:rStyle w:val="FootnoteReference"/>
        </w:rPr>
        <w:footnoteReference w:id="14"/>
      </w:r>
      <w:r w:rsidRPr="0063337F">
        <w:t>). Multi</w:t>
      </w:r>
      <w:r w:rsidR="00FF1914">
        <w:noBreakHyphen/>
      </w:r>
      <w:r w:rsidRPr="0063337F">
        <w:t>agent regimens may offer better renal remission rates than dual therapy, but the choice of treatment may depend on cost, access and patient characteristics (Parodis 2025).</w:t>
      </w:r>
      <w:bookmarkEnd w:id="19"/>
    </w:p>
    <w:p w14:paraId="2A5FD450" w14:textId="6105EF81" w:rsidR="005A066B" w:rsidRPr="0063337F" w:rsidRDefault="005A066B" w:rsidP="005A066B">
      <w:pPr>
        <w:pStyle w:val="3-BodyText"/>
      </w:pPr>
      <w:r w:rsidRPr="0063337F">
        <w:t xml:space="preserve">There is a gap between the international guidelines and current practice in Australia, </w:t>
      </w:r>
      <w:r w:rsidR="00A303A0" w:rsidRPr="0063337F">
        <w:t>as</w:t>
      </w:r>
      <w:r w:rsidRPr="0063337F">
        <w:t xml:space="preserve"> no biologics or small molecule agents </w:t>
      </w:r>
      <w:r w:rsidR="00A303A0" w:rsidRPr="0063337F">
        <w:t xml:space="preserve">are </w:t>
      </w:r>
      <w:r w:rsidR="001E65E2">
        <w:t xml:space="preserve">specifically </w:t>
      </w:r>
      <w:r w:rsidRPr="0063337F">
        <w:t>listed on the PBS for lupus nephritis</w:t>
      </w:r>
      <w:r w:rsidR="001E65E2">
        <w:t xml:space="preserve"> (though rituximab </w:t>
      </w:r>
      <w:r w:rsidR="00847FF0">
        <w:t>is an unrestricted listing)</w:t>
      </w:r>
      <w:r w:rsidRPr="0063337F">
        <w:t>. Australian clinicians</w:t>
      </w:r>
      <w:r w:rsidR="004E0918" w:rsidRPr="0063337F">
        <w:t xml:space="preserve"> on the </w:t>
      </w:r>
      <w:r w:rsidR="0063564E" w:rsidRPr="0063337F">
        <w:t>s</w:t>
      </w:r>
      <w:r w:rsidR="004E0918" w:rsidRPr="0063337F">
        <w:t xml:space="preserve">ponsor’s </w:t>
      </w:r>
      <w:r w:rsidR="0063564E" w:rsidRPr="0063337F">
        <w:t>a</w:t>
      </w:r>
      <w:r w:rsidR="004E0918" w:rsidRPr="0063337F">
        <w:t xml:space="preserve">dvisory </w:t>
      </w:r>
      <w:r w:rsidR="0063564E" w:rsidRPr="0063337F">
        <w:t>b</w:t>
      </w:r>
      <w:r w:rsidR="004E0918" w:rsidRPr="0063337F">
        <w:t>oard</w:t>
      </w:r>
      <w:r w:rsidRPr="0063337F">
        <w:t xml:space="preserve"> indicated that the position of obinutuzumab in practice is likely aligned with belimumab for lupus nephritis on the international treatment algorithm. The clinicians further noted </w:t>
      </w:r>
      <w:r w:rsidR="00A303A0" w:rsidRPr="0063337F">
        <w:t xml:space="preserve">that </w:t>
      </w:r>
      <w:r w:rsidRPr="0063337F">
        <w:t>the suitability of triple therapy for all patients remains unclear. While there is a need for upfront triple therapy as an initial course of treatment</w:t>
      </w:r>
      <w:r w:rsidR="00D31BA2">
        <w:t xml:space="preserve"> in at least some patients with </w:t>
      </w:r>
      <w:r w:rsidR="00A96563">
        <w:t>lupus nephritis</w:t>
      </w:r>
      <w:r w:rsidRPr="0063337F">
        <w:t xml:space="preserve">, there is also general consensus for initial treatment with conventional dual therapy </w:t>
      </w:r>
      <w:r w:rsidR="00D31BA2">
        <w:t xml:space="preserve">in </w:t>
      </w:r>
      <w:r w:rsidR="0007461F">
        <w:t>many</w:t>
      </w:r>
      <w:r w:rsidR="00D31BA2">
        <w:t xml:space="preserve"> patients, with </w:t>
      </w:r>
      <w:r w:rsidRPr="0063337F">
        <w:t>add</w:t>
      </w:r>
      <w:r w:rsidR="00FF1914">
        <w:noBreakHyphen/>
      </w:r>
      <w:r w:rsidRPr="0063337F">
        <w:t xml:space="preserve">on obinutuzumab treatment for patients who do not respond </w:t>
      </w:r>
      <w:r w:rsidR="00A303A0" w:rsidRPr="0063337F">
        <w:t>or</w:t>
      </w:r>
      <w:r w:rsidRPr="0063337F">
        <w:t xml:space="preserve"> have worsening disease on dual therapy (Advisory Board Minutes 2025).</w:t>
      </w:r>
      <w:r w:rsidR="000A7AF2">
        <w:t xml:space="preserve"> </w:t>
      </w:r>
    </w:p>
    <w:p w14:paraId="7CD530CD" w14:textId="43C4D7BC" w:rsidR="005A066B" w:rsidRDefault="006376FC" w:rsidP="0072568D">
      <w:pPr>
        <w:pStyle w:val="3-BodyText"/>
      </w:pPr>
      <w:r>
        <w:t>Obinutuzumab is a recombinant monoclonal humanised, glyco</w:t>
      </w:r>
      <w:r w:rsidR="00FF1914">
        <w:noBreakHyphen/>
      </w:r>
      <w:r>
        <w:t>engineered type II anti</w:t>
      </w:r>
      <w:r w:rsidR="00FF1914">
        <w:noBreakHyphen/>
      </w:r>
      <w:r>
        <w:t>CD20 antibody of IgG1 isotype. O</w:t>
      </w:r>
      <w:r w:rsidRPr="00B047BC">
        <w:t>binutuzumab binds to CD20 protein complexes on the surface of B cells, utilising three main mechanisms to elicit B cell death: (i) internal cell</w:t>
      </w:r>
      <w:r w:rsidR="00FF1914">
        <w:noBreakHyphen/>
      </w:r>
      <w:r w:rsidRPr="00B047BC">
        <w:t>killing mechanisms such as classical apoptosis or direct cell death; (ii) complement</w:t>
      </w:r>
      <w:r w:rsidR="00FF1914">
        <w:noBreakHyphen/>
      </w:r>
      <w:r w:rsidRPr="00B047BC">
        <w:t>dependent cytotoxicity (CDC); and (iii) intercellular interactions such as antibody dependent cellular cytotoxicity (ADCC) and antibody dependent cellular phagocytosis (ADCP)</w:t>
      </w:r>
      <w:r>
        <w:t>. Obinutuzumab anatomical therapeutic chemical classification (ATC) is L01FA03.</w:t>
      </w:r>
      <w:r w:rsidRPr="006376FC">
        <w:t xml:space="preserve"> </w:t>
      </w:r>
    </w:p>
    <w:p w14:paraId="22016B61" w14:textId="2184EAFC" w:rsidR="00A46E0B" w:rsidRPr="00A46E0B" w:rsidRDefault="006376FC" w:rsidP="0072568D">
      <w:pPr>
        <w:pStyle w:val="3-BodyText"/>
        <w:rPr>
          <w:i/>
          <w:iCs/>
        </w:rPr>
      </w:pPr>
      <w:r>
        <w:t xml:space="preserve">The recommended dosage regimen is 1000 mg IV </w:t>
      </w:r>
      <w:r w:rsidRPr="00655120">
        <w:t xml:space="preserve">on </w:t>
      </w:r>
      <w:r>
        <w:t>D</w:t>
      </w:r>
      <w:r w:rsidRPr="00655120">
        <w:t xml:space="preserve">ay 1 and </w:t>
      </w:r>
      <w:r>
        <w:t>We</w:t>
      </w:r>
      <w:r w:rsidRPr="00655120">
        <w:t>eks 2, 24, 26</w:t>
      </w:r>
      <w:r w:rsidR="00F437ED">
        <w:t>,</w:t>
      </w:r>
      <w:r w:rsidRPr="00655120">
        <w:t xml:space="preserve"> and 52 (i.e. five administrations in the first year</w:t>
      </w:r>
      <w:r w:rsidR="00D31BA2">
        <w:t>, also called 2:2:1 regimen</w:t>
      </w:r>
      <w:r w:rsidRPr="00655120">
        <w:t>)</w:t>
      </w:r>
      <w:r>
        <w:t xml:space="preserve"> and every 6 months thereafter. </w:t>
      </w:r>
      <w:r w:rsidRPr="0063337F">
        <w:t xml:space="preserve">The draft product information (PI) </w:t>
      </w:r>
      <w:r w:rsidR="00F437ED" w:rsidRPr="0063337F">
        <w:t>states</w:t>
      </w:r>
      <w:r w:rsidRPr="0063337F">
        <w:t xml:space="preserve"> that obinutuzumab IV should be administered through a dedicated line in an environment where full resuscitation facilities are available and under the supervision of an experienced physician. Premedication with corticosteroid IV, oral analgesi</w:t>
      </w:r>
      <w:r w:rsidR="00F437ED" w:rsidRPr="0063337F">
        <w:t>c</w:t>
      </w:r>
      <w:r w:rsidRPr="0063337F">
        <w:t>s/antipyretic and anti</w:t>
      </w:r>
      <w:r w:rsidR="00FF1914">
        <w:noBreakHyphen/>
      </w:r>
      <w:r w:rsidRPr="0063337F">
        <w:t>histamine drug to reduce risk of infusion</w:t>
      </w:r>
      <w:r w:rsidR="00FF1914">
        <w:noBreakHyphen/>
      </w:r>
      <w:r w:rsidRPr="0063337F">
        <w:t>related reactions (IRRs) must be completed 30</w:t>
      </w:r>
      <w:r w:rsidR="002C07A0" w:rsidRPr="0063337F">
        <w:rPr>
          <w:rFonts w:cstheme="minorHAnsi"/>
        </w:rPr>
        <w:t>‒</w:t>
      </w:r>
      <w:r w:rsidRPr="0063337F">
        <w:t>60 minutes before administration of obinutuzumab IV.</w:t>
      </w:r>
      <w:r w:rsidR="005E4369" w:rsidRPr="005E4369">
        <w:t xml:space="preserve"> </w:t>
      </w:r>
    </w:p>
    <w:p w14:paraId="3A079272" w14:textId="41750F83" w:rsidR="006376FC" w:rsidRPr="00D31BA2" w:rsidRDefault="005E4369" w:rsidP="0072568D">
      <w:pPr>
        <w:pStyle w:val="3-BodyText"/>
      </w:pPr>
      <w:r w:rsidRPr="00357DF2">
        <w:t xml:space="preserve">The </w:t>
      </w:r>
      <w:r w:rsidR="00385263" w:rsidRPr="00357DF2">
        <w:t>S</w:t>
      </w:r>
      <w:r w:rsidRPr="00357DF2">
        <w:t>ub</w:t>
      </w:r>
      <w:r w:rsidR="00FF1914">
        <w:noBreakHyphen/>
      </w:r>
      <w:r w:rsidR="00385263" w:rsidRPr="00357DF2">
        <w:t>C</w:t>
      </w:r>
      <w:r w:rsidRPr="00357DF2">
        <w:t>ommittee</w:t>
      </w:r>
      <w:r w:rsidR="00E25C35" w:rsidRPr="00357DF2">
        <w:t>s</w:t>
      </w:r>
      <w:r w:rsidRPr="00357DF2">
        <w:t xml:space="preserve"> noted that for maintenance treatment with obinu</w:t>
      </w:r>
      <w:r w:rsidR="00B90929" w:rsidRPr="00357DF2">
        <w:t>tuzumab</w:t>
      </w:r>
      <w:r w:rsidRPr="00357DF2">
        <w:t xml:space="preserve">, </w:t>
      </w:r>
      <w:r w:rsidR="00744512" w:rsidRPr="00357DF2">
        <w:t xml:space="preserve">while </w:t>
      </w:r>
      <w:r w:rsidR="00B90929" w:rsidRPr="00357DF2">
        <w:t xml:space="preserve">guidelines recommend </w:t>
      </w:r>
      <w:r w:rsidR="00D6705C" w:rsidRPr="00357DF2">
        <w:t>stopping treatment after 3 years if there is no response, there are no longer term data to support this</w:t>
      </w:r>
      <w:r w:rsidR="00D6705C" w:rsidRPr="00357DF2">
        <w:rPr>
          <w:i/>
          <w:iCs/>
        </w:rPr>
        <w:t>.</w:t>
      </w:r>
      <w:r w:rsidR="00D31BA2">
        <w:rPr>
          <w:i/>
          <w:iCs/>
        </w:rPr>
        <w:t xml:space="preserve"> </w:t>
      </w:r>
      <w:r w:rsidR="00D31BA2" w:rsidRPr="00D31BA2">
        <w:t>The ACM advised that treatment should be continued for a total of 52 weeks with re</w:t>
      </w:r>
      <w:r w:rsidR="00FF1914">
        <w:noBreakHyphen/>
      </w:r>
      <w:r w:rsidR="00D31BA2" w:rsidRPr="00D31BA2">
        <w:t>evaluation of response at week 72.</w:t>
      </w:r>
    </w:p>
    <w:p w14:paraId="452CD3C5" w14:textId="4C4F3E99" w:rsidR="00357DF2" w:rsidRPr="00E25C35" w:rsidRDefault="00357DF2" w:rsidP="007664DB">
      <w:pPr>
        <w:pStyle w:val="3-BodyText"/>
        <w:numPr>
          <w:ilvl w:val="0"/>
          <w:numId w:val="0"/>
        </w:numPr>
        <w:ind w:left="680"/>
        <w:rPr>
          <w:i/>
          <w:iCs/>
        </w:rPr>
      </w:pPr>
      <w:r>
        <w:rPr>
          <w:i/>
          <w:iCs/>
        </w:rPr>
        <w:lastRenderedPageBreak/>
        <w:br/>
      </w:r>
      <w:r w:rsidRPr="00B73A5D">
        <w:rPr>
          <w:i/>
          <w:iCs/>
        </w:rPr>
        <w:t>For more detail on PBAC’s view, see section 7 PBAC outcome.</w:t>
      </w:r>
    </w:p>
    <w:p w14:paraId="51E5AE96" w14:textId="136A63B1" w:rsidR="00B50DB8" w:rsidRPr="0098262F" w:rsidRDefault="00B50DB8" w:rsidP="004E18E9">
      <w:pPr>
        <w:pStyle w:val="2-SectionHeading"/>
      </w:pPr>
      <w:bookmarkStart w:id="20" w:name="_Toc219886545"/>
      <w:r w:rsidRPr="0098262F">
        <w:t>Comparator</w:t>
      </w:r>
      <w:bookmarkEnd w:id="20"/>
    </w:p>
    <w:p w14:paraId="07283015" w14:textId="4BD1307E" w:rsidR="005A066B" w:rsidRPr="00357DF2" w:rsidRDefault="005A066B" w:rsidP="005A066B">
      <w:pPr>
        <w:pStyle w:val="3-BodyText"/>
        <w:rPr>
          <w:bCs/>
          <w:iCs/>
        </w:rPr>
      </w:pPr>
      <w:r w:rsidRPr="00357DF2">
        <w:rPr>
          <w:bCs/>
          <w:iCs/>
        </w:rPr>
        <w:t xml:space="preserve">The submission nominated SOC </w:t>
      </w:r>
      <w:r w:rsidR="003A0068" w:rsidRPr="00357DF2">
        <w:rPr>
          <w:bCs/>
          <w:iCs/>
        </w:rPr>
        <w:t xml:space="preserve">alone </w:t>
      </w:r>
      <w:r w:rsidRPr="00357DF2">
        <w:rPr>
          <w:bCs/>
          <w:iCs/>
        </w:rPr>
        <w:t>as the main comparator</w:t>
      </w:r>
      <w:r w:rsidR="003A0068" w:rsidRPr="00357DF2">
        <w:rPr>
          <w:bCs/>
          <w:iCs/>
        </w:rPr>
        <w:t xml:space="preserve"> for obinut</w:t>
      </w:r>
      <w:r w:rsidR="00D24B04" w:rsidRPr="00357DF2">
        <w:rPr>
          <w:bCs/>
          <w:iCs/>
        </w:rPr>
        <w:t>uzumab plus SOC</w:t>
      </w:r>
      <w:r w:rsidRPr="00357DF2">
        <w:rPr>
          <w:bCs/>
          <w:iCs/>
        </w:rPr>
        <w:t xml:space="preserve"> in patients with class III/IV </w:t>
      </w:r>
      <w:r w:rsidRPr="00357DF2">
        <w:rPr>
          <w:rFonts w:cs="Calibri"/>
          <w:bCs/>
          <w:iCs/>
        </w:rPr>
        <w:t>±</w:t>
      </w:r>
      <w:r w:rsidRPr="00357DF2">
        <w:rPr>
          <w:bCs/>
          <w:iCs/>
        </w:rPr>
        <w:t xml:space="preserve"> V lupus nephritis, comprising conventional dual therapy with: i) a glucocorticoid and ii) MMF (an immunosuppressant). The </w:t>
      </w:r>
      <w:r w:rsidR="004A7344" w:rsidRPr="00357DF2">
        <w:rPr>
          <w:bCs/>
          <w:iCs/>
        </w:rPr>
        <w:t>evaluation considered</w:t>
      </w:r>
      <w:r w:rsidR="008C4EC2" w:rsidRPr="00357DF2">
        <w:rPr>
          <w:bCs/>
          <w:iCs/>
        </w:rPr>
        <w:t xml:space="preserve"> and the Sub</w:t>
      </w:r>
      <w:r w:rsidR="00FF1914">
        <w:rPr>
          <w:bCs/>
          <w:iCs/>
        </w:rPr>
        <w:noBreakHyphen/>
      </w:r>
      <w:r w:rsidR="008C4EC2" w:rsidRPr="00357DF2">
        <w:rPr>
          <w:bCs/>
          <w:iCs/>
        </w:rPr>
        <w:t>Committees agreed</w:t>
      </w:r>
      <w:r w:rsidR="004A7344" w:rsidRPr="00357DF2">
        <w:rPr>
          <w:bCs/>
          <w:iCs/>
        </w:rPr>
        <w:t xml:space="preserve"> that the </w:t>
      </w:r>
      <w:r w:rsidRPr="00357DF2">
        <w:rPr>
          <w:bCs/>
          <w:iCs/>
        </w:rPr>
        <w:t>nomination of SOC with conventional dual therapy was reasonable; however, in practice</w:t>
      </w:r>
      <w:r w:rsidR="00F437ED" w:rsidRPr="00357DF2">
        <w:rPr>
          <w:bCs/>
          <w:iCs/>
        </w:rPr>
        <w:t>,</w:t>
      </w:r>
      <w:r w:rsidRPr="00357DF2">
        <w:rPr>
          <w:bCs/>
          <w:iCs/>
        </w:rPr>
        <w:t xml:space="preserve"> SOC include</w:t>
      </w:r>
      <w:r w:rsidR="00413AE3" w:rsidRPr="00357DF2">
        <w:rPr>
          <w:bCs/>
          <w:iCs/>
        </w:rPr>
        <w:t>s</w:t>
      </w:r>
      <w:r w:rsidRPr="00357DF2">
        <w:rPr>
          <w:bCs/>
          <w:iCs/>
        </w:rPr>
        <w:t xml:space="preserve"> immunosuppressant monotherapy or dual therapy with glucocorticoid and immunosuppressant. </w:t>
      </w:r>
    </w:p>
    <w:p w14:paraId="01601BE0" w14:textId="544EEE34" w:rsidR="005A066B" w:rsidRPr="00357DF2" w:rsidRDefault="005A066B" w:rsidP="00882E3C">
      <w:pPr>
        <w:pStyle w:val="3-BodyText"/>
        <w:rPr>
          <w:iCs/>
        </w:rPr>
      </w:pPr>
      <w:r w:rsidRPr="00357DF2">
        <w:rPr>
          <w:bCs/>
          <w:iCs/>
        </w:rPr>
        <w:t>The main arguments in support of this nomination were that SOC with conventional dual therapy w</w:t>
      </w:r>
      <w:r w:rsidR="004E0918" w:rsidRPr="00357DF2">
        <w:rPr>
          <w:bCs/>
          <w:iCs/>
        </w:rPr>
        <w:t>ere</w:t>
      </w:r>
      <w:r w:rsidRPr="00357DF2">
        <w:rPr>
          <w:bCs/>
          <w:iCs/>
        </w:rPr>
        <w:t xml:space="preserve"> based on available treatments in Australia and feedback from Australian clinicians (Advisory Board Minutes 2025). Further</w:t>
      </w:r>
      <w:r w:rsidR="00F437ED" w:rsidRPr="00357DF2">
        <w:rPr>
          <w:bCs/>
          <w:iCs/>
        </w:rPr>
        <w:t>more</w:t>
      </w:r>
      <w:r w:rsidRPr="00357DF2">
        <w:rPr>
          <w:bCs/>
          <w:iCs/>
        </w:rPr>
        <w:t xml:space="preserve">, the specific nomination of MMF was because </w:t>
      </w:r>
      <w:r w:rsidR="00F437ED" w:rsidRPr="00357DF2">
        <w:rPr>
          <w:bCs/>
          <w:iCs/>
        </w:rPr>
        <w:t>it</w:t>
      </w:r>
      <w:r w:rsidRPr="00357DF2">
        <w:rPr>
          <w:bCs/>
          <w:iCs/>
        </w:rPr>
        <w:t xml:space="preserve"> is the most commonly used immunosuppressant for lupus nephritis and</w:t>
      </w:r>
      <w:r w:rsidR="00F437ED" w:rsidRPr="00357DF2">
        <w:rPr>
          <w:bCs/>
          <w:iCs/>
        </w:rPr>
        <w:t xml:space="preserve"> is</w:t>
      </w:r>
      <w:r w:rsidRPr="00357DF2">
        <w:rPr>
          <w:bCs/>
          <w:iCs/>
        </w:rPr>
        <w:t xml:space="preserve"> less toxic than cyclophosphamide. In REGENCY, all patients received SOC with oral prednisone plus MMF.</w:t>
      </w:r>
    </w:p>
    <w:p w14:paraId="069AE252" w14:textId="1A5D7C2B" w:rsidR="005A066B" w:rsidRPr="00290946" w:rsidRDefault="00C51C13" w:rsidP="00882E3C">
      <w:pPr>
        <w:pStyle w:val="3-BodyText"/>
        <w:rPr>
          <w:iCs/>
        </w:rPr>
      </w:pPr>
      <w:r w:rsidRPr="00357DF2">
        <w:rPr>
          <w:iCs/>
        </w:rPr>
        <w:t>There were no near</w:t>
      </w:r>
      <w:r w:rsidR="00FF1914">
        <w:rPr>
          <w:iCs/>
        </w:rPr>
        <w:noBreakHyphen/>
      </w:r>
      <w:r w:rsidRPr="00357DF2">
        <w:rPr>
          <w:iCs/>
        </w:rPr>
        <w:t>market comparators</w:t>
      </w:r>
      <w:r w:rsidR="004E0918" w:rsidRPr="00357DF2">
        <w:rPr>
          <w:iCs/>
        </w:rPr>
        <w:t xml:space="preserve"> identified</w:t>
      </w:r>
      <w:r w:rsidR="00D90CA2">
        <w:rPr>
          <w:iCs/>
        </w:rPr>
        <w:t xml:space="preserve"> in the submission</w:t>
      </w:r>
      <w:r w:rsidRPr="00357DF2">
        <w:rPr>
          <w:iCs/>
        </w:rPr>
        <w:t xml:space="preserve">. The submission did not consider </w:t>
      </w:r>
      <w:r w:rsidRPr="00290946">
        <w:rPr>
          <w:iCs/>
        </w:rPr>
        <w:t>belimumab a near</w:t>
      </w:r>
      <w:r w:rsidR="00FF1914">
        <w:rPr>
          <w:iCs/>
        </w:rPr>
        <w:noBreakHyphen/>
      </w:r>
      <w:r w:rsidRPr="00290946">
        <w:rPr>
          <w:iCs/>
        </w:rPr>
        <w:t xml:space="preserve">market comparator, given that it was not recommended by the PBAC, and </w:t>
      </w:r>
      <w:r w:rsidR="004E0918" w:rsidRPr="00290946">
        <w:rPr>
          <w:iCs/>
        </w:rPr>
        <w:t xml:space="preserve">that </w:t>
      </w:r>
      <w:r w:rsidRPr="00290946">
        <w:rPr>
          <w:iCs/>
        </w:rPr>
        <w:t xml:space="preserve">the sponsor of belimumab </w:t>
      </w:r>
      <w:r w:rsidR="00272FF0" w:rsidRPr="00290946">
        <w:rPr>
          <w:iCs/>
        </w:rPr>
        <w:t xml:space="preserve">stated it </w:t>
      </w:r>
      <w:r w:rsidRPr="00290946">
        <w:rPr>
          <w:iCs/>
        </w:rPr>
        <w:t>will not resubmit to the PBAC for th</w:t>
      </w:r>
      <w:r w:rsidR="00F94F1D" w:rsidRPr="00290946">
        <w:rPr>
          <w:iCs/>
        </w:rPr>
        <w:t>is</w:t>
      </w:r>
      <w:r w:rsidRPr="00290946">
        <w:rPr>
          <w:iCs/>
        </w:rPr>
        <w:t xml:space="preserve"> subset of patients </w:t>
      </w:r>
      <w:r w:rsidR="00F94F1D" w:rsidRPr="00290946">
        <w:rPr>
          <w:iCs/>
        </w:rPr>
        <w:t xml:space="preserve">living </w:t>
      </w:r>
      <w:r w:rsidRPr="00290946">
        <w:rPr>
          <w:iCs/>
        </w:rPr>
        <w:t xml:space="preserve">with severe SLE (paragraph 9, belimumab </w:t>
      </w:r>
      <w:r w:rsidR="007115A0">
        <w:rPr>
          <w:iCs/>
        </w:rPr>
        <w:t>Public Summary Document [</w:t>
      </w:r>
      <w:r w:rsidRPr="00290946">
        <w:rPr>
          <w:iCs/>
        </w:rPr>
        <w:t>PSD</w:t>
      </w:r>
      <w:r w:rsidR="007115A0">
        <w:rPr>
          <w:iCs/>
        </w:rPr>
        <w:t xml:space="preserve">] </w:t>
      </w:r>
      <w:r w:rsidRPr="00290946">
        <w:rPr>
          <w:iCs/>
        </w:rPr>
        <w:t>July 2020 PBAC meeting).</w:t>
      </w:r>
      <w:r w:rsidR="00107CD8" w:rsidRPr="00290946">
        <w:rPr>
          <w:iCs/>
        </w:rPr>
        <w:t xml:space="preserve"> </w:t>
      </w:r>
    </w:p>
    <w:p w14:paraId="32A1A169" w14:textId="684E10F0" w:rsidR="00EB4438" w:rsidRPr="00290946" w:rsidRDefault="00EB4438" w:rsidP="00882E3C">
      <w:pPr>
        <w:pStyle w:val="3-BodyText"/>
        <w:rPr>
          <w:iCs/>
        </w:rPr>
      </w:pPr>
      <w:bookmarkStart w:id="21" w:name="_Ref224829707"/>
      <w:r w:rsidRPr="00290946">
        <w:rPr>
          <w:iCs/>
        </w:rPr>
        <w:t xml:space="preserve">The PBAC considered </w:t>
      </w:r>
      <w:r w:rsidR="00150DA1" w:rsidRPr="00290946">
        <w:rPr>
          <w:iCs/>
        </w:rPr>
        <w:t xml:space="preserve">that </w:t>
      </w:r>
      <w:r w:rsidR="009E1EA6">
        <w:rPr>
          <w:iCs/>
        </w:rPr>
        <w:t xml:space="preserve">the submission should have explored </w:t>
      </w:r>
      <w:r w:rsidRPr="00290946">
        <w:rPr>
          <w:iCs/>
        </w:rPr>
        <w:t xml:space="preserve">rituximab </w:t>
      </w:r>
      <w:r w:rsidR="009E1F1C" w:rsidRPr="00290946">
        <w:rPr>
          <w:iCs/>
        </w:rPr>
        <w:t>as a potential</w:t>
      </w:r>
      <w:r w:rsidRPr="00290946">
        <w:rPr>
          <w:iCs/>
        </w:rPr>
        <w:t xml:space="preserve"> comparator. </w:t>
      </w:r>
      <w:r w:rsidR="00B55377" w:rsidRPr="00290946">
        <w:rPr>
          <w:iCs/>
        </w:rPr>
        <w:t xml:space="preserve">While the PBAC noted </w:t>
      </w:r>
      <w:r w:rsidR="00662E8C" w:rsidRPr="00290946">
        <w:rPr>
          <w:iCs/>
        </w:rPr>
        <w:t xml:space="preserve">rituximab failed to meet its primary endpoint for the treatment of lupus nephritis in the LUNAR </w:t>
      </w:r>
      <w:r w:rsidR="00E76D05">
        <w:rPr>
          <w:iCs/>
        </w:rPr>
        <w:t>randomised controlled</w:t>
      </w:r>
      <w:r w:rsidR="00662E8C" w:rsidRPr="00290946">
        <w:rPr>
          <w:iCs/>
        </w:rPr>
        <w:t xml:space="preserve"> trial</w:t>
      </w:r>
      <w:r w:rsidR="001737B3">
        <w:rPr>
          <w:iCs/>
        </w:rPr>
        <w:t xml:space="preserve"> (</w:t>
      </w:r>
      <w:r w:rsidR="001E503A">
        <w:rPr>
          <w:iCs/>
        </w:rPr>
        <w:t xml:space="preserve">Rovin 2012, </w:t>
      </w:r>
      <w:r w:rsidR="001737B3">
        <w:rPr>
          <w:iCs/>
        </w:rPr>
        <w:t xml:space="preserve">refer to paragraph </w:t>
      </w:r>
      <w:r w:rsidR="001737B3">
        <w:rPr>
          <w:iCs/>
        </w:rPr>
        <w:fldChar w:fldCharType="begin"/>
      </w:r>
      <w:r w:rsidR="001737B3">
        <w:rPr>
          <w:iCs/>
        </w:rPr>
        <w:instrText xml:space="preserve"> REF _Ref224831677 \r \h </w:instrText>
      </w:r>
      <w:r w:rsidR="001737B3">
        <w:rPr>
          <w:iCs/>
        </w:rPr>
      </w:r>
      <w:r w:rsidR="001737B3">
        <w:rPr>
          <w:iCs/>
        </w:rPr>
        <w:fldChar w:fldCharType="separate"/>
      </w:r>
      <w:r w:rsidR="002255D9">
        <w:rPr>
          <w:iCs/>
        </w:rPr>
        <w:t>4.8</w:t>
      </w:r>
      <w:r w:rsidR="001737B3">
        <w:rPr>
          <w:iCs/>
        </w:rPr>
        <w:fldChar w:fldCharType="end"/>
      </w:r>
      <w:r w:rsidR="001737B3">
        <w:rPr>
          <w:iCs/>
        </w:rPr>
        <w:t>)</w:t>
      </w:r>
      <w:r w:rsidR="00552189" w:rsidRPr="00290946">
        <w:rPr>
          <w:iCs/>
        </w:rPr>
        <w:t xml:space="preserve">, real world registry data </w:t>
      </w:r>
      <w:r w:rsidR="00375D86" w:rsidRPr="00290946">
        <w:rPr>
          <w:iCs/>
        </w:rPr>
        <w:t xml:space="preserve">were available </w:t>
      </w:r>
      <w:r w:rsidR="00552189" w:rsidRPr="00290946">
        <w:rPr>
          <w:iCs/>
        </w:rPr>
        <w:t>(e</w:t>
      </w:r>
      <w:r w:rsidR="001D0AAC">
        <w:rPr>
          <w:iCs/>
        </w:rPr>
        <w:t>.</w:t>
      </w:r>
      <w:r w:rsidR="00552189" w:rsidRPr="00290946">
        <w:rPr>
          <w:iCs/>
        </w:rPr>
        <w:t>g</w:t>
      </w:r>
      <w:r w:rsidR="001D0AAC">
        <w:rPr>
          <w:iCs/>
        </w:rPr>
        <w:t>.,</w:t>
      </w:r>
      <w:r w:rsidR="00552189" w:rsidRPr="00290946">
        <w:rPr>
          <w:iCs/>
        </w:rPr>
        <w:t xml:space="preserve"> BILAG</w:t>
      </w:r>
      <w:r w:rsidR="00FF1914">
        <w:rPr>
          <w:iCs/>
        </w:rPr>
        <w:noBreakHyphen/>
      </w:r>
      <w:r w:rsidR="00552189" w:rsidRPr="00290946">
        <w:rPr>
          <w:iCs/>
        </w:rPr>
        <w:t>BR</w:t>
      </w:r>
      <w:r w:rsidR="00854C8C" w:rsidRPr="00290946">
        <w:rPr>
          <w:rStyle w:val="FootnoteReference"/>
          <w:iCs/>
        </w:rPr>
        <w:footnoteReference w:id="15"/>
      </w:r>
      <w:r w:rsidR="00552189" w:rsidRPr="00290946">
        <w:rPr>
          <w:iCs/>
        </w:rPr>
        <w:t xml:space="preserve">) </w:t>
      </w:r>
      <w:r w:rsidR="001E503A">
        <w:rPr>
          <w:iCs/>
        </w:rPr>
        <w:t>that</w:t>
      </w:r>
      <w:r w:rsidR="00552189" w:rsidRPr="00290946">
        <w:rPr>
          <w:iCs/>
        </w:rPr>
        <w:t xml:space="preserve"> </w:t>
      </w:r>
      <w:r w:rsidR="00375D86" w:rsidRPr="00290946">
        <w:rPr>
          <w:iCs/>
        </w:rPr>
        <w:t>showed</w:t>
      </w:r>
      <w:r w:rsidR="001E503A">
        <w:rPr>
          <w:iCs/>
        </w:rPr>
        <w:t xml:space="preserve"> improvements in</w:t>
      </w:r>
      <w:r w:rsidR="00552189" w:rsidRPr="00290946">
        <w:rPr>
          <w:iCs/>
        </w:rPr>
        <w:t xml:space="preserve"> renal response in </w:t>
      </w:r>
      <w:r w:rsidR="002A419B" w:rsidRPr="00290946">
        <w:rPr>
          <w:iCs/>
        </w:rPr>
        <w:t>patients with treatment</w:t>
      </w:r>
      <w:r w:rsidR="002A419B" w:rsidRPr="00290946">
        <w:rPr>
          <w:rFonts w:ascii="Cambria Math" w:hAnsi="Cambria Math" w:cs="Cambria Math"/>
          <w:iCs/>
        </w:rPr>
        <w:t>‑</w:t>
      </w:r>
      <w:r w:rsidR="002A419B" w:rsidRPr="00290946">
        <w:rPr>
          <w:iCs/>
        </w:rPr>
        <w:t>resistant lupus nephritis</w:t>
      </w:r>
      <w:r w:rsidR="001818FC">
        <w:rPr>
          <w:iCs/>
        </w:rPr>
        <w:t>,</w:t>
      </w:r>
      <w:r w:rsidR="002A419B" w:rsidRPr="00290946">
        <w:rPr>
          <w:iCs/>
        </w:rPr>
        <w:t xml:space="preserve"> with some international guidelines positioning </w:t>
      </w:r>
      <w:r w:rsidR="00AF2100" w:rsidRPr="00290946">
        <w:rPr>
          <w:iCs/>
        </w:rPr>
        <w:t xml:space="preserve">rituximab </w:t>
      </w:r>
      <w:r w:rsidR="00421C61">
        <w:rPr>
          <w:iCs/>
        </w:rPr>
        <w:t xml:space="preserve">as an option </w:t>
      </w:r>
      <w:r w:rsidR="00EC1E81" w:rsidRPr="00290946">
        <w:rPr>
          <w:iCs/>
        </w:rPr>
        <w:t xml:space="preserve">for </w:t>
      </w:r>
      <w:r w:rsidR="00421C61">
        <w:rPr>
          <w:iCs/>
        </w:rPr>
        <w:t>patients who have n</w:t>
      </w:r>
      <w:r w:rsidR="00375D86" w:rsidRPr="00290946">
        <w:rPr>
          <w:iCs/>
        </w:rPr>
        <w:t>ot</w:t>
      </w:r>
      <w:r w:rsidR="00EC1E81" w:rsidRPr="00290946">
        <w:rPr>
          <w:iCs/>
        </w:rPr>
        <w:t xml:space="preserve"> respond</w:t>
      </w:r>
      <w:r w:rsidR="00375D86" w:rsidRPr="00290946">
        <w:rPr>
          <w:iCs/>
        </w:rPr>
        <w:t>ed</w:t>
      </w:r>
      <w:r w:rsidR="00EC1E81" w:rsidRPr="00290946">
        <w:rPr>
          <w:iCs/>
        </w:rPr>
        <w:t xml:space="preserve"> to conventional therapy e</w:t>
      </w:r>
      <w:r w:rsidR="00375D86" w:rsidRPr="00290946">
        <w:rPr>
          <w:iCs/>
        </w:rPr>
        <w:t>.</w:t>
      </w:r>
      <w:r w:rsidR="00EC1E81" w:rsidRPr="00290946">
        <w:rPr>
          <w:iCs/>
        </w:rPr>
        <w:t>g</w:t>
      </w:r>
      <w:r w:rsidR="00375D86" w:rsidRPr="00290946">
        <w:rPr>
          <w:iCs/>
        </w:rPr>
        <w:t>.</w:t>
      </w:r>
      <w:r w:rsidR="00AF2100" w:rsidRPr="00290946">
        <w:rPr>
          <w:iCs/>
        </w:rPr>
        <w:t xml:space="preserve"> </w:t>
      </w:r>
      <w:r w:rsidR="00812CF4">
        <w:rPr>
          <w:iCs/>
        </w:rPr>
        <w:t xml:space="preserve">those with </w:t>
      </w:r>
      <w:r w:rsidR="00AF2100" w:rsidRPr="00290946">
        <w:rPr>
          <w:iCs/>
        </w:rPr>
        <w:t>refractory lupus nephritis.</w:t>
      </w:r>
      <w:bookmarkEnd w:id="21"/>
      <w:r w:rsidR="00DF3002">
        <w:rPr>
          <w:iCs/>
        </w:rPr>
        <w:t xml:space="preserve"> The PBAC has not specifically evaluated rituximab for </w:t>
      </w:r>
      <w:r w:rsidR="0031448A">
        <w:rPr>
          <w:iCs/>
        </w:rPr>
        <w:t>lupus nephritis</w:t>
      </w:r>
      <w:r w:rsidR="00DF3002">
        <w:rPr>
          <w:iCs/>
        </w:rPr>
        <w:t xml:space="preserve"> and noted that its usage would be hard to ascertain as rituximab now has an unrestricted listing.</w:t>
      </w:r>
    </w:p>
    <w:p w14:paraId="46F269C7" w14:textId="2F6F9795" w:rsidR="00A3636F" w:rsidRPr="00357DF2" w:rsidRDefault="00A3636F" w:rsidP="0099214E">
      <w:pPr>
        <w:pStyle w:val="3-BodyText"/>
        <w:numPr>
          <w:ilvl w:val="0"/>
          <w:numId w:val="0"/>
        </w:numPr>
        <w:ind w:left="680"/>
        <w:rPr>
          <w:iCs/>
        </w:rPr>
      </w:pPr>
      <w:r>
        <w:rPr>
          <w:i/>
          <w:iCs/>
        </w:rPr>
        <w:br/>
      </w:r>
      <w:r w:rsidRPr="00B73A5D">
        <w:rPr>
          <w:i/>
          <w:iCs/>
        </w:rPr>
        <w:t>For more detail on PBAC’s view, see section 7 PBAC outcome.</w:t>
      </w:r>
    </w:p>
    <w:p w14:paraId="7F9C27C8" w14:textId="77777777" w:rsidR="00223D5A" w:rsidRPr="0098262F" w:rsidRDefault="00223D5A" w:rsidP="00223D5A">
      <w:pPr>
        <w:pStyle w:val="2-SectionHeading"/>
        <w:numPr>
          <w:ilvl w:val="0"/>
          <w:numId w:val="1"/>
        </w:numPr>
      </w:pPr>
      <w:bookmarkStart w:id="22" w:name="_Toc219886546"/>
      <w:bookmarkStart w:id="23" w:name="_Toc22897640"/>
      <w:r w:rsidRPr="0098262F">
        <w:lastRenderedPageBreak/>
        <w:t>Consideration of the evidence</w:t>
      </w:r>
      <w:bookmarkEnd w:id="22"/>
    </w:p>
    <w:p w14:paraId="1E7DD63E" w14:textId="77777777" w:rsidR="00F801CB" w:rsidRPr="00F801CB" w:rsidRDefault="00F801CB" w:rsidP="001C6D5A">
      <w:pPr>
        <w:pStyle w:val="3-SubsectionHeading"/>
        <w:outlineLvl w:val="1"/>
        <w:rPr>
          <w:color w:val="auto"/>
          <w:lang w:eastAsia="en-AU"/>
        </w:rPr>
      </w:pPr>
      <w:bookmarkStart w:id="24" w:name="_Hlk76375935"/>
      <w:bookmarkStart w:id="25" w:name="_Toc219886547"/>
      <w:r w:rsidRPr="00F801CB">
        <w:rPr>
          <w:color w:val="auto"/>
          <w:lang w:eastAsia="en-AU"/>
        </w:rPr>
        <w:t>Sponsor hearing</w:t>
      </w:r>
    </w:p>
    <w:p w14:paraId="51A08AB6" w14:textId="0E2AD8D1" w:rsidR="007340EE" w:rsidRPr="007340EE" w:rsidRDefault="00221E0B" w:rsidP="00FF7D55">
      <w:pPr>
        <w:pStyle w:val="3-BodyText"/>
        <w:rPr>
          <w:rFonts w:eastAsia="Times New Roman" w:cs="Arial"/>
          <w:bCs/>
          <w:snapToGrid w:val="0"/>
          <w:szCs w:val="24"/>
        </w:rPr>
      </w:pPr>
      <w:bookmarkStart w:id="26" w:name="_Hlk76382586"/>
      <w:r w:rsidRPr="00221E0B">
        <w:rPr>
          <w:snapToGrid w:val="0"/>
        </w:rPr>
        <w:t xml:space="preserve">The sponsor requested a hearing for this item. At the hearing, a </w:t>
      </w:r>
      <w:r w:rsidR="00705763">
        <w:rPr>
          <w:snapToGrid w:val="0"/>
        </w:rPr>
        <w:t>nephrologist</w:t>
      </w:r>
      <w:r w:rsidRPr="00221E0B">
        <w:rPr>
          <w:snapToGrid w:val="0"/>
        </w:rPr>
        <w:t xml:space="preserve"> with expertise in the management of lupus nephritis </w:t>
      </w:r>
      <w:r w:rsidR="00CD3C86">
        <w:rPr>
          <w:snapToGrid w:val="0"/>
        </w:rPr>
        <w:t xml:space="preserve">outlined the clinical meaningfulness of </w:t>
      </w:r>
      <w:r w:rsidRPr="00221E0B">
        <w:rPr>
          <w:snapToGrid w:val="0"/>
        </w:rPr>
        <w:t>achieving a complete renal response at Week 76, noting that early reductions in proteinuria and preservation of kidney function are associated with improved long</w:t>
      </w:r>
      <w:r w:rsidRPr="00221E0B">
        <w:rPr>
          <w:rFonts w:ascii="Cambria Math" w:hAnsi="Cambria Math" w:cs="Cambria Math"/>
          <w:snapToGrid w:val="0"/>
        </w:rPr>
        <w:t>‑</w:t>
      </w:r>
      <w:r w:rsidRPr="00221E0B">
        <w:rPr>
          <w:snapToGrid w:val="0"/>
        </w:rPr>
        <w:t>term renal outcomes, including renal survival, and a reduced likelihood of progression to end</w:t>
      </w:r>
      <w:r w:rsidRPr="00221E0B">
        <w:rPr>
          <w:rFonts w:ascii="Cambria Math" w:hAnsi="Cambria Math" w:cs="Cambria Math"/>
          <w:snapToGrid w:val="0"/>
        </w:rPr>
        <w:t>‑</w:t>
      </w:r>
      <w:r w:rsidRPr="00221E0B">
        <w:rPr>
          <w:snapToGrid w:val="0"/>
        </w:rPr>
        <w:t>stage kidney disease.</w:t>
      </w:r>
    </w:p>
    <w:p w14:paraId="32D4E1E3" w14:textId="693AD643" w:rsidR="00DC53E2" w:rsidRPr="00DC53E2" w:rsidRDefault="007340EE" w:rsidP="00FF7D55">
      <w:pPr>
        <w:pStyle w:val="3-BodyText"/>
        <w:rPr>
          <w:rFonts w:eastAsia="Times New Roman" w:cs="Arial"/>
          <w:bCs/>
          <w:snapToGrid w:val="0"/>
          <w:szCs w:val="24"/>
        </w:rPr>
      </w:pPr>
      <w:r w:rsidRPr="007340EE">
        <w:rPr>
          <w:snapToGrid w:val="0"/>
        </w:rPr>
        <w:t>The clinician explained that renal flares represent episodes of immune</w:t>
      </w:r>
      <w:r w:rsidRPr="007340EE">
        <w:rPr>
          <w:rFonts w:ascii="Cambria Math" w:hAnsi="Cambria Math" w:cs="Cambria Math"/>
          <w:snapToGrid w:val="0"/>
        </w:rPr>
        <w:t>‑</w:t>
      </w:r>
      <w:r w:rsidRPr="007340EE">
        <w:rPr>
          <w:snapToGrid w:val="0"/>
        </w:rPr>
        <w:t xml:space="preserve">mediated kidney injury that can result in cumulative nephron loss and irreversible kidney damage. </w:t>
      </w:r>
      <w:r w:rsidR="00BC042E">
        <w:rPr>
          <w:snapToGrid w:val="0"/>
        </w:rPr>
        <w:t>He outlined that r</w:t>
      </w:r>
      <w:r w:rsidRPr="007340EE">
        <w:rPr>
          <w:snapToGrid w:val="0"/>
        </w:rPr>
        <w:t>educing the frequency of renal flares was therefore important in limiting long</w:t>
      </w:r>
      <w:r w:rsidRPr="007340EE">
        <w:rPr>
          <w:rFonts w:ascii="Cambria Math" w:hAnsi="Cambria Math" w:cs="Cambria Math"/>
          <w:snapToGrid w:val="0"/>
        </w:rPr>
        <w:t>‑</w:t>
      </w:r>
      <w:r w:rsidRPr="007340EE">
        <w:rPr>
          <w:snapToGrid w:val="0"/>
        </w:rPr>
        <w:t>term disease progression and the future need for intensive therapies such as dialysis or transplantation. The clinician also noted that treatments which reduce the need for prolonged or repeated courses of high</w:t>
      </w:r>
      <w:r w:rsidRPr="007340EE">
        <w:rPr>
          <w:rFonts w:ascii="Cambria Math" w:hAnsi="Cambria Math" w:cs="Cambria Math"/>
          <w:snapToGrid w:val="0"/>
        </w:rPr>
        <w:t>‑</w:t>
      </w:r>
      <w:r w:rsidRPr="007340EE">
        <w:rPr>
          <w:snapToGrid w:val="0"/>
        </w:rPr>
        <w:t>dose glucocorticoids may lessen treatment</w:t>
      </w:r>
      <w:r w:rsidRPr="007340EE">
        <w:rPr>
          <w:rFonts w:ascii="Cambria Math" w:hAnsi="Cambria Math" w:cs="Cambria Math"/>
          <w:snapToGrid w:val="0"/>
        </w:rPr>
        <w:t>‑</w:t>
      </w:r>
      <w:r w:rsidRPr="007340EE">
        <w:rPr>
          <w:snapToGrid w:val="0"/>
        </w:rPr>
        <w:t>related toxicity.</w:t>
      </w:r>
    </w:p>
    <w:p w14:paraId="31FA77A2" w14:textId="1EA00B3E" w:rsidR="00654C37" w:rsidRPr="00654C37" w:rsidRDefault="00DC53E2" w:rsidP="00654C37">
      <w:pPr>
        <w:pStyle w:val="3-BodyText"/>
        <w:rPr>
          <w:lang w:eastAsia="en-US"/>
        </w:rPr>
      </w:pPr>
      <w:r w:rsidRPr="00DC53E2">
        <w:rPr>
          <w:snapToGrid w:val="0"/>
        </w:rPr>
        <w:t xml:space="preserve">In addition to renal outcomes, the clinician highlighted the broader impacts of lupus nephritis on patients, including the psychosocial burden of chronic disease, the effects of </w:t>
      </w:r>
      <w:r w:rsidR="00F9444B" w:rsidRPr="007340EE">
        <w:rPr>
          <w:snapToGrid w:val="0"/>
        </w:rPr>
        <w:t>glucocorticoid</w:t>
      </w:r>
      <w:r w:rsidR="00FF1914">
        <w:rPr>
          <w:snapToGrid w:val="0"/>
        </w:rPr>
        <w:noBreakHyphen/>
      </w:r>
      <w:r w:rsidR="00F9444B">
        <w:rPr>
          <w:snapToGrid w:val="0"/>
        </w:rPr>
        <w:t>related</w:t>
      </w:r>
      <w:r w:rsidRPr="00DC53E2">
        <w:rPr>
          <w:snapToGrid w:val="0"/>
        </w:rPr>
        <w:t xml:space="preserve"> toxicity on wellbeing, and the consequences for quality of life. The clinician considered that therapies </w:t>
      </w:r>
      <w:r w:rsidR="00B36EDB">
        <w:rPr>
          <w:snapToGrid w:val="0"/>
        </w:rPr>
        <w:t>that</w:t>
      </w:r>
      <w:r w:rsidRPr="00DC53E2">
        <w:rPr>
          <w:snapToGrid w:val="0"/>
        </w:rPr>
        <w:t xml:space="preserve"> improve disease control while allowing reduction in glucocorticoid exposure may provide meaningful benefits for patients beyond measured renal endpoints.</w:t>
      </w:r>
      <w:r w:rsidR="00654C37">
        <w:rPr>
          <w:snapToGrid w:val="0"/>
        </w:rPr>
        <w:t xml:space="preserve"> </w:t>
      </w:r>
    </w:p>
    <w:bookmarkEnd w:id="26"/>
    <w:p w14:paraId="708343F3" w14:textId="5E12043B" w:rsidR="00F801CB" w:rsidRPr="00F801CB" w:rsidRDefault="00F801CB" w:rsidP="00EE5049">
      <w:pPr>
        <w:pStyle w:val="3-SubsectionHeading"/>
        <w:outlineLvl w:val="1"/>
        <w:rPr>
          <w:color w:val="auto"/>
          <w:lang w:eastAsia="en-AU"/>
        </w:rPr>
      </w:pPr>
      <w:r w:rsidRPr="00F801CB">
        <w:rPr>
          <w:color w:val="auto"/>
          <w:lang w:eastAsia="en-AU"/>
        </w:rPr>
        <w:t>Consumer inputs</w:t>
      </w:r>
    </w:p>
    <w:p w14:paraId="00FB329F" w14:textId="221ADEF0" w:rsidR="00A20CE9" w:rsidRDefault="00F801CB" w:rsidP="00BF7FC9">
      <w:pPr>
        <w:widowControl w:val="0"/>
        <w:numPr>
          <w:ilvl w:val="1"/>
          <w:numId w:val="1"/>
        </w:numPr>
        <w:spacing w:after="120"/>
      </w:pPr>
      <w:bookmarkStart w:id="27" w:name="_Hlk76382618"/>
      <w:r w:rsidRPr="00B01DC1">
        <w:rPr>
          <w:snapToGrid w:val="0"/>
        </w:rPr>
        <w:t>The PBAC noted and welcomed the input from health care professionals (7) and organisations (</w:t>
      </w:r>
      <w:r w:rsidR="00D24A9C" w:rsidRPr="00B01DC1">
        <w:rPr>
          <w:snapToGrid w:val="0"/>
        </w:rPr>
        <w:t>7</w:t>
      </w:r>
      <w:r w:rsidRPr="00B01DC1">
        <w:rPr>
          <w:snapToGrid w:val="0"/>
        </w:rPr>
        <w:t xml:space="preserve">) via the Office of Health Technology Assessment Consultation Hub. </w:t>
      </w:r>
      <w:r w:rsidR="007A21B2" w:rsidRPr="00B01DC1">
        <w:rPr>
          <w:snapToGrid w:val="0"/>
        </w:rPr>
        <w:t>The four consumer organisations which provided inpu</w:t>
      </w:r>
      <w:r w:rsidR="00C11807">
        <w:rPr>
          <w:snapToGrid w:val="0"/>
        </w:rPr>
        <w:t>t</w:t>
      </w:r>
      <w:r w:rsidR="007A21B2" w:rsidRPr="00B01DC1">
        <w:rPr>
          <w:snapToGrid w:val="0"/>
        </w:rPr>
        <w:t xml:space="preserve"> were Kidney Health Australia, Dragon Claw Charity, Global </w:t>
      </w:r>
      <w:r w:rsidR="005B04C4">
        <w:rPr>
          <w:snapToGrid w:val="0"/>
        </w:rPr>
        <w:t>H</w:t>
      </w:r>
      <w:r w:rsidR="007A21B2" w:rsidRPr="00B01DC1">
        <w:rPr>
          <w:snapToGrid w:val="0"/>
        </w:rPr>
        <w:t xml:space="preserve">ealthy </w:t>
      </w:r>
      <w:r w:rsidR="005B04C4">
        <w:rPr>
          <w:snapToGrid w:val="0"/>
        </w:rPr>
        <w:t>L</w:t>
      </w:r>
      <w:r w:rsidR="007A21B2" w:rsidRPr="00B01DC1">
        <w:rPr>
          <w:snapToGrid w:val="0"/>
        </w:rPr>
        <w:t xml:space="preserve">iving Foundation and Creaky </w:t>
      </w:r>
      <w:r w:rsidR="005B04C4">
        <w:rPr>
          <w:snapToGrid w:val="0"/>
        </w:rPr>
        <w:t>J</w:t>
      </w:r>
      <w:r w:rsidR="007A21B2" w:rsidRPr="00B01DC1">
        <w:rPr>
          <w:snapToGrid w:val="0"/>
        </w:rPr>
        <w:t xml:space="preserve">oints Australia, </w:t>
      </w:r>
      <w:r w:rsidR="00EF36E4">
        <w:rPr>
          <w:snapToGrid w:val="0"/>
        </w:rPr>
        <w:t xml:space="preserve">and </w:t>
      </w:r>
      <w:r w:rsidR="007A21B2" w:rsidRPr="00B01DC1">
        <w:rPr>
          <w:snapToGrid w:val="0"/>
        </w:rPr>
        <w:t>Arthritis Australia.</w:t>
      </w:r>
      <w:r w:rsidRPr="00B01DC1">
        <w:rPr>
          <w:snapToGrid w:val="0"/>
        </w:rPr>
        <w:t xml:space="preserve"> </w:t>
      </w:r>
      <w:r w:rsidR="001C0F69" w:rsidRPr="001C0F69">
        <w:rPr>
          <w:snapToGrid w:val="0"/>
        </w:rPr>
        <w:t xml:space="preserve">Submissions emphasised the limitations of current standard </w:t>
      </w:r>
      <w:r w:rsidR="005B04C4">
        <w:rPr>
          <w:snapToGrid w:val="0"/>
        </w:rPr>
        <w:t xml:space="preserve">of </w:t>
      </w:r>
      <w:r w:rsidR="001C0F69" w:rsidRPr="001C0F69">
        <w:rPr>
          <w:snapToGrid w:val="0"/>
        </w:rPr>
        <w:t xml:space="preserve">care, particularly incomplete responses to steroids and mycophenolate and the cumulative harms associated with prolonged corticosteroid exposure. Impacts on daily functioning, employment, </w:t>
      </w:r>
      <w:r w:rsidR="007C164B">
        <w:rPr>
          <w:snapToGrid w:val="0"/>
        </w:rPr>
        <w:t xml:space="preserve">continuous appointments, </w:t>
      </w:r>
      <w:r w:rsidR="001C0F69" w:rsidRPr="001C0F69">
        <w:rPr>
          <w:snapToGrid w:val="0"/>
        </w:rPr>
        <w:t>family life and long</w:t>
      </w:r>
      <w:r w:rsidR="001C0F69" w:rsidRPr="001C0F69">
        <w:rPr>
          <w:rFonts w:ascii="Cambria Math" w:hAnsi="Cambria Math" w:cs="Cambria Math"/>
          <w:snapToGrid w:val="0"/>
        </w:rPr>
        <w:t>‑</w:t>
      </w:r>
      <w:r w:rsidR="001C0F69" w:rsidRPr="001C0F69">
        <w:rPr>
          <w:snapToGrid w:val="0"/>
        </w:rPr>
        <w:t>term planning (including fertility and pregnancy) were highlighted</w:t>
      </w:r>
      <w:r w:rsidR="003C041F" w:rsidRPr="00B01DC1">
        <w:t>.</w:t>
      </w:r>
      <w:r w:rsidR="0029525D">
        <w:t xml:space="preserve"> The impacts on young women were particularly noted</w:t>
      </w:r>
      <w:r w:rsidR="000D37CB">
        <w:t xml:space="preserve"> including the desire</w:t>
      </w:r>
      <w:r w:rsidR="007758D3">
        <w:t xml:space="preserve"> to maintain fertility and keep disease activity under control.</w:t>
      </w:r>
    </w:p>
    <w:p w14:paraId="200067EC" w14:textId="38E60E37" w:rsidR="00214E50" w:rsidRDefault="00F17C40" w:rsidP="00D60716">
      <w:pPr>
        <w:widowControl w:val="0"/>
        <w:numPr>
          <w:ilvl w:val="1"/>
          <w:numId w:val="1"/>
        </w:numPr>
        <w:spacing w:after="120"/>
      </w:pPr>
      <w:r w:rsidRPr="00F17C40">
        <w:t>Consumer</w:t>
      </w:r>
      <w:r w:rsidR="00AE2EA9">
        <w:t xml:space="preserve"> organisation</w:t>
      </w:r>
      <w:r w:rsidRPr="00F17C40">
        <w:t xml:space="preserve">s considered obinutuzumab to represent an important additional treatment option, particularly due to higher rates of renal response when added to standard therapy, the potential to reduce disease flares, and the opportunity to taper </w:t>
      </w:r>
      <w:r w:rsidR="0026191D">
        <w:t xml:space="preserve">use of </w:t>
      </w:r>
      <w:r w:rsidRPr="00F17C40">
        <w:t>corticosteroids</w:t>
      </w:r>
      <w:r w:rsidR="0026191D">
        <w:t xml:space="preserve"> which had significant side effects</w:t>
      </w:r>
      <w:r w:rsidRPr="00F17C40">
        <w:t>. These effects were viewed as likely to translate into meaningful quality</w:t>
      </w:r>
      <w:r w:rsidRPr="00214E50">
        <w:rPr>
          <w:rFonts w:ascii="Cambria Math" w:hAnsi="Cambria Math" w:cs="Cambria Math"/>
        </w:rPr>
        <w:t>‑</w:t>
      </w:r>
      <w:r w:rsidRPr="00F17C40">
        <w:t>of</w:t>
      </w:r>
      <w:r w:rsidRPr="00214E50">
        <w:rPr>
          <w:rFonts w:ascii="Cambria Math" w:hAnsi="Cambria Math" w:cs="Cambria Math"/>
        </w:rPr>
        <w:t>‑</w:t>
      </w:r>
      <w:r w:rsidRPr="00F17C40">
        <w:t>life improvements and reduced long</w:t>
      </w:r>
      <w:r w:rsidRPr="00214E50">
        <w:rPr>
          <w:rFonts w:ascii="Cambria Math" w:hAnsi="Cambria Math" w:cs="Cambria Math"/>
        </w:rPr>
        <w:t>‑</w:t>
      </w:r>
      <w:r w:rsidRPr="00F17C40">
        <w:t xml:space="preserve">term complications. </w:t>
      </w:r>
      <w:r w:rsidR="00214E50" w:rsidRPr="008629E0">
        <w:t>Submissions noted that, without PBS subsidy, the cost of obinutuzumab would be prohibitive for most patients</w:t>
      </w:r>
      <w:r w:rsidR="00214E50">
        <w:t xml:space="preserve">. </w:t>
      </w:r>
      <w:r w:rsidRPr="00F17C40">
        <w:t xml:space="preserve">While </w:t>
      </w:r>
      <w:r w:rsidR="00953C42">
        <w:t>the input</w:t>
      </w:r>
      <w:r w:rsidR="00953C42" w:rsidRPr="00F17C40">
        <w:t xml:space="preserve"> </w:t>
      </w:r>
      <w:r w:rsidRPr="00F17C40">
        <w:t xml:space="preserve">acknowledged </w:t>
      </w:r>
      <w:r w:rsidRPr="00F17C40">
        <w:lastRenderedPageBreak/>
        <w:t>risks of infection and infusion</w:t>
      </w:r>
      <w:r w:rsidRPr="00214E50">
        <w:rPr>
          <w:rFonts w:ascii="Cambria Math" w:hAnsi="Cambria Math" w:cs="Cambria Math"/>
        </w:rPr>
        <w:t>‑</w:t>
      </w:r>
      <w:r w:rsidRPr="00F17C40">
        <w:t>related reactions, these were generally considered comparable to existing immunosuppressive</w:t>
      </w:r>
      <w:r w:rsidR="006673A1">
        <w:t xml:space="preserve"> therapies</w:t>
      </w:r>
      <w:r w:rsidRPr="00F17C40">
        <w:t>.</w:t>
      </w:r>
      <w:r w:rsidR="00C310B1">
        <w:t xml:space="preserve"> </w:t>
      </w:r>
      <w:r w:rsidR="00C23C93" w:rsidRPr="008629E0">
        <w:t>Intravenous administration and reliance on infusion services were identified as potential barriers for patients in regional and remote areas, with associated travel and accommodation costs.</w:t>
      </w:r>
      <w:r w:rsidR="00C23C93">
        <w:t xml:space="preserve"> </w:t>
      </w:r>
    </w:p>
    <w:p w14:paraId="5DD71A16" w14:textId="27D5B068" w:rsidR="006D2C88" w:rsidRDefault="00C66CCF" w:rsidP="00D60716">
      <w:pPr>
        <w:widowControl w:val="0"/>
        <w:numPr>
          <w:ilvl w:val="1"/>
          <w:numId w:val="1"/>
        </w:numPr>
        <w:spacing w:after="120"/>
      </w:pPr>
      <w:r w:rsidRPr="00C66CCF">
        <w:t xml:space="preserve">The PBAC noted the advice received from seven healthcare professionals and 3 medical organisations (Australian Rheumatology Association, Australasian Society of Clinical Immunology and Allergy, Australia and New Zealand Society of Nephrology). </w:t>
      </w:r>
      <w:r w:rsidR="0026191D">
        <w:t xml:space="preserve">Their </w:t>
      </w:r>
      <w:r w:rsidR="008629E0" w:rsidRPr="008629E0">
        <w:t>submissions focused on unmet clinical need and alignment with contemporary, evidence</w:t>
      </w:r>
      <w:r w:rsidR="008629E0" w:rsidRPr="00C808FF">
        <w:rPr>
          <w:rFonts w:ascii="Cambria Math" w:hAnsi="Cambria Math" w:cs="Cambria Math"/>
        </w:rPr>
        <w:t>‑</w:t>
      </w:r>
      <w:r w:rsidR="008629E0" w:rsidRPr="008629E0">
        <w:t>based care. Contributors noted that current therapies result in suboptimal response rates and ongoing reliance on corticosteroids, with associated toxicity. Obinutuzumab was considered to demonstrate clinically meaningful improvements in complete renal response, proteinuria reduction and preservation of kidney function, which were viewed as likely to reduce progression to kidney failure and downstream health system costs.</w:t>
      </w:r>
      <w:r w:rsidR="00C808FF" w:rsidRPr="00C808FF">
        <w:t xml:space="preserve"> </w:t>
      </w:r>
      <w:r w:rsidR="00C808FF" w:rsidRPr="00975FF4">
        <w:t>Reduced cumulative glucocorticoid exposure was highlighted as a key benefit with potential long</w:t>
      </w:r>
      <w:r w:rsidR="00C808FF" w:rsidRPr="00C808FF">
        <w:rPr>
          <w:rFonts w:ascii="Cambria Math" w:hAnsi="Cambria Math" w:cs="Cambria Math"/>
        </w:rPr>
        <w:t>‑</w:t>
      </w:r>
      <w:r w:rsidR="00C808FF" w:rsidRPr="00975FF4">
        <w:t>term quality</w:t>
      </w:r>
      <w:r w:rsidR="00C808FF" w:rsidRPr="00C808FF">
        <w:rPr>
          <w:rFonts w:ascii="Cambria Math" w:hAnsi="Cambria Math" w:cs="Cambria Math"/>
        </w:rPr>
        <w:t>‑</w:t>
      </w:r>
      <w:r w:rsidR="00C808FF" w:rsidRPr="00975FF4">
        <w:t>of</w:t>
      </w:r>
      <w:r w:rsidR="00C808FF" w:rsidRPr="00C808FF">
        <w:rPr>
          <w:rFonts w:ascii="Cambria Math" w:hAnsi="Cambria Math" w:cs="Cambria Math"/>
        </w:rPr>
        <w:t>‑</w:t>
      </w:r>
      <w:r w:rsidR="00C808FF" w:rsidRPr="00975FF4">
        <w:t>life and safety advantages.</w:t>
      </w:r>
      <w:r w:rsidR="00C808FF">
        <w:t xml:space="preserve"> </w:t>
      </w:r>
      <w:r w:rsidR="00975FF4" w:rsidRPr="00975FF4">
        <w:t>Submissions acknowledged safety risks associated with B</w:t>
      </w:r>
      <w:r w:rsidR="00975FF4" w:rsidRPr="00C808FF">
        <w:rPr>
          <w:rFonts w:ascii="Cambria Math" w:hAnsi="Cambria Math" w:cs="Cambria Math"/>
        </w:rPr>
        <w:t>‑</w:t>
      </w:r>
      <w:r w:rsidR="00975FF4" w:rsidRPr="00975FF4">
        <w:t xml:space="preserve">cell depletion, including infection and infusion reactions, but considered these manageable within specialist care. </w:t>
      </w:r>
    </w:p>
    <w:p w14:paraId="54306B09" w14:textId="4040C9FE" w:rsidR="008629E0" w:rsidRDefault="00975FF4" w:rsidP="00BF7FC9">
      <w:pPr>
        <w:widowControl w:val="0"/>
        <w:numPr>
          <w:ilvl w:val="1"/>
          <w:numId w:val="1"/>
        </w:numPr>
        <w:spacing w:after="120"/>
      </w:pPr>
      <w:r w:rsidRPr="00975FF4">
        <w:t>Medical organisations supported a restricted PBS listing for biopsy</w:t>
      </w:r>
      <w:r w:rsidRPr="00975FF4">
        <w:rPr>
          <w:rFonts w:ascii="Cambria Math" w:hAnsi="Cambria Math" w:cs="Cambria Math"/>
        </w:rPr>
        <w:t>‑</w:t>
      </w:r>
      <w:r w:rsidRPr="00975FF4">
        <w:t>proven active class III or IV (</w:t>
      </w:r>
      <w:r w:rsidRPr="00975FF4">
        <w:rPr>
          <w:rFonts w:cs="Calibri"/>
        </w:rPr>
        <w:t>±</w:t>
      </w:r>
      <w:r w:rsidRPr="00975FF4">
        <w:t>V) lupus nephritis, specialist prescribing and objective continuation criteria</w:t>
      </w:r>
      <w:r w:rsidR="00CD7FB8">
        <w:t xml:space="preserve">. </w:t>
      </w:r>
      <w:r w:rsidR="007E7E85" w:rsidRPr="007E7E85">
        <w:t xml:space="preserve">The PBAC noted that </w:t>
      </w:r>
      <w:r w:rsidR="00DB479A">
        <w:t xml:space="preserve">lupus nephritis </w:t>
      </w:r>
      <w:r w:rsidR="007E7E85" w:rsidRPr="007E7E85">
        <w:t xml:space="preserve">disproportionately affects females and </w:t>
      </w:r>
      <w:r w:rsidR="002E1570">
        <w:t>i</w:t>
      </w:r>
      <w:r w:rsidR="007E7E85" w:rsidRPr="007E7E85">
        <w:t xml:space="preserve">s more prevalent among individuals of Asian </w:t>
      </w:r>
      <w:r w:rsidR="00AC02FD">
        <w:t xml:space="preserve">and African </w:t>
      </w:r>
      <w:r w:rsidR="007E7E85" w:rsidRPr="007E7E85">
        <w:t xml:space="preserve">ethnic descent and First Nations people and that </w:t>
      </w:r>
      <w:r w:rsidR="00946CA3">
        <w:t>lupus nephritis</w:t>
      </w:r>
      <w:r w:rsidR="00946CA3" w:rsidRPr="007E7E85">
        <w:t xml:space="preserve"> </w:t>
      </w:r>
      <w:r w:rsidR="007E7E85" w:rsidRPr="007E7E85">
        <w:t xml:space="preserve">is not only more prevalent in First Nations people but is also associated with </w:t>
      </w:r>
      <w:r w:rsidR="00AC02FD">
        <w:t xml:space="preserve">a </w:t>
      </w:r>
      <w:r w:rsidR="007E7E85" w:rsidRPr="007E7E85">
        <w:t>significantly higher disease burden characterised by more severe disease, increased morbidity and higher mortality rates compared to patients who are not of First Nations descent.</w:t>
      </w:r>
    </w:p>
    <w:bookmarkEnd w:id="24"/>
    <w:bookmarkEnd w:id="27"/>
    <w:p w14:paraId="609C0765" w14:textId="162006B9" w:rsidR="00B60939" w:rsidRPr="0098262F" w:rsidRDefault="00B60939" w:rsidP="002E4F02">
      <w:pPr>
        <w:pStyle w:val="4-SubsectionHeading"/>
      </w:pPr>
      <w:r w:rsidRPr="0098262F">
        <w:t>Clinical trials</w:t>
      </w:r>
      <w:bookmarkEnd w:id="23"/>
      <w:bookmarkEnd w:id="25"/>
    </w:p>
    <w:p w14:paraId="757CA83C" w14:textId="08F08CBD" w:rsidR="00C51C13" w:rsidRDefault="00C51C13" w:rsidP="002E4F02">
      <w:pPr>
        <w:pStyle w:val="3-BodyText"/>
      </w:pPr>
      <w:r>
        <w:t>The submission was based on two randomised controlled trials (RCTs) comparing obinutuzumab plus SOC (</w:t>
      </w:r>
      <w:r w:rsidRPr="00C51C13">
        <w:t>glucocorticoid</w:t>
      </w:r>
      <w:r>
        <w:t xml:space="preserve"> </w:t>
      </w:r>
      <w:r w:rsidR="007D13C6">
        <w:t>and</w:t>
      </w:r>
      <w:r>
        <w:t xml:space="preserve"> MMF) versus placebo plus SOC (REGENCY and NOBILITY) in patients with active lupus nephritis class III/IV </w:t>
      </w:r>
      <w:r>
        <w:rPr>
          <w:rFonts w:cs="Calibri"/>
        </w:rPr>
        <w:t>±</w:t>
      </w:r>
      <w:r>
        <w:t xml:space="preserve"> V. </w:t>
      </w:r>
      <w:r w:rsidR="007D13C6">
        <w:t xml:space="preserve">The submission described REGENCY as the pivotal trial as it included a </w:t>
      </w:r>
      <w:r w:rsidR="009226DC">
        <w:t xml:space="preserve">dosing </w:t>
      </w:r>
      <w:r w:rsidR="007D13C6">
        <w:t xml:space="preserve">regimen for obinutuzumab consistent with the draft PI. The NOBILITY trial provided supportive evidence as it </w:t>
      </w:r>
      <w:r w:rsidR="009226DC">
        <w:t>used</w:t>
      </w:r>
      <w:r w:rsidR="007D13C6">
        <w:t xml:space="preserve"> one less initial dose of obinutuzumab and the definition of CRR was inconsistent with the REGENCY trial</w:t>
      </w:r>
      <w:r w:rsidR="009226DC">
        <w:t xml:space="preserve">, preventing </w:t>
      </w:r>
      <w:r w:rsidR="007D13C6">
        <w:t xml:space="preserve">pooling of the trial results. </w:t>
      </w:r>
      <w:r w:rsidR="007D13C6" w:rsidRPr="007D13C6">
        <w:t xml:space="preserve">Details of the trials presented in the submission are provided in </w:t>
      </w:r>
      <w:r w:rsidR="005D1B76">
        <w:fldChar w:fldCharType="begin"/>
      </w:r>
      <w:r w:rsidR="005D1B76">
        <w:instrText xml:space="preserve"> REF _Ref218520314 \h </w:instrText>
      </w:r>
      <w:r w:rsidR="005D1B76">
        <w:fldChar w:fldCharType="separate"/>
      </w:r>
      <w:r w:rsidR="002255D9">
        <w:t xml:space="preserve">Table </w:t>
      </w:r>
      <w:r w:rsidR="002255D9">
        <w:rPr>
          <w:noProof/>
        </w:rPr>
        <w:t>2</w:t>
      </w:r>
      <w:r w:rsidR="005D1B76">
        <w:fldChar w:fldCharType="end"/>
      </w:r>
      <w:r w:rsidR="007D13C6" w:rsidRPr="007D13C6">
        <w:t xml:space="preserve"> below</w:t>
      </w:r>
      <w:r w:rsidR="007D13C6">
        <w:t>.</w:t>
      </w:r>
    </w:p>
    <w:p w14:paraId="1B77F98E" w14:textId="34C828A1" w:rsidR="007D13C6" w:rsidRPr="0098262F" w:rsidRDefault="005D1B76" w:rsidP="005D1B76">
      <w:pPr>
        <w:pStyle w:val="Caption"/>
        <w:jc w:val="left"/>
      </w:pPr>
      <w:bookmarkStart w:id="28" w:name="_Ref218520314"/>
      <w:r>
        <w:lastRenderedPageBreak/>
        <w:t xml:space="preserve">Table </w:t>
      </w:r>
      <w:fldSimple w:instr=" SEQ Table \* ARABIC ">
        <w:r w:rsidR="002255D9">
          <w:rPr>
            <w:noProof/>
          </w:rPr>
          <w:t>2</w:t>
        </w:r>
      </w:fldSimple>
      <w:bookmarkEnd w:id="28"/>
      <w:r w:rsidR="007D13C6" w:rsidRPr="0098262F">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7D13C6" w:rsidRPr="0098262F" w14:paraId="2CE367E1" w14:textId="77777777" w:rsidTr="0072568D">
        <w:trPr>
          <w:tblHeader/>
        </w:trPr>
        <w:tc>
          <w:tcPr>
            <w:tcW w:w="796" w:type="pct"/>
            <w:vAlign w:val="center"/>
          </w:tcPr>
          <w:p w14:paraId="64AD747B" w14:textId="77777777" w:rsidR="007D13C6" w:rsidRPr="0098262F" w:rsidRDefault="007D13C6" w:rsidP="0072568D">
            <w:pPr>
              <w:pStyle w:val="In-tableHeading"/>
              <w:rPr>
                <w:lang w:val="en-AU"/>
              </w:rPr>
            </w:pPr>
            <w:r w:rsidRPr="0098262F">
              <w:rPr>
                <w:lang w:val="en-AU"/>
              </w:rPr>
              <w:t>Trial ID</w:t>
            </w:r>
          </w:p>
        </w:tc>
        <w:tc>
          <w:tcPr>
            <w:tcW w:w="3027" w:type="pct"/>
            <w:vAlign w:val="center"/>
          </w:tcPr>
          <w:p w14:paraId="6D5A7FDA" w14:textId="77777777" w:rsidR="007D13C6" w:rsidRPr="0098262F" w:rsidRDefault="007D13C6" w:rsidP="0072568D">
            <w:pPr>
              <w:pStyle w:val="In-tableHeading"/>
              <w:rPr>
                <w:lang w:val="en-AU"/>
              </w:rPr>
            </w:pPr>
            <w:r w:rsidRPr="0098262F">
              <w:rPr>
                <w:lang w:val="en-AU"/>
              </w:rPr>
              <w:t>Protocol title/ Publication title</w:t>
            </w:r>
          </w:p>
        </w:tc>
        <w:tc>
          <w:tcPr>
            <w:tcW w:w="1177" w:type="pct"/>
            <w:vAlign w:val="center"/>
          </w:tcPr>
          <w:p w14:paraId="43E7C0FC" w14:textId="77777777" w:rsidR="007D13C6" w:rsidRPr="0098262F" w:rsidRDefault="007D13C6" w:rsidP="0072568D">
            <w:pPr>
              <w:pStyle w:val="In-tableHeading"/>
              <w:rPr>
                <w:lang w:val="en-AU"/>
              </w:rPr>
            </w:pPr>
            <w:r w:rsidRPr="0098262F">
              <w:rPr>
                <w:lang w:val="en-AU"/>
              </w:rPr>
              <w:t>Publication citation</w:t>
            </w:r>
          </w:p>
        </w:tc>
      </w:tr>
      <w:tr w:rsidR="007D13C6" w:rsidRPr="0098262F" w14:paraId="18A4B490" w14:textId="77777777" w:rsidTr="0072568D">
        <w:tc>
          <w:tcPr>
            <w:tcW w:w="796" w:type="pct"/>
            <w:vMerge w:val="restart"/>
            <w:vAlign w:val="center"/>
          </w:tcPr>
          <w:p w14:paraId="2B14DE88" w14:textId="77777777" w:rsidR="007D13C6" w:rsidRDefault="007D13C6" w:rsidP="0072568D">
            <w:pPr>
              <w:pStyle w:val="TableText0"/>
            </w:pPr>
            <w:r>
              <w:t>REGENCY</w:t>
            </w:r>
          </w:p>
          <w:p w14:paraId="5AA9DF4C" w14:textId="77777777" w:rsidR="007D13C6" w:rsidRPr="0098262F" w:rsidRDefault="007D13C6" w:rsidP="0072568D">
            <w:pPr>
              <w:pStyle w:val="TableText0"/>
            </w:pPr>
            <w:r>
              <w:t>(</w:t>
            </w:r>
            <w:r w:rsidRPr="00024C11">
              <w:t>NCT04221477</w:t>
            </w:r>
            <w:r>
              <w:t>)</w:t>
            </w:r>
          </w:p>
        </w:tc>
        <w:tc>
          <w:tcPr>
            <w:tcW w:w="3027" w:type="pct"/>
            <w:tcBorders>
              <w:bottom w:val="nil"/>
            </w:tcBorders>
            <w:vAlign w:val="center"/>
          </w:tcPr>
          <w:p w14:paraId="41E842EC" w14:textId="5F110734" w:rsidR="007D13C6" w:rsidRPr="0098262F" w:rsidRDefault="007D13C6" w:rsidP="0072568D">
            <w:pPr>
              <w:pStyle w:val="TableText0"/>
              <w:rPr>
                <w:szCs w:val="18"/>
              </w:rPr>
            </w:pPr>
            <w:r w:rsidRPr="00024C11">
              <w:rPr>
                <w:szCs w:val="18"/>
              </w:rPr>
              <w:t>CSR for REGENCY 2024. Primary Clinical Study Report – Study CA41705 (REGENCY) – A Phase III, Randomized, Double</w:t>
            </w:r>
            <w:r w:rsidR="00FF1914">
              <w:rPr>
                <w:szCs w:val="18"/>
              </w:rPr>
              <w:noBreakHyphen/>
            </w:r>
            <w:r w:rsidRPr="00024C11">
              <w:rPr>
                <w:szCs w:val="18"/>
              </w:rPr>
              <w:t>Blind, Placebo</w:t>
            </w:r>
            <w:r w:rsidR="00FF1914">
              <w:rPr>
                <w:szCs w:val="18"/>
              </w:rPr>
              <w:noBreakHyphen/>
            </w:r>
            <w:r w:rsidRPr="00024C11">
              <w:rPr>
                <w:szCs w:val="18"/>
              </w:rPr>
              <w:t xml:space="preserve">Controlled, Multicenter Study to Evaluate the Efficacy and Safety of Obinutuzumab in Patients with active ISN/RPS 2003 Class III or IV Lupus Nephritis. Report No. 1131275. </w:t>
            </w:r>
          </w:p>
        </w:tc>
        <w:tc>
          <w:tcPr>
            <w:tcW w:w="1177" w:type="pct"/>
            <w:tcBorders>
              <w:bottom w:val="nil"/>
            </w:tcBorders>
            <w:vAlign w:val="center"/>
          </w:tcPr>
          <w:p w14:paraId="065C292F" w14:textId="77777777" w:rsidR="007D13C6" w:rsidRPr="0098262F" w:rsidRDefault="007D13C6" w:rsidP="0072568D">
            <w:pPr>
              <w:pStyle w:val="TableText0"/>
            </w:pPr>
            <w:r w:rsidRPr="00024C11">
              <w:rPr>
                <w:szCs w:val="18"/>
              </w:rPr>
              <w:t>December 2024</w:t>
            </w:r>
          </w:p>
        </w:tc>
      </w:tr>
      <w:tr w:rsidR="007D13C6" w:rsidRPr="0098262F" w14:paraId="4D4A9F93" w14:textId="77777777" w:rsidTr="0072568D">
        <w:trPr>
          <w:trHeight w:val="469"/>
        </w:trPr>
        <w:tc>
          <w:tcPr>
            <w:tcW w:w="796" w:type="pct"/>
            <w:vMerge/>
            <w:vAlign w:val="center"/>
          </w:tcPr>
          <w:p w14:paraId="01AFAC8B" w14:textId="77777777" w:rsidR="007D13C6" w:rsidRPr="0098262F" w:rsidRDefault="007D13C6" w:rsidP="0072568D">
            <w:pPr>
              <w:pStyle w:val="TableText0"/>
            </w:pPr>
          </w:p>
        </w:tc>
        <w:tc>
          <w:tcPr>
            <w:tcW w:w="3027" w:type="pct"/>
            <w:tcBorders>
              <w:top w:val="nil"/>
            </w:tcBorders>
            <w:vAlign w:val="center"/>
          </w:tcPr>
          <w:p w14:paraId="4B7AF4C3" w14:textId="75EDD809" w:rsidR="007D13C6" w:rsidRPr="0098262F" w:rsidRDefault="007D13C6" w:rsidP="0072568D">
            <w:pPr>
              <w:pStyle w:val="TableText0"/>
              <w:rPr>
                <w:szCs w:val="18"/>
              </w:rPr>
            </w:pPr>
            <w:r w:rsidRPr="00E10722">
              <w:rPr>
                <w:szCs w:val="18"/>
              </w:rPr>
              <w:t>Furie RA, Rovin BH, Garg JP, Santiago MB, Aroca</w:t>
            </w:r>
            <w:r w:rsidR="00FF1914">
              <w:rPr>
                <w:szCs w:val="18"/>
              </w:rPr>
              <w:noBreakHyphen/>
            </w:r>
            <w:r w:rsidRPr="00E10722">
              <w:rPr>
                <w:szCs w:val="18"/>
              </w:rPr>
              <w:t>Martínez G, Zuta Santillán AE, Alvarez D, Navarro Sandoval C, Lila AM, Tumlin JA, Saxena A, Irazoque Palazuelos F, Raghu H, Yoo B, Hassan I, Martins E, Sehgal H, Kirchner P, Ross Terres J, Omachi TA, Schindler T, Pendergraft WF 3rd, Malvar A; REGENCY Trial Investigators</w:t>
            </w:r>
            <w:r>
              <w:rPr>
                <w:szCs w:val="18"/>
              </w:rPr>
              <w:t>.</w:t>
            </w:r>
            <w:r w:rsidRPr="00024C11">
              <w:rPr>
                <w:szCs w:val="18"/>
              </w:rPr>
              <w:t xml:space="preserve"> Efficacy and Safety of Obinutuzumab in Active Lupus Nephritis</w:t>
            </w:r>
            <w:r>
              <w:rPr>
                <w:szCs w:val="18"/>
              </w:rPr>
              <w:t>.</w:t>
            </w:r>
          </w:p>
        </w:tc>
        <w:tc>
          <w:tcPr>
            <w:tcW w:w="1177" w:type="pct"/>
            <w:tcBorders>
              <w:top w:val="nil"/>
            </w:tcBorders>
            <w:vAlign w:val="center"/>
          </w:tcPr>
          <w:p w14:paraId="470CB362" w14:textId="68ADC188" w:rsidR="007D13C6" w:rsidRPr="0098262F" w:rsidRDefault="007D13C6" w:rsidP="0072568D">
            <w:pPr>
              <w:pStyle w:val="TableText0"/>
              <w:rPr>
                <w:szCs w:val="18"/>
              </w:rPr>
            </w:pPr>
            <w:r w:rsidRPr="00E10722">
              <w:rPr>
                <w:szCs w:val="18"/>
              </w:rPr>
              <w:t xml:space="preserve">New England Journal of Medicine </w:t>
            </w:r>
            <w:r>
              <w:rPr>
                <w:szCs w:val="18"/>
              </w:rPr>
              <w:t xml:space="preserve">2025. </w:t>
            </w:r>
            <w:r w:rsidRPr="00024C11">
              <w:rPr>
                <w:szCs w:val="18"/>
              </w:rPr>
              <w:t>392</w:t>
            </w:r>
            <w:r>
              <w:rPr>
                <w:szCs w:val="18"/>
              </w:rPr>
              <w:t>(</w:t>
            </w:r>
            <w:r w:rsidRPr="00024C11">
              <w:rPr>
                <w:szCs w:val="18"/>
              </w:rPr>
              <w:t>15</w:t>
            </w:r>
            <w:r>
              <w:rPr>
                <w:szCs w:val="18"/>
              </w:rPr>
              <w:t>):</w:t>
            </w:r>
            <w:r w:rsidRPr="00024C11">
              <w:rPr>
                <w:szCs w:val="18"/>
              </w:rPr>
              <w:t>1471</w:t>
            </w:r>
            <w:r w:rsidR="00FF1914">
              <w:rPr>
                <w:szCs w:val="18"/>
              </w:rPr>
              <w:noBreakHyphen/>
            </w:r>
            <w:r w:rsidRPr="00024C11">
              <w:rPr>
                <w:szCs w:val="18"/>
              </w:rPr>
              <w:t>1483</w:t>
            </w:r>
          </w:p>
        </w:tc>
      </w:tr>
      <w:tr w:rsidR="007D13C6" w:rsidRPr="0098262F" w14:paraId="2BF574B8" w14:textId="77777777" w:rsidTr="0072568D">
        <w:tc>
          <w:tcPr>
            <w:tcW w:w="796" w:type="pct"/>
            <w:vMerge w:val="restart"/>
            <w:vAlign w:val="center"/>
          </w:tcPr>
          <w:p w14:paraId="42D8B699" w14:textId="77777777" w:rsidR="007D13C6" w:rsidRDefault="007D13C6" w:rsidP="0072568D">
            <w:pPr>
              <w:pStyle w:val="TableText0"/>
            </w:pPr>
            <w:r>
              <w:t>NOBILITY</w:t>
            </w:r>
          </w:p>
          <w:p w14:paraId="0EE1F084" w14:textId="77777777" w:rsidR="007D13C6" w:rsidRPr="0098262F" w:rsidRDefault="007D13C6" w:rsidP="0072568D">
            <w:pPr>
              <w:pStyle w:val="TableText0"/>
            </w:pPr>
            <w:r>
              <w:t>(NCT02550652)</w:t>
            </w:r>
          </w:p>
        </w:tc>
        <w:tc>
          <w:tcPr>
            <w:tcW w:w="3027" w:type="pct"/>
            <w:tcBorders>
              <w:bottom w:val="nil"/>
            </w:tcBorders>
            <w:vAlign w:val="center"/>
          </w:tcPr>
          <w:p w14:paraId="0CD49EC5" w14:textId="03ED4927" w:rsidR="007D13C6" w:rsidRPr="0098262F" w:rsidRDefault="007D13C6" w:rsidP="0072568D">
            <w:pPr>
              <w:pStyle w:val="TableText0"/>
            </w:pPr>
            <w:r w:rsidRPr="00E10722">
              <w:t>CSR for NOBILITY 2020. Primary Study WA29748WA29748, (NOBILITY) A Randomized, Double</w:t>
            </w:r>
            <w:r w:rsidR="00FF1914">
              <w:noBreakHyphen/>
            </w:r>
            <w:r w:rsidRPr="00E10722">
              <w:t>Blind, Placebo</w:t>
            </w:r>
            <w:r w:rsidR="00FF1914">
              <w:noBreakHyphen/>
            </w:r>
            <w:r w:rsidRPr="00E10722">
              <w:t>Controlled, Multi</w:t>
            </w:r>
            <w:r w:rsidR="00FF1914">
              <w:noBreakHyphen/>
            </w:r>
            <w:r w:rsidRPr="00E10722">
              <w:t xml:space="preserve">Center Study to Evaluate the Safety and Efficacy of Obinutuzumab in Patients With active ISN/RPS 2003 Class III or IV Lupus Nephritis. Report No. 1094412 </w:t>
            </w:r>
          </w:p>
        </w:tc>
        <w:tc>
          <w:tcPr>
            <w:tcW w:w="1177" w:type="pct"/>
            <w:tcBorders>
              <w:bottom w:val="nil"/>
            </w:tcBorders>
            <w:vAlign w:val="center"/>
          </w:tcPr>
          <w:p w14:paraId="53DBA27D" w14:textId="77777777" w:rsidR="007D13C6" w:rsidRPr="0098262F" w:rsidRDefault="007D13C6" w:rsidP="0072568D">
            <w:pPr>
              <w:pStyle w:val="TableText0"/>
            </w:pPr>
            <w:r w:rsidRPr="00E10722">
              <w:t>January 2020</w:t>
            </w:r>
          </w:p>
        </w:tc>
      </w:tr>
      <w:tr w:rsidR="007D13C6" w:rsidRPr="0098262F" w14:paraId="2F5462E4" w14:textId="77777777" w:rsidTr="0072568D">
        <w:tc>
          <w:tcPr>
            <w:tcW w:w="796" w:type="pct"/>
            <w:vMerge/>
            <w:tcBorders>
              <w:bottom w:val="single" w:sz="4" w:space="0" w:color="auto"/>
            </w:tcBorders>
            <w:vAlign w:val="center"/>
          </w:tcPr>
          <w:p w14:paraId="028B927C" w14:textId="77777777" w:rsidR="007D13C6" w:rsidRPr="0098262F" w:rsidRDefault="007D13C6" w:rsidP="0072568D">
            <w:pPr>
              <w:pStyle w:val="TableText0"/>
            </w:pPr>
          </w:p>
        </w:tc>
        <w:tc>
          <w:tcPr>
            <w:tcW w:w="3027" w:type="pct"/>
            <w:tcBorders>
              <w:top w:val="nil"/>
              <w:bottom w:val="single" w:sz="4" w:space="0" w:color="auto"/>
            </w:tcBorders>
            <w:vAlign w:val="center"/>
          </w:tcPr>
          <w:p w14:paraId="3F7F5825" w14:textId="403F67B5" w:rsidR="007D13C6" w:rsidRPr="0098262F" w:rsidRDefault="007D13C6" w:rsidP="0072568D">
            <w:pPr>
              <w:pStyle w:val="TableText0"/>
              <w:rPr>
                <w:szCs w:val="18"/>
              </w:rPr>
            </w:pPr>
            <w:r w:rsidRPr="00E10722">
              <w:rPr>
                <w:szCs w:val="18"/>
              </w:rPr>
              <w:t>Furie RA, Aroca G, Cascino MD, Garg JP, Rovin BH, Alvarez A, Fragoso</w:t>
            </w:r>
            <w:r w:rsidR="00FF1914">
              <w:rPr>
                <w:szCs w:val="18"/>
              </w:rPr>
              <w:noBreakHyphen/>
            </w:r>
            <w:r w:rsidRPr="00E10722">
              <w:rPr>
                <w:szCs w:val="18"/>
              </w:rPr>
              <w:t>Loyo H, Zuta</w:t>
            </w:r>
            <w:r w:rsidR="00FF1914">
              <w:rPr>
                <w:szCs w:val="18"/>
              </w:rPr>
              <w:noBreakHyphen/>
            </w:r>
            <w:r w:rsidRPr="00E10722">
              <w:rPr>
                <w:szCs w:val="18"/>
              </w:rPr>
              <w:t>Santillan E, Schindler T, Brunetta P, Looney CM, Hassan I, Malvar A. B</w:t>
            </w:r>
            <w:r w:rsidR="00FF1914">
              <w:rPr>
                <w:szCs w:val="18"/>
              </w:rPr>
              <w:noBreakHyphen/>
            </w:r>
            <w:r w:rsidRPr="00E10722">
              <w:rPr>
                <w:szCs w:val="18"/>
              </w:rPr>
              <w:t>cell depletion with obinutuzumab for the treatment of proliferative lupus nephritis: a randomised, double</w:t>
            </w:r>
            <w:r w:rsidR="00FF1914">
              <w:rPr>
                <w:szCs w:val="18"/>
              </w:rPr>
              <w:noBreakHyphen/>
            </w:r>
            <w:r w:rsidRPr="00E10722">
              <w:rPr>
                <w:szCs w:val="18"/>
              </w:rPr>
              <w:t>blind, placebo</w:t>
            </w:r>
            <w:r w:rsidR="00FF1914">
              <w:rPr>
                <w:szCs w:val="18"/>
              </w:rPr>
              <w:noBreakHyphen/>
            </w:r>
            <w:r w:rsidRPr="00E10722">
              <w:rPr>
                <w:szCs w:val="18"/>
              </w:rPr>
              <w:t>controlled trial</w:t>
            </w:r>
            <w:r>
              <w:rPr>
                <w:szCs w:val="18"/>
              </w:rPr>
              <w:t>.</w:t>
            </w:r>
          </w:p>
        </w:tc>
        <w:tc>
          <w:tcPr>
            <w:tcW w:w="1177" w:type="pct"/>
            <w:tcBorders>
              <w:top w:val="nil"/>
              <w:bottom w:val="single" w:sz="4" w:space="0" w:color="auto"/>
            </w:tcBorders>
            <w:vAlign w:val="center"/>
          </w:tcPr>
          <w:p w14:paraId="136546A8" w14:textId="010D516C" w:rsidR="007D13C6" w:rsidRPr="0098262F" w:rsidRDefault="007D13C6" w:rsidP="0072568D">
            <w:pPr>
              <w:pStyle w:val="TableText0"/>
            </w:pPr>
            <w:r w:rsidRPr="00E10722">
              <w:rPr>
                <w:szCs w:val="18"/>
              </w:rPr>
              <w:t>Annals of Rheumatic Diseases</w:t>
            </w:r>
            <w:r>
              <w:rPr>
                <w:szCs w:val="18"/>
              </w:rPr>
              <w:t xml:space="preserve"> 2022. </w:t>
            </w:r>
            <w:r w:rsidRPr="00E10722">
              <w:rPr>
                <w:szCs w:val="18"/>
              </w:rPr>
              <w:t>81</w:t>
            </w:r>
            <w:r>
              <w:rPr>
                <w:szCs w:val="18"/>
              </w:rPr>
              <w:t>(</w:t>
            </w:r>
            <w:r w:rsidRPr="00E10722">
              <w:rPr>
                <w:szCs w:val="18"/>
              </w:rPr>
              <w:t>1</w:t>
            </w:r>
            <w:r>
              <w:rPr>
                <w:szCs w:val="18"/>
              </w:rPr>
              <w:t>):</w:t>
            </w:r>
            <w:r w:rsidRPr="00E10722">
              <w:rPr>
                <w:szCs w:val="18"/>
              </w:rPr>
              <w:t>100</w:t>
            </w:r>
            <w:r w:rsidR="00FF1914">
              <w:rPr>
                <w:szCs w:val="18"/>
              </w:rPr>
              <w:noBreakHyphen/>
            </w:r>
            <w:r w:rsidRPr="00E10722">
              <w:rPr>
                <w:szCs w:val="18"/>
              </w:rPr>
              <w:t>107</w:t>
            </w:r>
          </w:p>
        </w:tc>
      </w:tr>
    </w:tbl>
    <w:p w14:paraId="53627FB9" w14:textId="5400FB79" w:rsidR="007D13C6" w:rsidRPr="0098262F" w:rsidRDefault="007D13C6" w:rsidP="007D13C6">
      <w:pPr>
        <w:pStyle w:val="FooterTableFigure"/>
        <w:rPr>
          <w:sz w:val="20"/>
        </w:rPr>
      </w:pPr>
      <w:r w:rsidRPr="0098262F">
        <w:t xml:space="preserve">Source: </w:t>
      </w:r>
      <w:r>
        <w:t>Table 2.3, pp34</w:t>
      </w:r>
      <w:r w:rsidR="00FF1914">
        <w:noBreakHyphen/>
      </w:r>
      <w:r>
        <w:t xml:space="preserve">37 </w:t>
      </w:r>
      <w:r w:rsidRPr="0098262F">
        <w:t>of the submission.</w:t>
      </w:r>
    </w:p>
    <w:p w14:paraId="24F2F676" w14:textId="5A0966A8" w:rsidR="007D13C6" w:rsidRPr="002E02E5" w:rsidRDefault="007D13C6" w:rsidP="007D13C6">
      <w:pPr>
        <w:pStyle w:val="3-BodyText"/>
      </w:pPr>
      <w:r w:rsidRPr="002E02E5">
        <w:t>The submission identified a number of obinutuzumab studies, which were excluded from the analysis</w:t>
      </w:r>
      <w:r w:rsidR="009226DC" w:rsidRPr="002E02E5">
        <w:t>,</w:t>
      </w:r>
      <w:r w:rsidRPr="002E02E5">
        <w:t xml:space="preserve"> including:</w:t>
      </w:r>
    </w:p>
    <w:p w14:paraId="555557C8" w14:textId="1373B90E" w:rsidR="00C51C13" w:rsidRPr="002F641E" w:rsidRDefault="007D13C6" w:rsidP="004B0ABD">
      <w:pPr>
        <w:pStyle w:val="3-BodyText"/>
        <w:numPr>
          <w:ilvl w:val="1"/>
          <w:numId w:val="8"/>
        </w:numPr>
      </w:pPr>
      <w:r w:rsidRPr="002E02E5">
        <w:t>A randomised, double</w:t>
      </w:r>
      <w:r w:rsidR="00FF1914">
        <w:noBreakHyphen/>
      </w:r>
      <w:r w:rsidRPr="002E02E5">
        <w:t>blind, placebo</w:t>
      </w:r>
      <w:r w:rsidR="00FF1914">
        <w:noBreakHyphen/>
      </w:r>
      <w:r w:rsidRPr="002E02E5">
        <w:t>controlled trial (POSTERITY, NCT05039619) evaluating obinutuzumab in adolescents with active class III/IV lupus nephritis and obinutuzumab dose confirmation in paediatric (aged 5</w:t>
      </w:r>
      <w:r w:rsidR="00FF1914">
        <w:noBreakHyphen/>
      </w:r>
      <w:r w:rsidRPr="002E02E5">
        <w:t xml:space="preserve">12 years), was excluded on the basis of </w:t>
      </w:r>
      <w:r w:rsidR="009226DC" w:rsidRPr="002E02E5">
        <w:t>‘</w:t>
      </w:r>
      <w:r w:rsidRPr="002E02E5">
        <w:t>wrong population</w:t>
      </w:r>
      <w:r w:rsidR="009226DC" w:rsidRPr="002E02E5">
        <w:t>’</w:t>
      </w:r>
      <w:r w:rsidRPr="002E02E5">
        <w:t>.</w:t>
      </w:r>
      <w:r>
        <w:rPr>
          <w:i/>
          <w:iCs/>
        </w:rPr>
        <w:t xml:space="preserve"> </w:t>
      </w:r>
      <w:r w:rsidRPr="002F641E">
        <w:t>While the trial is ongoing, it is potentially relevant given</w:t>
      </w:r>
      <w:r w:rsidR="009226DC" w:rsidRPr="002F641E">
        <w:t xml:space="preserve"> that</w:t>
      </w:r>
      <w:r w:rsidRPr="002F641E">
        <w:t xml:space="preserve"> the requested restriction would </w:t>
      </w:r>
      <w:r w:rsidR="003417EE" w:rsidRPr="002F641E">
        <w:t xml:space="preserve">allow </w:t>
      </w:r>
      <w:r w:rsidR="00C64001" w:rsidRPr="002F641E">
        <w:t xml:space="preserve">treatment in </w:t>
      </w:r>
      <w:r w:rsidRPr="002F641E">
        <w:t>patients aged &lt;18 years with active lupus nephritis. An interim pharmacokinetic and simulation analysis by Cosson 2025</w:t>
      </w:r>
      <w:r w:rsidRPr="002F641E">
        <w:rPr>
          <w:rStyle w:val="FootnoteReference"/>
        </w:rPr>
        <w:footnoteReference w:id="16"/>
      </w:r>
      <w:r w:rsidRPr="002F641E">
        <w:t xml:space="preserve"> confirmed the dosing in paediatric patients (20 mg/kg IV for patients weighing &lt;45 kg or 1000 mg IV for patients weighing </w:t>
      </w:r>
      <w:r w:rsidRPr="002F641E">
        <w:rPr>
          <w:rFonts w:cstheme="minorHAnsi"/>
        </w:rPr>
        <w:t>≥</w:t>
      </w:r>
      <w:r w:rsidRPr="002F641E">
        <w:t>45 kg on Day 1, Weeks 2, 24, 26 and 52).</w:t>
      </w:r>
    </w:p>
    <w:p w14:paraId="251B0D2F" w14:textId="23504F99" w:rsidR="007D13C6" w:rsidRPr="002F641E" w:rsidRDefault="007D13C6" w:rsidP="004B0ABD">
      <w:pPr>
        <w:pStyle w:val="3-BodyText"/>
        <w:numPr>
          <w:ilvl w:val="1"/>
          <w:numId w:val="8"/>
        </w:numPr>
      </w:pPr>
      <w:r w:rsidRPr="002E02E5">
        <w:t>A systematic review and meta</w:t>
      </w:r>
      <w:r w:rsidR="00FF1914">
        <w:noBreakHyphen/>
      </w:r>
      <w:r w:rsidRPr="002E02E5">
        <w:t>analysis (Izcovich 2025</w:t>
      </w:r>
      <w:r w:rsidRPr="002E02E5">
        <w:rPr>
          <w:rStyle w:val="FootnoteReference"/>
        </w:rPr>
        <w:footnoteReference w:id="17"/>
      </w:r>
      <w:r w:rsidRPr="002E02E5">
        <w:t>) of the comparative effectiveness and safety of initial treatments for active lupus nephritis, was excluded on the basis of ‘wrong comparator’.</w:t>
      </w:r>
      <w:r>
        <w:rPr>
          <w:i/>
          <w:iCs/>
        </w:rPr>
        <w:t xml:space="preserve"> </w:t>
      </w:r>
      <w:r w:rsidRPr="002F641E">
        <w:t xml:space="preserve">The systematic review included 40 trials (including REGENCY and NOBILITY) comparing 12 drugs (abatacept, </w:t>
      </w:r>
      <w:r w:rsidRPr="002F641E">
        <w:lastRenderedPageBreak/>
        <w:t xml:space="preserve">anifrolumab, belimumab, cyclosporin, guselkumab, leflunomide, obinutuzumab, rituximab, tacrolimus, voclosporin, CYC and </w:t>
      </w:r>
      <w:r w:rsidR="007C0266" w:rsidRPr="002F641E">
        <w:t>mycophenolic acid analog</w:t>
      </w:r>
      <w:r w:rsidR="009226DC" w:rsidRPr="002F641E">
        <w:t>ue</w:t>
      </w:r>
      <w:r w:rsidR="007C0266" w:rsidRPr="002F641E">
        <w:t>s e.g. MMF</w:t>
      </w:r>
      <w:r w:rsidRPr="002F641E">
        <w:t xml:space="preserve"> as common comparator) administered alone or in combination. No additional relevant trials of obinutuzumab were identified in the review. The results indicate</w:t>
      </w:r>
      <w:r w:rsidR="007C0266" w:rsidRPr="002F641E">
        <w:t>d</w:t>
      </w:r>
      <w:r w:rsidRPr="002F641E">
        <w:t xml:space="preserve"> that voclosporin, belimumab</w:t>
      </w:r>
      <w:r w:rsidR="009226DC" w:rsidRPr="002F641E">
        <w:t>,</w:t>
      </w:r>
      <w:r w:rsidRPr="002F641E">
        <w:t xml:space="preserve"> or obinutuzumab combined with an immunosuppressant </w:t>
      </w:r>
      <w:r w:rsidR="00435261" w:rsidRPr="002F641E">
        <w:t>w</w:t>
      </w:r>
      <w:r w:rsidR="00435261">
        <w:t>ere</w:t>
      </w:r>
      <w:r w:rsidRPr="002F641E">
        <w:t xml:space="preserve"> the most effective initial treatment</w:t>
      </w:r>
      <w:r w:rsidR="00435261">
        <w:t>s</w:t>
      </w:r>
      <w:r w:rsidRPr="002F641E">
        <w:t xml:space="preserve"> </w:t>
      </w:r>
      <w:r w:rsidR="009226DC" w:rsidRPr="002F641E">
        <w:t>for</w:t>
      </w:r>
      <w:r w:rsidRPr="002F641E">
        <w:t xml:space="preserve"> patients with class III/IV </w:t>
      </w:r>
      <w:r w:rsidRPr="002F641E">
        <w:rPr>
          <w:rFonts w:cstheme="minorHAnsi"/>
        </w:rPr>
        <w:t>±</w:t>
      </w:r>
      <w:r w:rsidRPr="002F641E">
        <w:t xml:space="preserve"> V lupus nephritis, </w:t>
      </w:r>
      <w:r w:rsidR="009226DC" w:rsidRPr="002F641E">
        <w:t>with respect to</w:t>
      </w:r>
      <w:r w:rsidRPr="002F641E">
        <w:t xml:space="preserve"> improvement in CRR and PRR. </w:t>
      </w:r>
      <w:r w:rsidR="006E2B5F">
        <w:t>The effect of rituximab on renal response was considered highly uncertain. Overall</w:t>
      </w:r>
      <w:r w:rsidRPr="002F641E">
        <w:t xml:space="preserve">, there was a high level of uncertainty in the analysis due </w:t>
      </w:r>
      <w:r w:rsidR="009226DC" w:rsidRPr="002F641E">
        <w:t xml:space="preserve">to </w:t>
      </w:r>
      <w:r w:rsidRPr="002F641E">
        <w:t>heterogeneity across trials: sample size</w:t>
      </w:r>
      <w:r w:rsidR="009226DC" w:rsidRPr="002F641E">
        <w:t>s</w:t>
      </w:r>
      <w:r w:rsidRPr="002F641E">
        <w:t xml:space="preserve"> (N=16 to 867), dosing regimen</w:t>
      </w:r>
      <w:r w:rsidR="009226DC" w:rsidRPr="002F641E">
        <w:t>s</w:t>
      </w:r>
      <w:r w:rsidRPr="002F641E">
        <w:t xml:space="preserve"> </w:t>
      </w:r>
      <w:r w:rsidR="009226DC" w:rsidRPr="002F641E">
        <w:t>for</w:t>
      </w:r>
      <w:r w:rsidRPr="002F641E">
        <w:t xml:space="preserve"> the same drug, outcome definitions and duration of follow</w:t>
      </w:r>
      <w:r w:rsidR="00FF1914">
        <w:noBreakHyphen/>
      </w:r>
      <w:r w:rsidRPr="002F641E">
        <w:t>up (6 months to two years).</w:t>
      </w:r>
    </w:p>
    <w:p w14:paraId="419775F8" w14:textId="67024223" w:rsidR="00C51C13" w:rsidRDefault="007C0266" w:rsidP="002E4F02">
      <w:pPr>
        <w:pStyle w:val="3-BodyText"/>
      </w:pPr>
      <w:r w:rsidRPr="00B22FB1">
        <w:t xml:space="preserve">The key features of the included trials are summarised in </w:t>
      </w:r>
      <w:r w:rsidR="005D1B76">
        <w:fldChar w:fldCharType="begin"/>
      </w:r>
      <w:r w:rsidR="005D1B76">
        <w:instrText xml:space="preserve"> REF _Ref218520339 \h </w:instrText>
      </w:r>
      <w:r w:rsidR="005D1B76">
        <w:fldChar w:fldCharType="separate"/>
      </w:r>
      <w:r w:rsidR="002255D9">
        <w:t xml:space="preserve">Table </w:t>
      </w:r>
      <w:r w:rsidR="002255D9">
        <w:rPr>
          <w:noProof/>
        </w:rPr>
        <w:t>3</w:t>
      </w:r>
      <w:r w:rsidR="005D1B76">
        <w:fldChar w:fldCharType="end"/>
      </w:r>
      <w:r>
        <w:t>.</w:t>
      </w:r>
    </w:p>
    <w:p w14:paraId="343E7E2F" w14:textId="2A7BEE10" w:rsidR="007C0266" w:rsidRPr="00EC5836" w:rsidRDefault="005D1B76" w:rsidP="005D1B76">
      <w:pPr>
        <w:pStyle w:val="Caption"/>
        <w:jc w:val="left"/>
        <w:rPr>
          <w:rStyle w:val="CommentReference"/>
          <w:b/>
          <w:szCs w:val="24"/>
        </w:rPr>
      </w:pPr>
      <w:bookmarkStart w:id="29" w:name="_Ref218520339"/>
      <w:r>
        <w:t xml:space="preserve">Table </w:t>
      </w:r>
      <w:fldSimple w:instr=" SEQ Table \* ARABIC ">
        <w:r w:rsidR="002255D9">
          <w:rPr>
            <w:noProof/>
          </w:rPr>
          <w:t>3</w:t>
        </w:r>
      </w:fldSimple>
      <w:bookmarkEnd w:id="29"/>
      <w:r w:rsidR="007C0266" w:rsidRPr="00EC5836">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051"/>
        <w:gridCol w:w="427"/>
        <w:gridCol w:w="1788"/>
        <w:gridCol w:w="522"/>
        <w:gridCol w:w="1799"/>
        <w:gridCol w:w="1234"/>
        <w:gridCol w:w="1328"/>
        <w:gridCol w:w="868"/>
      </w:tblGrid>
      <w:tr w:rsidR="007C0266" w:rsidRPr="00B41614" w14:paraId="30814618" w14:textId="77777777" w:rsidTr="0072568D">
        <w:trPr>
          <w:cantSplit/>
          <w:tblHeader/>
        </w:trPr>
        <w:tc>
          <w:tcPr>
            <w:tcW w:w="607" w:type="pct"/>
            <w:vAlign w:val="center"/>
          </w:tcPr>
          <w:p w14:paraId="5C7B9542" w14:textId="77777777" w:rsidR="007C0266" w:rsidRPr="00B41614" w:rsidRDefault="007C0266" w:rsidP="00F84454">
            <w:pPr>
              <w:pStyle w:val="In-tableHeading"/>
            </w:pPr>
            <w:r w:rsidRPr="00B41614">
              <w:t>Trial</w:t>
            </w:r>
          </w:p>
        </w:tc>
        <w:tc>
          <w:tcPr>
            <w:tcW w:w="261" w:type="pct"/>
            <w:vAlign w:val="center"/>
          </w:tcPr>
          <w:p w14:paraId="0C19EA0F" w14:textId="77777777" w:rsidR="007C0266" w:rsidRPr="00B41614" w:rsidRDefault="007C0266" w:rsidP="00F84454">
            <w:pPr>
              <w:pStyle w:val="In-tableHeading"/>
              <w:jc w:val="center"/>
            </w:pPr>
            <w:r w:rsidRPr="00B41614">
              <w:t>N</w:t>
            </w:r>
          </w:p>
        </w:tc>
        <w:tc>
          <w:tcPr>
            <w:tcW w:w="1016" w:type="pct"/>
            <w:vAlign w:val="center"/>
          </w:tcPr>
          <w:p w14:paraId="5934F633" w14:textId="77777777" w:rsidR="007C0266" w:rsidRPr="00B41614" w:rsidRDefault="007C0266" w:rsidP="00F84454">
            <w:pPr>
              <w:pStyle w:val="In-tableHeading"/>
              <w:jc w:val="center"/>
            </w:pPr>
            <w:r w:rsidRPr="00B41614">
              <w:t>Design/ duration</w:t>
            </w:r>
          </w:p>
        </w:tc>
        <w:tc>
          <w:tcPr>
            <w:tcW w:w="314" w:type="pct"/>
            <w:vAlign w:val="center"/>
          </w:tcPr>
          <w:p w14:paraId="5FD5D792" w14:textId="77777777" w:rsidR="007C0266" w:rsidRPr="00B41614" w:rsidRDefault="007C0266" w:rsidP="00F84454">
            <w:pPr>
              <w:pStyle w:val="In-tableHeading"/>
              <w:jc w:val="center"/>
            </w:pPr>
            <w:r>
              <w:t>B</w:t>
            </w:r>
            <w:r w:rsidRPr="00B41614">
              <w:t>ias</w:t>
            </w:r>
          </w:p>
        </w:tc>
        <w:tc>
          <w:tcPr>
            <w:tcW w:w="1022" w:type="pct"/>
          </w:tcPr>
          <w:p w14:paraId="29BBDC19" w14:textId="77777777" w:rsidR="007C0266" w:rsidRDefault="007C0266" w:rsidP="00F84454">
            <w:pPr>
              <w:pStyle w:val="In-tableHeading"/>
              <w:jc w:val="center"/>
            </w:pPr>
            <w:r>
              <w:t>Treatment</w:t>
            </w:r>
          </w:p>
        </w:tc>
        <w:tc>
          <w:tcPr>
            <w:tcW w:w="708" w:type="pct"/>
            <w:vAlign w:val="center"/>
          </w:tcPr>
          <w:p w14:paraId="26F77FAE" w14:textId="77777777" w:rsidR="007C0266" w:rsidRPr="00B41614" w:rsidRDefault="007C0266" w:rsidP="00F84454">
            <w:pPr>
              <w:pStyle w:val="In-tableHeading"/>
              <w:jc w:val="center"/>
            </w:pPr>
            <w:r>
              <w:t>P</w:t>
            </w:r>
            <w:r w:rsidRPr="00B41614">
              <w:t>opulation</w:t>
            </w:r>
          </w:p>
        </w:tc>
        <w:tc>
          <w:tcPr>
            <w:tcW w:w="760" w:type="pct"/>
            <w:vAlign w:val="center"/>
          </w:tcPr>
          <w:p w14:paraId="7FE9EC75" w14:textId="77777777" w:rsidR="007C0266" w:rsidRPr="00B41614" w:rsidRDefault="007C0266" w:rsidP="00F84454">
            <w:pPr>
              <w:pStyle w:val="In-tableHeading"/>
              <w:jc w:val="center"/>
            </w:pPr>
            <w:r w:rsidRPr="00B41614">
              <w:t>Outcome(s)</w:t>
            </w:r>
          </w:p>
        </w:tc>
        <w:tc>
          <w:tcPr>
            <w:tcW w:w="312" w:type="pct"/>
            <w:vAlign w:val="center"/>
          </w:tcPr>
          <w:p w14:paraId="4C2131D3" w14:textId="1486328F" w:rsidR="007C0266" w:rsidRPr="00B41614" w:rsidRDefault="003A23EB" w:rsidP="00F84454">
            <w:pPr>
              <w:pStyle w:val="In-tableHeading"/>
              <w:jc w:val="center"/>
            </w:pPr>
            <w:r>
              <w:t>Modelled evaluation</w:t>
            </w:r>
          </w:p>
        </w:tc>
      </w:tr>
      <w:tr w:rsidR="007C0266" w:rsidRPr="00E2771E" w14:paraId="1CD771EE" w14:textId="77777777" w:rsidTr="0072568D">
        <w:trPr>
          <w:cantSplit/>
        </w:trPr>
        <w:tc>
          <w:tcPr>
            <w:tcW w:w="5000" w:type="pct"/>
            <w:gridSpan w:val="8"/>
          </w:tcPr>
          <w:p w14:paraId="6A6AC369" w14:textId="77777777" w:rsidR="007C0266" w:rsidRPr="00EC5836" w:rsidRDefault="007C0266" w:rsidP="00F84454">
            <w:pPr>
              <w:pStyle w:val="In-tableHeading"/>
            </w:pPr>
            <w:r>
              <w:t>Obinutuzumab</w:t>
            </w:r>
          </w:p>
        </w:tc>
      </w:tr>
      <w:tr w:rsidR="007C0266" w:rsidRPr="00E2771E" w14:paraId="15440A78" w14:textId="77777777" w:rsidTr="0072568D">
        <w:trPr>
          <w:cantSplit/>
        </w:trPr>
        <w:tc>
          <w:tcPr>
            <w:tcW w:w="607" w:type="pct"/>
            <w:vAlign w:val="center"/>
          </w:tcPr>
          <w:p w14:paraId="103A88B0" w14:textId="77777777" w:rsidR="007C0266" w:rsidRPr="00E2771E" w:rsidRDefault="007C0266" w:rsidP="00F84454">
            <w:pPr>
              <w:pStyle w:val="TableText0"/>
              <w:rPr>
                <w:lang w:val="en-US"/>
              </w:rPr>
            </w:pPr>
            <w:r>
              <w:rPr>
                <w:lang w:val="en-US"/>
              </w:rPr>
              <w:t>REGENCY</w:t>
            </w:r>
          </w:p>
        </w:tc>
        <w:tc>
          <w:tcPr>
            <w:tcW w:w="261" w:type="pct"/>
            <w:vAlign w:val="center"/>
          </w:tcPr>
          <w:p w14:paraId="309A7785" w14:textId="77777777" w:rsidR="007C0266" w:rsidRPr="00E2771E" w:rsidRDefault="007C0266" w:rsidP="00F84454">
            <w:pPr>
              <w:pStyle w:val="TableText0"/>
              <w:jc w:val="center"/>
              <w:rPr>
                <w:lang w:val="en-US"/>
              </w:rPr>
            </w:pPr>
            <w:r>
              <w:rPr>
                <w:lang w:val="en-US"/>
              </w:rPr>
              <w:t>271</w:t>
            </w:r>
          </w:p>
        </w:tc>
        <w:tc>
          <w:tcPr>
            <w:tcW w:w="1016" w:type="pct"/>
            <w:vAlign w:val="center"/>
          </w:tcPr>
          <w:p w14:paraId="30E7E9E8" w14:textId="3B4C7B50" w:rsidR="007C0266" w:rsidRPr="009A3E27" w:rsidRDefault="007C0266" w:rsidP="00F84454">
            <w:pPr>
              <w:pStyle w:val="TableText0"/>
              <w:jc w:val="center"/>
              <w:rPr>
                <w:lang w:val="en-US"/>
              </w:rPr>
            </w:pPr>
            <w:r>
              <w:rPr>
                <w:lang w:val="en-US"/>
              </w:rPr>
              <w:t>R, MC, DB, PBO 76 wks / 5 years</w:t>
            </w:r>
            <w:r w:rsidRPr="009A3E27">
              <w:rPr>
                <w:vertAlign w:val="superscript"/>
                <w:lang w:val="en-US"/>
              </w:rPr>
              <w:t>a</w:t>
            </w:r>
            <w:r>
              <w:rPr>
                <w:vertAlign w:val="superscript"/>
                <w:lang w:val="en-US"/>
              </w:rPr>
              <w:t>b</w:t>
            </w:r>
            <w:r>
              <w:rPr>
                <w:lang w:val="en-US"/>
              </w:rPr>
              <w:t xml:space="preserve"> (+ f/up ≥12</w:t>
            </w:r>
            <w:r w:rsidR="00FF1914">
              <w:rPr>
                <w:lang w:val="en-US"/>
              </w:rPr>
              <w:noBreakHyphen/>
            </w:r>
            <w:r>
              <w:rPr>
                <w:lang w:val="en-US"/>
              </w:rPr>
              <w:t>18 mths)</w:t>
            </w:r>
            <w:r w:rsidRPr="004C0620">
              <w:rPr>
                <w:vertAlign w:val="superscript"/>
                <w:lang w:val="en-US"/>
              </w:rPr>
              <w:t>c</w:t>
            </w:r>
          </w:p>
          <w:p w14:paraId="4C0532C9" w14:textId="77777777" w:rsidR="007C0266" w:rsidRPr="00E2771E" w:rsidRDefault="007C0266" w:rsidP="00F84454">
            <w:pPr>
              <w:pStyle w:val="TableText0"/>
              <w:jc w:val="center"/>
              <w:rPr>
                <w:lang w:val="en-US"/>
              </w:rPr>
            </w:pPr>
            <w:r>
              <w:rPr>
                <w:lang w:val="en-US"/>
              </w:rPr>
              <w:t>15 August 2024 DCO: up to 184 wks</w:t>
            </w:r>
          </w:p>
        </w:tc>
        <w:tc>
          <w:tcPr>
            <w:tcW w:w="314" w:type="pct"/>
            <w:vAlign w:val="center"/>
          </w:tcPr>
          <w:p w14:paraId="7E7A2A20" w14:textId="77777777" w:rsidR="007C0266" w:rsidRPr="00A400BF" w:rsidRDefault="007C0266" w:rsidP="00F84454">
            <w:pPr>
              <w:pStyle w:val="TableText0"/>
              <w:jc w:val="center"/>
              <w:rPr>
                <w:iCs/>
                <w:lang w:val="en-US"/>
              </w:rPr>
            </w:pPr>
            <w:r w:rsidRPr="00A400BF">
              <w:rPr>
                <w:iCs/>
                <w:lang w:val="en-US"/>
              </w:rPr>
              <w:t>Low</w:t>
            </w:r>
          </w:p>
        </w:tc>
        <w:tc>
          <w:tcPr>
            <w:tcW w:w="1022" w:type="pct"/>
            <w:vAlign w:val="center"/>
          </w:tcPr>
          <w:p w14:paraId="2FAEF70D" w14:textId="4058CE3B" w:rsidR="007C0266" w:rsidRDefault="007C0266" w:rsidP="00F84454">
            <w:pPr>
              <w:pStyle w:val="TableText0"/>
              <w:jc w:val="center"/>
              <w:rPr>
                <w:lang w:val="en-US"/>
              </w:rPr>
            </w:pPr>
            <w:r>
              <w:rPr>
                <w:lang w:val="en-US"/>
              </w:rPr>
              <w:t>OBI 1000 mg IV, Day 1, Wks 2, 24, 26, 50, 52</w:t>
            </w:r>
            <w:r w:rsidR="00753ABA" w:rsidRPr="00753ABA">
              <w:rPr>
                <w:vertAlign w:val="superscript"/>
                <w:lang w:val="en-US"/>
              </w:rPr>
              <w:t>f</w:t>
            </w:r>
          </w:p>
          <w:p w14:paraId="66487713" w14:textId="29EC8AF2" w:rsidR="007C0266" w:rsidRDefault="007C0266" w:rsidP="00F84454">
            <w:pPr>
              <w:pStyle w:val="TableText0"/>
              <w:jc w:val="center"/>
              <w:rPr>
                <w:lang w:val="en-US"/>
              </w:rPr>
            </w:pPr>
            <w:r>
              <w:rPr>
                <w:lang w:val="en-US"/>
              </w:rPr>
              <w:t>OBI 1000 mg IV, Day 1, Wks 2, 24, 26, 52</w:t>
            </w:r>
            <w:r w:rsidR="00753ABA" w:rsidRPr="00753ABA">
              <w:rPr>
                <w:vertAlign w:val="superscript"/>
                <w:lang w:val="en-US"/>
              </w:rPr>
              <w:t>f</w:t>
            </w:r>
          </w:p>
          <w:p w14:paraId="050D0D71" w14:textId="729B33C3" w:rsidR="007C0266" w:rsidRPr="00E2771E" w:rsidRDefault="007C0266" w:rsidP="00F84454">
            <w:pPr>
              <w:pStyle w:val="TableText0"/>
              <w:jc w:val="center"/>
              <w:rPr>
                <w:lang w:val="en-US"/>
              </w:rPr>
            </w:pPr>
            <w:r>
              <w:rPr>
                <w:lang w:val="en-US"/>
              </w:rPr>
              <w:t>PBO</w:t>
            </w:r>
            <w:r w:rsidR="00753ABA" w:rsidRPr="00753ABA">
              <w:rPr>
                <w:vertAlign w:val="superscript"/>
                <w:lang w:val="en-US"/>
              </w:rPr>
              <w:t>f</w:t>
            </w:r>
          </w:p>
        </w:tc>
        <w:tc>
          <w:tcPr>
            <w:tcW w:w="708" w:type="pct"/>
            <w:vAlign w:val="center"/>
          </w:tcPr>
          <w:p w14:paraId="60C94CFD" w14:textId="77777777" w:rsidR="007C0266" w:rsidRDefault="007C0266" w:rsidP="00F84454">
            <w:pPr>
              <w:pStyle w:val="TableText0"/>
              <w:jc w:val="center"/>
              <w:rPr>
                <w:lang w:val="en-US"/>
              </w:rPr>
            </w:pPr>
            <w:r w:rsidRPr="00245089">
              <w:rPr>
                <w:lang w:val="en-US"/>
              </w:rPr>
              <w:t>Class III</w:t>
            </w:r>
            <w:r>
              <w:rPr>
                <w:lang w:val="en-US"/>
              </w:rPr>
              <w:t>/</w:t>
            </w:r>
            <w:r w:rsidRPr="00245089">
              <w:rPr>
                <w:lang w:val="en-US"/>
              </w:rPr>
              <w:t>IV</w:t>
            </w:r>
            <w:r>
              <w:rPr>
                <w:lang w:val="en-US"/>
              </w:rPr>
              <w:t xml:space="preserve"> ± V</w:t>
            </w:r>
          </w:p>
          <w:p w14:paraId="259B74CE" w14:textId="6DA9A287" w:rsidR="007C0266" w:rsidRPr="00E2771E" w:rsidRDefault="007C0266" w:rsidP="00F84454">
            <w:pPr>
              <w:pStyle w:val="TableText0"/>
              <w:jc w:val="center"/>
              <w:rPr>
                <w:lang w:val="en-US"/>
              </w:rPr>
            </w:pPr>
            <w:r>
              <w:rPr>
                <w:lang w:val="en-US"/>
              </w:rPr>
              <w:t>Aged 18</w:t>
            </w:r>
            <w:r w:rsidR="00FF1914">
              <w:rPr>
                <w:lang w:val="en-US"/>
              </w:rPr>
              <w:noBreakHyphen/>
            </w:r>
            <w:r>
              <w:rPr>
                <w:lang w:val="en-US"/>
              </w:rPr>
              <w:t>75</w:t>
            </w:r>
          </w:p>
        </w:tc>
        <w:tc>
          <w:tcPr>
            <w:tcW w:w="760" w:type="pct"/>
            <w:vAlign w:val="center"/>
          </w:tcPr>
          <w:p w14:paraId="57DCD615" w14:textId="77777777" w:rsidR="007C0266" w:rsidRDefault="007C0266" w:rsidP="00F84454">
            <w:pPr>
              <w:pStyle w:val="TableText0"/>
              <w:jc w:val="center"/>
              <w:rPr>
                <w:lang w:val="en-US"/>
              </w:rPr>
            </w:pPr>
            <w:r>
              <w:rPr>
                <w:lang w:val="en-US"/>
              </w:rPr>
              <w:t>1°: CRR</w:t>
            </w:r>
            <w:r w:rsidRPr="0016587F">
              <w:rPr>
                <w:vertAlign w:val="superscript"/>
                <w:lang w:val="en-US"/>
              </w:rPr>
              <w:t>d</w:t>
            </w:r>
            <w:r>
              <w:rPr>
                <w:lang w:val="en-US"/>
              </w:rPr>
              <w:t xml:space="preserve"> (Wk 76)</w:t>
            </w:r>
          </w:p>
          <w:p w14:paraId="4E0DB5E6" w14:textId="77777777" w:rsidR="007C0266" w:rsidRDefault="007C0266" w:rsidP="00F84454">
            <w:pPr>
              <w:pStyle w:val="TableText0"/>
              <w:jc w:val="center"/>
              <w:rPr>
                <w:lang w:val="en-US"/>
              </w:rPr>
            </w:pPr>
            <w:r>
              <w:rPr>
                <w:lang w:val="en-US"/>
              </w:rPr>
              <w:t>2°: eGFR, PRR, ORR</w:t>
            </w:r>
          </w:p>
          <w:p w14:paraId="7F082353" w14:textId="77777777" w:rsidR="007C0266" w:rsidRPr="00E2771E" w:rsidRDefault="007C0266" w:rsidP="00F84454">
            <w:pPr>
              <w:pStyle w:val="TableText0"/>
              <w:jc w:val="center"/>
              <w:rPr>
                <w:lang w:val="en-US"/>
              </w:rPr>
            </w:pPr>
            <w:r>
              <w:rPr>
                <w:lang w:val="en-US"/>
              </w:rPr>
              <w:t>Other: UPCR, time to LN flare</w:t>
            </w:r>
          </w:p>
        </w:tc>
        <w:tc>
          <w:tcPr>
            <w:tcW w:w="312" w:type="pct"/>
            <w:vAlign w:val="center"/>
          </w:tcPr>
          <w:p w14:paraId="76402122" w14:textId="77777777" w:rsidR="007C0266" w:rsidRPr="00E2771E" w:rsidRDefault="007C0266" w:rsidP="00F84454">
            <w:pPr>
              <w:pStyle w:val="TableText0"/>
              <w:jc w:val="center"/>
              <w:rPr>
                <w:lang w:val="en-US"/>
              </w:rPr>
            </w:pPr>
            <w:r>
              <w:rPr>
                <w:rFonts w:ascii="Wingdings" w:eastAsia="Wingdings" w:hAnsi="Wingdings" w:cs="Wingdings"/>
                <w:lang w:val="en-US"/>
              </w:rPr>
              <w:t>ü</w:t>
            </w:r>
          </w:p>
        </w:tc>
      </w:tr>
      <w:tr w:rsidR="007C0266" w:rsidRPr="00E2771E" w14:paraId="51041AAC" w14:textId="77777777" w:rsidTr="0072568D">
        <w:trPr>
          <w:cantSplit/>
        </w:trPr>
        <w:tc>
          <w:tcPr>
            <w:tcW w:w="607" w:type="pct"/>
            <w:vAlign w:val="center"/>
          </w:tcPr>
          <w:p w14:paraId="6E524D78" w14:textId="77777777" w:rsidR="007C0266" w:rsidRPr="00E2771E" w:rsidRDefault="007C0266" w:rsidP="00F84454">
            <w:pPr>
              <w:pStyle w:val="TableText0"/>
              <w:rPr>
                <w:lang w:val="en-US"/>
              </w:rPr>
            </w:pPr>
            <w:r>
              <w:rPr>
                <w:lang w:val="en-US"/>
              </w:rPr>
              <w:t>NOBILITY</w:t>
            </w:r>
          </w:p>
        </w:tc>
        <w:tc>
          <w:tcPr>
            <w:tcW w:w="261" w:type="pct"/>
            <w:vAlign w:val="center"/>
          </w:tcPr>
          <w:p w14:paraId="6672F76B" w14:textId="77777777" w:rsidR="007C0266" w:rsidRPr="00E2771E" w:rsidRDefault="007C0266" w:rsidP="00F84454">
            <w:pPr>
              <w:pStyle w:val="TableText0"/>
              <w:jc w:val="center"/>
              <w:rPr>
                <w:lang w:val="en-US"/>
              </w:rPr>
            </w:pPr>
            <w:r>
              <w:rPr>
                <w:lang w:val="en-US"/>
              </w:rPr>
              <w:t>125</w:t>
            </w:r>
          </w:p>
        </w:tc>
        <w:tc>
          <w:tcPr>
            <w:tcW w:w="1016" w:type="pct"/>
            <w:vAlign w:val="center"/>
          </w:tcPr>
          <w:p w14:paraId="638AA367" w14:textId="77777777" w:rsidR="007C0266" w:rsidRPr="00E2771E" w:rsidRDefault="007C0266" w:rsidP="00F84454">
            <w:pPr>
              <w:pStyle w:val="TableText0"/>
              <w:jc w:val="center"/>
              <w:rPr>
                <w:lang w:val="en-US"/>
              </w:rPr>
            </w:pPr>
            <w:r>
              <w:rPr>
                <w:lang w:val="en-US"/>
              </w:rPr>
              <w:t>R, MC, DB, PBO 52 wks (+f/up 52 wks)</w:t>
            </w:r>
          </w:p>
        </w:tc>
        <w:tc>
          <w:tcPr>
            <w:tcW w:w="314" w:type="pct"/>
            <w:vAlign w:val="center"/>
          </w:tcPr>
          <w:p w14:paraId="58AB96F6" w14:textId="77777777" w:rsidR="007C0266" w:rsidRPr="00A400BF" w:rsidRDefault="007C0266" w:rsidP="00F84454">
            <w:pPr>
              <w:pStyle w:val="TableText0"/>
              <w:jc w:val="center"/>
              <w:rPr>
                <w:iCs/>
                <w:lang w:val="en-US"/>
              </w:rPr>
            </w:pPr>
            <w:r w:rsidRPr="00A400BF">
              <w:rPr>
                <w:iCs/>
                <w:lang w:val="en-US"/>
              </w:rPr>
              <w:t>Low</w:t>
            </w:r>
          </w:p>
        </w:tc>
        <w:tc>
          <w:tcPr>
            <w:tcW w:w="1022" w:type="pct"/>
            <w:vAlign w:val="center"/>
          </w:tcPr>
          <w:p w14:paraId="49CB2E76" w14:textId="471DB57A" w:rsidR="007C0266" w:rsidRDefault="007C0266" w:rsidP="00F84454">
            <w:pPr>
              <w:pStyle w:val="TableText0"/>
              <w:jc w:val="center"/>
              <w:rPr>
                <w:lang w:val="en-US"/>
              </w:rPr>
            </w:pPr>
            <w:r>
              <w:rPr>
                <w:lang w:val="en-US"/>
              </w:rPr>
              <w:t>OBI 1000 mg IV, Day 1, Wks 2, 24, 26</w:t>
            </w:r>
            <w:r w:rsidR="00753ABA" w:rsidRPr="00753ABA">
              <w:rPr>
                <w:vertAlign w:val="superscript"/>
                <w:lang w:val="en-US"/>
              </w:rPr>
              <w:t>f</w:t>
            </w:r>
          </w:p>
          <w:p w14:paraId="12C24F91" w14:textId="59C7EA0D" w:rsidR="007C0266" w:rsidRPr="00E2771E" w:rsidRDefault="007C0266" w:rsidP="00F84454">
            <w:pPr>
              <w:pStyle w:val="TableText0"/>
              <w:jc w:val="center"/>
              <w:rPr>
                <w:lang w:val="en-US"/>
              </w:rPr>
            </w:pPr>
            <w:r>
              <w:rPr>
                <w:lang w:val="en-US"/>
              </w:rPr>
              <w:t>PBO</w:t>
            </w:r>
            <w:r w:rsidR="00753ABA" w:rsidRPr="00753ABA">
              <w:rPr>
                <w:vertAlign w:val="superscript"/>
                <w:lang w:val="en-US"/>
              </w:rPr>
              <w:t>f</w:t>
            </w:r>
          </w:p>
        </w:tc>
        <w:tc>
          <w:tcPr>
            <w:tcW w:w="708" w:type="pct"/>
            <w:vAlign w:val="center"/>
          </w:tcPr>
          <w:p w14:paraId="43733A54" w14:textId="77777777" w:rsidR="007C0266" w:rsidRDefault="007C0266" w:rsidP="00F84454">
            <w:pPr>
              <w:pStyle w:val="TableText0"/>
              <w:jc w:val="center"/>
              <w:rPr>
                <w:lang w:val="en-US"/>
              </w:rPr>
            </w:pPr>
            <w:r w:rsidRPr="00245089">
              <w:rPr>
                <w:lang w:val="en-US"/>
              </w:rPr>
              <w:t>Class III</w:t>
            </w:r>
            <w:r>
              <w:rPr>
                <w:lang w:val="en-US"/>
              </w:rPr>
              <w:t>/</w:t>
            </w:r>
            <w:r w:rsidRPr="00245089">
              <w:rPr>
                <w:lang w:val="en-US"/>
              </w:rPr>
              <w:t>IV</w:t>
            </w:r>
            <w:r>
              <w:rPr>
                <w:lang w:val="en-US"/>
              </w:rPr>
              <w:t xml:space="preserve"> ± V</w:t>
            </w:r>
          </w:p>
          <w:p w14:paraId="36917B63" w14:textId="1767AC76" w:rsidR="007C0266" w:rsidRPr="00E2771E" w:rsidRDefault="007C0266" w:rsidP="00F84454">
            <w:pPr>
              <w:pStyle w:val="TableText0"/>
              <w:jc w:val="center"/>
              <w:rPr>
                <w:lang w:val="en-US"/>
              </w:rPr>
            </w:pPr>
            <w:r>
              <w:rPr>
                <w:lang w:val="en-US"/>
              </w:rPr>
              <w:t>Aged 18</w:t>
            </w:r>
            <w:r w:rsidR="00FF1914">
              <w:rPr>
                <w:lang w:val="en-US"/>
              </w:rPr>
              <w:noBreakHyphen/>
            </w:r>
            <w:r>
              <w:rPr>
                <w:lang w:val="en-US"/>
              </w:rPr>
              <w:t>75</w:t>
            </w:r>
          </w:p>
        </w:tc>
        <w:tc>
          <w:tcPr>
            <w:tcW w:w="760" w:type="pct"/>
            <w:vAlign w:val="center"/>
          </w:tcPr>
          <w:p w14:paraId="06375AC3" w14:textId="77777777" w:rsidR="007C0266" w:rsidRDefault="007C0266" w:rsidP="00F84454">
            <w:pPr>
              <w:pStyle w:val="TableText0"/>
              <w:jc w:val="center"/>
              <w:rPr>
                <w:lang w:val="en-US"/>
              </w:rPr>
            </w:pPr>
            <w:r>
              <w:rPr>
                <w:lang w:val="en-US"/>
              </w:rPr>
              <w:t>1°: CRR</w:t>
            </w:r>
            <w:r w:rsidRPr="0016587F">
              <w:rPr>
                <w:vertAlign w:val="superscript"/>
                <w:lang w:val="en-US"/>
              </w:rPr>
              <w:t>e</w:t>
            </w:r>
            <w:r>
              <w:rPr>
                <w:lang w:val="en-US"/>
              </w:rPr>
              <w:t xml:space="preserve"> (Wk 52)</w:t>
            </w:r>
          </w:p>
          <w:p w14:paraId="14A19D7F" w14:textId="77777777" w:rsidR="007C0266" w:rsidRPr="00E2771E" w:rsidRDefault="007C0266" w:rsidP="00F84454">
            <w:pPr>
              <w:pStyle w:val="TableText0"/>
              <w:jc w:val="center"/>
              <w:rPr>
                <w:lang w:val="en-US"/>
              </w:rPr>
            </w:pPr>
            <w:r>
              <w:rPr>
                <w:lang w:val="en-US"/>
              </w:rPr>
              <w:t>2°: PRR, ORR</w:t>
            </w:r>
          </w:p>
        </w:tc>
        <w:tc>
          <w:tcPr>
            <w:tcW w:w="312" w:type="pct"/>
            <w:vAlign w:val="center"/>
          </w:tcPr>
          <w:p w14:paraId="1723BC86" w14:textId="35680F46" w:rsidR="007C0266" w:rsidRPr="00E2771E" w:rsidRDefault="00FF1914" w:rsidP="00F84454">
            <w:pPr>
              <w:pStyle w:val="TableText0"/>
              <w:jc w:val="center"/>
              <w:rPr>
                <w:lang w:val="en-US"/>
              </w:rPr>
            </w:pPr>
            <w:r>
              <w:rPr>
                <w:lang w:val="en-US"/>
              </w:rPr>
              <w:noBreakHyphen/>
            </w:r>
          </w:p>
        </w:tc>
      </w:tr>
    </w:tbl>
    <w:p w14:paraId="258028F4" w14:textId="5865B73A" w:rsidR="007C0266" w:rsidRDefault="007C0266" w:rsidP="007C0266">
      <w:pPr>
        <w:pStyle w:val="TableFigureFooter"/>
        <w:keepLines w:val="0"/>
        <w:jc w:val="both"/>
      </w:pPr>
      <w:r>
        <w:t>Source: Section 2.3, pp38</w:t>
      </w:r>
      <w:r w:rsidR="00FF1914">
        <w:noBreakHyphen/>
      </w:r>
      <w:r>
        <w:t xml:space="preserve">43 </w:t>
      </w:r>
      <w:r w:rsidRPr="00D13A3E">
        <w:t xml:space="preserve">of the </w:t>
      </w:r>
      <w:r>
        <w:t>submission.</w:t>
      </w:r>
    </w:p>
    <w:p w14:paraId="40AFE4C5" w14:textId="51BBA6AC" w:rsidR="007C0266" w:rsidRDefault="007C0266" w:rsidP="007C0266">
      <w:pPr>
        <w:pStyle w:val="TableFigureFooter"/>
        <w:keepLines w:val="0"/>
        <w:jc w:val="both"/>
      </w:pPr>
      <w:r>
        <w:t xml:space="preserve">CRR=complete renal response; </w:t>
      </w:r>
      <w:r w:rsidRPr="0072416F">
        <w:t>DB=double blind;</w:t>
      </w:r>
      <w:r w:rsidRPr="005C6B0A">
        <w:t xml:space="preserve"> </w:t>
      </w:r>
      <w:r>
        <w:t>eGFR= estimated glomerular filtration rate;</w:t>
      </w:r>
      <w:r w:rsidRPr="0072416F">
        <w:t xml:space="preserve"> </w:t>
      </w:r>
      <w:r>
        <w:t xml:space="preserve">LN=lupus nephritis; </w:t>
      </w:r>
      <w:r w:rsidRPr="0072416F">
        <w:t>MC=multi</w:t>
      </w:r>
      <w:r w:rsidR="00FF1914">
        <w:noBreakHyphen/>
      </w:r>
      <w:r w:rsidRPr="0072416F">
        <w:t xml:space="preserve">centre; </w:t>
      </w:r>
      <w:r>
        <w:t xml:space="preserve">OBI=obinutuzumab; </w:t>
      </w:r>
      <w:r w:rsidRPr="0072416F">
        <w:t>OL=open label;</w:t>
      </w:r>
      <w:r w:rsidRPr="005C6B0A">
        <w:t xml:space="preserve"> ORR=overall renal response;</w:t>
      </w:r>
      <w:r w:rsidRPr="0072416F">
        <w:t xml:space="preserve"> </w:t>
      </w:r>
      <w:r>
        <w:t xml:space="preserve">PBO=placebo; </w:t>
      </w:r>
      <w:r w:rsidRPr="005C6B0A">
        <w:t>PRR=partial renal response</w:t>
      </w:r>
      <w:r>
        <w:t xml:space="preserve">; </w:t>
      </w:r>
      <w:r w:rsidRPr="0072416F">
        <w:t>R=randomised</w:t>
      </w:r>
      <w:r>
        <w:t>;</w:t>
      </w:r>
      <w:r w:rsidRPr="00D148FE">
        <w:t xml:space="preserve"> RBC/hpf=red blood cells per high</w:t>
      </w:r>
      <w:r w:rsidR="00FF1914">
        <w:noBreakHyphen/>
      </w:r>
      <w:r w:rsidRPr="00D148FE">
        <w:t xml:space="preserve">power field; </w:t>
      </w:r>
      <w:r>
        <w:t>ULN=upper limit of normal; UPCR=urinary protein</w:t>
      </w:r>
      <w:r w:rsidR="00FF1914">
        <w:noBreakHyphen/>
      </w:r>
      <w:r>
        <w:t>to</w:t>
      </w:r>
      <w:r w:rsidR="00FF1914">
        <w:noBreakHyphen/>
      </w:r>
      <w:r>
        <w:t xml:space="preserve">creatinine ratio; wk=week; mth=month; </w:t>
      </w:r>
    </w:p>
    <w:p w14:paraId="36E82206" w14:textId="77777777" w:rsidR="007C0266" w:rsidRDefault="007C0266" w:rsidP="007C0266">
      <w:pPr>
        <w:pStyle w:val="TableFigureFooter"/>
        <w:keepLines w:val="0"/>
        <w:tabs>
          <w:tab w:val="left" w:pos="142"/>
        </w:tabs>
        <w:jc w:val="both"/>
      </w:pPr>
      <w:r w:rsidRPr="009C76C7">
        <w:t>a</w:t>
      </w:r>
      <w:r w:rsidRPr="009C76C7">
        <w:tab/>
      </w:r>
      <w:r>
        <w:t>The end of the study after the last patient is enrolled is 5 years, and the total length of the study is 8 years.</w:t>
      </w:r>
    </w:p>
    <w:p w14:paraId="026E0C76" w14:textId="44433222" w:rsidR="007C0266" w:rsidRDefault="007C0266" w:rsidP="007C0266">
      <w:pPr>
        <w:pStyle w:val="TableFigureFooter"/>
        <w:keepLines w:val="0"/>
        <w:tabs>
          <w:tab w:val="left" w:pos="142"/>
        </w:tabs>
        <w:spacing w:after="0"/>
        <w:ind w:left="135" w:hanging="135"/>
        <w:jc w:val="both"/>
      </w:pPr>
      <w:r>
        <w:t>b</w:t>
      </w:r>
      <w:r>
        <w:tab/>
        <w:t>Patients with an adequate treatment response at Wk 76 continued blinded infusions (OBI or PBO) every 6 months starting at Wk 80 until study unblinding. Patients with inadequate treatment response at Wk 76 or with loss of response during blinded treatment after Wk 80 can enter open</w:t>
      </w:r>
      <w:r w:rsidR="00FF1914">
        <w:noBreakHyphen/>
      </w:r>
      <w:r>
        <w:t xml:space="preserve">label treatment with OBI. </w:t>
      </w:r>
    </w:p>
    <w:p w14:paraId="52E0BAE5" w14:textId="0B0C0BBB" w:rsidR="007C0266" w:rsidRDefault="007C0266" w:rsidP="007C0266">
      <w:pPr>
        <w:pStyle w:val="TableFigureFooter"/>
        <w:keepLines w:val="0"/>
        <w:tabs>
          <w:tab w:val="left" w:pos="142"/>
        </w:tabs>
        <w:spacing w:after="0"/>
        <w:ind w:left="135" w:hanging="135"/>
        <w:jc w:val="both"/>
      </w:pPr>
      <w:r>
        <w:t>c</w:t>
      </w:r>
      <w:r>
        <w:tab/>
      </w:r>
      <w:r w:rsidRPr="009A3E27">
        <w:t xml:space="preserve">Patients who discontinue blinded infusions and do not enter </w:t>
      </w:r>
      <w:r>
        <w:t>open</w:t>
      </w:r>
      <w:r w:rsidR="00FF1914">
        <w:noBreakHyphen/>
      </w:r>
      <w:r>
        <w:t xml:space="preserve">label treatment with OBI </w:t>
      </w:r>
      <w:r w:rsidRPr="009A3E27">
        <w:t xml:space="preserve">enter </w:t>
      </w:r>
      <w:r>
        <w:t>study follow</w:t>
      </w:r>
      <w:r w:rsidR="00FF1914">
        <w:noBreakHyphen/>
      </w:r>
      <w:r>
        <w:t xml:space="preserve">up. </w:t>
      </w:r>
      <w:r w:rsidRPr="009A3E27">
        <w:t>Patients are followed through Wk 76 and for at least 12 months</w:t>
      </w:r>
      <w:r>
        <w:t xml:space="preserve"> to a maximum of 18 months</w:t>
      </w:r>
      <w:r w:rsidRPr="009A3E27">
        <w:t xml:space="preserve"> from the last dose of </w:t>
      </w:r>
      <w:r>
        <w:t>OBI</w:t>
      </w:r>
      <w:r w:rsidRPr="009A3E27">
        <w:t xml:space="preserve"> or </w:t>
      </w:r>
      <w:r>
        <w:t>PBO</w:t>
      </w:r>
      <w:r w:rsidRPr="009A3E27">
        <w:t>.</w:t>
      </w:r>
    </w:p>
    <w:p w14:paraId="126ECD98" w14:textId="77777777" w:rsidR="007C0266" w:rsidRDefault="007C0266" w:rsidP="007C0266">
      <w:pPr>
        <w:pStyle w:val="TableFigureFooter"/>
        <w:keepLines w:val="0"/>
        <w:tabs>
          <w:tab w:val="left" w:pos="142"/>
        </w:tabs>
        <w:spacing w:after="0"/>
        <w:ind w:left="135" w:hanging="135"/>
        <w:jc w:val="both"/>
      </w:pPr>
      <w:r>
        <w:t>d</w:t>
      </w:r>
      <w:r>
        <w:tab/>
        <w:t xml:space="preserve">In REGENCY, CRR defined as achievement of the following: </w:t>
      </w:r>
      <w:r w:rsidRPr="0016587F">
        <w:t>UPCR &lt; 0.5 g/g</w:t>
      </w:r>
      <w:r>
        <w:t xml:space="preserve">, </w:t>
      </w:r>
      <w:r w:rsidRPr="0016587F">
        <w:t>eGFR ≥ 85% of baseline</w:t>
      </w:r>
      <w:r>
        <w:t>, and no occurrence of rescue therapy, treatment failure, death, or early study withdrawal.</w:t>
      </w:r>
    </w:p>
    <w:p w14:paraId="3FD20800" w14:textId="647AB891" w:rsidR="007C0266" w:rsidRDefault="007C0266" w:rsidP="007C0266">
      <w:pPr>
        <w:pStyle w:val="TableFigureFooter"/>
        <w:keepLines w:val="0"/>
        <w:tabs>
          <w:tab w:val="left" w:pos="142"/>
        </w:tabs>
        <w:spacing w:after="0"/>
        <w:ind w:left="135" w:hanging="135"/>
      </w:pPr>
      <w:r>
        <w:t>e</w:t>
      </w:r>
      <w:r>
        <w:tab/>
        <w:t xml:space="preserve">In NOBILITY, CRR defined as achievement of the following: </w:t>
      </w:r>
      <w:r w:rsidRPr="0016587F">
        <w:t>UPCR &lt; 0.5 g/g</w:t>
      </w:r>
      <w:r>
        <w:t>, n</w:t>
      </w:r>
      <w:r w:rsidRPr="0016587F">
        <w:t>ormalization of serum creatinine</w:t>
      </w:r>
      <w:r>
        <w:t xml:space="preserve"> (≤</w:t>
      </w:r>
      <w:r w:rsidRPr="0016587F">
        <w:t>the ULN</w:t>
      </w:r>
      <w:r>
        <w:t xml:space="preserve"> if baseline above ULN or </w:t>
      </w:r>
      <w:r w:rsidRPr="0016587F">
        <w:t>≤15% above baseline and ≤ ULN</w:t>
      </w:r>
      <w:r>
        <w:t xml:space="preserve"> if baseline is ≤ ULN) and i</w:t>
      </w:r>
      <w:r w:rsidRPr="0016587F">
        <w:t>nactive urinary sediment</w:t>
      </w:r>
      <w:r>
        <w:t xml:space="preserve"> (&lt;</w:t>
      </w:r>
      <w:r w:rsidRPr="0016587F">
        <w:t>10 RBCs/</w:t>
      </w:r>
      <w:r>
        <w:t>hpf and absence of red cell casts).</w:t>
      </w:r>
    </w:p>
    <w:p w14:paraId="46BE1C38" w14:textId="4BDA0FD5" w:rsidR="00264739" w:rsidRDefault="00264739" w:rsidP="00264739">
      <w:pPr>
        <w:pStyle w:val="TableFigureFooter"/>
        <w:keepLines w:val="0"/>
        <w:tabs>
          <w:tab w:val="left" w:pos="142"/>
        </w:tabs>
        <w:spacing w:after="0"/>
        <w:ind w:left="135" w:hanging="135"/>
        <w:jc w:val="both"/>
      </w:pPr>
      <w:r>
        <w:t>f</w:t>
      </w:r>
      <w:r>
        <w:tab/>
        <w:t>All patients received MMF and corticosteroids (oral prednisone and pre</w:t>
      </w:r>
      <w:r w:rsidR="00FF1914">
        <w:noBreakHyphen/>
      </w:r>
      <w:r>
        <w:t>infusion methylprednisolone IV or equivalent).</w:t>
      </w:r>
    </w:p>
    <w:p w14:paraId="709DBBDB" w14:textId="77777777" w:rsidR="00753ABA" w:rsidRDefault="00753ABA" w:rsidP="00753ABA">
      <w:pPr>
        <w:pStyle w:val="3-BodyText"/>
        <w:numPr>
          <w:ilvl w:val="0"/>
          <w:numId w:val="0"/>
        </w:numPr>
        <w:ind w:left="720" w:hanging="720"/>
      </w:pPr>
    </w:p>
    <w:p w14:paraId="054A744D" w14:textId="502736C7" w:rsidR="00C51C13" w:rsidRPr="00C51C13" w:rsidRDefault="007C0266" w:rsidP="0072568D">
      <w:pPr>
        <w:pStyle w:val="3-BodyText"/>
      </w:pPr>
      <w:bookmarkStart w:id="30" w:name="_Ref221524966"/>
      <w:r>
        <w:t xml:space="preserve">REGENCY and NOBILITY were multicentre </w:t>
      </w:r>
      <w:r w:rsidRPr="00FB07AB">
        <w:t>(no patients in Australia),</w:t>
      </w:r>
      <w:r>
        <w:t xml:space="preserve"> randomised, double</w:t>
      </w:r>
      <w:r w:rsidR="00FF1914">
        <w:noBreakHyphen/>
      </w:r>
      <w:r>
        <w:t>blind and placebo</w:t>
      </w:r>
      <w:r w:rsidR="00FF1914">
        <w:noBreakHyphen/>
      </w:r>
      <w:r>
        <w:t xml:space="preserve">controlled trials where patients received either placebo or obinutuzumab in addition to SOC. The REGENCY trial consists of </w:t>
      </w:r>
      <w:r w:rsidR="006E0CB0">
        <w:t xml:space="preserve">a </w:t>
      </w:r>
      <w:r>
        <w:t>blinded treatment period,</w:t>
      </w:r>
      <w:r w:rsidR="006E0CB0">
        <w:t xml:space="preserve"> an</w:t>
      </w:r>
      <w:r>
        <w:t xml:space="preserve"> open</w:t>
      </w:r>
      <w:r w:rsidR="00FF1914">
        <w:noBreakHyphen/>
      </w:r>
      <w:r>
        <w:t>label treatment and study follow</w:t>
      </w:r>
      <w:r w:rsidR="00FF1914">
        <w:noBreakHyphen/>
      </w:r>
      <w:r>
        <w:t xml:space="preserve">up. Patients on obinutuzumab 1000 mg IV </w:t>
      </w:r>
      <w:r w:rsidR="0017136C">
        <w:t>received</w:t>
      </w:r>
      <w:r>
        <w:t xml:space="preserve"> one of two dosing regimens: on Day 1 and at Weeks 2, 24, 26, and 52 (i.e. 2</w:t>
      </w:r>
      <w:r w:rsidR="00FF1914">
        <w:noBreakHyphen/>
      </w:r>
      <w:r>
        <w:t>2</w:t>
      </w:r>
      <w:r w:rsidR="00FF1914">
        <w:noBreakHyphen/>
      </w:r>
      <w:r>
        <w:t>1 regimen, consistent with draft PI)</w:t>
      </w:r>
      <w:r w:rsidR="0017136C">
        <w:t>,</w:t>
      </w:r>
      <w:r>
        <w:t xml:space="preserve"> or with an additional dose at Week 50 (i.e. 2</w:t>
      </w:r>
      <w:r w:rsidR="00FF1914">
        <w:noBreakHyphen/>
      </w:r>
      <w:r>
        <w:t>2</w:t>
      </w:r>
      <w:r w:rsidR="00FF1914">
        <w:noBreakHyphen/>
      </w:r>
      <w:r>
        <w:t>2 regimen).</w:t>
      </w:r>
      <w:r w:rsidRPr="007C0266">
        <w:t xml:space="preserve"> </w:t>
      </w:r>
      <w:r>
        <w:t xml:space="preserve">Patients with an adequate response at Week 76 without </w:t>
      </w:r>
      <w:r w:rsidR="006E0CB0">
        <w:t>the</w:t>
      </w:r>
      <w:r>
        <w:t xml:space="preserve"> need for intensification of therapy</w:t>
      </w:r>
      <w:r w:rsidR="006E0CB0">
        <w:t>,</w:t>
      </w:r>
      <w:r>
        <w:t xml:space="preserve"> or unmanageable AEs continued to receive a single </w:t>
      </w:r>
      <w:r>
        <w:lastRenderedPageBreak/>
        <w:t xml:space="preserve">blinded obinutuzumab or placebo infusion every 6 months beginning at Week 80. Patients who experienced a loss of adequate response at Week 76 </w:t>
      </w:r>
      <w:r w:rsidRPr="004C193C">
        <w:t xml:space="preserve">or during blinded treatment after </w:t>
      </w:r>
      <w:r w:rsidRPr="00735F69">
        <w:t xml:space="preserve">Week 80 were eligible </w:t>
      </w:r>
      <w:r w:rsidR="006E0CB0" w:rsidRPr="00735F69">
        <w:t>for</w:t>
      </w:r>
      <w:r w:rsidRPr="00735F69">
        <w:t xml:space="preserve"> open</w:t>
      </w:r>
      <w:r w:rsidR="00FF1914">
        <w:noBreakHyphen/>
      </w:r>
      <w:r w:rsidRPr="00735F69">
        <w:t xml:space="preserve">label obinutuzumab treatment. </w:t>
      </w:r>
      <w:r w:rsidR="00632102" w:rsidRPr="00735F69">
        <w:t xml:space="preserve">The </w:t>
      </w:r>
      <w:r w:rsidR="00705265" w:rsidRPr="00735F69">
        <w:t>S</w:t>
      </w:r>
      <w:r w:rsidR="00632102" w:rsidRPr="00735F69">
        <w:t>ub</w:t>
      </w:r>
      <w:r w:rsidR="00FF1914">
        <w:noBreakHyphen/>
      </w:r>
      <w:r w:rsidR="00705265" w:rsidRPr="00735F69">
        <w:t>C</w:t>
      </w:r>
      <w:r w:rsidR="00632102" w:rsidRPr="00735F69">
        <w:t xml:space="preserve">ommittees noted that a key limitation of the REGENCY trial was the </w:t>
      </w:r>
      <w:r w:rsidR="008353A4" w:rsidRPr="00735F69">
        <w:t>lack of</w:t>
      </w:r>
      <w:r w:rsidR="003B0702" w:rsidRPr="00735F69">
        <w:t xml:space="preserve"> published</w:t>
      </w:r>
      <w:r w:rsidR="008353A4" w:rsidRPr="00735F69">
        <w:t xml:space="preserve"> long</w:t>
      </w:r>
      <w:r w:rsidR="00FF1914">
        <w:noBreakHyphen/>
      </w:r>
      <w:r w:rsidR="008353A4" w:rsidRPr="00735F69">
        <w:t>term follow</w:t>
      </w:r>
      <w:r w:rsidR="00FF1914">
        <w:noBreakHyphen/>
      </w:r>
      <w:r w:rsidR="008353A4" w:rsidRPr="00735F69">
        <w:t>up data</w:t>
      </w:r>
      <w:r w:rsidR="00A928B3" w:rsidRPr="00735F69">
        <w:t xml:space="preserve"> (although</w:t>
      </w:r>
      <w:r w:rsidR="00F406C4" w:rsidRPr="00735F69">
        <w:t xml:space="preserve"> the Sub</w:t>
      </w:r>
      <w:r w:rsidR="00FF1914">
        <w:noBreakHyphen/>
      </w:r>
      <w:r w:rsidR="00F406C4" w:rsidRPr="00735F69">
        <w:t>Committee</w:t>
      </w:r>
      <w:r w:rsidR="006D050F" w:rsidRPr="00735F69">
        <w:t xml:space="preserve"> also noted</w:t>
      </w:r>
      <w:r w:rsidR="00A928B3" w:rsidRPr="00735F69">
        <w:t xml:space="preserve"> the PSCR provided some </w:t>
      </w:r>
      <w:r w:rsidR="00A928B3" w:rsidRPr="00735F69">
        <w:rPr>
          <w:rFonts w:ascii="Calibri" w:eastAsia="Calibri" w:hAnsi="Calibri" w:cs="Times New Roman"/>
        </w:rPr>
        <w:t>unpublished masked and open</w:t>
      </w:r>
      <w:r w:rsidR="00FF1914">
        <w:rPr>
          <w:rFonts w:ascii="Calibri" w:eastAsia="Calibri" w:hAnsi="Calibri" w:cs="Times New Roman"/>
        </w:rPr>
        <w:noBreakHyphen/>
      </w:r>
      <w:r w:rsidR="00A928B3" w:rsidRPr="00735F69">
        <w:rPr>
          <w:rFonts w:ascii="Calibri" w:eastAsia="Calibri" w:hAnsi="Calibri" w:cs="Times New Roman"/>
        </w:rPr>
        <w:t>label extension data as outlined in paragraph</w:t>
      </w:r>
      <w:r w:rsidR="008850B2" w:rsidRPr="00735F69">
        <w:rPr>
          <w:rFonts w:ascii="Calibri" w:eastAsia="Calibri" w:hAnsi="Calibri" w:cs="Times New Roman"/>
        </w:rPr>
        <w:t xml:space="preserve"> </w:t>
      </w:r>
      <w:r w:rsidR="008850B2" w:rsidRPr="00735F69">
        <w:rPr>
          <w:rFonts w:ascii="Calibri" w:eastAsia="Calibri" w:hAnsi="Calibri" w:cs="Times New Roman"/>
        </w:rPr>
        <w:fldChar w:fldCharType="begin"/>
      </w:r>
      <w:r w:rsidR="008850B2" w:rsidRPr="00735F69">
        <w:rPr>
          <w:rFonts w:ascii="Calibri" w:eastAsia="Calibri" w:hAnsi="Calibri" w:cs="Times New Roman"/>
        </w:rPr>
        <w:instrText xml:space="preserve"> REF _Ref221631708 \r \h </w:instrText>
      </w:r>
      <w:r w:rsidR="00735F69" w:rsidRPr="00735F69">
        <w:rPr>
          <w:rFonts w:ascii="Calibri" w:eastAsia="Calibri" w:hAnsi="Calibri" w:cs="Times New Roman"/>
        </w:rPr>
        <w:instrText xml:space="preserve"> \* MERGEFORMAT </w:instrText>
      </w:r>
      <w:r w:rsidR="008850B2" w:rsidRPr="00735F69">
        <w:rPr>
          <w:rFonts w:ascii="Calibri" w:eastAsia="Calibri" w:hAnsi="Calibri" w:cs="Times New Roman"/>
        </w:rPr>
      </w:r>
      <w:r w:rsidR="008850B2" w:rsidRPr="00735F69">
        <w:rPr>
          <w:rFonts w:ascii="Calibri" w:eastAsia="Calibri" w:hAnsi="Calibri" w:cs="Times New Roman"/>
        </w:rPr>
        <w:fldChar w:fldCharType="separate"/>
      </w:r>
      <w:r w:rsidR="002255D9">
        <w:rPr>
          <w:rFonts w:ascii="Calibri" w:eastAsia="Calibri" w:hAnsi="Calibri" w:cs="Times New Roman"/>
        </w:rPr>
        <w:t>3.2</w:t>
      </w:r>
      <w:r w:rsidR="008850B2" w:rsidRPr="00735F69">
        <w:rPr>
          <w:rFonts w:ascii="Calibri" w:eastAsia="Calibri" w:hAnsi="Calibri" w:cs="Times New Roman"/>
        </w:rPr>
        <w:fldChar w:fldCharType="end"/>
      </w:r>
      <w:r w:rsidR="008850B2" w:rsidRPr="00735F69">
        <w:rPr>
          <w:rFonts w:ascii="Calibri" w:eastAsia="Calibri" w:hAnsi="Calibri" w:cs="Times New Roman"/>
        </w:rPr>
        <w:t>)</w:t>
      </w:r>
      <w:r w:rsidR="008353A4" w:rsidRPr="00735F69">
        <w:t xml:space="preserve">. </w:t>
      </w:r>
      <w:r w:rsidR="007A3BF4" w:rsidRPr="00735F69">
        <w:t>In NOBILITY, patients were randomised to receive obinutuzumab or placebo at Weeks 0</w:t>
      </w:r>
      <w:r w:rsidR="00095FA4" w:rsidRPr="00735F69">
        <w:t>,</w:t>
      </w:r>
      <w:r w:rsidR="007A3BF4" w:rsidRPr="00735F69">
        <w:t xml:space="preserve"> 2, 24 and 26. Patients continued SOC treatment </w:t>
      </w:r>
      <w:r w:rsidR="006E0CB0" w:rsidRPr="00735F69">
        <w:t>through</w:t>
      </w:r>
      <w:r w:rsidR="007A3BF4" w:rsidRPr="00735F69">
        <w:t xml:space="preserve"> Week 104. Across the trials, the primary outcome was CRR, which is a composite measure </w:t>
      </w:r>
      <w:r w:rsidR="00036BC4">
        <w:t xml:space="preserve">incorporating eGFR and UPCR (and absence of urinary RBCs in NOBILITY), </w:t>
      </w:r>
      <w:r w:rsidR="007A3BF4" w:rsidRPr="00735F69">
        <w:t>assessed at Week 76 (REGENCY) or Week 52 (NOBILITY).</w:t>
      </w:r>
      <w:bookmarkEnd w:id="30"/>
    </w:p>
    <w:p w14:paraId="3801DFB7" w14:textId="4C34A930" w:rsidR="00C51C13" w:rsidRPr="003B7CF8" w:rsidRDefault="001461CC" w:rsidP="002E4F02">
      <w:pPr>
        <w:pStyle w:val="3-BodyText"/>
      </w:pPr>
      <w:r w:rsidRPr="003B7CF8">
        <w:t>In REGENCY, d</w:t>
      </w:r>
      <w:r w:rsidR="007C0266" w:rsidRPr="003B7CF8">
        <w:t xml:space="preserve">escriptive analysis showed that the two obinutuzumab dose regimens </w:t>
      </w:r>
      <w:r w:rsidR="006E0CB0" w:rsidRPr="003B7CF8">
        <w:t>compared with</w:t>
      </w:r>
      <w:r w:rsidR="007C0266" w:rsidRPr="003B7CF8">
        <w:t xml:space="preserve"> placebo had comparable efficacy at Week 76. As of the 15 August 2024 data cutoff (DCO), 218 (80.4%) patients remained in the study (116 (85.9%) in </w:t>
      </w:r>
      <w:r w:rsidR="006E0CB0" w:rsidRPr="003B7CF8">
        <w:t xml:space="preserve">the </w:t>
      </w:r>
      <w:r w:rsidR="007C0266" w:rsidRPr="003B7CF8">
        <w:t xml:space="preserve">obinutuzumab arm and 102 (75.0%) </w:t>
      </w:r>
      <w:r w:rsidR="006E0CB0" w:rsidRPr="003B7CF8">
        <w:t>in the</w:t>
      </w:r>
      <w:r w:rsidR="007C0266" w:rsidRPr="003B7CF8">
        <w:t xml:space="preserve"> placebo</w:t>
      </w:r>
      <w:r w:rsidR="006E0CB0" w:rsidRPr="003B7CF8">
        <w:t xml:space="preserve"> arm</w:t>
      </w:r>
      <w:r w:rsidR="007C0266" w:rsidRPr="003B7CF8">
        <w:t xml:space="preserve">). Of </w:t>
      </w:r>
      <w:r w:rsidR="006E0CB0" w:rsidRPr="003B7CF8">
        <w:t>these</w:t>
      </w:r>
      <w:r w:rsidR="007C0266" w:rsidRPr="003B7CF8">
        <w:t>, 116 (42.8%) patients entered the post</w:t>
      </w:r>
      <w:r w:rsidR="00FF1914">
        <w:noBreakHyphen/>
      </w:r>
      <w:r w:rsidR="007C0266" w:rsidRPr="003B7CF8">
        <w:t xml:space="preserve">Week 76 blinded treatment period (67 (49.6%) in </w:t>
      </w:r>
      <w:r w:rsidR="006E0CB0" w:rsidRPr="003B7CF8">
        <w:t xml:space="preserve">the </w:t>
      </w:r>
      <w:r w:rsidR="007C0266" w:rsidRPr="003B7CF8">
        <w:t xml:space="preserve">obinutuzumab arm and 49 (36.0%) in </w:t>
      </w:r>
      <w:r w:rsidR="006E0CB0" w:rsidRPr="003B7CF8">
        <w:t xml:space="preserve">the </w:t>
      </w:r>
      <w:r w:rsidR="007C0266" w:rsidRPr="003B7CF8">
        <w:t>placebo</w:t>
      </w:r>
      <w:r w:rsidR="006E0CB0" w:rsidRPr="003B7CF8">
        <w:t xml:space="preserve"> arm</w:t>
      </w:r>
      <w:r w:rsidR="007C0266" w:rsidRPr="003B7CF8">
        <w:t>.</w:t>
      </w:r>
    </w:p>
    <w:p w14:paraId="1A924670" w14:textId="07FB3ADA" w:rsidR="007C0266" w:rsidRPr="003B7CF8" w:rsidRDefault="007C0266" w:rsidP="002E4F02">
      <w:pPr>
        <w:pStyle w:val="3-BodyText"/>
      </w:pPr>
      <w:r w:rsidRPr="001E05B4">
        <w:t>Overall, the risk of bias for REGENCY and NOBILITY was considered low</w:t>
      </w:r>
      <w:r w:rsidR="001E05B4" w:rsidRPr="001E05B4">
        <w:t xml:space="preserve"> by the evaluation</w:t>
      </w:r>
      <w:r w:rsidRPr="003B7CF8">
        <w:t>. In REGENCY, all patients randomised were included in the intention</w:t>
      </w:r>
      <w:r w:rsidR="00FF1914">
        <w:noBreakHyphen/>
      </w:r>
      <w:r w:rsidRPr="003B7CF8">
        <w:t>to</w:t>
      </w:r>
      <w:r w:rsidR="00FF1914">
        <w:noBreakHyphen/>
      </w:r>
      <w:r w:rsidRPr="003B7CF8">
        <w:t xml:space="preserve">treat (ITT) population. Three patients randomised to </w:t>
      </w:r>
      <w:r w:rsidR="006E0CB0" w:rsidRPr="003B7CF8">
        <w:t xml:space="preserve">the </w:t>
      </w:r>
      <w:r w:rsidRPr="003B7CF8">
        <w:t xml:space="preserve">placebo arm did not receive any study treatment and were excluded from the safety population. In NOBILITY, efficacy analyses were </w:t>
      </w:r>
      <w:r w:rsidR="006E0CB0" w:rsidRPr="003B7CF8">
        <w:t xml:space="preserve">conducted </w:t>
      </w:r>
      <w:r w:rsidRPr="003B7CF8">
        <w:t>in a modified ITT (mITT) population consisting of all randomised patients who had received at least one dose of study drug. One patient in the obinutuzumab arm did not receive treatment due to a positive pregnancy test and was excluded from the mITT. One patient randomi</w:t>
      </w:r>
      <w:r w:rsidR="006E0CB0" w:rsidRPr="003B7CF8">
        <w:t>s</w:t>
      </w:r>
      <w:r w:rsidRPr="003B7CF8">
        <w:t xml:space="preserve">ed to the placebo arm </w:t>
      </w:r>
      <w:r w:rsidR="006E0CB0" w:rsidRPr="003B7CF8">
        <w:t xml:space="preserve">inadvertently </w:t>
      </w:r>
      <w:r w:rsidRPr="003B7CF8">
        <w:t>received obinutuzumab and was included under the obinutuzumab arm in the safety population.</w:t>
      </w:r>
    </w:p>
    <w:p w14:paraId="09E1508F" w14:textId="22FD6DF6" w:rsidR="007C0266" w:rsidRPr="00C67D78" w:rsidRDefault="0016378E" w:rsidP="0072568D">
      <w:pPr>
        <w:pStyle w:val="3-BodyText"/>
      </w:pPr>
      <w:r>
        <w:t>The evaluation considered that b</w:t>
      </w:r>
      <w:r w:rsidR="007C0266" w:rsidRPr="00C67D78">
        <w:t>aseline characteristics were generally balanced between treatment arms in the trials</w:t>
      </w:r>
      <w:r w:rsidR="009C4888" w:rsidRPr="00C67D78">
        <w:t>,</w:t>
      </w:r>
      <w:r w:rsidR="007C0266" w:rsidRPr="00C67D78">
        <w:t xml:space="preserve"> with the exception of </w:t>
      </w:r>
      <w:r w:rsidR="009C4888" w:rsidRPr="00C67D78">
        <w:t xml:space="preserve">the </w:t>
      </w:r>
      <w:r w:rsidR="007C0266" w:rsidRPr="00C67D78">
        <w:t>NOBILITY trial, in which</w:t>
      </w:r>
      <w:r w:rsidR="009C4888" w:rsidRPr="00C67D78">
        <w:t xml:space="preserve"> the</w:t>
      </w:r>
      <w:r w:rsidR="007C0266" w:rsidRPr="00C67D78">
        <w:t xml:space="preserve"> obinutuzumab arm had a longer mean disease duration compared to placebo (61.7 vs 43.0 months).</w:t>
      </w:r>
      <w:r w:rsidR="006070D0" w:rsidRPr="00C67D78">
        <w:t xml:space="preserve"> Across the trials, there were some differences in baseline characteristics</w:t>
      </w:r>
      <w:r w:rsidR="009C4888" w:rsidRPr="00C67D78">
        <w:t>,</w:t>
      </w:r>
      <w:r w:rsidR="006070D0" w:rsidRPr="00C67D78">
        <w:t xml:space="preserve"> including fewer patients </w:t>
      </w:r>
      <w:r w:rsidR="009C4888" w:rsidRPr="00C67D78">
        <w:t xml:space="preserve">in REGENCY with class IV lupus nephritis </w:t>
      </w:r>
      <w:r w:rsidR="006070D0" w:rsidRPr="00C67D78">
        <w:t>(58.5</w:t>
      </w:r>
      <w:r w:rsidR="00FF1914">
        <w:noBreakHyphen/>
      </w:r>
      <w:r w:rsidR="006070D0" w:rsidRPr="00C67D78">
        <w:t>62.5%) compared to NOBILITY (72.6</w:t>
      </w:r>
      <w:r w:rsidR="00FF1914">
        <w:noBreakHyphen/>
      </w:r>
      <w:r w:rsidR="006070D0" w:rsidRPr="00C67D78">
        <w:t xml:space="preserve">77.8%), indicating more severe disease with worse prognosis. Further, a small proportion of patients </w:t>
      </w:r>
      <w:r w:rsidR="009C4888" w:rsidRPr="00C67D78">
        <w:t>in REGENCY (6.6</w:t>
      </w:r>
      <w:r w:rsidR="00FF1914">
        <w:noBreakHyphen/>
      </w:r>
      <w:r w:rsidR="009C4888" w:rsidRPr="00C67D78">
        <w:t>8.1%) received prior treatment for lupus nephritis with anifrolumab, belimumab and rituximab</w:t>
      </w:r>
      <w:r w:rsidR="00B26738">
        <w:t>. The use of prior treatments was not reported for</w:t>
      </w:r>
      <w:r w:rsidR="006070D0" w:rsidRPr="00C67D78">
        <w:t xml:space="preserve"> NOBILITY.</w:t>
      </w:r>
    </w:p>
    <w:p w14:paraId="626D6DB4" w14:textId="0A0A91BD" w:rsidR="00BC54D2" w:rsidRPr="00C67D78" w:rsidRDefault="00BC54D2" w:rsidP="0072568D">
      <w:pPr>
        <w:pStyle w:val="3-BodyText"/>
      </w:pPr>
      <w:r w:rsidRPr="00BC54D2">
        <w:t xml:space="preserve">The submission proposed </w:t>
      </w:r>
      <w:r w:rsidR="001B7422">
        <w:t xml:space="preserve">a </w:t>
      </w:r>
      <w:r>
        <w:t>m</w:t>
      </w:r>
      <w:r w:rsidRPr="00BC54D2">
        <w:t xml:space="preserve">inimally clinically important difference </w:t>
      </w:r>
      <w:r>
        <w:t>(</w:t>
      </w:r>
      <w:r w:rsidRPr="00BC54D2">
        <w:t>MCID</w:t>
      </w:r>
      <w:r>
        <w:t>)</w:t>
      </w:r>
      <w:r w:rsidRPr="00BC54D2">
        <w:t xml:space="preserve"> for the proportion of patients achieving CRR at Week 52 as the absolute risk difference ≥10%, based on clinical trial data </w:t>
      </w:r>
      <w:r>
        <w:t xml:space="preserve">for belimumab </w:t>
      </w:r>
      <w:r w:rsidRPr="00BC54D2">
        <w:t>by Furie 2020 (BLISS</w:t>
      </w:r>
      <w:r w:rsidR="00FF1914">
        <w:noBreakHyphen/>
      </w:r>
      <w:r w:rsidRPr="00BC54D2">
        <w:t xml:space="preserve">LN) and </w:t>
      </w:r>
      <w:r>
        <w:t xml:space="preserve">for voclosporin by </w:t>
      </w:r>
      <w:r w:rsidRPr="00BC54D2">
        <w:t>Rovin 2021 (AURORA</w:t>
      </w:r>
      <w:r w:rsidR="00FF1914">
        <w:noBreakHyphen/>
      </w:r>
      <w:r w:rsidRPr="00BC54D2">
        <w:t>1)</w:t>
      </w:r>
      <w:r w:rsidR="00552ED0">
        <w:t>,</w:t>
      </w:r>
      <w:r w:rsidRPr="00BC54D2">
        <w:t xml:space="preserve"> and long</w:t>
      </w:r>
      <w:r w:rsidR="00FF1914">
        <w:noBreakHyphen/>
      </w:r>
      <w:r w:rsidRPr="00BC54D2">
        <w:t>term observational data in patients with class III/IV ± V LN.</w:t>
      </w:r>
      <w:r>
        <w:t xml:space="preserve"> </w:t>
      </w:r>
      <w:r w:rsidRPr="00BC54D2">
        <w:t xml:space="preserve">The submission </w:t>
      </w:r>
      <w:r>
        <w:t xml:space="preserve">also </w:t>
      </w:r>
      <w:r w:rsidRPr="00BC54D2">
        <w:t xml:space="preserve">proposed </w:t>
      </w:r>
      <w:r w:rsidR="00117B42">
        <w:t xml:space="preserve">a </w:t>
      </w:r>
      <w:r w:rsidRPr="00BC54D2">
        <w:t xml:space="preserve">MCID </w:t>
      </w:r>
      <w:r>
        <w:t xml:space="preserve">for </w:t>
      </w:r>
      <w:r w:rsidRPr="00BC54D2">
        <w:t xml:space="preserve">proteinuria </w:t>
      </w:r>
      <w:r>
        <w:t xml:space="preserve">(UPCR) </w:t>
      </w:r>
      <w:r w:rsidRPr="00BC54D2">
        <w:t xml:space="preserve">as ≥50% </w:t>
      </w:r>
      <w:r>
        <w:t xml:space="preserve">reduction </w:t>
      </w:r>
      <w:r w:rsidRPr="00BC54D2">
        <w:t xml:space="preserve">from baseline, which is used to define a partial response at 6 months and </w:t>
      </w:r>
      <w:r w:rsidRPr="00BC54D2">
        <w:lastRenderedPageBreak/>
        <w:t xml:space="preserve">treatment targets in clinical guidelines (KDIGO 2024 and EULAR 2025). </w:t>
      </w:r>
      <w:r w:rsidRPr="00C67D78">
        <w:t>EULAR 2025 also noted that the treatment goal should be an absolute UPCR value &lt;700 mg/g at 12 months, which is associated with good long</w:t>
      </w:r>
      <w:r w:rsidR="00FF1914">
        <w:noBreakHyphen/>
      </w:r>
      <w:r w:rsidRPr="00C67D78">
        <w:t>term outcomes.</w:t>
      </w:r>
    </w:p>
    <w:p w14:paraId="4A4FE085" w14:textId="1C5613CC" w:rsidR="00B60939" w:rsidRPr="0098262F" w:rsidRDefault="00B60939" w:rsidP="00EC5836">
      <w:pPr>
        <w:pStyle w:val="4-SubsectionHeading"/>
      </w:pPr>
      <w:bookmarkStart w:id="31" w:name="_Toc22897641"/>
      <w:bookmarkStart w:id="32" w:name="_Toc219886548"/>
      <w:r w:rsidRPr="0098262F">
        <w:t>Comparative effectiveness</w:t>
      </w:r>
      <w:bookmarkEnd w:id="31"/>
      <w:bookmarkEnd w:id="32"/>
    </w:p>
    <w:p w14:paraId="6711B0F2" w14:textId="246D937F" w:rsidR="006070D0" w:rsidRPr="00C67D78" w:rsidRDefault="006070D0" w:rsidP="00EC5836">
      <w:pPr>
        <w:pStyle w:val="3-BodyText"/>
      </w:pPr>
      <w:r w:rsidRPr="00C67D78">
        <w:t xml:space="preserve">The requested PBS criteria for initiating and continuing treatment </w:t>
      </w:r>
      <w:r w:rsidR="00542353" w:rsidRPr="00C67D78">
        <w:t>did</w:t>
      </w:r>
      <w:r w:rsidRPr="00C67D78">
        <w:t xml:space="preserve"> not specif</w:t>
      </w:r>
      <w:r w:rsidR="00542353" w:rsidRPr="00C67D78">
        <w:t xml:space="preserve">y </w:t>
      </w:r>
      <w:r w:rsidR="004C1574" w:rsidRPr="00C67D78">
        <w:t xml:space="preserve">the </w:t>
      </w:r>
      <w:r w:rsidRPr="00C67D78">
        <w:t>criteria for clinical response. Patients could continue treatment as long as they do not have new ESKD, need for chronic dialysis or renal transplantation and do not have clinically significant, sustained worsening in UPCR and/or eGFR that specialist physicians determined as treatment failure. The EMA guideline 2015 recommend</w:t>
      </w:r>
      <w:r w:rsidR="004C1574" w:rsidRPr="00C67D78">
        <w:t>s</w:t>
      </w:r>
      <w:r w:rsidRPr="00C67D78">
        <w:t xml:space="preserve"> that</w:t>
      </w:r>
      <w:r w:rsidR="00367CAF" w:rsidRPr="00C67D78">
        <w:t xml:space="preserve"> clinical</w:t>
      </w:r>
      <w:r w:rsidRPr="00C67D78">
        <w:t xml:space="preserve"> trials </w:t>
      </w:r>
      <w:r w:rsidR="00367CAF" w:rsidRPr="00C67D78">
        <w:t>of</w:t>
      </w:r>
      <w:r w:rsidRPr="00C67D78">
        <w:t xml:space="preserve"> lupus nephritis include as primary or secondary outcomes CRR demonstrated by improvement </w:t>
      </w:r>
      <w:r w:rsidR="004C1574" w:rsidRPr="00C67D78">
        <w:t>in</w:t>
      </w:r>
      <w:r w:rsidRPr="00C67D78">
        <w:t xml:space="preserve"> eGFR and reduc</w:t>
      </w:r>
      <w:r w:rsidR="004C1574" w:rsidRPr="00C67D78">
        <w:t>tion in</w:t>
      </w:r>
      <w:r w:rsidRPr="00C67D78">
        <w:t xml:space="preserve"> protein excretion and findings in active urinary sediment, such as normalisation/return to baseline of eGFR or proteinuria &lt;0.5 g/24h. There is currently no consensus definition of CRR</w:t>
      </w:r>
      <w:r w:rsidR="004C1574" w:rsidRPr="00C67D78">
        <w:t>;</w:t>
      </w:r>
      <w:r w:rsidRPr="00C67D78">
        <w:t xml:space="preserve"> however, the key components of response are improvement in proteinuria and stabilisation or improvement in kidney function.</w:t>
      </w:r>
    </w:p>
    <w:p w14:paraId="1804B305" w14:textId="062AFFF9" w:rsidR="006070D0" w:rsidRPr="006070D0" w:rsidRDefault="00EB6B7E" w:rsidP="00EC5836">
      <w:pPr>
        <w:pStyle w:val="3-BodyText"/>
      </w:pPr>
      <w:bookmarkStart w:id="33" w:name="_Ref225930209"/>
      <w:r>
        <w:t xml:space="preserve">As outlined in paragraph </w:t>
      </w:r>
      <w:r>
        <w:fldChar w:fldCharType="begin"/>
      </w:r>
      <w:r>
        <w:instrText xml:space="preserve"> REF _Ref225930426 \r \h </w:instrText>
      </w:r>
      <w:r>
        <w:fldChar w:fldCharType="separate"/>
      </w:r>
      <w:r w:rsidR="002255D9">
        <w:t>3.9</w:t>
      </w:r>
      <w:r>
        <w:fldChar w:fldCharType="end"/>
      </w:r>
      <w:r>
        <w:t>, i</w:t>
      </w:r>
      <w:r w:rsidR="007A3BF4" w:rsidRPr="00AA619F">
        <w:t xml:space="preserve">n REGENCY, CRR was defined as </w:t>
      </w:r>
      <w:r w:rsidR="004C1574">
        <w:t>achieving</w:t>
      </w:r>
      <w:r w:rsidR="007A3BF4" w:rsidRPr="00AA619F">
        <w:t xml:space="preserve"> UPCR &lt;0.5 g/g, eGFR ≥85% of baseline, and no intercurrent events (i.e. rescue therapy, treatment failure, death or early study withdrawal). Treatment failure was defined as ESKD</w:t>
      </w:r>
      <w:r w:rsidR="004C1574">
        <w:t>,</w:t>
      </w:r>
      <w:r w:rsidR="007A3BF4" w:rsidRPr="00AA619F">
        <w:t xml:space="preserve"> </w:t>
      </w:r>
      <w:r w:rsidR="004C1574">
        <w:t>initiation</w:t>
      </w:r>
      <w:r w:rsidR="007A3BF4" w:rsidRPr="00AA619F">
        <w:t xml:space="preserve"> of long</w:t>
      </w:r>
      <w:r w:rsidR="00FF1914">
        <w:noBreakHyphen/>
      </w:r>
      <w:r w:rsidR="007A3BF4" w:rsidRPr="00AA619F">
        <w:t>term dialysis or renal transplantation, receipt of rescue therapy (except for glucocorticoid</w:t>
      </w:r>
      <w:r w:rsidR="00FF1914">
        <w:noBreakHyphen/>
      </w:r>
      <w:r w:rsidR="007A3BF4" w:rsidRPr="00AA619F">
        <w:t>only rescue), or clinically significant and sustained worsening of UPCR or eGFR beyond Week 24 that led the investigator to conclude that the assigned treatment had failed.</w:t>
      </w:r>
      <w:bookmarkEnd w:id="33"/>
    </w:p>
    <w:p w14:paraId="52E9729E" w14:textId="32755AB1" w:rsidR="006070D0" w:rsidRPr="007A3BF4" w:rsidRDefault="007A3BF4" w:rsidP="00EC5836">
      <w:pPr>
        <w:pStyle w:val="3-BodyText"/>
      </w:pPr>
      <w:bookmarkStart w:id="34" w:name="_Ref225930210"/>
      <w:r>
        <w:t xml:space="preserve">In </w:t>
      </w:r>
      <w:r w:rsidRPr="00AA619F">
        <w:t>NOBILITY, CRR was defined as achievement of UPCR &lt;0.5 g/g, normal renal function (serum creatinine ≤ULN) without worsening of baseline serum creatinine by more than 15%, and inactive urinary sediment (&lt;10 red blood cells (RBCs)/high</w:t>
      </w:r>
      <w:r w:rsidR="00FF1914">
        <w:noBreakHyphen/>
      </w:r>
      <w:r w:rsidRPr="00AA619F">
        <w:t>power field (HPF) without RBC casts).</w:t>
      </w:r>
      <w:r>
        <w:rPr>
          <w:i/>
          <w:iCs/>
        </w:rPr>
        <w:t xml:space="preserve"> </w:t>
      </w:r>
      <w:r w:rsidRPr="006819B9">
        <w:t>However,</w:t>
      </w:r>
      <w:r w:rsidR="00C96D82">
        <w:t xml:space="preserve"> an</w:t>
      </w:r>
      <w:r w:rsidRPr="006819B9">
        <w:t xml:space="preserve"> additional post</w:t>
      </w:r>
      <w:r w:rsidR="00FF1914">
        <w:noBreakHyphen/>
      </w:r>
      <w:r w:rsidRPr="006819B9">
        <w:t>hoc re</w:t>
      </w:r>
      <w:r w:rsidR="00FF1914">
        <w:noBreakHyphen/>
      </w:r>
      <w:r w:rsidRPr="006819B9">
        <w:t xml:space="preserve">analysis was conducted </w:t>
      </w:r>
      <w:r w:rsidR="00BC54D2" w:rsidRPr="006819B9">
        <w:t>by the submission for</w:t>
      </w:r>
      <w:r w:rsidRPr="006819B9">
        <w:t xml:space="preserve"> the NOBILITY efficacy data up to Week 76 using the REGENCY outcome definitions and data handling rules.</w:t>
      </w:r>
      <w:bookmarkEnd w:id="34"/>
    </w:p>
    <w:p w14:paraId="6BA06916" w14:textId="28A0B60B" w:rsidR="007A3BF4" w:rsidRPr="007A3BF4" w:rsidRDefault="005D1B76" w:rsidP="00EC5836">
      <w:pPr>
        <w:pStyle w:val="3-BodyText"/>
      </w:pPr>
      <w:r>
        <w:fldChar w:fldCharType="begin"/>
      </w:r>
      <w:r>
        <w:instrText xml:space="preserve"> REF _Ref218520367 \h </w:instrText>
      </w:r>
      <w:r>
        <w:fldChar w:fldCharType="separate"/>
      </w:r>
      <w:r w:rsidR="002255D9">
        <w:t xml:space="preserve">Table </w:t>
      </w:r>
      <w:r w:rsidR="002255D9">
        <w:rPr>
          <w:noProof/>
        </w:rPr>
        <w:t>4</w:t>
      </w:r>
      <w:r>
        <w:fldChar w:fldCharType="end"/>
      </w:r>
      <w:r w:rsidR="007A3BF4" w:rsidRPr="00A43C2D">
        <w:t xml:space="preserve"> present</w:t>
      </w:r>
      <w:r w:rsidR="007A3BF4">
        <w:t>s</w:t>
      </w:r>
      <w:r w:rsidR="007A3BF4" w:rsidRPr="00A43C2D">
        <w:t xml:space="preserve"> the results of the primary and key secondary outcomes</w:t>
      </w:r>
      <w:r w:rsidR="007A3BF4">
        <w:t xml:space="preserve"> to Week 76 in REGENCY and NOBILITY. </w:t>
      </w:r>
      <w:r w:rsidR="007A3BF4" w:rsidRPr="00297A86">
        <w:t>The table also present</w:t>
      </w:r>
      <w:r w:rsidR="00171803">
        <w:t>s</w:t>
      </w:r>
      <w:r w:rsidR="007A3BF4" w:rsidRPr="00297A86">
        <w:t xml:space="preserve"> the post</w:t>
      </w:r>
      <w:r w:rsidR="00FF1914">
        <w:noBreakHyphen/>
      </w:r>
      <w:r w:rsidR="007A3BF4" w:rsidRPr="00297A86">
        <w:t>hoc re</w:t>
      </w:r>
      <w:r w:rsidR="00FF1914">
        <w:noBreakHyphen/>
      </w:r>
      <w:r w:rsidR="007A3BF4" w:rsidRPr="00297A86">
        <w:t>analyses of NOBILITY efficacy data to Week 76 using REGENCY outcome definitions where available.</w:t>
      </w:r>
    </w:p>
    <w:p w14:paraId="45C4415B" w14:textId="2F437672" w:rsidR="007A3BF4" w:rsidRPr="00F92C97" w:rsidRDefault="005D1B76" w:rsidP="005D1B76">
      <w:pPr>
        <w:pStyle w:val="Caption"/>
        <w:rPr>
          <w:b w:val="0"/>
          <w:bCs w:val="0"/>
          <w:szCs w:val="20"/>
        </w:rPr>
      </w:pPr>
      <w:bookmarkStart w:id="35" w:name="_Ref218520367"/>
      <w:r>
        <w:lastRenderedPageBreak/>
        <w:t xml:space="preserve">Table </w:t>
      </w:r>
      <w:fldSimple w:instr=" SEQ Table \* ARABIC ">
        <w:r w:rsidR="002255D9">
          <w:rPr>
            <w:noProof/>
          </w:rPr>
          <w:t>4</w:t>
        </w:r>
      </w:fldSimple>
      <w:bookmarkEnd w:id="35"/>
      <w:r w:rsidR="007A3BF4" w:rsidRPr="00F92C97">
        <w:rPr>
          <w:szCs w:val="20"/>
        </w:rPr>
        <w:t xml:space="preserve">: </w:t>
      </w:r>
      <w:r w:rsidR="00013D37">
        <w:rPr>
          <w:szCs w:val="20"/>
        </w:rPr>
        <w:t>P</w:t>
      </w:r>
      <w:r w:rsidR="007A3BF4" w:rsidRPr="00F92C97">
        <w:rPr>
          <w:szCs w:val="20"/>
        </w:rPr>
        <w:t>rimary and key secondary outcomes to Week 76 in REGENCY and NOBILITY</w:t>
      </w:r>
    </w:p>
    <w:tbl>
      <w:tblPr>
        <w:tblStyle w:val="TableGrid"/>
        <w:tblW w:w="0" w:type="auto"/>
        <w:tblCellMar>
          <w:left w:w="28" w:type="dxa"/>
          <w:right w:w="28" w:type="dxa"/>
        </w:tblCellMar>
        <w:tblLook w:val="04A0" w:firstRow="1" w:lastRow="0" w:firstColumn="1" w:lastColumn="0" w:noHBand="0" w:noVBand="1"/>
        <w:tblCaption w:val="Table 4: Primary and key secondary outcomes to Week 76 in REGENCY and NOBILITY"/>
      </w:tblPr>
      <w:tblGrid>
        <w:gridCol w:w="2263"/>
        <w:gridCol w:w="1125"/>
        <w:gridCol w:w="1126"/>
        <w:gridCol w:w="1126"/>
        <w:gridCol w:w="1125"/>
        <w:gridCol w:w="1126"/>
        <w:gridCol w:w="1126"/>
      </w:tblGrid>
      <w:tr w:rsidR="007A3BF4" w:rsidRPr="00A43C2D" w14:paraId="2FA96750" w14:textId="77777777" w:rsidTr="0072568D">
        <w:tc>
          <w:tcPr>
            <w:tcW w:w="2263" w:type="dxa"/>
            <w:vMerge w:val="restart"/>
            <w:vAlign w:val="center"/>
          </w:tcPr>
          <w:p w14:paraId="150C1AA6" w14:textId="77777777" w:rsidR="007A3BF4" w:rsidRPr="00A43C2D" w:rsidRDefault="007A3BF4" w:rsidP="00F84454">
            <w:pPr>
              <w:keepNext/>
              <w:keepLines/>
              <w:jc w:val="left"/>
              <w:rPr>
                <w:rFonts w:ascii="Arial Narrow" w:hAnsi="Arial Narrow"/>
                <w:sz w:val="20"/>
                <w:szCs w:val="20"/>
              </w:rPr>
            </w:pPr>
          </w:p>
        </w:tc>
        <w:tc>
          <w:tcPr>
            <w:tcW w:w="2251" w:type="dxa"/>
            <w:gridSpan w:val="2"/>
            <w:vAlign w:val="center"/>
          </w:tcPr>
          <w:p w14:paraId="0C671CF0" w14:textId="77777777" w:rsidR="007A3BF4" w:rsidRPr="00A43C2D"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REGENCY</w:t>
            </w:r>
          </w:p>
        </w:tc>
        <w:tc>
          <w:tcPr>
            <w:tcW w:w="2251" w:type="dxa"/>
            <w:gridSpan w:val="2"/>
            <w:vAlign w:val="center"/>
          </w:tcPr>
          <w:p w14:paraId="6ACDD35D" w14:textId="77777777" w:rsidR="007A3BF4" w:rsidRPr="00A43C2D"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NOBILITY</w:t>
            </w:r>
          </w:p>
        </w:tc>
        <w:tc>
          <w:tcPr>
            <w:tcW w:w="2252" w:type="dxa"/>
            <w:gridSpan w:val="2"/>
            <w:vAlign w:val="center"/>
          </w:tcPr>
          <w:p w14:paraId="75328F1E" w14:textId="6C2B742C" w:rsidR="007A3BF4" w:rsidRPr="00A43C2D"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NOBILITY (post</w:t>
            </w:r>
            <w:r w:rsidR="00FF1914">
              <w:rPr>
                <w:rFonts w:ascii="Arial Narrow" w:hAnsi="Arial Narrow"/>
                <w:b/>
                <w:bCs/>
                <w:sz w:val="20"/>
                <w:szCs w:val="20"/>
              </w:rPr>
              <w:noBreakHyphen/>
            </w:r>
            <w:r w:rsidRPr="00A43C2D">
              <w:rPr>
                <w:rFonts w:ascii="Arial Narrow" w:hAnsi="Arial Narrow"/>
                <w:b/>
                <w:bCs/>
                <w:sz w:val="20"/>
                <w:szCs w:val="20"/>
              </w:rPr>
              <w:t>hoc)</w:t>
            </w:r>
            <w:r w:rsidRPr="005E6C97">
              <w:rPr>
                <w:rFonts w:ascii="Arial Narrow" w:hAnsi="Arial Narrow"/>
                <w:b/>
                <w:bCs/>
                <w:sz w:val="20"/>
                <w:szCs w:val="20"/>
                <w:vertAlign w:val="superscript"/>
              </w:rPr>
              <w:t>c</w:t>
            </w:r>
          </w:p>
        </w:tc>
      </w:tr>
      <w:tr w:rsidR="007A3BF4" w:rsidRPr="00A43C2D" w14:paraId="537150C1" w14:textId="77777777" w:rsidTr="0072568D">
        <w:tc>
          <w:tcPr>
            <w:tcW w:w="2263" w:type="dxa"/>
            <w:vMerge/>
          </w:tcPr>
          <w:p w14:paraId="10ED33D1" w14:textId="77777777" w:rsidR="007A3BF4" w:rsidRPr="00A43C2D" w:rsidRDefault="007A3BF4" w:rsidP="00F84454">
            <w:pPr>
              <w:keepNext/>
              <w:keepLines/>
              <w:rPr>
                <w:rFonts w:ascii="Arial Narrow" w:hAnsi="Arial Narrow"/>
                <w:sz w:val="20"/>
                <w:szCs w:val="20"/>
              </w:rPr>
            </w:pPr>
          </w:p>
        </w:tc>
        <w:tc>
          <w:tcPr>
            <w:tcW w:w="1125" w:type="dxa"/>
            <w:vAlign w:val="center"/>
          </w:tcPr>
          <w:p w14:paraId="76E9A4E6" w14:textId="77777777" w:rsidR="007A3BF4"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OBI</w:t>
            </w:r>
            <w:r w:rsidRPr="00031A1F">
              <w:rPr>
                <w:rFonts w:ascii="Arial Narrow" w:hAnsi="Arial Narrow"/>
                <w:b/>
                <w:bCs/>
                <w:sz w:val="20"/>
                <w:szCs w:val="20"/>
                <w:vertAlign w:val="superscript"/>
              </w:rPr>
              <w:t>a</w:t>
            </w:r>
          </w:p>
          <w:p w14:paraId="7C6812CC" w14:textId="77777777" w:rsidR="007A3BF4" w:rsidRPr="00031A1F" w:rsidRDefault="007A3BF4" w:rsidP="00F84454">
            <w:pPr>
              <w:keepNext/>
              <w:keepLines/>
              <w:jc w:val="center"/>
              <w:rPr>
                <w:rFonts w:ascii="Arial Narrow" w:hAnsi="Arial Narrow"/>
                <w:b/>
                <w:bCs/>
                <w:sz w:val="20"/>
                <w:szCs w:val="20"/>
              </w:rPr>
            </w:pPr>
            <w:r>
              <w:rPr>
                <w:rFonts w:ascii="Arial Narrow" w:hAnsi="Arial Narrow"/>
                <w:b/>
                <w:bCs/>
                <w:sz w:val="20"/>
                <w:szCs w:val="20"/>
              </w:rPr>
              <w:t>N=135</w:t>
            </w:r>
          </w:p>
        </w:tc>
        <w:tc>
          <w:tcPr>
            <w:tcW w:w="1126" w:type="dxa"/>
            <w:vAlign w:val="center"/>
          </w:tcPr>
          <w:p w14:paraId="3FA61711" w14:textId="77777777" w:rsidR="007A3BF4"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PBO</w:t>
            </w:r>
          </w:p>
          <w:p w14:paraId="61CFC3DC" w14:textId="77777777" w:rsidR="007A3BF4" w:rsidRPr="00A43C2D" w:rsidRDefault="007A3BF4" w:rsidP="00F84454">
            <w:pPr>
              <w:keepNext/>
              <w:keepLines/>
              <w:jc w:val="center"/>
              <w:rPr>
                <w:rFonts w:ascii="Arial Narrow" w:hAnsi="Arial Narrow"/>
                <w:b/>
                <w:bCs/>
                <w:sz w:val="20"/>
                <w:szCs w:val="20"/>
              </w:rPr>
            </w:pPr>
            <w:r>
              <w:rPr>
                <w:rFonts w:ascii="Arial Narrow" w:hAnsi="Arial Narrow"/>
                <w:b/>
                <w:bCs/>
                <w:sz w:val="20"/>
                <w:szCs w:val="20"/>
              </w:rPr>
              <w:t>N=136</w:t>
            </w:r>
          </w:p>
        </w:tc>
        <w:tc>
          <w:tcPr>
            <w:tcW w:w="1126" w:type="dxa"/>
            <w:vAlign w:val="center"/>
          </w:tcPr>
          <w:p w14:paraId="7A99C335" w14:textId="77777777" w:rsidR="007A3BF4"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OBI</w:t>
            </w:r>
          </w:p>
          <w:p w14:paraId="77E2C4DB" w14:textId="77777777" w:rsidR="007A3BF4" w:rsidRPr="00A43C2D" w:rsidRDefault="007A3BF4" w:rsidP="00F84454">
            <w:pPr>
              <w:keepNext/>
              <w:keepLines/>
              <w:jc w:val="center"/>
              <w:rPr>
                <w:rFonts w:ascii="Arial Narrow" w:hAnsi="Arial Narrow"/>
                <w:b/>
                <w:bCs/>
                <w:sz w:val="20"/>
                <w:szCs w:val="20"/>
              </w:rPr>
            </w:pPr>
            <w:r>
              <w:rPr>
                <w:rFonts w:ascii="Arial Narrow" w:hAnsi="Arial Narrow"/>
                <w:b/>
                <w:bCs/>
                <w:sz w:val="20"/>
                <w:szCs w:val="20"/>
              </w:rPr>
              <w:t>N=63</w:t>
            </w:r>
          </w:p>
        </w:tc>
        <w:tc>
          <w:tcPr>
            <w:tcW w:w="1125" w:type="dxa"/>
            <w:vAlign w:val="center"/>
          </w:tcPr>
          <w:p w14:paraId="51A70875" w14:textId="77777777" w:rsidR="007A3BF4"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PBO</w:t>
            </w:r>
          </w:p>
          <w:p w14:paraId="0FFC56EF" w14:textId="77777777" w:rsidR="007A3BF4" w:rsidRPr="00A43C2D" w:rsidRDefault="007A3BF4" w:rsidP="00F84454">
            <w:pPr>
              <w:keepNext/>
              <w:keepLines/>
              <w:jc w:val="center"/>
              <w:rPr>
                <w:rFonts w:ascii="Arial Narrow" w:hAnsi="Arial Narrow"/>
                <w:b/>
                <w:bCs/>
                <w:sz w:val="20"/>
                <w:szCs w:val="20"/>
              </w:rPr>
            </w:pPr>
            <w:r>
              <w:rPr>
                <w:rFonts w:ascii="Arial Narrow" w:hAnsi="Arial Narrow"/>
                <w:b/>
                <w:bCs/>
                <w:sz w:val="20"/>
                <w:szCs w:val="20"/>
              </w:rPr>
              <w:t>N=62</w:t>
            </w:r>
          </w:p>
        </w:tc>
        <w:tc>
          <w:tcPr>
            <w:tcW w:w="1126" w:type="dxa"/>
            <w:vAlign w:val="center"/>
          </w:tcPr>
          <w:p w14:paraId="5E9FCDEA" w14:textId="77777777" w:rsidR="007A3BF4"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OBI</w:t>
            </w:r>
          </w:p>
          <w:p w14:paraId="33AB619A" w14:textId="77777777" w:rsidR="007A3BF4" w:rsidRPr="00A43C2D" w:rsidRDefault="007A3BF4" w:rsidP="00F84454">
            <w:pPr>
              <w:keepNext/>
              <w:keepLines/>
              <w:jc w:val="center"/>
              <w:rPr>
                <w:rFonts w:ascii="Arial Narrow" w:hAnsi="Arial Narrow"/>
                <w:b/>
                <w:bCs/>
                <w:sz w:val="20"/>
                <w:szCs w:val="20"/>
              </w:rPr>
            </w:pPr>
            <w:r>
              <w:rPr>
                <w:rFonts w:ascii="Arial Narrow" w:hAnsi="Arial Narrow"/>
                <w:b/>
                <w:bCs/>
                <w:sz w:val="20"/>
                <w:szCs w:val="20"/>
              </w:rPr>
              <w:t>N=64</w:t>
            </w:r>
          </w:p>
        </w:tc>
        <w:tc>
          <w:tcPr>
            <w:tcW w:w="1126" w:type="dxa"/>
            <w:vAlign w:val="center"/>
          </w:tcPr>
          <w:p w14:paraId="50CC1162" w14:textId="77777777" w:rsidR="007A3BF4" w:rsidRDefault="007A3BF4" w:rsidP="00F84454">
            <w:pPr>
              <w:keepNext/>
              <w:keepLines/>
              <w:jc w:val="center"/>
              <w:rPr>
                <w:rFonts w:ascii="Arial Narrow" w:hAnsi="Arial Narrow"/>
                <w:b/>
                <w:bCs/>
                <w:sz w:val="20"/>
                <w:szCs w:val="20"/>
              </w:rPr>
            </w:pPr>
            <w:r w:rsidRPr="00A43C2D">
              <w:rPr>
                <w:rFonts w:ascii="Arial Narrow" w:hAnsi="Arial Narrow"/>
                <w:b/>
                <w:bCs/>
                <w:sz w:val="20"/>
                <w:szCs w:val="20"/>
              </w:rPr>
              <w:t>PBO</w:t>
            </w:r>
          </w:p>
          <w:p w14:paraId="3FC3BE88" w14:textId="77777777" w:rsidR="007A3BF4" w:rsidRPr="00A43C2D" w:rsidRDefault="007A3BF4" w:rsidP="00F84454">
            <w:pPr>
              <w:keepNext/>
              <w:keepLines/>
              <w:jc w:val="center"/>
              <w:rPr>
                <w:rFonts w:ascii="Arial Narrow" w:hAnsi="Arial Narrow"/>
                <w:b/>
                <w:bCs/>
                <w:sz w:val="20"/>
                <w:szCs w:val="20"/>
              </w:rPr>
            </w:pPr>
            <w:r>
              <w:rPr>
                <w:rFonts w:ascii="Arial Narrow" w:hAnsi="Arial Narrow"/>
                <w:b/>
                <w:bCs/>
                <w:sz w:val="20"/>
                <w:szCs w:val="20"/>
              </w:rPr>
              <w:t>N=62</w:t>
            </w:r>
          </w:p>
        </w:tc>
      </w:tr>
      <w:tr w:rsidR="007A3BF4" w:rsidRPr="00A43C2D" w14:paraId="0ADCE9B6" w14:textId="77777777" w:rsidTr="0072568D">
        <w:tc>
          <w:tcPr>
            <w:tcW w:w="9017" w:type="dxa"/>
            <w:gridSpan w:val="7"/>
            <w:vAlign w:val="center"/>
          </w:tcPr>
          <w:p w14:paraId="3D33E4CA" w14:textId="77777777" w:rsidR="007A3BF4" w:rsidRPr="00742BF0" w:rsidRDefault="007A3BF4" w:rsidP="00F84454">
            <w:pPr>
              <w:keepNext/>
              <w:keepLines/>
              <w:jc w:val="left"/>
              <w:rPr>
                <w:rFonts w:ascii="Arial Narrow" w:hAnsi="Arial Narrow"/>
                <w:b/>
                <w:bCs/>
                <w:sz w:val="20"/>
                <w:szCs w:val="20"/>
                <w:u w:val="single"/>
              </w:rPr>
            </w:pPr>
            <w:r w:rsidRPr="00742BF0">
              <w:rPr>
                <w:rFonts w:ascii="Arial Narrow" w:hAnsi="Arial Narrow"/>
                <w:b/>
                <w:bCs/>
                <w:sz w:val="20"/>
                <w:szCs w:val="20"/>
                <w:u w:val="single"/>
              </w:rPr>
              <w:t>CRR (UPCR &lt;0.5 g/g, eGFR ≥85% of baseline and no occurrence of intercurrent events</w:t>
            </w:r>
            <w:r w:rsidRPr="00742BF0">
              <w:rPr>
                <w:rFonts w:ascii="Arial Narrow" w:hAnsi="Arial Narrow"/>
                <w:b/>
                <w:bCs/>
                <w:sz w:val="20"/>
                <w:szCs w:val="20"/>
                <w:u w:val="single"/>
                <w:vertAlign w:val="superscript"/>
              </w:rPr>
              <w:t>b</w:t>
            </w:r>
            <w:r w:rsidRPr="00742BF0">
              <w:rPr>
                <w:rFonts w:ascii="Arial Narrow" w:hAnsi="Arial Narrow"/>
                <w:b/>
                <w:bCs/>
                <w:sz w:val="20"/>
                <w:szCs w:val="20"/>
                <w:u w:val="single"/>
              </w:rPr>
              <w:t>), Wk 76</w:t>
            </w:r>
          </w:p>
        </w:tc>
      </w:tr>
      <w:tr w:rsidR="007A3BF4" w:rsidRPr="00A43C2D" w14:paraId="7E393CFC" w14:textId="77777777" w:rsidTr="0072568D">
        <w:tc>
          <w:tcPr>
            <w:tcW w:w="2263" w:type="dxa"/>
          </w:tcPr>
          <w:p w14:paraId="57FE93CD" w14:textId="77777777" w:rsidR="007A3BF4" w:rsidRPr="00A43C2D" w:rsidRDefault="007A3BF4" w:rsidP="00F84454">
            <w:pPr>
              <w:keepNext/>
              <w:keepLines/>
              <w:rPr>
                <w:rFonts w:ascii="Arial Narrow" w:hAnsi="Arial Narrow"/>
                <w:sz w:val="20"/>
                <w:szCs w:val="20"/>
              </w:rPr>
            </w:pPr>
            <w:r>
              <w:rPr>
                <w:rFonts w:ascii="Arial Narrow" w:hAnsi="Arial Narrow"/>
                <w:sz w:val="20"/>
                <w:szCs w:val="20"/>
              </w:rPr>
              <w:t>Responders observed, n(%)</w:t>
            </w:r>
          </w:p>
        </w:tc>
        <w:tc>
          <w:tcPr>
            <w:tcW w:w="1125" w:type="dxa"/>
            <w:vAlign w:val="center"/>
          </w:tcPr>
          <w:p w14:paraId="5C791183" w14:textId="77777777" w:rsidR="007A3BF4" w:rsidRPr="00A43C2D" w:rsidRDefault="007A3BF4" w:rsidP="00F84454">
            <w:pPr>
              <w:keepNext/>
              <w:keepLines/>
              <w:jc w:val="center"/>
              <w:rPr>
                <w:rFonts w:ascii="Arial Narrow" w:hAnsi="Arial Narrow"/>
                <w:sz w:val="20"/>
                <w:szCs w:val="20"/>
              </w:rPr>
            </w:pPr>
            <w:r w:rsidRPr="000E537D">
              <w:rPr>
                <w:rFonts w:ascii="Arial Narrow" w:hAnsi="Arial Narrow"/>
                <w:sz w:val="20"/>
                <w:szCs w:val="20"/>
              </w:rPr>
              <w:t>6</w:t>
            </w:r>
            <w:r>
              <w:rPr>
                <w:rFonts w:ascii="Arial Narrow" w:hAnsi="Arial Narrow"/>
                <w:sz w:val="20"/>
                <w:szCs w:val="20"/>
              </w:rPr>
              <w:t>0</w:t>
            </w:r>
            <w:r w:rsidRPr="000E537D">
              <w:rPr>
                <w:rFonts w:ascii="Arial Narrow" w:hAnsi="Arial Narrow"/>
                <w:sz w:val="20"/>
                <w:szCs w:val="20"/>
              </w:rPr>
              <w:t xml:space="preserve"> (4</w:t>
            </w:r>
            <w:r>
              <w:rPr>
                <w:rFonts w:ascii="Arial Narrow" w:hAnsi="Arial Narrow"/>
                <w:sz w:val="20"/>
                <w:szCs w:val="20"/>
              </w:rPr>
              <w:t>5.8</w:t>
            </w:r>
            <w:r w:rsidRPr="000E537D">
              <w:rPr>
                <w:rFonts w:ascii="Arial Narrow" w:hAnsi="Arial Narrow"/>
                <w:sz w:val="20"/>
                <w:szCs w:val="20"/>
              </w:rPr>
              <w:t>%)</w:t>
            </w:r>
            <w:r w:rsidRPr="00F445C5">
              <w:rPr>
                <w:rFonts w:ascii="Arial Narrow" w:hAnsi="Arial Narrow"/>
                <w:sz w:val="20"/>
                <w:szCs w:val="20"/>
                <w:vertAlign w:val="superscript"/>
              </w:rPr>
              <w:t>f</w:t>
            </w:r>
          </w:p>
        </w:tc>
        <w:tc>
          <w:tcPr>
            <w:tcW w:w="1126" w:type="dxa"/>
            <w:vAlign w:val="center"/>
          </w:tcPr>
          <w:p w14:paraId="2BA1B9F7" w14:textId="77777777" w:rsidR="007A3BF4" w:rsidRPr="00A43C2D" w:rsidRDefault="007A3BF4" w:rsidP="00F84454">
            <w:pPr>
              <w:keepNext/>
              <w:keepLines/>
              <w:jc w:val="center"/>
              <w:rPr>
                <w:rFonts w:ascii="Arial Narrow" w:hAnsi="Arial Narrow"/>
                <w:sz w:val="20"/>
                <w:szCs w:val="20"/>
              </w:rPr>
            </w:pPr>
            <w:r w:rsidRPr="000E537D">
              <w:rPr>
                <w:rFonts w:ascii="Arial Narrow" w:hAnsi="Arial Narrow"/>
                <w:sz w:val="20"/>
                <w:szCs w:val="20"/>
              </w:rPr>
              <w:t>4</w:t>
            </w:r>
            <w:r>
              <w:rPr>
                <w:rFonts w:ascii="Arial Narrow" w:hAnsi="Arial Narrow"/>
                <w:sz w:val="20"/>
                <w:szCs w:val="20"/>
              </w:rPr>
              <w:t>5</w:t>
            </w:r>
            <w:r w:rsidRPr="000E537D">
              <w:rPr>
                <w:rFonts w:ascii="Arial Narrow" w:hAnsi="Arial Narrow"/>
                <w:sz w:val="20"/>
                <w:szCs w:val="20"/>
              </w:rPr>
              <w:t xml:space="preserve"> (3</w:t>
            </w:r>
            <w:r>
              <w:rPr>
                <w:rFonts w:ascii="Arial Narrow" w:hAnsi="Arial Narrow"/>
                <w:sz w:val="20"/>
                <w:szCs w:val="20"/>
              </w:rPr>
              <w:t>3.3</w:t>
            </w:r>
            <w:r w:rsidRPr="000E537D">
              <w:rPr>
                <w:rFonts w:ascii="Arial Narrow" w:hAnsi="Arial Narrow"/>
                <w:sz w:val="20"/>
                <w:szCs w:val="20"/>
              </w:rPr>
              <w:t>%)</w:t>
            </w:r>
            <w:r w:rsidRPr="00F445C5">
              <w:rPr>
                <w:rFonts w:ascii="Arial Narrow" w:hAnsi="Arial Narrow"/>
                <w:sz w:val="20"/>
                <w:szCs w:val="20"/>
                <w:vertAlign w:val="superscript"/>
              </w:rPr>
              <w:t>f</w:t>
            </w:r>
          </w:p>
        </w:tc>
        <w:tc>
          <w:tcPr>
            <w:tcW w:w="1126" w:type="dxa"/>
            <w:vAlign w:val="center"/>
          </w:tcPr>
          <w:p w14:paraId="7667F75E" w14:textId="77777777" w:rsidR="007A3BF4" w:rsidRPr="00A43C2D" w:rsidRDefault="007A3BF4" w:rsidP="00F84454">
            <w:pPr>
              <w:keepNext/>
              <w:keepLines/>
              <w:jc w:val="center"/>
              <w:rPr>
                <w:rFonts w:ascii="Arial Narrow" w:hAnsi="Arial Narrow"/>
                <w:sz w:val="20"/>
                <w:szCs w:val="20"/>
              </w:rPr>
            </w:pPr>
            <w:r w:rsidRPr="00F445C5">
              <w:rPr>
                <w:rFonts w:ascii="Arial Narrow" w:hAnsi="Arial Narrow"/>
                <w:sz w:val="20"/>
                <w:szCs w:val="20"/>
              </w:rPr>
              <w:t>24 (38.1%)</w:t>
            </w:r>
            <w:r w:rsidRPr="00D84A00">
              <w:rPr>
                <w:rFonts w:ascii="Arial Narrow" w:hAnsi="Arial Narrow"/>
                <w:sz w:val="20"/>
                <w:szCs w:val="20"/>
                <w:vertAlign w:val="superscript"/>
              </w:rPr>
              <w:t>g</w:t>
            </w:r>
          </w:p>
        </w:tc>
        <w:tc>
          <w:tcPr>
            <w:tcW w:w="1125" w:type="dxa"/>
            <w:vAlign w:val="center"/>
          </w:tcPr>
          <w:p w14:paraId="0D89CBA9" w14:textId="77777777" w:rsidR="007A3BF4" w:rsidRPr="00A43C2D" w:rsidRDefault="007A3BF4" w:rsidP="00F84454">
            <w:pPr>
              <w:keepNext/>
              <w:keepLines/>
              <w:jc w:val="center"/>
              <w:rPr>
                <w:rFonts w:ascii="Arial Narrow" w:hAnsi="Arial Narrow"/>
                <w:sz w:val="20"/>
                <w:szCs w:val="20"/>
              </w:rPr>
            </w:pPr>
            <w:r w:rsidRPr="00F445C5">
              <w:rPr>
                <w:rFonts w:ascii="Arial Narrow" w:hAnsi="Arial Narrow"/>
                <w:sz w:val="20"/>
                <w:szCs w:val="20"/>
              </w:rPr>
              <w:t>11 (17.7%)</w:t>
            </w:r>
            <w:r w:rsidRPr="00D84A00">
              <w:rPr>
                <w:rFonts w:ascii="Arial Narrow" w:hAnsi="Arial Narrow"/>
                <w:sz w:val="20"/>
                <w:szCs w:val="20"/>
                <w:vertAlign w:val="superscript"/>
              </w:rPr>
              <w:t>g</w:t>
            </w:r>
          </w:p>
        </w:tc>
        <w:tc>
          <w:tcPr>
            <w:tcW w:w="1126" w:type="dxa"/>
            <w:vAlign w:val="center"/>
          </w:tcPr>
          <w:p w14:paraId="7A56C545" w14:textId="6542B4B0"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6DDACEB7" w14:textId="58FDF7A0"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r>
      <w:tr w:rsidR="007A3BF4" w:rsidRPr="00A43C2D" w14:paraId="531EDF4C" w14:textId="77777777" w:rsidTr="0072568D">
        <w:tc>
          <w:tcPr>
            <w:tcW w:w="2263" w:type="dxa"/>
          </w:tcPr>
          <w:p w14:paraId="74E58F26" w14:textId="77777777" w:rsidR="007A3BF4" w:rsidRPr="00A43C2D" w:rsidRDefault="007A3BF4" w:rsidP="00F84454">
            <w:pPr>
              <w:keepNext/>
              <w:keepLines/>
              <w:rPr>
                <w:rFonts w:ascii="Arial Narrow" w:hAnsi="Arial Narrow"/>
                <w:sz w:val="20"/>
                <w:szCs w:val="20"/>
              </w:rPr>
            </w:pPr>
            <w:r>
              <w:rPr>
                <w:rFonts w:ascii="Arial Narrow" w:hAnsi="Arial Narrow"/>
                <w:sz w:val="20"/>
                <w:szCs w:val="20"/>
              </w:rPr>
              <w:t>% Responders (95%CI)</w:t>
            </w:r>
            <w:r w:rsidRPr="00F445C5">
              <w:rPr>
                <w:rFonts w:ascii="Arial Narrow" w:hAnsi="Arial Narrow"/>
                <w:sz w:val="20"/>
                <w:szCs w:val="20"/>
                <w:vertAlign w:val="superscript"/>
              </w:rPr>
              <w:t>d</w:t>
            </w:r>
          </w:p>
        </w:tc>
        <w:tc>
          <w:tcPr>
            <w:tcW w:w="1125" w:type="dxa"/>
            <w:vAlign w:val="center"/>
          </w:tcPr>
          <w:p w14:paraId="25B18B89" w14:textId="77777777" w:rsidR="007A3BF4" w:rsidRPr="00A43C2D" w:rsidRDefault="007A3BF4" w:rsidP="00F84454">
            <w:pPr>
              <w:keepNext/>
              <w:keepLines/>
              <w:jc w:val="center"/>
              <w:rPr>
                <w:rFonts w:ascii="Arial Narrow" w:hAnsi="Arial Narrow"/>
                <w:sz w:val="20"/>
                <w:szCs w:val="20"/>
              </w:rPr>
            </w:pPr>
            <w:r w:rsidRPr="00031A1F">
              <w:rPr>
                <w:rFonts w:ascii="Arial Narrow" w:hAnsi="Arial Narrow"/>
                <w:sz w:val="20"/>
                <w:szCs w:val="20"/>
              </w:rPr>
              <w:t>46.4 (3</w:t>
            </w:r>
            <w:r>
              <w:rPr>
                <w:rFonts w:ascii="Arial Narrow" w:hAnsi="Arial Narrow"/>
                <w:sz w:val="20"/>
                <w:szCs w:val="20"/>
              </w:rPr>
              <w:t>8.0</w:t>
            </w:r>
            <w:r w:rsidRPr="00031A1F">
              <w:rPr>
                <w:rFonts w:ascii="Arial Narrow" w:hAnsi="Arial Narrow"/>
                <w:sz w:val="20"/>
                <w:szCs w:val="20"/>
              </w:rPr>
              <w:t>,54.</w:t>
            </w:r>
            <w:r>
              <w:rPr>
                <w:rFonts w:ascii="Arial Narrow" w:hAnsi="Arial Narrow"/>
                <w:sz w:val="20"/>
                <w:szCs w:val="20"/>
              </w:rPr>
              <w:t>9</w:t>
            </w:r>
            <w:r w:rsidRPr="00031A1F">
              <w:rPr>
                <w:rFonts w:ascii="Arial Narrow" w:hAnsi="Arial Narrow"/>
                <w:sz w:val="20"/>
                <w:szCs w:val="20"/>
              </w:rPr>
              <w:t>)</w:t>
            </w:r>
          </w:p>
        </w:tc>
        <w:tc>
          <w:tcPr>
            <w:tcW w:w="1126" w:type="dxa"/>
            <w:vAlign w:val="center"/>
          </w:tcPr>
          <w:p w14:paraId="2742BB72" w14:textId="77777777" w:rsidR="007A3BF4" w:rsidRPr="00A43C2D" w:rsidRDefault="007A3BF4" w:rsidP="00F84454">
            <w:pPr>
              <w:keepNext/>
              <w:keepLines/>
              <w:jc w:val="center"/>
              <w:rPr>
                <w:rFonts w:ascii="Arial Narrow" w:hAnsi="Arial Narrow"/>
                <w:sz w:val="20"/>
                <w:szCs w:val="20"/>
              </w:rPr>
            </w:pPr>
            <w:r w:rsidRPr="00031A1F">
              <w:rPr>
                <w:rFonts w:ascii="Arial Narrow" w:hAnsi="Arial Narrow"/>
                <w:sz w:val="20"/>
                <w:szCs w:val="20"/>
              </w:rPr>
              <w:t>33.1 (25.</w:t>
            </w:r>
            <w:r>
              <w:rPr>
                <w:rFonts w:ascii="Arial Narrow" w:hAnsi="Arial Narrow"/>
                <w:sz w:val="20"/>
                <w:szCs w:val="20"/>
              </w:rPr>
              <w:t>2</w:t>
            </w:r>
            <w:r w:rsidRPr="00031A1F">
              <w:rPr>
                <w:rFonts w:ascii="Arial Narrow" w:hAnsi="Arial Narrow"/>
                <w:sz w:val="20"/>
                <w:szCs w:val="20"/>
              </w:rPr>
              <w:t>,41.0)</w:t>
            </w:r>
          </w:p>
        </w:tc>
        <w:tc>
          <w:tcPr>
            <w:tcW w:w="1126" w:type="dxa"/>
            <w:vAlign w:val="center"/>
          </w:tcPr>
          <w:p w14:paraId="461DD27D" w14:textId="182A79F2"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5" w:type="dxa"/>
            <w:vAlign w:val="center"/>
          </w:tcPr>
          <w:p w14:paraId="0120E998" w14:textId="5F0949CC"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40B054A9" w14:textId="77777777" w:rsidR="004C1574" w:rsidRDefault="007A3BF4" w:rsidP="00F84454">
            <w:pPr>
              <w:keepNext/>
              <w:keepLines/>
              <w:jc w:val="center"/>
              <w:rPr>
                <w:rFonts w:ascii="Arial Narrow" w:hAnsi="Arial Narrow"/>
                <w:sz w:val="20"/>
                <w:szCs w:val="20"/>
              </w:rPr>
            </w:pPr>
            <w:r w:rsidRPr="005E6C97">
              <w:rPr>
                <w:rFonts w:ascii="Arial Narrow" w:hAnsi="Arial Narrow"/>
                <w:sz w:val="20"/>
                <w:szCs w:val="20"/>
              </w:rPr>
              <w:t xml:space="preserve">50.6 </w:t>
            </w:r>
          </w:p>
          <w:p w14:paraId="66AE1A13" w14:textId="0A2B783C" w:rsidR="007A3BF4" w:rsidRPr="00A43C2D" w:rsidRDefault="007A3BF4" w:rsidP="00F84454">
            <w:pPr>
              <w:keepNext/>
              <w:keepLines/>
              <w:jc w:val="center"/>
              <w:rPr>
                <w:rFonts w:ascii="Arial Narrow" w:hAnsi="Arial Narrow"/>
                <w:sz w:val="20"/>
                <w:szCs w:val="20"/>
              </w:rPr>
            </w:pPr>
            <w:r w:rsidRPr="005E6C97">
              <w:rPr>
                <w:rFonts w:ascii="Arial Narrow" w:hAnsi="Arial Narrow"/>
                <w:sz w:val="20"/>
                <w:szCs w:val="20"/>
              </w:rPr>
              <w:t>(38.</w:t>
            </w:r>
            <w:r>
              <w:rPr>
                <w:rFonts w:ascii="Arial Narrow" w:hAnsi="Arial Narrow"/>
                <w:sz w:val="20"/>
                <w:szCs w:val="20"/>
              </w:rPr>
              <w:t>1</w:t>
            </w:r>
            <w:r w:rsidRPr="005E6C97">
              <w:rPr>
                <w:rFonts w:ascii="Arial Narrow" w:hAnsi="Arial Narrow"/>
                <w:sz w:val="20"/>
                <w:szCs w:val="20"/>
              </w:rPr>
              <w:t>, 63.</w:t>
            </w:r>
            <w:r>
              <w:rPr>
                <w:rFonts w:ascii="Arial Narrow" w:hAnsi="Arial Narrow"/>
                <w:sz w:val="20"/>
                <w:szCs w:val="20"/>
              </w:rPr>
              <w:t>2</w:t>
            </w:r>
            <w:r w:rsidRPr="005E6C97">
              <w:rPr>
                <w:rFonts w:ascii="Arial Narrow" w:hAnsi="Arial Narrow"/>
                <w:sz w:val="20"/>
                <w:szCs w:val="20"/>
              </w:rPr>
              <w:t>)</w:t>
            </w:r>
          </w:p>
        </w:tc>
        <w:tc>
          <w:tcPr>
            <w:tcW w:w="1126" w:type="dxa"/>
            <w:vAlign w:val="center"/>
          </w:tcPr>
          <w:p w14:paraId="495FA237" w14:textId="77777777" w:rsidR="004C1574" w:rsidRDefault="007A3BF4" w:rsidP="00F84454">
            <w:pPr>
              <w:keepNext/>
              <w:keepLines/>
              <w:jc w:val="center"/>
              <w:rPr>
                <w:rFonts w:ascii="Arial Narrow" w:hAnsi="Arial Narrow"/>
                <w:sz w:val="20"/>
                <w:szCs w:val="20"/>
              </w:rPr>
            </w:pPr>
            <w:r w:rsidRPr="005E6C97">
              <w:rPr>
                <w:rFonts w:ascii="Arial Narrow" w:hAnsi="Arial Narrow"/>
                <w:sz w:val="20"/>
                <w:szCs w:val="20"/>
              </w:rPr>
              <w:t xml:space="preserve">28.2 </w:t>
            </w:r>
          </w:p>
          <w:p w14:paraId="402B2B09" w14:textId="47ACC072" w:rsidR="007A3BF4" w:rsidRPr="00A43C2D" w:rsidRDefault="007A3BF4" w:rsidP="00F84454">
            <w:pPr>
              <w:keepNext/>
              <w:keepLines/>
              <w:jc w:val="center"/>
              <w:rPr>
                <w:rFonts w:ascii="Arial Narrow" w:hAnsi="Arial Narrow"/>
                <w:sz w:val="20"/>
                <w:szCs w:val="20"/>
              </w:rPr>
            </w:pPr>
            <w:r w:rsidRPr="005E6C97">
              <w:rPr>
                <w:rFonts w:ascii="Arial Narrow" w:hAnsi="Arial Narrow"/>
                <w:sz w:val="20"/>
                <w:szCs w:val="20"/>
              </w:rPr>
              <w:t>(16.</w:t>
            </w:r>
            <w:r>
              <w:rPr>
                <w:rFonts w:ascii="Arial Narrow" w:hAnsi="Arial Narrow"/>
                <w:sz w:val="20"/>
                <w:szCs w:val="20"/>
              </w:rPr>
              <w:t>7</w:t>
            </w:r>
            <w:r w:rsidRPr="005E6C97">
              <w:rPr>
                <w:rFonts w:ascii="Arial Narrow" w:hAnsi="Arial Narrow"/>
                <w:sz w:val="20"/>
                <w:szCs w:val="20"/>
              </w:rPr>
              <w:t>, 39.7)</w:t>
            </w:r>
          </w:p>
        </w:tc>
      </w:tr>
      <w:tr w:rsidR="007A3BF4" w:rsidRPr="00A43C2D" w14:paraId="24870876" w14:textId="77777777" w:rsidTr="0072568D">
        <w:tc>
          <w:tcPr>
            <w:tcW w:w="2263" w:type="dxa"/>
          </w:tcPr>
          <w:p w14:paraId="62693715" w14:textId="77777777" w:rsidR="007A3BF4" w:rsidRPr="00A43C2D" w:rsidRDefault="007A3BF4" w:rsidP="00F84454">
            <w:pPr>
              <w:keepNext/>
              <w:keepLines/>
              <w:rPr>
                <w:rFonts w:ascii="Arial Narrow" w:hAnsi="Arial Narrow"/>
                <w:sz w:val="20"/>
                <w:szCs w:val="20"/>
              </w:rPr>
            </w:pPr>
            <w:r>
              <w:rPr>
                <w:rFonts w:ascii="Arial Narrow" w:hAnsi="Arial Narrow"/>
                <w:sz w:val="20"/>
                <w:szCs w:val="20"/>
              </w:rPr>
              <w:t>% Difference (95%CI)</w:t>
            </w:r>
            <w:r w:rsidRPr="00F445C5">
              <w:rPr>
                <w:rFonts w:ascii="Arial Narrow" w:hAnsi="Arial Narrow"/>
                <w:sz w:val="20"/>
                <w:szCs w:val="20"/>
                <w:vertAlign w:val="superscript"/>
              </w:rPr>
              <w:t>d</w:t>
            </w:r>
          </w:p>
        </w:tc>
        <w:tc>
          <w:tcPr>
            <w:tcW w:w="2251" w:type="dxa"/>
            <w:gridSpan w:val="2"/>
            <w:vAlign w:val="center"/>
          </w:tcPr>
          <w:p w14:paraId="7972FD9D" w14:textId="77777777" w:rsidR="007A3BF4" w:rsidRPr="005E6C97" w:rsidRDefault="007A3BF4" w:rsidP="00F84454">
            <w:pPr>
              <w:keepNext/>
              <w:keepLines/>
              <w:jc w:val="center"/>
              <w:rPr>
                <w:rFonts w:ascii="Arial Narrow" w:hAnsi="Arial Narrow"/>
                <w:b/>
                <w:bCs/>
                <w:sz w:val="20"/>
                <w:szCs w:val="20"/>
              </w:rPr>
            </w:pPr>
            <w:r w:rsidRPr="005E6C97">
              <w:rPr>
                <w:rFonts w:ascii="Arial Narrow" w:hAnsi="Arial Narrow"/>
                <w:b/>
                <w:bCs/>
                <w:sz w:val="20"/>
                <w:szCs w:val="20"/>
              </w:rPr>
              <w:t>13.4 (</w:t>
            </w:r>
            <w:r>
              <w:rPr>
                <w:rFonts w:ascii="Arial Narrow" w:hAnsi="Arial Narrow"/>
                <w:b/>
                <w:bCs/>
                <w:sz w:val="20"/>
                <w:szCs w:val="20"/>
              </w:rPr>
              <w:t>2.0</w:t>
            </w:r>
            <w:r w:rsidRPr="005E6C97">
              <w:rPr>
                <w:rFonts w:ascii="Arial Narrow" w:hAnsi="Arial Narrow"/>
                <w:b/>
                <w:bCs/>
                <w:sz w:val="20"/>
                <w:szCs w:val="20"/>
              </w:rPr>
              <w:t>, 24.8)</w:t>
            </w:r>
          </w:p>
        </w:tc>
        <w:tc>
          <w:tcPr>
            <w:tcW w:w="2251" w:type="dxa"/>
            <w:gridSpan w:val="2"/>
            <w:vAlign w:val="center"/>
          </w:tcPr>
          <w:p w14:paraId="4B7859D5" w14:textId="77777777" w:rsidR="007A3BF4" w:rsidRPr="005E6C97" w:rsidRDefault="007A3BF4" w:rsidP="00F84454">
            <w:pPr>
              <w:keepNext/>
              <w:keepLines/>
              <w:jc w:val="center"/>
              <w:rPr>
                <w:rFonts w:ascii="Arial Narrow" w:hAnsi="Arial Narrow"/>
                <w:b/>
                <w:bCs/>
                <w:sz w:val="20"/>
                <w:szCs w:val="20"/>
              </w:rPr>
            </w:pPr>
            <w:r w:rsidRPr="005E6C97">
              <w:rPr>
                <w:rFonts w:ascii="Arial Narrow" w:hAnsi="Arial Narrow"/>
                <w:b/>
                <w:bCs/>
                <w:sz w:val="20"/>
                <w:szCs w:val="20"/>
              </w:rPr>
              <w:t>20.4 (5.0, 35.7)</w:t>
            </w:r>
            <w:r w:rsidRPr="00597ED8">
              <w:rPr>
                <w:rFonts w:ascii="Arial Narrow" w:hAnsi="Arial Narrow"/>
                <w:b/>
                <w:bCs/>
                <w:sz w:val="20"/>
                <w:szCs w:val="20"/>
                <w:vertAlign w:val="superscript"/>
              </w:rPr>
              <w:t>e</w:t>
            </w:r>
          </w:p>
        </w:tc>
        <w:tc>
          <w:tcPr>
            <w:tcW w:w="2252" w:type="dxa"/>
            <w:gridSpan w:val="2"/>
            <w:vAlign w:val="center"/>
          </w:tcPr>
          <w:p w14:paraId="631B2C80" w14:textId="77777777" w:rsidR="007A3BF4" w:rsidRPr="005E6C97" w:rsidRDefault="007A3BF4" w:rsidP="00F84454">
            <w:pPr>
              <w:keepNext/>
              <w:keepLines/>
              <w:jc w:val="center"/>
              <w:rPr>
                <w:rFonts w:ascii="Arial Narrow" w:hAnsi="Arial Narrow"/>
                <w:b/>
                <w:bCs/>
                <w:sz w:val="20"/>
                <w:szCs w:val="20"/>
              </w:rPr>
            </w:pPr>
            <w:r w:rsidRPr="005E6C97">
              <w:rPr>
                <w:rFonts w:ascii="Arial Narrow" w:hAnsi="Arial Narrow"/>
                <w:b/>
                <w:bCs/>
                <w:sz w:val="20"/>
                <w:szCs w:val="20"/>
              </w:rPr>
              <w:t>23.1 (6.3, 40.0)</w:t>
            </w:r>
          </w:p>
        </w:tc>
      </w:tr>
      <w:tr w:rsidR="007A3BF4" w:rsidRPr="00A43C2D" w14:paraId="5314F02B" w14:textId="77777777" w:rsidTr="0072568D">
        <w:tc>
          <w:tcPr>
            <w:tcW w:w="9017" w:type="dxa"/>
            <w:gridSpan w:val="7"/>
            <w:vAlign w:val="center"/>
          </w:tcPr>
          <w:p w14:paraId="6B5C6829" w14:textId="5D69FC0A" w:rsidR="007A3BF4" w:rsidRPr="00742BF0" w:rsidRDefault="007A3BF4" w:rsidP="00F84454">
            <w:pPr>
              <w:keepNext/>
              <w:keepLines/>
              <w:jc w:val="left"/>
              <w:rPr>
                <w:rFonts w:ascii="Arial Narrow" w:hAnsi="Arial Narrow"/>
                <w:b/>
                <w:bCs/>
                <w:sz w:val="20"/>
                <w:szCs w:val="20"/>
              </w:rPr>
            </w:pPr>
            <w:r w:rsidRPr="00742BF0">
              <w:rPr>
                <w:rFonts w:ascii="Arial Narrow" w:hAnsi="Arial Narrow"/>
                <w:b/>
                <w:bCs/>
                <w:sz w:val="20"/>
                <w:szCs w:val="20"/>
                <w:u w:val="single"/>
              </w:rPr>
              <w:t>CRR with prednisone taper (prednisone ≤7.5 mg/day)</w:t>
            </w:r>
            <w:r>
              <w:rPr>
                <w:rFonts w:ascii="Arial Narrow" w:hAnsi="Arial Narrow"/>
                <w:b/>
                <w:bCs/>
                <w:sz w:val="20"/>
                <w:szCs w:val="20"/>
                <w:u w:val="single"/>
              </w:rPr>
              <w:t>,</w:t>
            </w:r>
            <w:r w:rsidRPr="00742BF0">
              <w:rPr>
                <w:rFonts w:ascii="Arial Narrow" w:hAnsi="Arial Narrow"/>
                <w:b/>
                <w:bCs/>
                <w:sz w:val="20"/>
                <w:szCs w:val="20"/>
                <w:u w:val="single"/>
              </w:rPr>
              <w:t xml:space="preserve"> Wks 64</w:t>
            </w:r>
            <w:r w:rsidR="00FF1914">
              <w:rPr>
                <w:rFonts w:ascii="Arial Narrow" w:hAnsi="Arial Narrow"/>
                <w:b/>
                <w:bCs/>
                <w:sz w:val="20"/>
                <w:szCs w:val="20"/>
                <w:u w:val="single"/>
              </w:rPr>
              <w:noBreakHyphen/>
            </w:r>
            <w:r w:rsidRPr="00742BF0">
              <w:rPr>
                <w:rFonts w:ascii="Arial Narrow" w:hAnsi="Arial Narrow"/>
                <w:b/>
                <w:bCs/>
                <w:sz w:val="20"/>
                <w:szCs w:val="20"/>
                <w:u w:val="single"/>
              </w:rPr>
              <w:t>76</w:t>
            </w:r>
          </w:p>
        </w:tc>
      </w:tr>
      <w:tr w:rsidR="007A3BF4" w:rsidRPr="00A43C2D" w14:paraId="201930C0" w14:textId="77777777" w:rsidTr="0072568D">
        <w:tc>
          <w:tcPr>
            <w:tcW w:w="2263" w:type="dxa"/>
          </w:tcPr>
          <w:p w14:paraId="654E8473" w14:textId="77777777" w:rsidR="007A3BF4" w:rsidRPr="00A43C2D" w:rsidRDefault="007A3BF4" w:rsidP="00F84454">
            <w:pPr>
              <w:keepNext/>
              <w:keepLines/>
              <w:rPr>
                <w:rFonts w:ascii="Arial Narrow" w:hAnsi="Arial Narrow"/>
                <w:sz w:val="20"/>
                <w:szCs w:val="20"/>
              </w:rPr>
            </w:pPr>
            <w:r>
              <w:rPr>
                <w:rFonts w:ascii="Arial Narrow" w:hAnsi="Arial Narrow"/>
                <w:sz w:val="20"/>
                <w:szCs w:val="20"/>
              </w:rPr>
              <w:t>% Responders (95%CI)</w:t>
            </w:r>
            <w:r w:rsidRPr="00F445C5">
              <w:rPr>
                <w:rFonts w:ascii="Arial Narrow" w:hAnsi="Arial Narrow"/>
                <w:sz w:val="20"/>
                <w:szCs w:val="20"/>
                <w:vertAlign w:val="superscript"/>
              </w:rPr>
              <w:t>d</w:t>
            </w:r>
          </w:p>
        </w:tc>
        <w:tc>
          <w:tcPr>
            <w:tcW w:w="1125" w:type="dxa"/>
            <w:vAlign w:val="center"/>
          </w:tcPr>
          <w:p w14:paraId="50DFDF1E" w14:textId="77777777" w:rsidR="004C1574" w:rsidRDefault="007A3BF4" w:rsidP="00F84454">
            <w:pPr>
              <w:keepNext/>
              <w:keepLines/>
              <w:jc w:val="center"/>
              <w:rPr>
                <w:rFonts w:ascii="Arial Narrow" w:hAnsi="Arial Narrow"/>
                <w:sz w:val="20"/>
                <w:szCs w:val="20"/>
              </w:rPr>
            </w:pPr>
            <w:r w:rsidRPr="000E537D">
              <w:rPr>
                <w:rFonts w:ascii="Arial Narrow" w:hAnsi="Arial Narrow"/>
                <w:sz w:val="20"/>
                <w:szCs w:val="20"/>
              </w:rPr>
              <w:t>42.7</w:t>
            </w:r>
          </w:p>
          <w:p w14:paraId="103C2006" w14:textId="7403CD17" w:rsidR="007A3BF4" w:rsidRPr="00A43C2D" w:rsidRDefault="007A3BF4" w:rsidP="00F84454">
            <w:pPr>
              <w:keepNext/>
              <w:keepLines/>
              <w:jc w:val="center"/>
              <w:rPr>
                <w:rFonts w:ascii="Arial Narrow" w:hAnsi="Arial Narrow"/>
                <w:sz w:val="20"/>
                <w:szCs w:val="20"/>
              </w:rPr>
            </w:pPr>
            <w:r w:rsidRPr="000E537D">
              <w:rPr>
                <w:rFonts w:ascii="Arial Narrow" w:hAnsi="Arial Narrow"/>
                <w:sz w:val="20"/>
                <w:szCs w:val="20"/>
              </w:rPr>
              <w:t>(34.32, 51.09)</w:t>
            </w:r>
          </w:p>
        </w:tc>
        <w:tc>
          <w:tcPr>
            <w:tcW w:w="1126" w:type="dxa"/>
            <w:vAlign w:val="center"/>
          </w:tcPr>
          <w:p w14:paraId="15916F47" w14:textId="77777777" w:rsidR="003B174A" w:rsidRDefault="007A3BF4" w:rsidP="00F84454">
            <w:pPr>
              <w:keepNext/>
              <w:keepLines/>
              <w:jc w:val="center"/>
              <w:rPr>
                <w:rFonts w:ascii="Arial Narrow" w:hAnsi="Arial Narrow"/>
                <w:sz w:val="20"/>
                <w:szCs w:val="20"/>
              </w:rPr>
            </w:pPr>
            <w:r w:rsidRPr="000E537D">
              <w:rPr>
                <w:rFonts w:ascii="Arial Narrow" w:hAnsi="Arial Narrow"/>
                <w:sz w:val="20"/>
                <w:szCs w:val="20"/>
              </w:rPr>
              <w:t>30.9</w:t>
            </w:r>
          </w:p>
          <w:p w14:paraId="6DA53D66" w14:textId="4F51F0D8" w:rsidR="007A3BF4" w:rsidRPr="00A43C2D" w:rsidRDefault="007A3BF4" w:rsidP="00F84454">
            <w:pPr>
              <w:keepNext/>
              <w:keepLines/>
              <w:jc w:val="center"/>
              <w:rPr>
                <w:rFonts w:ascii="Arial Narrow" w:hAnsi="Arial Narrow"/>
                <w:sz w:val="20"/>
                <w:szCs w:val="20"/>
              </w:rPr>
            </w:pPr>
            <w:r w:rsidRPr="000E537D">
              <w:rPr>
                <w:rFonts w:ascii="Arial Narrow" w:hAnsi="Arial Narrow"/>
                <w:sz w:val="20"/>
                <w:szCs w:val="20"/>
              </w:rPr>
              <w:t>(23.12, 38.65)</w:t>
            </w:r>
          </w:p>
        </w:tc>
        <w:tc>
          <w:tcPr>
            <w:tcW w:w="1126" w:type="dxa"/>
            <w:vAlign w:val="center"/>
          </w:tcPr>
          <w:p w14:paraId="77316D3C" w14:textId="3043684A"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5" w:type="dxa"/>
            <w:vAlign w:val="center"/>
          </w:tcPr>
          <w:p w14:paraId="3E388850" w14:textId="41CA9BE5"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2646076E" w14:textId="77777777" w:rsidR="004C1574" w:rsidRDefault="007A3BF4" w:rsidP="00F84454">
            <w:pPr>
              <w:keepNext/>
              <w:keepLines/>
              <w:jc w:val="center"/>
              <w:rPr>
                <w:rFonts w:ascii="Arial Narrow" w:hAnsi="Arial Narrow"/>
                <w:sz w:val="20"/>
                <w:szCs w:val="20"/>
              </w:rPr>
            </w:pPr>
            <w:r w:rsidRPr="008B59D6">
              <w:rPr>
                <w:rFonts w:ascii="Arial Narrow" w:hAnsi="Arial Narrow"/>
                <w:sz w:val="20"/>
                <w:szCs w:val="20"/>
              </w:rPr>
              <w:t>50.4</w:t>
            </w:r>
          </w:p>
          <w:p w14:paraId="19D24619" w14:textId="6797E059" w:rsidR="007A3BF4" w:rsidRPr="00A43C2D" w:rsidRDefault="007A3BF4" w:rsidP="00F84454">
            <w:pPr>
              <w:keepNext/>
              <w:keepLines/>
              <w:jc w:val="center"/>
              <w:rPr>
                <w:rFonts w:ascii="Arial Narrow" w:hAnsi="Arial Narrow"/>
                <w:sz w:val="20"/>
                <w:szCs w:val="20"/>
              </w:rPr>
            </w:pPr>
            <w:r w:rsidRPr="008B59D6">
              <w:rPr>
                <w:rFonts w:ascii="Arial Narrow" w:hAnsi="Arial Narrow"/>
                <w:sz w:val="20"/>
                <w:szCs w:val="20"/>
              </w:rPr>
              <w:t>(37.9, 6</w:t>
            </w:r>
            <w:r>
              <w:rPr>
                <w:rFonts w:ascii="Arial Narrow" w:hAnsi="Arial Narrow"/>
                <w:sz w:val="20"/>
                <w:szCs w:val="20"/>
              </w:rPr>
              <w:t>3.0</w:t>
            </w:r>
            <w:r w:rsidRPr="008B59D6">
              <w:rPr>
                <w:rFonts w:ascii="Arial Narrow" w:hAnsi="Arial Narrow"/>
                <w:sz w:val="20"/>
                <w:szCs w:val="20"/>
              </w:rPr>
              <w:t>)</w:t>
            </w:r>
          </w:p>
        </w:tc>
        <w:tc>
          <w:tcPr>
            <w:tcW w:w="1126" w:type="dxa"/>
            <w:vAlign w:val="center"/>
          </w:tcPr>
          <w:p w14:paraId="54F1E663" w14:textId="77777777" w:rsidR="004C1574" w:rsidRDefault="007A3BF4" w:rsidP="00F84454">
            <w:pPr>
              <w:keepNext/>
              <w:keepLines/>
              <w:jc w:val="center"/>
              <w:rPr>
                <w:rFonts w:ascii="Arial Narrow" w:hAnsi="Arial Narrow"/>
                <w:sz w:val="20"/>
                <w:szCs w:val="20"/>
              </w:rPr>
            </w:pPr>
            <w:r w:rsidRPr="008B59D6">
              <w:rPr>
                <w:rFonts w:ascii="Arial Narrow" w:hAnsi="Arial Narrow"/>
                <w:sz w:val="20"/>
                <w:szCs w:val="20"/>
              </w:rPr>
              <w:t>26.6</w:t>
            </w:r>
          </w:p>
          <w:p w14:paraId="32D7E92D" w14:textId="7157EB7C" w:rsidR="007A3BF4" w:rsidRPr="00A43C2D" w:rsidRDefault="007A3BF4" w:rsidP="00F84454">
            <w:pPr>
              <w:keepNext/>
              <w:keepLines/>
              <w:jc w:val="center"/>
              <w:rPr>
                <w:rFonts w:ascii="Arial Narrow" w:hAnsi="Arial Narrow"/>
                <w:sz w:val="20"/>
                <w:szCs w:val="20"/>
              </w:rPr>
            </w:pPr>
            <w:r w:rsidRPr="008B59D6">
              <w:rPr>
                <w:rFonts w:ascii="Arial Narrow" w:hAnsi="Arial Narrow"/>
                <w:sz w:val="20"/>
                <w:szCs w:val="20"/>
              </w:rPr>
              <w:t>(15.2, 37.9)</w:t>
            </w:r>
          </w:p>
        </w:tc>
      </w:tr>
      <w:tr w:rsidR="007A3BF4" w:rsidRPr="00A43C2D" w14:paraId="73B1442F" w14:textId="77777777" w:rsidTr="0072568D">
        <w:tc>
          <w:tcPr>
            <w:tcW w:w="2263" w:type="dxa"/>
          </w:tcPr>
          <w:p w14:paraId="01700195" w14:textId="77777777" w:rsidR="007A3BF4" w:rsidRPr="00A43C2D" w:rsidRDefault="007A3BF4" w:rsidP="00F84454">
            <w:pPr>
              <w:keepNext/>
              <w:keepLines/>
              <w:rPr>
                <w:rFonts w:ascii="Arial Narrow" w:hAnsi="Arial Narrow"/>
                <w:sz w:val="20"/>
                <w:szCs w:val="20"/>
              </w:rPr>
            </w:pPr>
            <w:r>
              <w:rPr>
                <w:rFonts w:ascii="Arial Narrow" w:hAnsi="Arial Narrow"/>
                <w:sz w:val="20"/>
                <w:szCs w:val="20"/>
              </w:rPr>
              <w:t>% Difference (95%CI)</w:t>
            </w:r>
            <w:r w:rsidRPr="00F445C5">
              <w:rPr>
                <w:rFonts w:ascii="Arial Narrow" w:hAnsi="Arial Narrow"/>
                <w:sz w:val="20"/>
                <w:szCs w:val="20"/>
                <w:vertAlign w:val="superscript"/>
              </w:rPr>
              <w:t>d</w:t>
            </w:r>
          </w:p>
        </w:tc>
        <w:tc>
          <w:tcPr>
            <w:tcW w:w="2251" w:type="dxa"/>
            <w:gridSpan w:val="2"/>
            <w:vAlign w:val="center"/>
          </w:tcPr>
          <w:p w14:paraId="40F95DB6" w14:textId="77777777" w:rsidR="007A3BF4" w:rsidRPr="000E537D" w:rsidRDefault="007A3BF4" w:rsidP="00F84454">
            <w:pPr>
              <w:keepNext/>
              <w:keepLines/>
              <w:jc w:val="center"/>
              <w:rPr>
                <w:rFonts w:ascii="Arial Narrow" w:hAnsi="Arial Narrow"/>
                <w:b/>
                <w:bCs/>
                <w:sz w:val="20"/>
                <w:szCs w:val="20"/>
              </w:rPr>
            </w:pPr>
            <w:r w:rsidRPr="000E537D">
              <w:rPr>
                <w:rFonts w:ascii="Arial Narrow" w:hAnsi="Arial Narrow"/>
                <w:b/>
                <w:bCs/>
                <w:sz w:val="20"/>
                <w:szCs w:val="20"/>
              </w:rPr>
              <w:t>11.</w:t>
            </w:r>
            <w:r>
              <w:rPr>
                <w:rFonts w:ascii="Arial Narrow" w:hAnsi="Arial Narrow"/>
                <w:b/>
                <w:bCs/>
                <w:sz w:val="20"/>
                <w:szCs w:val="20"/>
              </w:rPr>
              <w:t>9</w:t>
            </w:r>
            <w:r w:rsidRPr="000E537D">
              <w:rPr>
                <w:rFonts w:ascii="Arial Narrow" w:hAnsi="Arial Narrow"/>
                <w:b/>
                <w:bCs/>
                <w:sz w:val="20"/>
                <w:szCs w:val="20"/>
              </w:rPr>
              <w:t xml:space="preserve"> (0.57, 23.</w:t>
            </w:r>
            <w:r>
              <w:rPr>
                <w:rFonts w:ascii="Arial Narrow" w:hAnsi="Arial Narrow"/>
                <w:b/>
                <w:bCs/>
                <w:sz w:val="20"/>
                <w:szCs w:val="20"/>
              </w:rPr>
              <w:t>2</w:t>
            </w:r>
            <w:r w:rsidRPr="000E537D">
              <w:rPr>
                <w:rFonts w:ascii="Arial Narrow" w:hAnsi="Arial Narrow"/>
                <w:b/>
                <w:bCs/>
                <w:sz w:val="20"/>
                <w:szCs w:val="20"/>
              </w:rPr>
              <w:t>)</w:t>
            </w:r>
          </w:p>
        </w:tc>
        <w:tc>
          <w:tcPr>
            <w:tcW w:w="2251" w:type="dxa"/>
            <w:gridSpan w:val="2"/>
            <w:vAlign w:val="center"/>
          </w:tcPr>
          <w:p w14:paraId="398CEBE1" w14:textId="5E294A29"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2252" w:type="dxa"/>
            <w:gridSpan w:val="2"/>
            <w:vAlign w:val="center"/>
          </w:tcPr>
          <w:p w14:paraId="6E41F718" w14:textId="77777777" w:rsidR="007A3BF4" w:rsidRPr="008B59D6" w:rsidRDefault="007A3BF4" w:rsidP="00F84454">
            <w:pPr>
              <w:keepNext/>
              <w:keepLines/>
              <w:jc w:val="center"/>
              <w:rPr>
                <w:rFonts w:ascii="Arial Narrow" w:hAnsi="Arial Narrow"/>
                <w:b/>
                <w:bCs/>
                <w:sz w:val="20"/>
                <w:szCs w:val="20"/>
              </w:rPr>
            </w:pPr>
            <w:r w:rsidRPr="008B59D6">
              <w:rPr>
                <w:rFonts w:ascii="Arial Narrow" w:hAnsi="Arial Narrow"/>
                <w:b/>
                <w:bCs/>
                <w:sz w:val="20"/>
                <w:szCs w:val="20"/>
              </w:rPr>
              <w:t>24.6 (7.8, 41.3)</w:t>
            </w:r>
          </w:p>
        </w:tc>
      </w:tr>
      <w:tr w:rsidR="007A3BF4" w:rsidRPr="00A43C2D" w14:paraId="5A58B013" w14:textId="77777777" w:rsidTr="0072568D">
        <w:tc>
          <w:tcPr>
            <w:tcW w:w="9017" w:type="dxa"/>
            <w:gridSpan w:val="7"/>
            <w:vAlign w:val="center"/>
          </w:tcPr>
          <w:p w14:paraId="7291B1A3" w14:textId="77777777" w:rsidR="007A3BF4" w:rsidRPr="00742BF0" w:rsidRDefault="007A3BF4" w:rsidP="00F84454">
            <w:pPr>
              <w:keepNext/>
              <w:keepLines/>
              <w:jc w:val="left"/>
              <w:rPr>
                <w:rFonts w:ascii="Arial Narrow" w:hAnsi="Arial Narrow"/>
                <w:b/>
                <w:bCs/>
                <w:sz w:val="20"/>
                <w:szCs w:val="20"/>
                <w:u w:val="single"/>
              </w:rPr>
            </w:pPr>
            <w:r w:rsidRPr="00742BF0">
              <w:rPr>
                <w:rFonts w:ascii="Arial Narrow" w:hAnsi="Arial Narrow"/>
                <w:b/>
                <w:bCs/>
                <w:sz w:val="20"/>
                <w:szCs w:val="20"/>
                <w:u w:val="single"/>
              </w:rPr>
              <w:t>PRR (≥50% reduction in UPCR, UPCR &lt;1, eGFR ≥85% of baseline, no occurrence of intercurrent events</w:t>
            </w:r>
            <w:r w:rsidRPr="00742BF0">
              <w:rPr>
                <w:rFonts w:ascii="Arial Narrow" w:hAnsi="Arial Narrow"/>
                <w:b/>
                <w:bCs/>
                <w:sz w:val="20"/>
                <w:szCs w:val="20"/>
                <w:u w:val="single"/>
                <w:vertAlign w:val="superscript"/>
              </w:rPr>
              <w:t>b</w:t>
            </w:r>
            <w:r w:rsidRPr="00742BF0">
              <w:rPr>
                <w:rFonts w:ascii="Arial Narrow" w:hAnsi="Arial Narrow"/>
                <w:b/>
                <w:bCs/>
                <w:sz w:val="20"/>
                <w:szCs w:val="20"/>
                <w:u w:val="single"/>
              </w:rPr>
              <w:t>), Wk 76</w:t>
            </w:r>
          </w:p>
        </w:tc>
      </w:tr>
      <w:tr w:rsidR="007A3BF4" w:rsidRPr="00A43C2D" w14:paraId="7ED544C9" w14:textId="77777777" w:rsidTr="0072568D">
        <w:tc>
          <w:tcPr>
            <w:tcW w:w="2263" w:type="dxa"/>
          </w:tcPr>
          <w:p w14:paraId="1767BE78" w14:textId="77777777" w:rsidR="007A3BF4" w:rsidRDefault="007A3BF4" w:rsidP="00F84454">
            <w:pPr>
              <w:keepNext/>
              <w:keepLines/>
              <w:rPr>
                <w:rFonts w:ascii="Arial Narrow" w:hAnsi="Arial Narrow"/>
                <w:sz w:val="20"/>
                <w:szCs w:val="20"/>
              </w:rPr>
            </w:pPr>
            <w:r>
              <w:rPr>
                <w:rFonts w:ascii="Arial Narrow" w:hAnsi="Arial Narrow"/>
                <w:sz w:val="20"/>
                <w:szCs w:val="20"/>
              </w:rPr>
              <w:t>Responders observed, n(%)</w:t>
            </w:r>
          </w:p>
        </w:tc>
        <w:tc>
          <w:tcPr>
            <w:tcW w:w="1125" w:type="dxa"/>
            <w:vAlign w:val="center"/>
          </w:tcPr>
          <w:p w14:paraId="0202B4D9" w14:textId="77777777" w:rsidR="007A3BF4" w:rsidRPr="002B7DA1" w:rsidRDefault="007A3BF4" w:rsidP="00F84454">
            <w:pPr>
              <w:keepNext/>
              <w:keepLines/>
              <w:jc w:val="center"/>
              <w:rPr>
                <w:rFonts w:ascii="Arial Narrow" w:hAnsi="Arial Narrow"/>
                <w:sz w:val="20"/>
                <w:szCs w:val="20"/>
              </w:rPr>
            </w:pPr>
            <w:r w:rsidRPr="002B7DA1">
              <w:rPr>
                <w:rFonts w:ascii="Arial Narrow" w:hAnsi="Arial Narrow"/>
                <w:sz w:val="20"/>
                <w:szCs w:val="20"/>
              </w:rPr>
              <w:t>18 (13.7%)</w:t>
            </w:r>
          </w:p>
        </w:tc>
        <w:tc>
          <w:tcPr>
            <w:tcW w:w="1126" w:type="dxa"/>
            <w:vAlign w:val="center"/>
          </w:tcPr>
          <w:p w14:paraId="3CE0A599" w14:textId="77777777" w:rsidR="007A3BF4" w:rsidRPr="002B7DA1" w:rsidRDefault="007A3BF4" w:rsidP="00F84454">
            <w:pPr>
              <w:keepNext/>
              <w:keepLines/>
              <w:jc w:val="center"/>
              <w:rPr>
                <w:rFonts w:ascii="Arial Narrow" w:hAnsi="Arial Narrow"/>
                <w:sz w:val="20"/>
                <w:szCs w:val="20"/>
              </w:rPr>
            </w:pPr>
            <w:r w:rsidRPr="002B7DA1">
              <w:rPr>
                <w:rFonts w:ascii="Arial Narrow" w:hAnsi="Arial Narrow"/>
                <w:sz w:val="20"/>
                <w:szCs w:val="20"/>
              </w:rPr>
              <w:t>15 (11.1%)</w:t>
            </w:r>
          </w:p>
        </w:tc>
        <w:tc>
          <w:tcPr>
            <w:tcW w:w="1126" w:type="dxa"/>
            <w:vAlign w:val="center"/>
          </w:tcPr>
          <w:p w14:paraId="113DC457" w14:textId="77777777" w:rsidR="007A3BF4" w:rsidRDefault="007A3BF4" w:rsidP="00F84454">
            <w:pPr>
              <w:keepNext/>
              <w:keepLines/>
              <w:jc w:val="center"/>
              <w:rPr>
                <w:rFonts w:ascii="Arial Narrow" w:hAnsi="Arial Narrow"/>
                <w:sz w:val="20"/>
                <w:szCs w:val="20"/>
              </w:rPr>
            </w:pPr>
            <w:r w:rsidRPr="00D84A00">
              <w:rPr>
                <w:rFonts w:ascii="Arial Narrow" w:hAnsi="Arial Narrow"/>
                <w:sz w:val="20"/>
                <w:szCs w:val="20"/>
              </w:rPr>
              <w:t xml:space="preserve">31 </w:t>
            </w:r>
            <w:r>
              <w:rPr>
                <w:rFonts w:ascii="Arial Narrow" w:hAnsi="Arial Narrow"/>
                <w:sz w:val="20"/>
                <w:szCs w:val="20"/>
              </w:rPr>
              <w:t>(</w:t>
            </w:r>
            <w:r w:rsidRPr="00D84A00">
              <w:rPr>
                <w:rFonts w:ascii="Arial Narrow" w:hAnsi="Arial Narrow"/>
                <w:sz w:val="20"/>
                <w:szCs w:val="20"/>
              </w:rPr>
              <w:t>49.2%</w:t>
            </w:r>
            <w:r>
              <w:rPr>
                <w:rFonts w:ascii="Arial Narrow" w:hAnsi="Arial Narrow"/>
                <w:sz w:val="20"/>
                <w:szCs w:val="20"/>
              </w:rPr>
              <w:t>)</w:t>
            </w:r>
            <w:r w:rsidRPr="00D84A00">
              <w:rPr>
                <w:rFonts w:ascii="Arial Narrow" w:hAnsi="Arial Narrow"/>
                <w:sz w:val="20"/>
                <w:szCs w:val="20"/>
                <w:vertAlign w:val="superscript"/>
              </w:rPr>
              <w:t>h</w:t>
            </w:r>
          </w:p>
        </w:tc>
        <w:tc>
          <w:tcPr>
            <w:tcW w:w="1125" w:type="dxa"/>
            <w:vAlign w:val="center"/>
          </w:tcPr>
          <w:p w14:paraId="09A1FB5A" w14:textId="77777777" w:rsidR="007A3BF4" w:rsidRDefault="007A3BF4" w:rsidP="00F84454">
            <w:pPr>
              <w:keepNext/>
              <w:keepLines/>
              <w:jc w:val="center"/>
              <w:rPr>
                <w:rFonts w:ascii="Arial Narrow" w:hAnsi="Arial Narrow"/>
                <w:sz w:val="20"/>
                <w:szCs w:val="20"/>
              </w:rPr>
            </w:pPr>
            <w:r>
              <w:rPr>
                <w:rFonts w:ascii="Arial Narrow" w:hAnsi="Arial Narrow"/>
                <w:sz w:val="20"/>
                <w:szCs w:val="20"/>
              </w:rPr>
              <w:t>18 (29%)</w:t>
            </w:r>
            <w:r w:rsidRPr="00D84A00">
              <w:rPr>
                <w:rFonts w:ascii="Arial Narrow" w:hAnsi="Arial Narrow"/>
                <w:sz w:val="20"/>
                <w:szCs w:val="20"/>
                <w:vertAlign w:val="superscript"/>
              </w:rPr>
              <w:t>h</w:t>
            </w:r>
          </w:p>
        </w:tc>
        <w:tc>
          <w:tcPr>
            <w:tcW w:w="1126" w:type="dxa"/>
            <w:vAlign w:val="center"/>
          </w:tcPr>
          <w:p w14:paraId="26345296" w14:textId="66B2F138" w:rsidR="007A3BF4"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40510262" w14:textId="2B22E56E" w:rsidR="007A3BF4" w:rsidRDefault="00FF1914" w:rsidP="00F84454">
            <w:pPr>
              <w:keepNext/>
              <w:keepLines/>
              <w:jc w:val="center"/>
              <w:rPr>
                <w:rFonts w:ascii="Arial Narrow" w:hAnsi="Arial Narrow"/>
                <w:sz w:val="20"/>
                <w:szCs w:val="20"/>
              </w:rPr>
            </w:pPr>
            <w:r>
              <w:rPr>
                <w:rFonts w:ascii="Arial Narrow" w:hAnsi="Arial Narrow"/>
                <w:sz w:val="20"/>
                <w:szCs w:val="20"/>
              </w:rPr>
              <w:noBreakHyphen/>
            </w:r>
          </w:p>
        </w:tc>
      </w:tr>
      <w:tr w:rsidR="007A3BF4" w:rsidRPr="00A43C2D" w14:paraId="7AE2AED9" w14:textId="77777777" w:rsidTr="0072568D">
        <w:tc>
          <w:tcPr>
            <w:tcW w:w="2263" w:type="dxa"/>
          </w:tcPr>
          <w:p w14:paraId="56BCD565" w14:textId="77777777" w:rsidR="007A3BF4" w:rsidRPr="00A43C2D" w:rsidRDefault="007A3BF4" w:rsidP="00F84454">
            <w:pPr>
              <w:keepNext/>
              <w:keepLines/>
              <w:rPr>
                <w:rFonts w:ascii="Arial Narrow" w:hAnsi="Arial Narrow"/>
                <w:sz w:val="20"/>
                <w:szCs w:val="20"/>
              </w:rPr>
            </w:pPr>
            <w:r>
              <w:rPr>
                <w:rFonts w:ascii="Arial Narrow" w:hAnsi="Arial Narrow"/>
                <w:sz w:val="20"/>
                <w:szCs w:val="20"/>
              </w:rPr>
              <w:t>% Responders (95%CI)</w:t>
            </w:r>
            <w:r w:rsidRPr="00F445C5">
              <w:rPr>
                <w:rFonts w:ascii="Arial Narrow" w:hAnsi="Arial Narrow"/>
                <w:sz w:val="20"/>
                <w:szCs w:val="20"/>
                <w:vertAlign w:val="superscript"/>
              </w:rPr>
              <w:t>d</w:t>
            </w:r>
          </w:p>
        </w:tc>
        <w:tc>
          <w:tcPr>
            <w:tcW w:w="1125" w:type="dxa"/>
            <w:vAlign w:val="center"/>
          </w:tcPr>
          <w:p w14:paraId="60D965CF" w14:textId="77777777" w:rsidR="003B174A" w:rsidRDefault="007A3BF4" w:rsidP="00F84454">
            <w:pPr>
              <w:keepNext/>
              <w:keepLines/>
              <w:jc w:val="center"/>
              <w:rPr>
                <w:rFonts w:ascii="Arial Narrow" w:hAnsi="Arial Narrow"/>
                <w:sz w:val="20"/>
                <w:szCs w:val="20"/>
              </w:rPr>
            </w:pPr>
            <w:r w:rsidRPr="002B7DA1">
              <w:rPr>
                <w:rFonts w:ascii="Arial Narrow" w:hAnsi="Arial Narrow"/>
                <w:sz w:val="20"/>
                <w:szCs w:val="20"/>
              </w:rPr>
              <w:t>14.0</w:t>
            </w:r>
          </w:p>
          <w:p w14:paraId="25535FA1" w14:textId="0F239E47" w:rsidR="007A3BF4" w:rsidRPr="00A43C2D" w:rsidRDefault="007A3BF4" w:rsidP="00F84454">
            <w:pPr>
              <w:keepNext/>
              <w:keepLines/>
              <w:jc w:val="center"/>
              <w:rPr>
                <w:rFonts w:ascii="Arial Narrow" w:hAnsi="Arial Narrow"/>
                <w:sz w:val="20"/>
                <w:szCs w:val="20"/>
              </w:rPr>
            </w:pPr>
            <w:r w:rsidRPr="002B7DA1">
              <w:rPr>
                <w:rFonts w:ascii="Arial Narrow" w:hAnsi="Arial Narrow"/>
                <w:sz w:val="20"/>
                <w:szCs w:val="20"/>
              </w:rPr>
              <w:t>(8.1, 19.9)</w:t>
            </w:r>
          </w:p>
        </w:tc>
        <w:tc>
          <w:tcPr>
            <w:tcW w:w="1126" w:type="dxa"/>
            <w:vAlign w:val="center"/>
          </w:tcPr>
          <w:p w14:paraId="7BD09DF3" w14:textId="77777777" w:rsidR="003B174A" w:rsidRDefault="007A3BF4" w:rsidP="00F84454">
            <w:pPr>
              <w:keepNext/>
              <w:keepLines/>
              <w:jc w:val="center"/>
              <w:rPr>
                <w:rFonts w:ascii="Arial Narrow" w:hAnsi="Arial Narrow"/>
                <w:sz w:val="20"/>
                <w:szCs w:val="20"/>
              </w:rPr>
            </w:pPr>
            <w:r w:rsidRPr="002B7DA1">
              <w:rPr>
                <w:rFonts w:ascii="Arial Narrow" w:hAnsi="Arial Narrow"/>
                <w:sz w:val="20"/>
                <w:szCs w:val="20"/>
              </w:rPr>
              <w:t>11.8</w:t>
            </w:r>
          </w:p>
          <w:p w14:paraId="0A887876" w14:textId="0D486253" w:rsidR="007A3BF4" w:rsidRPr="00A43C2D" w:rsidRDefault="007A3BF4" w:rsidP="00F84454">
            <w:pPr>
              <w:keepNext/>
              <w:keepLines/>
              <w:jc w:val="center"/>
              <w:rPr>
                <w:rFonts w:ascii="Arial Narrow" w:hAnsi="Arial Narrow"/>
                <w:sz w:val="20"/>
                <w:szCs w:val="20"/>
              </w:rPr>
            </w:pPr>
            <w:r w:rsidRPr="002B7DA1">
              <w:rPr>
                <w:rFonts w:ascii="Arial Narrow" w:hAnsi="Arial Narrow"/>
                <w:sz w:val="20"/>
                <w:szCs w:val="20"/>
              </w:rPr>
              <w:t>(6.</w:t>
            </w:r>
            <w:r>
              <w:rPr>
                <w:rFonts w:ascii="Arial Narrow" w:hAnsi="Arial Narrow"/>
                <w:sz w:val="20"/>
                <w:szCs w:val="20"/>
              </w:rPr>
              <w:t>4</w:t>
            </w:r>
            <w:r w:rsidRPr="002B7DA1">
              <w:rPr>
                <w:rFonts w:ascii="Arial Narrow" w:hAnsi="Arial Narrow"/>
                <w:sz w:val="20"/>
                <w:szCs w:val="20"/>
              </w:rPr>
              <w:t>, 17.</w:t>
            </w:r>
            <w:r>
              <w:rPr>
                <w:rFonts w:ascii="Arial Narrow" w:hAnsi="Arial Narrow"/>
                <w:sz w:val="20"/>
                <w:szCs w:val="20"/>
              </w:rPr>
              <w:t>2</w:t>
            </w:r>
            <w:r w:rsidRPr="002B7DA1">
              <w:rPr>
                <w:rFonts w:ascii="Arial Narrow" w:hAnsi="Arial Narrow"/>
                <w:sz w:val="20"/>
                <w:szCs w:val="20"/>
              </w:rPr>
              <w:t>)</w:t>
            </w:r>
          </w:p>
        </w:tc>
        <w:tc>
          <w:tcPr>
            <w:tcW w:w="1126" w:type="dxa"/>
            <w:vAlign w:val="center"/>
          </w:tcPr>
          <w:p w14:paraId="3081F998" w14:textId="4B30406C"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5" w:type="dxa"/>
            <w:vAlign w:val="center"/>
          </w:tcPr>
          <w:p w14:paraId="055114F0" w14:textId="2B50B85F"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129CF110" w14:textId="575D332F"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29D8BD4B" w14:textId="585DC9F5" w:rsidR="007A3BF4"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r>
      <w:tr w:rsidR="007A3BF4" w:rsidRPr="00A43C2D" w14:paraId="3F6BD4E4" w14:textId="77777777" w:rsidTr="0072568D">
        <w:tc>
          <w:tcPr>
            <w:tcW w:w="2263" w:type="dxa"/>
          </w:tcPr>
          <w:p w14:paraId="655ABB68" w14:textId="77777777" w:rsidR="007A3BF4" w:rsidRPr="00A43C2D" w:rsidRDefault="007A3BF4" w:rsidP="00F84454">
            <w:pPr>
              <w:keepNext/>
              <w:keepLines/>
              <w:rPr>
                <w:rFonts w:ascii="Arial Narrow" w:hAnsi="Arial Narrow"/>
                <w:sz w:val="20"/>
                <w:szCs w:val="20"/>
              </w:rPr>
            </w:pPr>
            <w:r>
              <w:rPr>
                <w:rFonts w:ascii="Arial Narrow" w:hAnsi="Arial Narrow"/>
                <w:sz w:val="20"/>
                <w:szCs w:val="20"/>
              </w:rPr>
              <w:t>Difference (95%CI)</w:t>
            </w:r>
            <w:r w:rsidRPr="00F445C5">
              <w:rPr>
                <w:rFonts w:ascii="Arial Narrow" w:hAnsi="Arial Narrow"/>
                <w:sz w:val="20"/>
                <w:szCs w:val="20"/>
                <w:vertAlign w:val="superscript"/>
              </w:rPr>
              <w:t>d</w:t>
            </w:r>
          </w:p>
        </w:tc>
        <w:tc>
          <w:tcPr>
            <w:tcW w:w="2251" w:type="dxa"/>
            <w:gridSpan w:val="2"/>
            <w:vAlign w:val="center"/>
          </w:tcPr>
          <w:p w14:paraId="64D4794B" w14:textId="6CCD1A31" w:rsidR="007A3BF4" w:rsidRPr="00A43C2D" w:rsidRDefault="007A3BF4" w:rsidP="00F84454">
            <w:pPr>
              <w:keepNext/>
              <w:keepLines/>
              <w:jc w:val="center"/>
              <w:rPr>
                <w:rFonts w:ascii="Arial Narrow" w:hAnsi="Arial Narrow"/>
                <w:sz w:val="20"/>
                <w:szCs w:val="20"/>
              </w:rPr>
            </w:pPr>
            <w:r w:rsidRPr="002B7DA1">
              <w:rPr>
                <w:rFonts w:ascii="Arial Narrow" w:hAnsi="Arial Narrow"/>
                <w:sz w:val="20"/>
                <w:szCs w:val="20"/>
              </w:rPr>
              <w:t>2.1 (</w:t>
            </w:r>
            <w:r w:rsidR="00FF1914">
              <w:rPr>
                <w:rFonts w:ascii="Arial Narrow" w:hAnsi="Arial Narrow"/>
                <w:sz w:val="20"/>
                <w:szCs w:val="20"/>
              </w:rPr>
              <w:noBreakHyphen/>
            </w:r>
            <w:r w:rsidRPr="002B7DA1">
              <w:rPr>
                <w:rFonts w:ascii="Arial Narrow" w:hAnsi="Arial Narrow"/>
                <w:sz w:val="20"/>
                <w:szCs w:val="20"/>
              </w:rPr>
              <w:t>6.2, 10.5)</w:t>
            </w:r>
          </w:p>
        </w:tc>
        <w:tc>
          <w:tcPr>
            <w:tcW w:w="2251" w:type="dxa"/>
            <w:gridSpan w:val="2"/>
            <w:vAlign w:val="center"/>
          </w:tcPr>
          <w:p w14:paraId="463E1D65" w14:textId="77777777" w:rsidR="007A3BF4" w:rsidRPr="00CC3B17" w:rsidRDefault="007A3BF4" w:rsidP="00F84454">
            <w:pPr>
              <w:keepNext/>
              <w:keepLines/>
              <w:jc w:val="center"/>
              <w:rPr>
                <w:rFonts w:ascii="Arial Narrow" w:hAnsi="Arial Narrow"/>
                <w:b/>
                <w:bCs/>
                <w:sz w:val="20"/>
                <w:szCs w:val="20"/>
              </w:rPr>
            </w:pPr>
            <w:r w:rsidRPr="00CC3B17">
              <w:rPr>
                <w:rFonts w:ascii="Arial Narrow" w:hAnsi="Arial Narrow"/>
                <w:b/>
                <w:bCs/>
                <w:sz w:val="20"/>
                <w:szCs w:val="20"/>
              </w:rPr>
              <w:t>20.2 (3.4, 36.9)</w:t>
            </w:r>
            <w:r w:rsidRPr="00CC3B17">
              <w:rPr>
                <w:rFonts w:ascii="Arial Narrow" w:hAnsi="Arial Narrow"/>
                <w:b/>
                <w:bCs/>
                <w:sz w:val="20"/>
                <w:szCs w:val="20"/>
                <w:vertAlign w:val="superscript"/>
              </w:rPr>
              <w:t>e</w:t>
            </w:r>
          </w:p>
        </w:tc>
        <w:tc>
          <w:tcPr>
            <w:tcW w:w="2252" w:type="dxa"/>
            <w:gridSpan w:val="2"/>
            <w:vAlign w:val="center"/>
          </w:tcPr>
          <w:p w14:paraId="57FA7BCA" w14:textId="32E7FAB4" w:rsidR="007A3BF4" w:rsidRPr="0063211E" w:rsidRDefault="00FF1914" w:rsidP="00F84454">
            <w:pPr>
              <w:keepNext/>
              <w:keepLines/>
              <w:jc w:val="center"/>
              <w:rPr>
                <w:rFonts w:ascii="Arial Narrow" w:hAnsi="Arial Narrow"/>
                <w:sz w:val="20"/>
                <w:szCs w:val="20"/>
              </w:rPr>
            </w:pPr>
            <w:r>
              <w:rPr>
                <w:rFonts w:ascii="Arial Narrow" w:hAnsi="Arial Narrow"/>
                <w:sz w:val="20"/>
                <w:szCs w:val="20"/>
              </w:rPr>
              <w:noBreakHyphen/>
            </w:r>
          </w:p>
        </w:tc>
      </w:tr>
      <w:tr w:rsidR="007A3BF4" w:rsidRPr="00A43C2D" w14:paraId="08BB5CE7" w14:textId="77777777" w:rsidTr="0072568D">
        <w:tc>
          <w:tcPr>
            <w:tcW w:w="9017" w:type="dxa"/>
            <w:gridSpan w:val="7"/>
            <w:vAlign w:val="center"/>
          </w:tcPr>
          <w:p w14:paraId="26D306DF" w14:textId="77777777" w:rsidR="007A3BF4" w:rsidRPr="00742BF0" w:rsidRDefault="007A3BF4" w:rsidP="00F84454">
            <w:pPr>
              <w:keepNext/>
              <w:keepLines/>
              <w:jc w:val="left"/>
              <w:rPr>
                <w:rFonts w:ascii="Arial Narrow" w:hAnsi="Arial Narrow"/>
                <w:b/>
                <w:bCs/>
                <w:sz w:val="20"/>
                <w:szCs w:val="20"/>
                <w:u w:val="single"/>
              </w:rPr>
            </w:pPr>
            <w:r w:rsidRPr="00742BF0">
              <w:rPr>
                <w:rFonts w:ascii="Arial Narrow" w:hAnsi="Arial Narrow"/>
                <w:b/>
                <w:bCs/>
                <w:sz w:val="20"/>
                <w:szCs w:val="20"/>
                <w:u w:val="single"/>
              </w:rPr>
              <w:t>ORR (CRR or PRR), Wk 50 (REGENCY) Wk 52 (NOBILITY)</w:t>
            </w:r>
          </w:p>
        </w:tc>
      </w:tr>
      <w:tr w:rsidR="007A3BF4" w:rsidRPr="00A43C2D" w14:paraId="064CECC4" w14:textId="77777777" w:rsidTr="0072568D">
        <w:tc>
          <w:tcPr>
            <w:tcW w:w="2263" w:type="dxa"/>
          </w:tcPr>
          <w:p w14:paraId="16E7ACC3" w14:textId="77777777" w:rsidR="007A3BF4" w:rsidRDefault="007A3BF4" w:rsidP="00F84454">
            <w:pPr>
              <w:keepNext/>
              <w:keepLines/>
              <w:rPr>
                <w:rFonts w:ascii="Arial Narrow" w:hAnsi="Arial Narrow"/>
                <w:sz w:val="20"/>
                <w:szCs w:val="20"/>
              </w:rPr>
            </w:pPr>
            <w:r>
              <w:rPr>
                <w:rFonts w:ascii="Arial Narrow" w:hAnsi="Arial Narrow"/>
                <w:sz w:val="20"/>
                <w:szCs w:val="20"/>
              </w:rPr>
              <w:t>Responders observed, n(%)</w:t>
            </w:r>
          </w:p>
        </w:tc>
        <w:tc>
          <w:tcPr>
            <w:tcW w:w="1125" w:type="dxa"/>
            <w:vAlign w:val="center"/>
          </w:tcPr>
          <w:p w14:paraId="50DB7A13" w14:textId="77777777" w:rsidR="007A3BF4" w:rsidRPr="0063211E" w:rsidRDefault="007A3BF4" w:rsidP="00F84454">
            <w:pPr>
              <w:keepNext/>
              <w:keepLines/>
              <w:jc w:val="center"/>
              <w:rPr>
                <w:rFonts w:ascii="Arial Narrow" w:hAnsi="Arial Narrow"/>
                <w:sz w:val="20"/>
                <w:szCs w:val="20"/>
              </w:rPr>
            </w:pPr>
            <w:r w:rsidRPr="00CC3B17">
              <w:rPr>
                <w:rFonts w:ascii="Arial Narrow" w:hAnsi="Arial Narrow"/>
                <w:sz w:val="20"/>
                <w:szCs w:val="20"/>
              </w:rPr>
              <w:t>68 (54.8%)</w:t>
            </w:r>
          </w:p>
        </w:tc>
        <w:tc>
          <w:tcPr>
            <w:tcW w:w="1126" w:type="dxa"/>
            <w:vAlign w:val="center"/>
          </w:tcPr>
          <w:p w14:paraId="0EE6FE73" w14:textId="77777777" w:rsidR="007A3BF4" w:rsidRPr="0063211E" w:rsidRDefault="007A3BF4" w:rsidP="00F84454">
            <w:pPr>
              <w:keepNext/>
              <w:keepLines/>
              <w:jc w:val="center"/>
              <w:rPr>
                <w:rFonts w:ascii="Arial Narrow" w:hAnsi="Arial Narrow"/>
                <w:sz w:val="20"/>
                <w:szCs w:val="20"/>
              </w:rPr>
            </w:pPr>
            <w:r w:rsidRPr="00CC3B17">
              <w:rPr>
                <w:rFonts w:ascii="Arial Narrow" w:hAnsi="Arial Narrow"/>
                <w:sz w:val="20"/>
                <w:szCs w:val="20"/>
              </w:rPr>
              <w:t>56 (47.1%)</w:t>
            </w:r>
          </w:p>
        </w:tc>
        <w:tc>
          <w:tcPr>
            <w:tcW w:w="1126" w:type="dxa"/>
            <w:vAlign w:val="center"/>
          </w:tcPr>
          <w:p w14:paraId="4EBC498F" w14:textId="77777777" w:rsidR="007A3BF4" w:rsidRDefault="007A3BF4" w:rsidP="00F84454">
            <w:pPr>
              <w:keepNext/>
              <w:keepLines/>
              <w:jc w:val="center"/>
              <w:rPr>
                <w:rFonts w:ascii="Arial Narrow" w:hAnsi="Arial Narrow"/>
                <w:sz w:val="20"/>
                <w:szCs w:val="20"/>
              </w:rPr>
            </w:pPr>
            <w:r>
              <w:rPr>
                <w:rFonts w:ascii="Arial Narrow" w:hAnsi="Arial Narrow"/>
                <w:sz w:val="20"/>
                <w:szCs w:val="20"/>
              </w:rPr>
              <w:t>35 (55.6%)</w:t>
            </w:r>
          </w:p>
        </w:tc>
        <w:tc>
          <w:tcPr>
            <w:tcW w:w="1125" w:type="dxa"/>
            <w:vAlign w:val="center"/>
          </w:tcPr>
          <w:p w14:paraId="285ECD3D" w14:textId="77777777" w:rsidR="007A3BF4" w:rsidRDefault="007A3BF4" w:rsidP="00F84454">
            <w:pPr>
              <w:keepNext/>
              <w:keepLines/>
              <w:jc w:val="center"/>
              <w:rPr>
                <w:rFonts w:ascii="Arial Narrow" w:hAnsi="Arial Narrow"/>
                <w:sz w:val="20"/>
                <w:szCs w:val="20"/>
              </w:rPr>
            </w:pPr>
            <w:r>
              <w:rPr>
                <w:rFonts w:ascii="Arial Narrow" w:hAnsi="Arial Narrow"/>
                <w:sz w:val="20"/>
                <w:szCs w:val="20"/>
              </w:rPr>
              <w:t>22 (35.5%)</w:t>
            </w:r>
          </w:p>
        </w:tc>
        <w:tc>
          <w:tcPr>
            <w:tcW w:w="1126" w:type="dxa"/>
            <w:vAlign w:val="center"/>
          </w:tcPr>
          <w:p w14:paraId="57F47247" w14:textId="1F366C6A" w:rsidR="007A3BF4"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57D0F4D1" w14:textId="7A9EAEE0" w:rsidR="007A3BF4" w:rsidRDefault="00FF1914" w:rsidP="00F84454">
            <w:pPr>
              <w:keepNext/>
              <w:keepLines/>
              <w:jc w:val="center"/>
              <w:rPr>
                <w:rFonts w:ascii="Arial Narrow" w:hAnsi="Arial Narrow"/>
                <w:sz w:val="20"/>
                <w:szCs w:val="20"/>
              </w:rPr>
            </w:pPr>
            <w:r>
              <w:rPr>
                <w:rFonts w:ascii="Arial Narrow" w:hAnsi="Arial Narrow"/>
                <w:sz w:val="20"/>
                <w:szCs w:val="20"/>
              </w:rPr>
              <w:noBreakHyphen/>
            </w:r>
          </w:p>
        </w:tc>
      </w:tr>
      <w:tr w:rsidR="00484AF0" w:rsidRPr="00A43C2D" w14:paraId="6D809C56" w14:textId="77777777" w:rsidTr="0072568D">
        <w:tc>
          <w:tcPr>
            <w:tcW w:w="2263" w:type="dxa"/>
          </w:tcPr>
          <w:p w14:paraId="5023D1D3" w14:textId="77777777" w:rsidR="00484AF0" w:rsidRPr="00A43C2D" w:rsidRDefault="00484AF0" w:rsidP="00F84454">
            <w:pPr>
              <w:keepNext/>
              <w:keepLines/>
              <w:rPr>
                <w:rFonts w:ascii="Arial Narrow" w:hAnsi="Arial Narrow"/>
                <w:sz w:val="20"/>
                <w:szCs w:val="20"/>
              </w:rPr>
            </w:pPr>
            <w:r>
              <w:rPr>
                <w:rFonts w:ascii="Arial Narrow" w:hAnsi="Arial Narrow"/>
                <w:sz w:val="20"/>
                <w:szCs w:val="20"/>
              </w:rPr>
              <w:t>% Responders (95%CI)</w:t>
            </w:r>
            <w:r w:rsidRPr="00F445C5">
              <w:rPr>
                <w:rFonts w:ascii="Arial Narrow" w:hAnsi="Arial Narrow"/>
                <w:sz w:val="20"/>
                <w:szCs w:val="20"/>
                <w:vertAlign w:val="superscript"/>
              </w:rPr>
              <w:t>d</w:t>
            </w:r>
          </w:p>
        </w:tc>
        <w:tc>
          <w:tcPr>
            <w:tcW w:w="1125" w:type="dxa"/>
            <w:vAlign w:val="center"/>
          </w:tcPr>
          <w:p w14:paraId="609F070A" w14:textId="77777777" w:rsidR="00484AF0" w:rsidRDefault="00484AF0" w:rsidP="00F84454">
            <w:pPr>
              <w:keepNext/>
              <w:keepLines/>
              <w:jc w:val="center"/>
              <w:rPr>
                <w:rFonts w:ascii="Arial Narrow" w:hAnsi="Arial Narrow"/>
                <w:sz w:val="20"/>
                <w:szCs w:val="20"/>
              </w:rPr>
            </w:pPr>
            <w:r w:rsidRPr="0063211E">
              <w:rPr>
                <w:rFonts w:ascii="Arial Narrow" w:hAnsi="Arial Narrow"/>
                <w:sz w:val="20"/>
                <w:szCs w:val="20"/>
              </w:rPr>
              <w:t>59.1</w:t>
            </w:r>
          </w:p>
          <w:p w14:paraId="09357574" w14:textId="6C890C05" w:rsidR="00484AF0" w:rsidRPr="00A43C2D" w:rsidRDefault="00484AF0" w:rsidP="00F84454">
            <w:pPr>
              <w:keepNext/>
              <w:keepLines/>
              <w:jc w:val="center"/>
              <w:rPr>
                <w:rFonts w:ascii="Arial Narrow" w:hAnsi="Arial Narrow"/>
                <w:sz w:val="20"/>
                <w:szCs w:val="20"/>
              </w:rPr>
            </w:pPr>
            <w:r w:rsidRPr="0063211E">
              <w:rPr>
                <w:rFonts w:ascii="Arial Narrow" w:hAnsi="Arial Narrow"/>
                <w:sz w:val="20"/>
                <w:szCs w:val="20"/>
              </w:rPr>
              <w:t>(50.8, 67.4)</w:t>
            </w:r>
          </w:p>
        </w:tc>
        <w:tc>
          <w:tcPr>
            <w:tcW w:w="1126" w:type="dxa"/>
            <w:vAlign w:val="center"/>
          </w:tcPr>
          <w:p w14:paraId="2E1A60D1" w14:textId="77777777" w:rsidR="00484AF0" w:rsidRDefault="00484AF0" w:rsidP="00F84454">
            <w:pPr>
              <w:keepNext/>
              <w:keepLines/>
              <w:jc w:val="center"/>
              <w:rPr>
                <w:rFonts w:ascii="Arial Narrow" w:hAnsi="Arial Narrow"/>
                <w:sz w:val="20"/>
                <w:szCs w:val="20"/>
              </w:rPr>
            </w:pPr>
            <w:r w:rsidRPr="0063211E">
              <w:rPr>
                <w:rFonts w:ascii="Arial Narrow" w:hAnsi="Arial Narrow"/>
                <w:sz w:val="20"/>
                <w:szCs w:val="20"/>
              </w:rPr>
              <w:t>50.7</w:t>
            </w:r>
          </w:p>
          <w:p w14:paraId="62E7A8E6" w14:textId="0E2B4C4A" w:rsidR="00484AF0" w:rsidRPr="00A43C2D" w:rsidRDefault="00484AF0" w:rsidP="00F84454">
            <w:pPr>
              <w:keepNext/>
              <w:keepLines/>
              <w:jc w:val="center"/>
              <w:rPr>
                <w:rFonts w:ascii="Arial Narrow" w:hAnsi="Arial Narrow"/>
                <w:sz w:val="20"/>
                <w:szCs w:val="20"/>
              </w:rPr>
            </w:pPr>
            <w:r w:rsidRPr="0063211E">
              <w:rPr>
                <w:rFonts w:ascii="Arial Narrow" w:hAnsi="Arial Narrow"/>
                <w:sz w:val="20"/>
                <w:szCs w:val="20"/>
              </w:rPr>
              <w:t>(42.</w:t>
            </w:r>
            <w:r>
              <w:rPr>
                <w:rFonts w:ascii="Arial Narrow" w:hAnsi="Arial Narrow"/>
                <w:sz w:val="20"/>
                <w:szCs w:val="20"/>
              </w:rPr>
              <w:t>2</w:t>
            </w:r>
            <w:r w:rsidRPr="0063211E">
              <w:rPr>
                <w:rFonts w:ascii="Arial Narrow" w:hAnsi="Arial Narrow"/>
                <w:sz w:val="20"/>
                <w:szCs w:val="20"/>
              </w:rPr>
              <w:t>, 59.2)</w:t>
            </w:r>
          </w:p>
        </w:tc>
        <w:tc>
          <w:tcPr>
            <w:tcW w:w="1126" w:type="dxa"/>
            <w:vAlign w:val="center"/>
          </w:tcPr>
          <w:p w14:paraId="6C475D83" w14:textId="1FD7962C"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5" w:type="dxa"/>
            <w:vAlign w:val="center"/>
          </w:tcPr>
          <w:p w14:paraId="08DB6241" w14:textId="657300F0"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6773D306" w14:textId="77777777" w:rsidR="00484AF0" w:rsidRPr="00484AF0" w:rsidRDefault="00484AF0" w:rsidP="00F84454">
            <w:pPr>
              <w:keepNext/>
              <w:keepLines/>
              <w:jc w:val="center"/>
              <w:rPr>
                <w:rFonts w:ascii="Arial Narrow" w:hAnsi="Arial Narrow"/>
                <w:sz w:val="20"/>
                <w:szCs w:val="20"/>
              </w:rPr>
            </w:pPr>
            <w:r w:rsidRPr="00484AF0">
              <w:rPr>
                <w:rFonts w:ascii="Arial Narrow" w:hAnsi="Arial Narrow"/>
                <w:sz w:val="20"/>
                <w:szCs w:val="20"/>
              </w:rPr>
              <w:t>65.6</w:t>
            </w:r>
          </w:p>
          <w:p w14:paraId="63550E3C" w14:textId="61737D6C" w:rsidR="00484AF0" w:rsidRPr="00484AF0" w:rsidRDefault="00484AF0" w:rsidP="00F84454">
            <w:pPr>
              <w:keepNext/>
              <w:keepLines/>
              <w:jc w:val="center"/>
              <w:rPr>
                <w:rFonts w:ascii="Arial Narrow" w:hAnsi="Arial Narrow"/>
                <w:sz w:val="20"/>
                <w:szCs w:val="20"/>
              </w:rPr>
            </w:pPr>
            <w:r w:rsidRPr="00484AF0">
              <w:rPr>
                <w:rFonts w:ascii="Arial Narrow" w:hAnsi="Arial Narrow"/>
                <w:sz w:val="20"/>
                <w:szCs w:val="20"/>
              </w:rPr>
              <w:t>(54.0, 77.3)</w:t>
            </w:r>
          </w:p>
        </w:tc>
        <w:tc>
          <w:tcPr>
            <w:tcW w:w="1126" w:type="dxa"/>
            <w:vAlign w:val="center"/>
          </w:tcPr>
          <w:p w14:paraId="269F75D2" w14:textId="77777777" w:rsidR="00484AF0" w:rsidRPr="00484AF0" w:rsidRDefault="00484AF0" w:rsidP="00F84454">
            <w:pPr>
              <w:keepNext/>
              <w:keepLines/>
              <w:jc w:val="center"/>
              <w:rPr>
                <w:rFonts w:ascii="Arial Narrow" w:hAnsi="Arial Narrow"/>
                <w:sz w:val="20"/>
                <w:szCs w:val="20"/>
              </w:rPr>
            </w:pPr>
            <w:r w:rsidRPr="00484AF0">
              <w:rPr>
                <w:rFonts w:ascii="Arial Narrow" w:hAnsi="Arial Narrow"/>
                <w:sz w:val="20"/>
                <w:szCs w:val="20"/>
              </w:rPr>
              <w:t>48.4</w:t>
            </w:r>
          </w:p>
          <w:p w14:paraId="510FFD98" w14:textId="4E77CE1B" w:rsidR="00484AF0" w:rsidRPr="00484AF0" w:rsidRDefault="00484AF0" w:rsidP="00F84454">
            <w:pPr>
              <w:keepNext/>
              <w:keepLines/>
              <w:jc w:val="center"/>
              <w:rPr>
                <w:rFonts w:ascii="Arial Narrow" w:hAnsi="Arial Narrow"/>
                <w:sz w:val="20"/>
                <w:szCs w:val="20"/>
              </w:rPr>
            </w:pPr>
            <w:r w:rsidRPr="00484AF0">
              <w:rPr>
                <w:rFonts w:ascii="Arial Narrow" w:hAnsi="Arial Narrow"/>
                <w:sz w:val="20"/>
                <w:szCs w:val="20"/>
              </w:rPr>
              <w:t>(36.0, 60.8)</w:t>
            </w:r>
          </w:p>
        </w:tc>
      </w:tr>
      <w:tr w:rsidR="00484AF0" w:rsidRPr="00A43C2D" w14:paraId="3E47985C" w14:textId="77777777" w:rsidTr="0072568D">
        <w:tc>
          <w:tcPr>
            <w:tcW w:w="2263" w:type="dxa"/>
          </w:tcPr>
          <w:p w14:paraId="79FA9390" w14:textId="77777777" w:rsidR="00484AF0" w:rsidRPr="00A43C2D" w:rsidRDefault="00484AF0" w:rsidP="00F84454">
            <w:pPr>
              <w:keepNext/>
              <w:keepLines/>
              <w:rPr>
                <w:rFonts w:ascii="Arial Narrow" w:hAnsi="Arial Narrow"/>
                <w:sz w:val="20"/>
                <w:szCs w:val="20"/>
              </w:rPr>
            </w:pPr>
            <w:r>
              <w:rPr>
                <w:rFonts w:ascii="Arial Narrow" w:hAnsi="Arial Narrow"/>
                <w:sz w:val="20"/>
                <w:szCs w:val="20"/>
              </w:rPr>
              <w:t>% Difference (95%CI)</w:t>
            </w:r>
            <w:r w:rsidRPr="00F445C5">
              <w:rPr>
                <w:rFonts w:ascii="Arial Narrow" w:hAnsi="Arial Narrow"/>
                <w:sz w:val="20"/>
                <w:szCs w:val="20"/>
                <w:vertAlign w:val="superscript"/>
              </w:rPr>
              <w:t>d</w:t>
            </w:r>
          </w:p>
        </w:tc>
        <w:tc>
          <w:tcPr>
            <w:tcW w:w="2251" w:type="dxa"/>
            <w:gridSpan w:val="2"/>
            <w:vAlign w:val="center"/>
          </w:tcPr>
          <w:p w14:paraId="1CFBF320" w14:textId="4C7C044A" w:rsidR="00484AF0" w:rsidRPr="00A43C2D" w:rsidRDefault="00484AF0" w:rsidP="00F84454">
            <w:pPr>
              <w:keepNext/>
              <w:keepLines/>
              <w:jc w:val="center"/>
              <w:rPr>
                <w:rFonts w:ascii="Arial Narrow" w:hAnsi="Arial Narrow"/>
                <w:sz w:val="20"/>
                <w:szCs w:val="20"/>
              </w:rPr>
            </w:pPr>
            <w:r w:rsidRPr="0063211E">
              <w:rPr>
                <w:rFonts w:ascii="Arial Narrow" w:hAnsi="Arial Narrow"/>
                <w:sz w:val="20"/>
                <w:szCs w:val="20"/>
              </w:rPr>
              <w:t>8.</w:t>
            </w:r>
            <w:r>
              <w:rPr>
                <w:rFonts w:ascii="Arial Narrow" w:hAnsi="Arial Narrow"/>
                <w:sz w:val="20"/>
                <w:szCs w:val="20"/>
              </w:rPr>
              <w:t>4</w:t>
            </w:r>
            <w:r w:rsidRPr="0063211E">
              <w:rPr>
                <w:rFonts w:ascii="Arial Narrow" w:hAnsi="Arial Narrow"/>
                <w:sz w:val="20"/>
                <w:szCs w:val="20"/>
              </w:rPr>
              <w:t xml:space="preserve"> (</w:t>
            </w:r>
            <w:r w:rsidR="00FF1914">
              <w:rPr>
                <w:rFonts w:ascii="Arial Narrow" w:hAnsi="Arial Narrow"/>
                <w:sz w:val="20"/>
                <w:szCs w:val="20"/>
              </w:rPr>
              <w:noBreakHyphen/>
            </w:r>
            <w:r w:rsidRPr="0063211E">
              <w:rPr>
                <w:rFonts w:ascii="Arial Narrow" w:hAnsi="Arial Narrow"/>
                <w:sz w:val="20"/>
                <w:szCs w:val="20"/>
              </w:rPr>
              <w:t>3.4, 20.1)</w:t>
            </w:r>
          </w:p>
        </w:tc>
        <w:tc>
          <w:tcPr>
            <w:tcW w:w="2251" w:type="dxa"/>
            <w:gridSpan w:val="2"/>
            <w:vAlign w:val="center"/>
          </w:tcPr>
          <w:p w14:paraId="08AAD730" w14:textId="77777777" w:rsidR="00484AF0" w:rsidRPr="000F1076" w:rsidRDefault="00484AF0" w:rsidP="00F84454">
            <w:pPr>
              <w:keepNext/>
              <w:keepLines/>
              <w:jc w:val="center"/>
              <w:rPr>
                <w:rFonts w:ascii="Arial Narrow" w:hAnsi="Arial Narrow"/>
                <w:b/>
                <w:bCs/>
                <w:sz w:val="20"/>
                <w:szCs w:val="20"/>
              </w:rPr>
            </w:pPr>
            <w:r>
              <w:rPr>
                <w:rFonts w:ascii="Arial Narrow" w:hAnsi="Arial Narrow"/>
                <w:b/>
                <w:bCs/>
                <w:sz w:val="20"/>
                <w:szCs w:val="20"/>
              </w:rPr>
              <w:t>20</w:t>
            </w:r>
            <w:r w:rsidRPr="000F1076">
              <w:rPr>
                <w:rFonts w:ascii="Arial Narrow" w:hAnsi="Arial Narrow"/>
                <w:b/>
                <w:bCs/>
                <w:sz w:val="20"/>
                <w:szCs w:val="20"/>
              </w:rPr>
              <w:t>.1 (3.0, 37.2)</w:t>
            </w:r>
            <w:r w:rsidRPr="000F1076">
              <w:rPr>
                <w:rFonts w:ascii="Arial Narrow" w:hAnsi="Arial Narrow"/>
                <w:b/>
                <w:bCs/>
                <w:sz w:val="20"/>
                <w:szCs w:val="20"/>
                <w:vertAlign w:val="superscript"/>
              </w:rPr>
              <w:t>e</w:t>
            </w:r>
          </w:p>
        </w:tc>
        <w:tc>
          <w:tcPr>
            <w:tcW w:w="2252" w:type="dxa"/>
            <w:gridSpan w:val="2"/>
            <w:vAlign w:val="center"/>
          </w:tcPr>
          <w:p w14:paraId="1D0E07A2" w14:textId="2EB025A9" w:rsidR="00484AF0" w:rsidRPr="00484AF0" w:rsidRDefault="00484AF0" w:rsidP="00F84454">
            <w:pPr>
              <w:keepNext/>
              <w:keepLines/>
              <w:jc w:val="center"/>
              <w:rPr>
                <w:rFonts w:ascii="Arial Narrow" w:hAnsi="Arial Narrow"/>
                <w:sz w:val="20"/>
                <w:szCs w:val="20"/>
              </w:rPr>
            </w:pPr>
            <w:r w:rsidRPr="00484AF0">
              <w:rPr>
                <w:rFonts w:ascii="Arial Narrow" w:hAnsi="Arial Narrow"/>
                <w:b/>
                <w:bCs/>
                <w:sz w:val="20"/>
                <w:szCs w:val="20"/>
              </w:rPr>
              <w:t>17.8 (1.2, 34.5)</w:t>
            </w:r>
          </w:p>
        </w:tc>
      </w:tr>
      <w:tr w:rsidR="00484AF0" w:rsidRPr="00A43C2D" w14:paraId="10F4500F" w14:textId="77777777" w:rsidTr="0072568D">
        <w:tc>
          <w:tcPr>
            <w:tcW w:w="9017" w:type="dxa"/>
            <w:gridSpan w:val="7"/>
            <w:vAlign w:val="center"/>
          </w:tcPr>
          <w:p w14:paraId="5BACD856" w14:textId="77777777" w:rsidR="00484AF0" w:rsidRPr="00742BF0" w:rsidRDefault="00484AF0" w:rsidP="00F84454">
            <w:pPr>
              <w:keepNext/>
              <w:keepLines/>
              <w:jc w:val="left"/>
              <w:rPr>
                <w:rFonts w:ascii="Arial Narrow" w:hAnsi="Arial Narrow"/>
                <w:b/>
                <w:bCs/>
                <w:sz w:val="20"/>
                <w:szCs w:val="20"/>
                <w:u w:val="single"/>
              </w:rPr>
            </w:pPr>
            <w:r w:rsidRPr="00742BF0">
              <w:rPr>
                <w:rFonts w:ascii="Arial Narrow" w:hAnsi="Arial Narrow"/>
                <w:b/>
                <w:bCs/>
                <w:sz w:val="20"/>
                <w:szCs w:val="20"/>
                <w:u w:val="single"/>
              </w:rPr>
              <w:t>Proteinuric response (UPCR &lt;0.8 g/g and no intercurrent events</w:t>
            </w:r>
            <w:r w:rsidRPr="00742BF0">
              <w:rPr>
                <w:rFonts w:ascii="Arial Narrow" w:hAnsi="Arial Narrow"/>
                <w:b/>
                <w:bCs/>
                <w:sz w:val="20"/>
                <w:szCs w:val="20"/>
                <w:u w:val="single"/>
                <w:vertAlign w:val="superscript"/>
              </w:rPr>
              <w:t>b</w:t>
            </w:r>
            <w:r w:rsidRPr="00742BF0">
              <w:rPr>
                <w:rFonts w:ascii="Arial Narrow" w:hAnsi="Arial Narrow"/>
                <w:b/>
                <w:bCs/>
                <w:sz w:val="20"/>
                <w:szCs w:val="20"/>
                <w:u w:val="single"/>
              </w:rPr>
              <w:t>), Wk 76</w:t>
            </w:r>
          </w:p>
        </w:tc>
      </w:tr>
      <w:tr w:rsidR="00484AF0" w:rsidRPr="00A43C2D" w14:paraId="665A05D9" w14:textId="77777777" w:rsidTr="0072568D">
        <w:tc>
          <w:tcPr>
            <w:tcW w:w="2263" w:type="dxa"/>
          </w:tcPr>
          <w:p w14:paraId="07B009BF" w14:textId="77777777" w:rsidR="00484AF0" w:rsidRPr="00A43C2D" w:rsidRDefault="00484AF0" w:rsidP="00F84454">
            <w:pPr>
              <w:keepNext/>
              <w:keepLines/>
              <w:rPr>
                <w:rFonts w:ascii="Arial Narrow" w:hAnsi="Arial Narrow"/>
                <w:sz w:val="20"/>
                <w:szCs w:val="20"/>
              </w:rPr>
            </w:pPr>
            <w:r>
              <w:rPr>
                <w:rFonts w:ascii="Arial Narrow" w:hAnsi="Arial Narrow"/>
                <w:sz w:val="20"/>
                <w:szCs w:val="20"/>
              </w:rPr>
              <w:t>% Responders (95%CI)</w:t>
            </w:r>
            <w:r w:rsidRPr="00F445C5">
              <w:rPr>
                <w:rFonts w:ascii="Arial Narrow" w:hAnsi="Arial Narrow"/>
                <w:sz w:val="20"/>
                <w:szCs w:val="20"/>
                <w:vertAlign w:val="superscript"/>
              </w:rPr>
              <w:t>d</w:t>
            </w:r>
          </w:p>
        </w:tc>
        <w:tc>
          <w:tcPr>
            <w:tcW w:w="1125" w:type="dxa"/>
            <w:vAlign w:val="center"/>
          </w:tcPr>
          <w:p w14:paraId="166DEC65" w14:textId="77777777" w:rsidR="00484AF0" w:rsidRDefault="00484AF0" w:rsidP="00F84454">
            <w:pPr>
              <w:keepNext/>
              <w:keepLines/>
              <w:jc w:val="center"/>
              <w:rPr>
                <w:rFonts w:ascii="Arial Narrow" w:hAnsi="Arial Narrow"/>
                <w:sz w:val="20"/>
                <w:szCs w:val="20"/>
              </w:rPr>
            </w:pPr>
            <w:r w:rsidRPr="0066307E">
              <w:rPr>
                <w:rFonts w:ascii="Arial Narrow" w:hAnsi="Arial Narrow"/>
                <w:sz w:val="20"/>
                <w:szCs w:val="20"/>
              </w:rPr>
              <w:t>55.5</w:t>
            </w:r>
          </w:p>
          <w:p w14:paraId="0772A401" w14:textId="506A3B33" w:rsidR="00484AF0" w:rsidRPr="00A43C2D" w:rsidRDefault="00484AF0" w:rsidP="00F84454">
            <w:pPr>
              <w:keepNext/>
              <w:keepLines/>
              <w:jc w:val="center"/>
              <w:rPr>
                <w:rFonts w:ascii="Arial Narrow" w:hAnsi="Arial Narrow"/>
                <w:sz w:val="20"/>
                <w:szCs w:val="20"/>
              </w:rPr>
            </w:pPr>
            <w:r w:rsidRPr="0066307E">
              <w:rPr>
                <w:rFonts w:ascii="Arial Narrow" w:hAnsi="Arial Narrow"/>
                <w:sz w:val="20"/>
                <w:szCs w:val="20"/>
              </w:rPr>
              <w:t>(47.</w:t>
            </w:r>
            <w:r>
              <w:rPr>
                <w:rFonts w:ascii="Arial Narrow" w:hAnsi="Arial Narrow"/>
                <w:sz w:val="20"/>
                <w:szCs w:val="20"/>
              </w:rPr>
              <w:t>1</w:t>
            </w:r>
            <w:r w:rsidRPr="0066307E">
              <w:rPr>
                <w:rFonts w:ascii="Arial Narrow" w:hAnsi="Arial Narrow"/>
                <w:sz w:val="20"/>
                <w:szCs w:val="20"/>
              </w:rPr>
              <w:t>, 6</w:t>
            </w:r>
            <w:r>
              <w:rPr>
                <w:rFonts w:ascii="Arial Narrow" w:hAnsi="Arial Narrow"/>
                <w:sz w:val="20"/>
                <w:szCs w:val="20"/>
              </w:rPr>
              <w:t>4.0</w:t>
            </w:r>
            <w:r w:rsidRPr="0066307E">
              <w:rPr>
                <w:rFonts w:ascii="Arial Narrow" w:hAnsi="Arial Narrow"/>
                <w:sz w:val="20"/>
                <w:szCs w:val="20"/>
              </w:rPr>
              <w:t>)</w:t>
            </w:r>
          </w:p>
        </w:tc>
        <w:tc>
          <w:tcPr>
            <w:tcW w:w="1126" w:type="dxa"/>
            <w:vAlign w:val="center"/>
          </w:tcPr>
          <w:p w14:paraId="095E3BCE" w14:textId="77777777" w:rsidR="00484AF0" w:rsidRDefault="00484AF0" w:rsidP="00F84454">
            <w:pPr>
              <w:keepNext/>
              <w:keepLines/>
              <w:jc w:val="center"/>
              <w:rPr>
                <w:rFonts w:ascii="Arial Narrow" w:hAnsi="Arial Narrow"/>
                <w:sz w:val="20"/>
                <w:szCs w:val="20"/>
              </w:rPr>
            </w:pPr>
            <w:r w:rsidRPr="0066307E">
              <w:rPr>
                <w:rFonts w:ascii="Arial Narrow" w:hAnsi="Arial Narrow"/>
                <w:sz w:val="20"/>
                <w:szCs w:val="20"/>
              </w:rPr>
              <w:t>41.9</w:t>
            </w:r>
          </w:p>
          <w:p w14:paraId="540A7601" w14:textId="6FF0F119" w:rsidR="00484AF0" w:rsidRPr="00A43C2D" w:rsidRDefault="00484AF0" w:rsidP="00F84454">
            <w:pPr>
              <w:keepNext/>
              <w:keepLines/>
              <w:jc w:val="center"/>
              <w:rPr>
                <w:rFonts w:ascii="Arial Narrow" w:hAnsi="Arial Narrow"/>
                <w:sz w:val="20"/>
                <w:szCs w:val="20"/>
              </w:rPr>
            </w:pPr>
            <w:r w:rsidRPr="0066307E">
              <w:rPr>
                <w:rFonts w:ascii="Arial Narrow" w:hAnsi="Arial Narrow"/>
                <w:sz w:val="20"/>
                <w:szCs w:val="20"/>
              </w:rPr>
              <w:t>(33.6, 50.2)</w:t>
            </w:r>
          </w:p>
        </w:tc>
        <w:tc>
          <w:tcPr>
            <w:tcW w:w="1126" w:type="dxa"/>
            <w:vAlign w:val="center"/>
          </w:tcPr>
          <w:p w14:paraId="305DF4AF" w14:textId="16D115C6"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5" w:type="dxa"/>
            <w:vAlign w:val="center"/>
          </w:tcPr>
          <w:p w14:paraId="1F809BC4" w14:textId="35484753"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6227371D" w14:textId="77777777" w:rsidR="00484AF0" w:rsidRDefault="00484AF0" w:rsidP="00F84454">
            <w:pPr>
              <w:keepNext/>
              <w:keepLines/>
              <w:jc w:val="center"/>
              <w:rPr>
                <w:rFonts w:ascii="Arial Narrow" w:hAnsi="Arial Narrow"/>
                <w:sz w:val="20"/>
                <w:szCs w:val="20"/>
              </w:rPr>
            </w:pPr>
            <w:r w:rsidRPr="0066307E">
              <w:rPr>
                <w:rFonts w:ascii="Arial Narrow" w:hAnsi="Arial Narrow"/>
                <w:sz w:val="20"/>
                <w:szCs w:val="20"/>
              </w:rPr>
              <w:t>60.9</w:t>
            </w:r>
          </w:p>
          <w:p w14:paraId="23E47EE7" w14:textId="157A3E76" w:rsidR="00484AF0" w:rsidRPr="00A43C2D" w:rsidRDefault="00484AF0" w:rsidP="00F84454">
            <w:pPr>
              <w:keepNext/>
              <w:keepLines/>
              <w:jc w:val="center"/>
              <w:rPr>
                <w:rFonts w:ascii="Arial Narrow" w:hAnsi="Arial Narrow"/>
                <w:sz w:val="20"/>
                <w:szCs w:val="20"/>
              </w:rPr>
            </w:pPr>
            <w:r w:rsidRPr="0066307E">
              <w:rPr>
                <w:rFonts w:ascii="Arial Narrow" w:hAnsi="Arial Narrow"/>
                <w:sz w:val="20"/>
                <w:szCs w:val="20"/>
              </w:rPr>
              <w:t>(48.6, 73.</w:t>
            </w:r>
            <w:r>
              <w:rPr>
                <w:rFonts w:ascii="Arial Narrow" w:hAnsi="Arial Narrow"/>
                <w:sz w:val="20"/>
                <w:szCs w:val="20"/>
              </w:rPr>
              <w:t>2</w:t>
            </w:r>
            <w:r w:rsidRPr="0066307E">
              <w:rPr>
                <w:rFonts w:ascii="Arial Narrow" w:hAnsi="Arial Narrow"/>
                <w:sz w:val="20"/>
                <w:szCs w:val="20"/>
              </w:rPr>
              <w:t>)</w:t>
            </w:r>
          </w:p>
        </w:tc>
        <w:tc>
          <w:tcPr>
            <w:tcW w:w="1126" w:type="dxa"/>
            <w:vAlign w:val="center"/>
          </w:tcPr>
          <w:p w14:paraId="0B1A8CB6" w14:textId="77777777" w:rsidR="00484AF0" w:rsidRDefault="00484AF0" w:rsidP="00F84454">
            <w:pPr>
              <w:keepNext/>
              <w:keepLines/>
              <w:jc w:val="center"/>
              <w:rPr>
                <w:rFonts w:ascii="Arial Narrow" w:hAnsi="Arial Narrow"/>
                <w:sz w:val="20"/>
                <w:szCs w:val="20"/>
              </w:rPr>
            </w:pPr>
            <w:r w:rsidRPr="0066307E">
              <w:rPr>
                <w:rFonts w:ascii="Arial Narrow" w:hAnsi="Arial Narrow"/>
                <w:sz w:val="20"/>
                <w:szCs w:val="20"/>
              </w:rPr>
              <w:t>46.9</w:t>
            </w:r>
          </w:p>
          <w:p w14:paraId="0FE52F73" w14:textId="57985C52" w:rsidR="00484AF0" w:rsidRPr="00A43C2D" w:rsidRDefault="00484AF0" w:rsidP="00F84454">
            <w:pPr>
              <w:keepNext/>
              <w:keepLines/>
              <w:jc w:val="center"/>
              <w:rPr>
                <w:rFonts w:ascii="Arial Narrow" w:hAnsi="Arial Narrow"/>
                <w:sz w:val="20"/>
                <w:szCs w:val="20"/>
              </w:rPr>
            </w:pPr>
            <w:r w:rsidRPr="0066307E">
              <w:rPr>
                <w:rFonts w:ascii="Arial Narrow" w:hAnsi="Arial Narrow"/>
                <w:sz w:val="20"/>
                <w:szCs w:val="20"/>
              </w:rPr>
              <w:t>(34.</w:t>
            </w:r>
            <w:r>
              <w:rPr>
                <w:rFonts w:ascii="Arial Narrow" w:hAnsi="Arial Narrow"/>
                <w:sz w:val="20"/>
                <w:szCs w:val="20"/>
              </w:rPr>
              <w:t>3</w:t>
            </w:r>
            <w:r w:rsidRPr="0066307E">
              <w:rPr>
                <w:rFonts w:ascii="Arial Narrow" w:hAnsi="Arial Narrow"/>
                <w:sz w:val="20"/>
                <w:szCs w:val="20"/>
              </w:rPr>
              <w:t>, 59.</w:t>
            </w:r>
            <w:r>
              <w:rPr>
                <w:rFonts w:ascii="Arial Narrow" w:hAnsi="Arial Narrow"/>
                <w:sz w:val="20"/>
                <w:szCs w:val="20"/>
              </w:rPr>
              <w:t>6</w:t>
            </w:r>
            <w:r w:rsidRPr="0066307E">
              <w:rPr>
                <w:rFonts w:ascii="Arial Narrow" w:hAnsi="Arial Narrow"/>
                <w:sz w:val="20"/>
                <w:szCs w:val="20"/>
              </w:rPr>
              <w:t>)</w:t>
            </w:r>
          </w:p>
        </w:tc>
      </w:tr>
      <w:tr w:rsidR="00484AF0" w:rsidRPr="00A43C2D" w14:paraId="54B252B0" w14:textId="77777777" w:rsidTr="0072568D">
        <w:tc>
          <w:tcPr>
            <w:tcW w:w="2263" w:type="dxa"/>
          </w:tcPr>
          <w:p w14:paraId="269F4314" w14:textId="77777777" w:rsidR="00484AF0" w:rsidRPr="00A43C2D" w:rsidRDefault="00484AF0" w:rsidP="00F84454">
            <w:pPr>
              <w:keepNext/>
              <w:keepLines/>
              <w:rPr>
                <w:rFonts w:ascii="Arial Narrow" w:hAnsi="Arial Narrow"/>
                <w:sz w:val="20"/>
                <w:szCs w:val="20"/>
              </w:rPr>
            </w:pPr>
            <w:r>
              <w:rPr>
                <w:rFonts w:ascii="Arial Narrow" w:hAnsi="Arial Narrow"/>
                <w:sz w:val="20"/>
                <w:szCs w:val="20"/>
              </w:rPr>
              <w:t>% Difference (95%CI)</w:t>
            </w:r>
            <w:r w:rsidRPr="00F445C5">
              <w:rPr>
                <w:rFonts w:ascii="Arial Narrow" w:hAnsi="Arial Narrow"/>
                <w:sz w:val="20"/>
                <w:szCs w:val="20"/>
                <w:vertAlign w:val="superscript"/>
              </w:rPr>
              <w:t>d</w:t>
            </w:r>
          </w:p>
        </w:tc>
        <w:tc>
          <w:tcPr>
            <w:tcW w:w="2251" w:type="dxa"/>
            <w:gridSpan w:val="2"/>
            <w:vAlign w:val="center"/>
          </w:tcPr>
          <w:p w14:paraId="46DD29A9" w14:textId="77777777" w:rsidR="00484AF0" w:rsidRPr="0066307E" w:rsidRDefault="00484AF0" w:rsidP="00F84454">
            <w:pPr>
              <w:keepNext/>
              <w:keepLines/>
              <w:jc w:val="center"/>
              <w:rPr>
                <w:rFonts w:ascii="Arial Narrow" w:hAnsi="Arial Narrow"/>
                <w:b/>
                <w:bCs/>
                <w:sz w:val="20"/>
                <w:szCs w:val="20"/>
              </w:rPr>
            </w:pPr>
            <w:r w:rsidRPr="0066307E">
              <w:rPr>
                <w:rFonts w:ascii="Arial Narrow" w:hAnsi="Arial Narrow"/>
                <w:b/>
                <w:bCs/>
                <w:sz w:val="20"/>
                <w:szCs w:val="20"/>
              </w:rPr>
              <w:t>13.</w:t>
            </w:r>
            <w:r>
              <w:rPr>
                <w:rFonts w:ascii="Arial Narrow" w:hAnsi="Arial Narrow"/>
                <w:b/>
                <w:bCs/>
                <w:sz w:val="20"/>
                <w:szCs w:val="20"/>
              </w:rPr>
              <w:t>7</w:t>
            </w:r>
            <w:r w:rsidRPr="0066307E">
              <w:rPr>
                <w:rFonts w:ascii="Arial Narrow" w:hAnsi="Arial Narrow"/>
                <w:b/>
                <w:bCs/>
                <w:sz w:val="20"/>
                <w:szCs w:val="20"/>
              </w:rPr>
              <w:t xml:space="preserve"> (2.0, 25.</w:t>
            </w:r>
            <w:r>
              <w:rPr>
                <w:rFonts w:ascii="Arial Narrow" w:hAnsi="Arial Narrow"/>
                <w:b/>
                <w:bCs/>
                <w:sz w:val="20"/>
                <w:szCs w:val="20"/>
              </w:rPr>
              <w:t>4</w:t>
            </w:r>
            <w:r w:rsidRPr="0066307E">
              <w:rPr>
                <w:rFonts w:ascii="Arial Narrow" w:hAnsi="Arial Narrow"/>
                <w:b/>
                <w:bCs/>
                <w:sz w:val="20"/>
                <w:szCs w:val="20"/>
              </w:rPr>
              <w:t>)</w:t>
            </w:r>
          </w:p>
        </w:tc>
        <w:tc>
          <w:tcPr>
            <w:tcW w:w="2251" w:type="dxa"/>
            <w:gridSpan w:val="2"/>
            <w:vAlign w:val="center"/>
          </w:tcPr>
          <w:p w14:paraId="2D94189B" w14:textId="5EB6ADB4"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2252" w:type="dxa"/>
            <w:gridSpan w:val="2"/>
            <w:vAlign w:val="center"/>
          </w:tcPr>
          <w:p w14:paraId="2580AE7A" w14:textId="32844865" w:rsidR="00484AF0" w:rsidRPr="00A43C2D" w:rsidRDefault="00484AF0" w:rsidP="00F84454">
            <w:pPr>
              <w:keepNext/>
              <w:keepLines/>
              <w:jc w:val="center"/>
              <w:rPr>
                <w:rFonts w:ascii="Arial Narrow" w:hAnsi="Arial Narrow"/>
                <w:sz w:val="20"/>
                <w:szCs w:val="20"/>
              </w:rPr>
            </w:pPr>
            <w:r w:rsidRPr="0066307E">
              <w:rPr>
                <w:rFonts w:ascii="Arial Narrow" w:hAnsi="Arial Narrow"/>
                <w:sz w:val="20"/>
                <w:szCs w:val="20"/>
              </w:rPr>
              <w:t>14.5 (</w:t>
            </w:r>
            <w:r w:rsidR="00FF1914">
              <w:rPr>
                <w:rFonts w:ascii="Arial Narrow" w:hAnsi="Arial Narrow"/>
                <w:sz w:val="20"/>
                <w:szCs w:val="20"/>
              </w:rPr>
              <w:noBreakHyphen/>
            </w:r>
            <w:r w:rsidRPr="0066307E">
              <w:rPr>
                <w:rFonts w:ascii="Arial Narrow" w:hAnsi="Arial Narrow"/>
                <w:sz w:val="20"/>
                <w:szCs w:val="20"/>
              </w:rPr>
              <w:t>2.</w:t>
            </w:r>
            <w:r>
              <w:rPr>
                <w:rFonts w:ascii="Arial Narrow" w:hAnsi="Arial Narrow"/>
                <w:sz w:val="20"/>
                <w:szCs w:val="20"/>
              </w:rPr>
              <w:t>8</w:t>
            </w:r>
            <w:r w:rsidRPr="0066307E">
              <w:rPr>
                <w:rFonts w:ascii="Arial Narrow" w:hAnsi="Arial Narrow"/>
                <w:sz w:val="20"/>
                <w:szCs w:val="20"/>
              </w:rPr>
              <w:t>, 31.</w:t>
            </w:r>
            <w:r>
              <w:rPr>
                <w:rFonts w:ascii="Arial Narrow" w:hAnsi="Arial Narrow"/>
                <w:sz w:val="20"/>
                <w:szCs w:val="20"/>
              </w:rPr>
              <w:t>8</w:t>
            </w:r>
            <w:r w:rsidRPr="0066307E">
              <w:rPr>
                <w:rFonts w:ascii="Arial Narrow" w:hAnsi="Arial Narrow"/>
                <w:sz w:val="20"/>
                <w:szCs w:val="20"/>
              </w:rPr>
              <w:t>)</w:t>
            </w:r>
          </w:p>
        </w:tc>
      </w:tr>
      <w:tr w:rsidR="00484AF0" w:rsidRPr="00A43C2D" w14:paraId="2274D80D" w14:textId="77777777" w:rsidTr="0072568D">
        <w:tc>
          <w:tcPr>
            <w:tcW w:w="9017" w:type="dxa"/>
            <w:gridSpan w:val="7"/>
            <w:vAlign w:val="center"/>
          </w:tcPr>
          <w:p w14:paraId="581B1802" w14:textId="77777777" w:rsidR="00484AF0" w:rsidRPr="0018576E" w:rsidRDefault="00484AF0" w:rsidP="00F84454">
            <w:pPr>
              <w:keepNext/>
              <w:keepLines/>
              <w:jc w:val="left"/>
              <w:rPr>
                <w:rFonts w:ascii="Arial Narrow" w:hAnsi="Arial Narrow"/>
                <w:b/>
                <w:bCs/>
                <w:sz w:val="20"/>
                <w:szCs w:val="20"/>
                <w:u w:val="single"/>
              </w:rPr>
            </w:pPr>
            <w:r w:rsidRPr="0018576E">
              <w:rPr>
                <w:rFonts w:ascii="Arial Narrow" w:hAnsi="Arial Narrow"/>
                <w:b/>
                <w:bCs/>
                <w:sz w:val="20"/>
                <w:szCs w:val="20"/>
                <w:u w:val="single"/>
              </w:rPr>
              <w:t>Mean change from baseline in eGFR to Wk 76</w:t>
            </w:r>
          </w:p>
        </w:tc>
      </w:tr>
      <w:tr w:rsidR="00484AF0" w:rsidRPr="00A43C2D" w14:paraId="7496E329" w14:textId="77777777" w:rsidTr="0072568D">
        <w:tc>
          <w:tcPr>
            <w:tcW w:w="2263" w:type="dxa"/>
          </w:tcPr>
          <w:p w14:paraId="77911D99" w14:textId="77777777" w:rsidR="00484AF0" w:rsidRPr="00A43C2D" w:rsidRDefault="00484AF0" w:rsidP="00F84454">
            <w:pPr>
              <w:keepNext/>
              <w:keepLines/>
              <w:rPr>
                <w:rFonts w:ascii="Arial Narrow" w:hAnsi="Arial Narrow"/>
                <w:sz w:val="20"/>
                <w:szCs w:val="20"/>
              </w:rPr>
            </w:pPr>
            <w:r>
              <w:rPr>
                <w:rFonts w:ascii="Arial Narrow" w:hAnsi="Arial Narrow"/>
                <w:sz w:val="20"/>
                <w:szCs w:val="20"/>
              </w:rPr>
              <w:t>Adjusted mean (SE)</w:t>
            </w:r>
          </w:p>
        </w:tc>
        <w:tc>
          <w:tcPr>
            <w:tcW w:w="1125" w:type="dxa"/>
            <w:vAlign w:val="center"/>
          </w:tcPr>
          <w:p w14:paraId="15295D3D" w14:textId="77777777" w:rsidR="00484AF0" w:rsidRPr="00A43C2D" w:rsidRDefault="00484AF0" w:rsidP="00F84454">
            <w:pPr>
              <w:keepNext/>
              <w:keepLines/>
              <w:jc w:val="center"/>
              <w:rPr>
                <w:rFonts w:ascii="Arial Narrow" w:hAnsi="Arial Narrow"/>
                <w:sz w:val="20"/>
                <w:szCs w:val="20"/>
              </w:rPr>
            </w:pPr>
            <w:r w:rsidRPr="007C4687">
              <w:rPr>
                <w:rFonts w:ascii="Arial Narrow" w:hAnsi="Arial Narrow"/>
                <w:sz w:val="20"/>
                <w:szCs w:val="20"/>
              </w:rPr>
              <w:t>2.3 (2.7)</w:t>
            </w:r>
          </w:p>
        </w:tc>
        <w:tc>
          <w:tcPr>
            <w:tcW w:w="1126" w:type="dxa"/>
            <w:vAlign w:val="center"/>
          </w:tcPr>
          <w:p w14:paraId="6EEA9AF0" w14:textId="27873DC5"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r w:rsidR="00484AF0" w:rsidRPr="007C4687">
              <w:rPr>
                <w:rFonts w:ascii="Arial Narrow" w:hAnsi="Arial Narrow"/>
                <w:sz w:val="20"/>
                <w:szCs w:val="20"/>
              </w:rPr>
              <w:t>1.5 (2.7)</w:t>
            </w:r>
          </w:p>
        </w:tc>
        <w:tc>
          <w:tcPr>
            <w:tcW w:w="1126" w:type="dxa"/>
            <w:vAlign w:val="center"/>
          </w:tcPr>
          <w:p w14:paraId="3946E8B7" w14:textId="2388C0DC"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5" w:type="dxa"/>
            <w:vAlign w:val="center"/>
          </w:tcPr>
          <w:p w14:paraId="705A9450" w14:textId="5E56782C"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5DF8A71D" w14:textId="784A6F6D" w:rsidR="00484AF0" w:rsidRPr="00A43C2D" w:rsidRDefault="00484AF0" w:rsidP="00F84454">
            <w:pPr>
              <w:keepNext/>
              <w:keepLines/>
              <w:jc w:val="center"/>
              <w:rPr>
                <w:rFonts w:ascii="Arial Narrow" w:hAnsi="Arial Narrow"/>
                <w:sz w:val="20"/>
                <w:szCs w:val="20"/>
              </w:rPr>
            </w:pPr>
            <w:r w:rsidRPr="00CD1E7A">
              <w:rPr>
                <w:rFonts w:ascii="Arial Narrow" w:hAnsi="Arial Narrow"/>
                <w:sz w:val="20"/>
                <w:szCs w:val="20"/>
              </w:rPr>
              <w:t>6.50 (5.00)</w:t>
            </w:r>
          </w:p>
        </w:tc>
        <w:tc>
          <w:tcPr>
            <w:tcW w:w="1126" w:type="dxa"/>
            <w:vAlign w:val="center"/>
          </w:tcPr>
          <w:p w14:paraId="272FECA9" w14:textId="4883C706"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r w:rsidR="00484AF0" w:rsidRPr="00CD1E7A">
              <w:rPr>
                <w:rFonts w:ascii="Arial Narrow" w:hAnsi="Arial Narrow"/>
                <w:sz w:val="20"/>
                <w:szCs w:val="20"/>
              </w:rPr>
              <w:t>3.58 (5.30)</w:t>
            </w:r>
          </w:p>
        </w:tc>
      </w:tr>
      <w:tr w:rsidR="00484AF0" w:rsidRPr="00A43C2D" w14:paraId="7E131654" w14:textId="77777777" w:rsidTr="0072568D">
        <w:tc>
          <w:tcPr>
            <w:tcW w:w="2263" w:type="dxa"/>
          </w:tcPr>
          <w:p w14:paraId="5B959EF1" w14:textId="77777777" w:rsidR="00484AF0" w:rsidRPr="00A43C2D" w:rsidRDefault="00484AF0" w:rsidP="00F84454">
            <w:pPr>
              <w:keepNext/>
              <w:keepLines/>
              <w:rPr>
                <w:rFonts w:ascii="Arial Narrow" w:hAnsi="Arial Narrow"/>
                <w:sz w:val="20"/>
                <w:szCs w:val="20"/>
              </w:rPr>
            </w:pPr>
            <w:r>
              <w:rPr>
                <w:rFonts w:ascii="Arial Narrow" w:hAnsi="Arial Narrow"/>
                <w:sz w:val="20"/>
                <w:szCs w:val="20"/>
              </w:rPr>
              <w:t>Difference (95%CI)</w:t>
            </w:r>
            <w:r w:rsidRPr="00F445C5">
              <w:rPr>
                <w:rFonts w:ascii="Arial Narrow" w:hAnsi="Arial Narrow"/>
                <w:sz w:val="20"/>
                <w:szCs w:val="20"/>
                <w:vertAlign w:val="superscript"/>
              </w:rPr>
              <w:t>d</w:t>
            </w:r>
          </w:p>
        </w:tc>
        <w:tc>
          <w:tcPr>
            <w:tcW w:w="2251" w:type="dxa"/>
            <w:gridSpan w:val="2"/>
            <w:vAlign w:val="center"/>
          </w:tcPr>
          <w:p w14:paraId="15FF77EB" w14:textId="2EFC6D50" w:rsidR="00484AF0" w:rsidRPr="00A43C2D" w:rsidRDefault="00484AF0" w:rsidP="00F84454">
            <w:pPr>
              <w:keepNext/>
              <w:keepLines/>
              <w:jc w:val="center"/>
              <w:rPr>
                <w:rFonts w:ascii="Arial Narrow" w:hAnsi="Arial Narrow"/>
                <w:sz w:val="20"/>
                <w:szCs w:val="20"/>
              </w:rPr>
            </w:pPr>
            <w:r w:rsidRPr="007C4687">
              <w:rPr>
                <w:rFonts w:ascii="Arial Narrow" w:hAnsi="Arial Narrow"/>
                <w:sz w:val="20"/>
                <w:szCs w:val="20"/>
              </w:rPr>
              <w:t>3.8 (</w:t>
            </w:r>
            <w:r w:rsidR="00FF1914">
              <w:rPr>
                <w:rFonts w:ascii="Arial Narrow" w:hAnsi="Arial Narrow"/>
                <w:sz w:val="20"/>
                <w:szCs w:val="20"/>
              </w:rPr>
              <w:noBreakHyphen/>
            </w:r>
            <w:r w:rsidRPr="007C4687">
              <w:rPr>
                <w:rFonts w:ascii="Arial Narrow" w:hAnsi="Arial Narrow"/>
                <w:sz w:val="20"/>
                <w:szCs w:val="20"/>
              </w:rPr>
              <w:t>1.8, 9.5)</w:t>
            </w:r>
          </w:p>
        </w:tc>
        <w:tc>
          <w:tcPr>
            <w:tcW w:w="2251" w:type="dxa"/>
            <w:gridSpan w:val="2"/>
            <w:vAlign w:val="center"/>
          </w:tcPr>
          <w:p w14:paraId="04A82939" w14:textId="3550A8DB" w:rsidR="00484AF0" w:rsidRPr="0063211E" w:rsidRDefault="00FF1914" w:rsidP="00F84454">
            <w:pPr>
              <w:keepNext/>
              <w:keepLines/>
              <w:jc w:val="center"/>
              <w:rPr>
                <w:rFonts w:ascii="Arial Narrow" w:hAnsi="Arial Narrow"/>
                <w:sz w:val="20"/>
                <w:szCs w:val="20"/>
              </w:rPr>
            </w:pPr>
            <w:r>
              <w:rPr>
                <w:rFonts w:ascii="Arial Narrow" w:hAnsi="Arial Narrow"/>
                <w:i/>
                <w:iCs/>
                <w:sz w:val="20"/>
                <w:szCs w:val="20"/>
              </w:rPr>
              <w:noBreakHyphen/>
            </w:r>
          </w:p>
        </w:tc>
        <w:tc>
          <w:tcPr>
            <w:tcW w:w="2252" w:type="dxa"/>
            <w:gridSpan w:val="2"/>
            <w:vAlign w:val="center"/>
          </w:tcPr>
          <w:p w14:paraId="424221AF" w14:textId="65878011" w:rsidR="00484AF0" w:rsidRPr="0063211E" w:rsidRDefault="00484AF0" w:rsidP="00F84454">
            <w:pPr>
              <w:keepNext/>
              <w:keepLines/>
              <w:jc w:val="center"/>
              <w:rPr>
                <w:rFonts w:ascii="Arial Narrow" w:hAnsi="Arial Narrow"/>
                <w:sz w:val="20"/>
                <w:szCs w:val="20"/>
              </w:rPr>
            </w:pPr>
            <w:r w:rsidRPr="00CD1E7A">
              <w:rPr>
                <w:rFonts w:ascii="Arial Narrow" w:hAnsi="Arial Narrow"/>
                <w:b/>
                <w:bCs/>
                <w:sz w:val="20"/>
                <w:szCs w:val="20"/>
              </w:rPr>
              <w:t>10.1 (0.79, 19.4)</w:t>
            </w:r>
          </w:p>
        </w:tc>
      </w:tr>
      <w:tr w:rsidR="00484AF0" w:rsidRPr="00A43C2D" w14:paraId="3EBB5F8A" w14:textId="77777777" w:rsidTr="0072568D">
        <w:tc>
          <w:tcPr>
            <w:tcW w:w="9017" w:type="dxa"/>
            <w:gridSpan w:val="7"/>
            <w:vAlign w:val="center"/>
          </w:tcPr>
          <w:p w14:paraId="3D4C99F7" w14:textId="77777777" w:rsidR="00484AF0" w:rsidRPr="00742BF0" w:rsidRDefault="00484AF0" w:rsidP="00F84454">
            <w:pPr>
              <w:keepNext/>
              <w:keepLines/>
              <w:jc w:val="left"/>
              <w:rPr>
                <w:rFonts w:ascii="Arial Narrow" w:hAnsi="Arial Narrow"/>
                <w:b/>
                <w:bCs/>
                <w:sz w:val="20"/>
                <w:szCs w:val="20"/>
                <w:u w:val="single"/>
              </w:rPr>
            </w:pPr>
            <w:r w:rsidRPr="00742BF0">
              <w:rPr>
                <w:rFonts w:ascii="Arial Narrow" w:hAnsi="Arial Narrow"/>
                <w:b/>
                <w:bCs/>
                <w:sz w:val="20"/>
                <w:szCs w:val="20"/>
                <w:u w:val="single"/>
              </w:rPr>
              <w:t>Death or renal related events (death, treatment failure, worsening proteinuria, worsening eGFR) to Wk 76</w:t>
            </w:r>
          </w:p>
        </w:tc>
      </w:tr>
      <w:tr w:rsidR="00484AF0" w:rsidRPr="00A43C2D" w14:paraId="0DE667EC" w14:textId="77777777" w:rsidTr="0072568D">
        <w:tc>
          <w:tcPr>
            <w:tcW w:w="2263" w:type="dxa"/>
          </w:tcPr>
          <w:p w14:paraId="354CFD90" w14:textId="77777777" w:rsidR="00484AF0" w:rsidRPr="00A43C2D" w:rsidRDefault="00484AF0" w:rsidP="00F84454">
            <w:pPr>
              <w:keepNext/>
              <w:keepLines/>
              <w:jc w:val="left"/>
              <w:rPr>
                <w:rFonts w:ascii="Arial Narrow" w:hAnsi="Arial Narrow"/>
                <w:sz w:val="20"/>
                <w:szCs w:val="20"/>
              </w:rPr>
            </w:pPr>
            <w:r>
              <w:rPr>
                <w:rFonts w:ascii="Arial Narrow" w:hAnsi="Arial Narrow"/>
                <w:sz w:val="20"/>
                <w:szCs w:val="20"/>
              </w:rPr>
              <w:t>%</w:t>
            </w:r>
            <w:r w:rsidRPr="002969C3">
              <w:rPr>
                <w:rFonts w:ascii="Arial Narrow" w:hAnsi="Arial Narrow"/>
                <w:sz w:val="20"/>
                <w:szCs w:val="20"/>
              </w:rPr>
              <w:t>Patients with events</w:t>
            </w:r>
            <w:r>
              <w:rPr>
                <w:rFonts w:ascii="Arial Narrow" w:hAnsi="Arial Narrow"/>
                <w:sz w:val="20"/>
                <w:szCs w:val="20"/>
              </w:rPr>
              <w:t xml:space="preserve"> </w:t>
            </w:r>
            <w:r w:rsidRPr="002969C3">
              <w:rPr>
                <w:rFonts w:ascii="Arial Narrow" w:hAnsi="Arial Narrow"/>
                <w:sz w:val="20"/>
                <w:szCs w:val="20"/>
              </w:rPr>
              <w:t>(95%CI)</w:t>
            </w:r>
            <w:r w:rsidRPr="002969C3">
              <w:rPr>
                <w:rFonts w:ascii="Arial Narrow" w:hAnsi="Arial Narrow"/>
                <w:sz w:val="20"/>
                <w:szCs w:val="20"/>
                <w:vertAlign w:val="superscript"/>
              </w:rPr>
              <w:t>d</w:t>
            </w:r>
          </w:p>
        </w:tc>
        <w:tc>
          <w:tcPr>
            <w:tcW w:w="1125" w:type="dxa"/>
            <w:vAlign w:val="center"/>
          </w:tcPr>
          <w:p w14:paraId="3AFA99D6" w14:textId="77777777" w:rsidR="00484AF0" w:rsidRDefault="00484AF0" w:rsidP="00F84454">
            <w:pPr>
              <w:keepNext/>
              <w:keepLines/>
              <w:jc w:val="center"/>
              <w:rPr>
                <w:rFonts w:ascii="Arial Narrow" w:hAnsi="Arial Narrow"/>
                <w:sz w:val="20"/>
                <w:szCs w:val="20"/>
              </w:rPr>
            </w:pPr>
            <w:r w:rsidRPr="002969C3">
              <w:rPr>
                <w:rFonts w:ascii="Arial Narrow" w:hAnsi="Arial Narrow"/>
                <w:sz w:val="20"/>
                <w:szCs w:val="20"/>
              </w:rPr>
              <w:t>18.9</w:t>
            </w:r>
          </w:p>
          <w:p w14:paraId="65A83B47" w14:textId="2B1E0D8D" w:rsidR="00484AF0" w:rsidRPr="00A43C2D" w:rsidRDefault="00484AF0" w:rsidP="00F84454">
            <w:pPr>
              <w:keepNext/>
              <w:keepLines/>
              <w:jc w:val="center"/>
              <w:rPr>
                <w:rFonts w:ascii="Arial Narrow" w:hAnsi="Arial Narrow"/>
                <w:sz w:val="20"/>
                <w:szCs w:val="20"/>
              </w:rPr>
            </w:pPr>
            <w:r w:rsidRPr="002969C3">
              <w:rPr>
                <w:rFonts w:ascii="Arial Narrow" w:hAnsi="Arial Narrow"/>
                <w:sz w:val="20"/>
                <w:szCs w:val="20"/>
              </w:rPr>
              <w:t>(12.1, 25.6)</w:t>
            </w:r>
          </w:p>
        </w:tc>
        <w:tc>
          <w:tcPr>
            <w:tcW w:w="1126" w:type="dxa"/>
            <w:vAlign w:val="center"/>
          </w:tcPr>
          <w:p w14:paraId="009998F3" w14:textId="77777777" w:rsidR="00484AF0" w:rsidRDefault="00484AF0" w:rsidP="00F84454">
            <w:pPr>
              <w:keepNext/>
              <w:keepLines/>
              <w:jc w:val="center"/>
              <w:rPr>
                <w:rFonts w:ascii="Arial Narrow" w:hAnsi="Arial Narrow"/>
                <w:sz w:val="20"/>
                <w:szCs w:val="20"/>
              </w:rPr>
            </w:pPr>
            <w:r w:rsidRPr="002969C3">
              <w:rPr>
                <w:rFonts w:ascii="Arial Narrow" w:hAnsi="Arial Narrow"/>
                <w:sz w:val="20"/>
                <w:szCs w:val="20"/>
              </w:rPr>
              <w:t>35.6</w:t>
            </w:r>
          </w:p>
          <w:p w14:paraId="01F6F4F4" w14:textId="1F46F7B5" w:rsidR="00484AF0" w:rsidRPr="00A43C2D" w:rsidRDefault="00484AF0" w:rsidP="00F84454">
            <w:pPr>
              <w:keepNext/>
              <w:keepLines/>
              <w:jc w:val="center"/>
              <w:rPr>
                <w:rFonts w:ascii="Arial Narrow" w:hAnsi="Arial Narrow"/>
                <w:sz w:val="20"/>
                <w:szCs w:val="20"/>
              </w:rPr>
            </w:pPr>
            <w:r w:rsidRPr="002969C3">
              <w:rPr>
                <w:rFonts w:ascii="Arial Narrow" w:hAnsi="Arial Narrow"/>
                <w:sz w:val="20"/>
                <w:szCs w:val="20"/>
              </w:rPr>
              <w:t>(27.5, 43.8)</w:t>
            </w:r>
          </w:p>
        </w:tc>
        <w:tc>
          <w:tcPr>
            <w:tcW w:w="1126" w:type="dxa"/>
            <w:vAlign w:val="center"/>
          </w:tcPr>
          <w:p w14:paraId="7A1FE62A" w14:textId="7F26E79E"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5" w:type="dxa"/>
            <w:vAlign w:val="center"/>
          </w:tcPr>
          <w:p w14:paraId="34CDDBF0" w14:textId="4D278120"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1126" w:type="dxa"/>
            <w:vAlign w:val="center"/>
          </w:tcPr>
          <w:p w14:paraId="64688A3F" w14:textId="77777777" w:rsidR="00484AF0" w:rsidRPr="00CD1E7A" w:rsidRDefault="00484AF0" w:rsidP="00F84454">
            <w:pPr>
              <w:keepNext/>
              <w:keepLines/>
              <w:jc w:val="center"/>
              <w:rPr>
                <w:rFonts w:ascii="Arial Narrow" w:hAnsi="Arial Narrow"/>
                <w:sz w:val="20"/>
                <w:szCs w:val="20"/>
              </w:rPr>
            </w:pPr>
            <w:r w:rsidRPr="00CD1E7A">
              <w:rPr>
                <w:rFonts w:ascii="Arial Narrow" w:hAnsi="Arial Narrow"/>
                <w:sz w:val="20"/>
                <w:szCs w:val="20"/>
              </w:rPr>
              <w:t>24.5</w:t>
            </w:r>
          </w:p>
          <w:p w14:paraId="587B4859" w14:textId="198C7A11" w:rsidR="00484AF0" w:rsidRPr="00A43C2D" w:rsidRDefault="00484AF0" w:rsidP="00F84454">
            <w:pPr>
              <w:keepNext/>
              <w:keepLines/>
              <w:jc w:val="center"/>
              <w:rPr>
                <w:rFonts w:ascii="Arial Narrow" w:hAnsi="Arial Narrow"/>
                <w:sz w:val="20"/>
                <w:szCs w:val="20"/>
              </w:rPr>
            </w:pPr>
            <w:r w:rsidRPr="00CD1E7A">
              <w:rPr>
                <w:rFonts w:ascii="Arial Narrow" w:hAnsi="Arial Narrow"/>
                <w:sz w:val="20"/>
                <w:szCs w:val="20"/>
              </w:rPr>
              <w:t>(13.7, 35.4)</w:t>
            </w:r>
          </w:p>
        </w:tc>
        <w:tc>
          <w:tcPr>
            <w:tcW w:w="1126" w:type="dxa"/>
            <w:vAlign w:val="center"/>
          </w:tcPr>
          <w:p w14:paraId="3D339639" w14:textId="77777777" w:rsidR="00484AF0" w:rsidRPr="00CD1E7A" w:rsidRDefault="00484AF0" w:rsidP="00F84454">
            <w:pPr>
              <w:keepNext/>
              <w:keepLines/>
              <w:jc w:val="center"/>
              <w:rPr>
                <w:rFonts w:ascii="Arial Narrow" w:hAnsi="Arial Narrow"/>
                <w:sz w:val="20"/>
                <w:szCs w:val="20"/>
              </w:rPr>
            </w:pPr>
            <w:r w:rsidRPr="00CD1E7A">
              <w:rPr>
                <w:rFonts w:ascii="Arial Narrow" w:hAnsi="Arial Narrow"/>
                <w:sz w:val="20"/>
                <w:szCs w:val="20"/>
              </w:rPr>
              <w:t>33.5</w:t>
            </w:r>
          </w:p>
          <w:p w14:paraId="0C936716" w14:textId="7F16DD73" w:rsidR="00484AF0" w:rsidRPr="00A43C2D" w:rsidRDefault="00484AF0" w:rsidP="00F84454">
            <w:pPr>
              <w:keepNext/>
              <w:keepLines/>
              <w:jc w:val="center"/>
              <w:rPr>
                <w:rFonts w:ascii="Arial Narrow" w:hAnsi="Arial Narrow"/>
                <w:sz w:val="20"/>
                <w:szCs w:val="20"/>
              </w:rPr>
            </w:pPr>
            <w:r w:rsidRPr="00CD1E7A">
              <w:rPr>
                <w:rFonts w:ascii="Arial Narrow" w:hAnsi="Arial Narrow"/>
                <w:sz w:val="20"/>
                <w:szCs w:val="20"/>
              </w:rPr>
              <w:t>(21.5, 45.4)</w:t>
            </w:r>
          </w:p>
        </w:tc>
      </w:tr>
      <w:tr w:rsidR="00484AF0" w:rsidRPr="00A43C2D" w14:paraId="29DD8306" w14:textId="77777777" w:rsidTr="0072568D">
        <w:tc>
          <w:tcPr>
            <w:tcW w:w="2263" w:type="dxa"/>
          </w:tcPr>
          <w:p w14:paraId="5B2D93A9" w14:textId="77777777" w:rsidR="00484AF0" w:rsidRPr="00A43C2D" w:rsidRDefault="00484AF0" w:rsidP="00F84454">
            <w:pPr>
              <w:keepNext/>
              <w:keepLines/>
              <w:rPr>
                <w:rFonts w:ascii="Arial Narrow" w:hAnsi="Arial Narrow"/>
                <w:sz w:val="20"/>
                <w:szCs w:val="20"/>
              </w:rPr>
            </w:pPr>
            <w:r>
              <w:rPr>
                <w:rFonts w:ascii="Arial Narrow" w:hAnsi="Arial Narrow"/>
                <w:sz w:val="20"/>
                <w:szCs w:val="20"/>
              </w:rPr>
              <w:t>% Difference (95%CI)</w:t>
            </w:r>
            <w:r w:rsidRPr="00F445C5">
              <w:rPr>
                <w:rFonts w:ascii="Arial Narrow" w:hAnsi="Arial Narrow"/>
                <w:sz w:val="20"/>
                <w:szCs w:val="20"/>
                <w:vertAlign w:val="superscript"/>
              </w:rPr>
              <w:t>d</w:t>
            </w:r>
          </w:p>
        </w:tc>
        <w:tc>
          <w:tcPr>
            <w:tcW w:w="2251" w:type="dxa"/>
            <w:gridSpan w:val="2"/>
            <w:vAlign w:val="center"/>
          </w:tcPr>
          <w:p w14:paraId="7E86ACCE" w14:textId="1D7E3378" w:rsidR="00484AF0" w:rsidRPr="002969C3" w:rsidRDefault="00FF1914" w:rsidP="00F84454">
            <w:pPr>
              <w:keepNext/>
              <w:keepLines/>
              <w:jc w:val="center"/>
              <w:rPr>
                <w:rFonts w:ascii="Arial Narrow" w:hAnsi="Arial Narrow"/>
                <w:b/>
                <w:bCs/>
                <w:sz w:val="20"/>
                <w:szCs w:val="20"/>
              </w:rPr>
            </w:pPr>
            <w:r>
              <w:rPr>
                <w:rFonts w:ascii="Arial Narrow" w:hAnsi="Arial Narrow"/>
                <w:b/>
                <w:bCs/>
                <w:sz w:val="20"/>
                <w:szCs w:val="20"/>
              </w:rPr>
              <w:noBreakHyphen/>
            </w:r>
            <w:r w:rsidR="00484AF0" w:rsidRPr="002969C3">
              <w:rPr>
                <w:rFonts w:ascii="Arial Narrow" w:hAnsi="Arial Narrow"/>
                <w:b/>
                <w:bCs/>
                <w:sz w:val="20"/>
                <w:szCs w:val="20"/>
              </w:rPr>
              <w:t>16.8 (</w:t>
            </w:r>
            <w:r>
              <w:rPr>
                <w:rFonts w:ascii="Arial Narrow" w:hAnsi="Arial Narrow"/>
                <w:b/>
                <w:bCs/>
                <w:sz w:val="20"/>
                <w:szCs w:val="20"/>
              </w:rPr>
              <w:noBreakHyphen/>
            </w:r>
            <w:r w:rsidR="00484AF0" w:rsidRPr="002969C3">
              <w:rPr>
                <w:rFonts w:ascii="Arial Narrow" w:hAnsi="Arial Narrow"/>
                <w:b/>
                <w:bCs/>
                <w:sz w:val="20"/>
                <w:szCs w:val="20"/>
              </w:rPr>
              <w:t xml:space="preserve">27.4, </w:t>
            </w:r>
            <w:r>
              <w:rPr>
                <w:rFonts w:ascii="Arial Narrow" w:hAnsi="Arial Narrow"/>
                <w:b/>
                <w:bCs/>
                <w:sz w:val="20"/>
                <w:szCs w:val="20"/>
              </w:rPr>
              <w:noBreakHyphen/>
            </w:r>
            <w:r w:rsidR="00484AF0" w:rsidRPr="002969C3">
              <w:rPr>
                <w:rFonts w:ascii="Arial Narrow" w:hAnsi="Arial Narrow"/>
                <w:b/>
                <w:bCs/>
                <w:sz w:val="20"/>
                <w:szCs w:val="20"/>
              </w:rPr>
              <w:t>6.2)</w:t>
            </w:r>
          </w:p>
        </w:tc>
        <w:tc>
          <w:tcPr>
            <w:tcW w:w="2251" w:type="dxa"/>
            <w:gridSpan w:val="2"/>
            <w:vAlign w:val="center"/>
          </w:tcPr>
          <w:p w14:paraId="0FA0690E" w14:textId="64F49650"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p>
        </w:tc>
        <w:tc>
          <w:tcPr>
            <w:tcW w:w="2252" w:type="dxa"/>
            <w:gridSpan w:val="2"/>
            <w:vAlign w:val="center"/>
          </w:tcPr>
          <w:p w14:paraId="17EAE846" w14:textId="00144711" w:rsidR="00484AF0" w:rsidRPr="00A43C2D" w:rsidRDefault="00FF1914" w:rsidP="00F84454">
            <w:pPr>
              <w:keepNext/>
              <w:keepLines/>
              <w:jc w:val="center"/>
              <w:rPr>
                <w:rFonts w:ascii="Arial Narrow" w:hAnsi="Arial Narrow"/>
                <w:sz w:val="20"/>
                <w:szCs w:val="20"/>
              </w:rPr>
            </w:pPr>
            <w:r>
              <w:rPr>
                <w:rFonts w:ascii="Arial Narrow" w:hAnsi="Arial Narrow"/>
                <w:sz w:val="20"/>
                <w:szCs w:val="20"/>
              </w:rPr>
              <w:noBreakHyphen/>
            </w:r>
            <w:r w:rsidR="00484AF0" w:rsidRPr="00CD1E7A">
              <w:rPr>
                <w:rFonts w:ascii="Arial Narrow" w:hAnsi="Arial Narrow"/>
                <w:sz w:val="20"/>
                <w:szCs w:val="20"/>
              </w:rPr>
              <w:t>8.4 (</w:t>
            </w:r>
            <w:r>
              <w:rPr>
                <w:rFonts w:ascii="Arial Narrow" w:hAnsi="Arial Narrow"/>
                <w:sz w:val="20"/>
                <w:szCs w:val="20"/>
              </w:rPr>
              <w:noBreakHyphen/>
            </w:r>
            <w:r w:rsidR="00484AF0" w:rsidRPr="00CD1E7A">
              <w:rPr>
                <w:rFonts w:ascii="Arial Narrow" w:hAnsi="Arial Narrow"/>
                <w:sz w:val="20"/>
                <w:szCs w:val="20"/>
              </w:rPr>
              <w:t>24.3, 7.5)</w:t>
            </w:r>
          </w:p>
        </w:tc>
      </w:tr>
    </w:tbl>
    <w:p w14:paraId="31F83C7F" w14:textId="32834FCF" w:rsidR="007A3BF4" w:rsidRDefault="007A3BF4" w:rsidP="007A3BF4">
      <w:pPr>
        <w:rPr>
          <w:rFonts w:ascii="Arial Narrow" w:hAnsi="Arial Narrow"/>
          <w:sz w:val="18"/>
          <w:szCs w:val="18"/>
        </w:rPr>
      </w:pPr>
      <w:r w:rsidRPr="00031A1F">
        <w:rPr>
          <w:rFonts w:ascii="Arial Narrow" w:hAnsi="Arial Narrow"/>
          <w:sz w:val="18"/>
          <w:szCs w:val="18"/>
        </w:rPr>
        <w:t>Source:</w:t>
      </w:r>
      <w:r>
        <w:rPr>
          <w:rFonts w:ascii="Arial Narrow" w:hAnsi="Arial Narrow"/>
          <w:sz w:val="18"/>
          <w:szCs w:val="18"/>
        </w:rPr>
        <w:t xml:space="preserve"> Table 2.20, p61, tables 2.23 to 2.27, pp65</w:t>
      </w:r>
      <w:r w:rsidR="00FF1914">
        <w:rPr>
          <w:rFonts w:ascii="Arial Narrow" w:hAnsi="Arial Narrow"/>
          <w:sz w:val="18"/>
          <w:szCs w:val="18"/>
        </w:rPr>
        <w:noBreakHyphen/>
      </w:r>
      <w:r>
        <w:rPr>
          <w:rFonts w:ascii="Arial Narrow" w:hAnsi="Arial Narrow"/>
          <w:sz w:val="18"/>
          <w:szCs w:val="18"/>
        </w:rPr>
        <w:t>66 of the submission, PRR status by week</w:t>
      </w:r>
      <w:r w:rsidR="00C4166F">
        <w:rPr>
          <w:rFonts w:ascii="Arial Narrow" w:hAnsi="Arial Narrow"/>
          <w:sz w:val="18"/>
          <w:szCs w:val="18"/>
        </w:rPr>
        <w:t xml:space="preserve">, </w:t>
      </w:r>
      <w:r>
        <w:rPr>
          <w:rFonts w:ascii="Arial Narrow" w:hAnsi="Arial Narrow"/>
          <w:sz w:val="18"/>
          <w:szCs w:val="18"/>
        </w:rPr>
        <w:t>commercial in confidence.pdf, Table 5, p56 of Clinical Overview.pdf</w:t>
      </w:r>
      <w:r w:rsidR="00484AF0">
        <w:rPr>
          <w:rFonts w:ascii="Arial Narrow" w:hAnsi="Arial Narrow"/>
          <w:sz w:val="18"/>
          <w:szCs w:val="18"/>
        </w:rPr>
        <w:t xml:space="preserve">, </w:t>
      </w:r>
      <w:r w:rsidR="00484AF0" w:rsidRPr="00484AF0">
        <w:rPr>
          <w:rFonts w:ascii="Arial Narrow" w:hAnsi="Arial Narrow"/>
          <w:sz w:val="18"/>
          <w:szCs w:val="18"/>
        </w:rPr>
        <w:t>Table 8, p21 of Delegate’s overview (obinutuzumab) 5 Jan 2026.</w:t>
      </w:r>
    </w:p>
    <w:p w14:paraId="1857A0D5" w14:textId="43AB26B5" w:rsidR="008E651B" w:rsidRDefault="008E651B" w:rsidP="007A3BF4">
      <w:pPr>
        <w:rPr>
          <w:rFonts w:ascii="Arial Narrow" w:hAnsi="Arial Narrow"/>
          <w:sz w:val="18"/>
          <w:szCs w:val="18"/>
        </w:rPr>
      </w:pPr>
      <w:r>
        <w:rPr>
          <w:rFonts w:ascii="Arial Narrow" w:hAnsi="Arial Narrow"/>
          <w:sz w:val="18"/>
          <w:szCs w:val="18"/>
        </w:rPr>
        <w:t>Bold text in the % Difference row indicates a statistically significant result.</w:t>
      </w:r>
    </w:p>
    <w:p w14:paraId="1B359A46" w14:textId="271D0962" w:rsidR="007A3BF4" w:rsidRPr="00031A1F" w:rsidRDefault="007A3BF4" w:rsidP="007A3BF4">
      <w:pPr>
        <w:rPr>
          <w:rFonts w:ascii="Arial Narrow" w:hAnsi="Arial Narrow"/>
          <w:sz w:val="18"/>
          <w:szCs w:val="18"/>
        </w:rPr>
      </w:pPr>
      <w:r>
        <w:rPr>
          <w:rFonts w:ascii="Arial Narrow" w:hAnsi="Arial Narrow"/>
          <w:sz w:val="18"/>
          <w:szCs w:val="18"/>
        </w:rPr>
        <w:t>CMH=</w:t>
      </w:r>
      <w:r w:rsidRPr="000F1076">
        <w:rPr>
          <w:rFonts w:ascii="Arial Narrow" w:hAnsi="Arial Narrow"/>
          <w:sz w:val="18"/>
          <w:szCs w:val="18"/>
        </w:rPr>
        <w:t>Cochrane</w:t>
      </w:r>
      <w:r w:rsidR="00FF1914">
        <w:rPr>
          <w:rFonts w:ascii="Arial Narrow" w:hAnsi="Arial Narrow"/>
          <w:sz w:val="18"/>
          <w:szCs w:val="18"/>
        </w:rPr>
        <w:noBreakHyphen/>
      </w:r>
      <w:r w:rsidRPr="000F1076">
        <w:rPr>
          <w:rFonts w:ascii="Arial Narrow" w:hAnsi="Arial Narrow"/>
          <w:sz w:val="18"/>
          <w:szCs w:val="18"/>
        </w:rPr>
        <w:t>Mantel Haenzel</w:t>
      </w:r>
      <w:r>
        <w:rPr>
          <w:rFonts w:ascii="Arial Narrow" w:hAnsi="Arial Narrow"/>
          <w:sz w:val="18"/>
          <w:szCs w:val="18"/>
        </w:rPr>
        <w:t xml:space="preserve">; CRR=complete renal response; </w:t>
      </w:r>
      <w:r w:rsidRPr="00031A1F">
        <w:rPr>
          <w:rFonts w:ascii="Arial Narrow" w:hAnsi="Arial Narrow"/>
          <w:sz w:val="18"/>
          <w:szCs w:val="18"/>
        </w:rPr>
        <w:t>eGFR=estimated glomerular filtration rate;</w:t>
      </w:r>
      <w:r>
        <w:rPr>
          <w:rFonts w:ascii="Arial Narrow" w:hAnsi="Arial Narrow"/>
          <w:sz w:val="18"/>
          <w:szCs w:val="18"/>
        </w:rPr>
        <w:t xml:space="preserve"> LN=lupus nephritis; NE=not estimable; OBI=obinutuzumab; </w:t>
      </w:r>
      <w:r w:rsidRPr="00D84A00">
        <w:rPr>
          <w:rFonts w:ascii="Arial Narrow" w:hAnsi="Arial Narrow"/>
          <w:sz w:val="18"/>
          <w:szCs w:val="18"/>
        </w:rPr>
        <w:t xml:space="preserve">ORR=overall response rate; </w:t>
      </w:r>
      <w:r>
        <w:rPr>
          <w:rFonts w:ascii="Arial Narrow" w:hAnsi="Arial Narrow"/>
          <w:sz w:val="18"/>
          <w:szCs w:val="18"/>
        </w:rPr>
        <w:t xml:space="preserve">PBO=placebo; </w:t>
      </w:r>
      <w:r w:rsidRPr="00D84A00">
        <w:rPr>
          <w:rFonts w:ascii="Arial Narrow" w:hAnsi="Arial Narrow"/>
          <w:sz w:val="18"/>
          <w:szCs w:val="18"/>
        </w:rPr>
        <w:t>RBC/hpf=red blood cells per high</w:t>
      </w:r>
      <w:r w:rsidR="00FF1914">
        <w:rPr>
          <w:rFonts w:ascii="Arial Narrow" w:hAnsi="Arial Narrow"/>
          <w:sz w:val="18"/>
          <w:szCs w:val="18"/>
        </w:rPr>
        <w:noBreakHyphen/>
      </w:r>
      <w:r w:rsidRPr="00D84A00">
        <w:rPr>
          <w:rFonts w:ascii="Arial Narrow" w:hAnsi="Arial Narrow"/>
          <w:sz w:val="18"/>
          <w:szCs w:val="18"/>
        </w:rPr>
        <w:t xml:space="preserve">power field; </w:t>
      </w:r>
      <w:r>
        <w:rPr>
          <w:rFonts w:ascii="Arial Narrow" w:hAnsi="Arial Narrow"/>
          <w:sz w:val="18"/>
          <w:szCs w:val="18"/>
        </w:rPr>
        <w:t xml:space="preserve">PRR=partial renal response; </w:t>
      </w:r>
      <w:r w:rsidRPr="002C178D">
        <w:rPr>
          <w:rFonts w:ascii="Arial Narrow" w:hAnsi="Arial Narrow"/>
          <w:sz w:val="18"/>
          <w:szCs w:val="18"/>
        </w:rPr>
        <w:t>ULN=upper limit of normal; UPCR=urinary protein</w:t>
      </w:r>
      <w:r w:rsidR="00FF1914">
        <w:rPr>
          <w:rFonts w:ascii="Arial Narrow" w:hAnsi="Arial Narrow"/>
          <w:sz w:val="18"/>
          <w:szCs w:val="18"/>
        </w:rPr>
        <w:noBreakHyphen/>
      </w:r>
      <w:r w:rsidRPr="002C178D">
        <w:rPr>
          <w:rFonts w:ascii="Arial Narrow" w:hAnsi="Arial Narrow"/>
          <w:sz w:val="18"/>
          <w:szCs w:val="18"/>
        </w:rPr>
        <w:t>to</w:t>
      </w:r>
      <w:r w:rsidR="00FF1914">
        <w:rPr>
          <w:rFonts w:ascii="Arial Narrow" w:hAnsi="Arial Narrow"/>
          <w:sz w:val="18"/>
          <w:szCs w:val="18"/>
        </w:rPr>
        <w:noBreakHyphen/>
      </w:r>
      <w:r w:rsidRPr="002C178D">
        <w:rPr>
          <w:rFonts w:ascii="Arial Narrow" w:hAnsi="Arial Narrow"/>
          <w:sz w:val="18"/>
          <w:szCs w:val="18"/>
        </w:rPr>
        <w:t>creatinine ratio;</w:t>
      </w:r>
      <w:r>
        <w:rPr>
          <w:rFonts w:ascii="Arial Narrow" w:hAnsi="Arial Narrow"/>
          <w:sz w:val="18"/>
          <w:szCs w:val="18"/>
        </w:rPr>
        <w:t xml:space="preserve"> wk=week;</w:t>
      </w:r>
    </w:p>
    <w:p w14:paraId="726C2381" w14:textId="7F4F275B" w:rsidR="007A3BF4" w:rsidRDefault="007A3BF4" w:rsidP="007A3BF4">
      <w:pPr>
        <w:pStyle w:val="FooterTableFigure"/>
        <w:tabs>
          <w:tab w:val="left" w:pos="142"/>
        </w:tabs>
        <w:spacing w:after="0"/>
        <w:ind w:left="140" w:hanging="140"/>
      </w:pPr>
      <w:r>
        <w:t>a</w:t>
      </w:r>
      <w:r>
        <w:tab/>
        <w:t>Data from pooled OBI dos</w:t>
      </w:r>
      <w:r w:rsidRPr="00C14CBE">
        <w:t xml:space="preserve">e regimens </w:t>
      </w:r>
      <w:r>
        <w:t>(2</w:t>
      </w:r>
      <w:r w:rsidR="00FF1914">
        <w:noBreakHyphen/>
      </w:r>
      <w:r>
        <w:t>2</w:t>
      </w:r>
      <w:r w:rsidR="00FF1914">
        <w:noBreakHyphen/>
      </w:r>
      <w:r>
        <w:t>1 and 2</w:t>
      </w:r>
      <w:r w:rsidR="00FF1914">
        <w:noBreakHyphen/>
      </w:r>
      <w:r>
        <w:t>2</w:t>
      </w:r>
      <w:r w:rsidR="00FF1914">
        <w:noBreakHyphen/>
      </w:r>
      <w:r>
        <w:t>2).</w:t>
      </w:r>
    </w:p>
    <w:p w14:paraId="399AEEEB" w14:textId="77777777" w:rsidR="007A3BF4" w:rsidRDefault="007A3BF4" w:rsidP="007A3BF4">
      <w:pPr>
        <w:pStyle w:val="FooterTableFigure"/>
        <w:tabs>
          <w:tab w:val="left" w:pos="142"/>
        </w:tabs>
        <w:ind w:left="140" w:hanging="140"/>
      </w:pPr>
      <w:r>
        <w:t>b</w:t>
      </w:r>
      <w:r>
        <w:tab/>
        <w:t>In REGENCY, intercurrent events included rescue therapy, treatment failure, death, or early study withdrawal.</w:t>
      </w:r>
    </w:p>
    <w:p w14:paraId="07CC8C4F" w14:textId="3DE9AEA6" w:rsidR="007A3BF4" w:rsidRDefault="007A3BF4" w:rsidP="007A3BF4">
      <w:pPr>
        <w:pStyle w:val="FooterTableFigure"/>
        <w:tabs>
          <w:tab w:val="left" w:pos="142"/>
        </w:tabs>
        <w:ind w:left="140" w:hanging="140"/>
      </w:pPr>
      <w:r>
        <w:t>c</w:t>
      </w:r>
      <w:r>
        <w:tab/>
        <w:t>Results from the post</w:t>
      </w:r>
      <w:r w:rsidR="00FF1914">
        <w:noBreakHyphen/>
      </w:r>
      <w:r>
        <w:t>hoc re</w:t>
      </w:r>
      <w:r w:rsidR="00FF1914">
        <w:noBreakHyphen/>
      </w:r>
      <w:r>
        <w:t>analysed NOBILITY data (using REGENCY outcomes definitions and data handling rules) were descriptive and nominal p</w:t>
      </w:r>
      <w:r w:rsidR="00FF1914">
        <w:noBreakHyphen/>
      </w:r>
      <w:r>
        <w:t>values was exploratory.</w:t>
      </w:r>
    </w:p>
    <w:p w14:paraId="4D2F6B7F" w14:textId="024D4FE8" w:rsidR="007A3BF4" w:rsidRDefault="007A3BF4" w:rsidP="007A3BF4">
      <w:pPr>
        <w:pStyle w:val="FooterTableFigure"/>
        <w:tabs>
          <w:tab w:val="left" w:pos="142"/>
        </w:tabs>
        <w:ind w:left="140" w:hanging="140"/>
      </w:pPr>
      <w:r>
        <w:t>d</w:t>
      </w:r>
      <w:r>
        <w:tab/>
        <w:t>The main analytical approach included multiple imputation for missing data using fully conditional specification predicted mean matching method. CMH test with stratification factors race and region was performed. The adjusted difference (i.e. common risk difference) and its CI based on stratified Newcombe CI calculated using Mantel</w:t>
      </w:r>
      <w:r w:rsidR="00FF1914">
        <w:noBreakHyphen/>
      </w:r>
      <w:r>
        <w:t>Haenszel weights.</w:t>
      </w:r>
    </w:p>
    <w:p w14:paraId="2F3BB4D7" w14:textId="596E8DC8" w:rsidR="007A3BF4" w:rsidRDefault="007A3BF4" w:rsidP="007A3BF4">
      <w:pPr>
        <w:pStyle w:val="FooterTableFigure"/>
        <w:tabs>
          <w:tab w:val="left" w:pos="142"/>
        </w:tabs>
        <w:ind w:left="140" w:hanging="140"/>
      </w:pPr>
      <w:r>
        <w:t>e</w:t>
      </w:r>
      <w:r>
        <w:tab/>
      </w:r>
      <w:r w:rsidRPr="00597ED8">
        <w:t xml:space="preserve">Imputation rules </w:t>
      </w:r>
      <w:r>
        <w:t>were</w:t>
      </w:r>
      <w:r w:rsidRPr="00597ED8">
        <w:t xml:space="preserve"> applied for missing data.</w:t>
      </w:r>
      <w:r>
        <w:t xml:space="preserve"> </w:t>
      </w:r>
      <w:r w:rsidRPr="000F1076">
        <w:t>P</w:t>
      </w:r>
      <w:r w:rsidR="00FF1914">
        <w:noBreakHyphen/>
      </w:r>
      <w:r w:rsidRPr="000F1076">
        <w:t>value assessed using CMH test</w:t>
      </w:r>
      <w:r>
        <w:t>.</w:t>
      </w:r>
    </w:p>
    <w:p w14:paraId="20955D72" w14:textId="77777777" w:rsidR="007A3BF4" w:rsidRDefault="007A3BF4" w:rsidP="007A3BF4">
      <w:pPr>
        <w:pStyle w:val="FooterTableFigure"/>
        <w:tabs>
          <w:tab w:val="left" w:pos="142"/>
        </w:tabs>
        <w:ind w:left="140" w:hanging="140"/>
      </w:pPr>
      <w:r>
        <w:t>f</w:t>
      </w:r>
      <w:r>
        <w:tab/>
        <w:t>The submission used the observed CRR response data from REGENCY</w:t>
      </w:r>
      <w:r w:rsidRPr="00F445C5">
        <w:t xml:space="preserve"> in</w:t>
      </w:r>
      <w:r>
        <w:t xml:space="preserve"> the</w:t>
      </w:r>
      <w:r w:rsidRPr="00F445C5">
        <w:t xml:space="preserve"> modelled economic evaluation</w:t>
      </w:r>
      <w:r>
        <w:t>.</w:t>
      </w:r>
    </w:p>
    <w:p w14:paraId="1D2EA0E1" w14:textId="5D529DB9" w:rsidR="007A3BF4" w:rsidRDefault="007A3BF4" w:rsidP="007A3BF4">
      <w:pPr>
        <w:pStyle w:val="FooterTableFigure"/>
        <w:tabs>
          <w:tab w:val="left" w:pos="142"/>
        </w:tabs>
        <w:ind w:left="140" w:hanging="140"/>
      </w:pPr>
      <w:r>
        <w:t>g</w:t>
      </w:r>
      <w:r>
        <w:tab/>
        <w:t xml:space="preserve">In NOBILITY, CRR defined as </w:t>
      </w:r>
      <w:r w:rsidRPr="00D84A00">
        <w:t>UPCR &lt;0.5</w:t>
      </w:r>
      <w:r>
        <w:t>, normal renal function (serum creatinine ≤ULN) without worsening of baseline serum creatinine by more than 15%, and inactive urinary sediment (&lt;10 red blood cells (RBCs)/high</w:t>
      </w:r>
      <w:r w:rsidR="00FF1914">
        <w:noBreakHyphen/>
      </w:r>
      <w:r>
        <w:t>power field (HPF) without RBC casts).</w:t>
      </w:r>
    </w:p>
    <w:p w14:paraId="20DE8FA3" w14:textId="77777777" w:rsidR="007A3BF4" w:rsidRDefault="007A3BF4" w:rsidP="007A3BF4">
      <w:pPr>
        <w:pStyle w:val="FooterTableFigure"/>
        <w:tabs>
          <w:tab w:val="left" w:pos="142"/>
        </w:tabs>
        <w:ind w:left="140" w:hanging="140"/>
      </w:pPr>
      <w:r>
        <w:t>h</w:t>
      </w:r>
      <w:r>
        <w:tab/>
      </w:r>
      <w:r>
        <w:tab/>
        <w:t>In NOBILITY, PRR defined as ≥50% reduction in UPCR from baseline to a value &lt;1 (to &lt;3 if baseline UPCR was ≥3), serum creatinine not increased &gt;15% from baseline and urinary RBCs/hpf &lt;10 or ≤50% increase over the baseline value.</w:t>
      </w:r>
    </w:p>
    <w:p w14:paraId="69279223" w14:textId="65CBD0D6" w:rsidR="007A3BF4" w:rsidRDefault="005D1B76" w:rsidP="00EC5836">
      <w:pPr>
        <w:pStyle w:val="3-BodyText"/>
      </w:pPr>
      <w:r>
        <w:fldChar w:fldCharType="begin"/>
      </w:r>
      <w:r>
        <w:instrText xml:space="preserve"> REF _Ref218520405 \h </w:instrText>
      </w:r>
      <w:r>
        <w:fldChar w:fldCharType="separate"/>
      </w:r>
      <w:r w:rsidR="002255D9">
        <w:t xml:space="preserve">Figure </w:t>
      </w:r>
      <w:r w:rsidR="002255D9">
        <w:rPr>
          <w:noProof/>
        </w:rPr>
        <w:t>1</w:t>
      </w:r>
      <w:r>
        <w:fldChar w:fldCharType="end"/>
      </w:r>
      <w:r w:rsidR="007A3BF4">
        <w:t xml:space="preserve"> presents the Kaplan</w:t>
      </w:r>
      <w:r w:rsidR="00FF1914">
        <w:noBreakHyphen/>
      </w:r>
      <w:r w:rsidR="007A3BF4">
        <w:t>Meier plot of the time to event outcomes though Week 76 in REGENCY and Week 104 (NOBILITY).</w:t>
      </w:r>
    </w:p>
    <w:p w14:paraId="28175A46" w14:textId="402B3868" w:rsidR="007A3BF4" w:rsidRDefault="005D1B76" w:rsidP="00AA42AE">
      <w:pPr>
        <w:pStyle w:val="Caption"/>
        <w:rPr>
          <w:szCs w:val="20"/>
        </w:rPr>
      </w:pPr>
      <w:bookmarkStart w:id="36" w:name="_Ref218520405"/>
      <w:r>
        <w:lastRenderedPageBreak/>
        <w:t xml:space="preserve">Figure </w:t>
      </w:r>
      <w:fldSimple w:instr=" SEQ Figure \* ARABIC ">
        <w:r w:rsidR="002255D9">
          <w:rPr>
            <w:noProof/>
          </w:rPr>
          <w:t>1</w:t>
        </w:r>
      </w:fldSimple>
      <w:bookmarkEnd w:id="36"/>
      <w:r w:rsidR="007A3BF4">
        <w:rPr>
          <w:szCs w:val="20"/>
        </w:rPr>
        <w:t xml:space="preserve">: </w:t>
      </w:r>
      <w:r w:rsidR="007A3BF4" w:rsidRPr="00D674C8">
        <w:rPr>
          <w:szCs w:val="20"/>
        </w:rPr>
        <w:t>Kaplan</w:t>
      </w:r>
      <w:r w:rsidR="00FF1914">
        <w:rPr>
          <w:szCs w:val="20"/>
        </w:rPr>
        <w:noBreakHyphen/>
      </w:r>
      <w:r w:rsidR="007A3BF4" w:rsidRPr="00D674C8">
        <w:rPr>
          <w:szCs w:val="20"/>
        </w:rPr>
        <w:t>Meier plot of time to event outcomes through Week 76 (REGENCY) and Week 104 (NOBILITY)</w:t>
      </w:r>
    </w:p>
    <w:p w14:paraId="602496BF" w14:textId="77777777" w:rsidR="00AA42AE" w:rsidRPr="00AA42AE" w:rsidRDefault="00AA42AE" w:rsidP="00AA42AE">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444"/>
        <w:gridCol w:w="4583"/>
      </w:tblGrid>
      <w:tr w:rsidR="007A3BF4" w:rsidRPr="002C178D" w14:paraId="4720EF4A" w14:textId="77777777" w:rsidTr="003B174A">
        <w:tc>
          <w:tcPr>
            <w:tcW w:w="9017" w:type="dxa"/>
            <w:gridSpan w:val="2"/>
            <w:vAlign w:val="center"/>
          </w:tcPr>
          <w:p w14:paraId="22EF085F" w14:textId="63BF5B38" w:rsidR="007A3BF4" w:rsidRPr="002C178D" w:rsidRDefault="007A3BF4" w:rsidP="00AA42AE">
            <w:pPr>
              <w:keepNext/>
              <w:keepLines/>
              <w:rPr>
                <w:rFonts w:ascii="Arial Narrow" w:hAnsi="Arial Narrow"/>
                <w:b/>
                <w:bCs/>
                <w:sz w:val="20"/>
                <w:szCs w:val="20"/>
              </w:rPr>
            </w:pPr>
            <w:r w:rsidRPr="002C178D">
              <w:rPr>
                <w:rFonts w:ascii="Arial Narrow" w:hAnsi="Arial Narrow"/>
                <w:b/>
                <w:bCs/>
                <w:sz w:val="20"/>
                <w:szCs w:val="20"/>
              </w:rPr>
              <w:t xml:space="preserve">A. Time to LN flare (eGFR decrease &gt;20%, UPCR increase </w:t>
            </w:r>
            <w:r>
              <w:rPr>
                <w:rFonts w:ascii="Arial Narrow" w:hAnsi="Arial Narrow"/>
                <w:b/>
                <w:bCs/>
                <w:sz w:val="20"/>
                <w:szCs w:val="20"/>
              </w:rPr>
              <w:t>and</w:t>
            </w:r>
            <w:r w:rsidRPr="002C178D">
              <w:rPr>
                <w:rFonts w:ascii="Arial Narrow" w:hAnsi="Arial Narrow"/>
                <w:b/>
                <w:bCs/>
                <w:sz w:val="20"/>
                <w:szCs w:val="20"/>
              </w:rPr>
              <w:t xml:space="preserve"> rescue therapy except corticosteroid rescue) after Wk</w:t>
            </w:r>
            <w:r w:rsidR="00EA3DC2">
              <w:rPr>
                <w:rFonts w:ascii="Arial Narrow" w:hAnsi="Arial Narrow"/>
                <w:b/>
                <w:bCs/>
                <w:sz w:val="20"/>
                <w:szCs w:val="20"/>
              </w:rPr>
              <w:t> </w:t>
            </w:r>
            <w:r w:rsidRPr="002C178D">
              <w:rPr>
                <w:rFonts w:ascii="Arial Narrow" w:hAnsi="Arial Narrow"/>
                <w:b/>
                <w:bCs/>
                <w:sz w:val="20"/>
                <w:szCs w:val="20"/>
              </w:rPr>
              <w:t>24</w:t>
            </w:r>
          </w:p>
        </w:tc>
      </w:tr>
      <w:tr w:rsidR="007A3BF4" w:rsidRPr="00607822" w14:paraId="45CB8A9A" w14:textId="77777777" w:rsidTr="003B174A">
        <w:tc>
          <w:tcPr>
            <w:tcW w:w="4439" w:type="dxa"/>
            <w:vAlign w:val="center"/>
          </w:tcPr>
          <w:p w14:paraId="5588CE5C" w14:textId="77777777" w:rsidR="007A3BF4" w:rsidRPr="00911134" w:rsidRDefault="007A3BF4" w:rsidP="00AA42AE">
            <w:pPr>
              <w:keepNext/>
              <w:keepLines/>
              <w:rPr>
                <w:rFonts w:ascii="Arial Narrow" w:hAnsi="Arial Narrow"/>
                <w:sz w:val="20"/>
                <w:szCs w:val="20"/>
              </w:rPr>
            </w:pPr>
            <w:r w:rsidRPr="00911134">
              <w:rPr>
                <w:rFonts w:ascii="Arial Narrow" w:hAnsi="Arial Narrow"/>
                <w:sz w:val="20"/>
                <w:szCs w:val="20"/>
              </w:rPr>
              <w:t>REGENCY</w:t>
            </w:r>
          </w:p>
        </w:tc>
        <w:tc>
          <w:tcPr>
            <w:tcW w:w="4578" w:type="dxa"/>
            <w:vAlign w:val="center"/>
          </w:tcPr>
          <w:p w14:paraId="7C618F83" w14:textId="3E345C34" w:rsidR="007A3BF4" w:rsidRPr="00911134" w:rsidRDefault="007A3BF4" w:rsidP="00AA42AE">
            <w:pPr>
              <w:keepNext/>
              <w:keepLines/>
              <w:rPr>
                <w:rFonts w:ascii="Arial Narrow" w:hAnsi="Arial Narrow"/>
                <w:sz w:val="20"/>
                <w:szCs w:val="20"/>
              </w:rPr>
            </w:pPr>
            <w:r w:rsidRPr="00911134">
              <w:rPr>
                <w:rFonts w:ascii="Arial Narrow" w:hAnsi="Arial Narrow"/>
                <w:sz w:val="20"/>
                <w:szCs w:val="20"/>
              </w:rPr>
              <w:t>NOBILITY (post</w:t>
            </w:r>
            <w:r w:rsidR="00FF1914">
              <w:rPr>
                <w:rFonts w:ascii="Arial Narrow" w:hAnsi="Arial Narrow"/>
                <w:sz w:val="20"/>
                <w:szCs w:val="20"/>
              </w:rPr>
              <w:noBreakHyphen/>
            </w:r>
            <w:r w:rsidRPr="00911134">
              <w:rPr>
                <w:rFonts w:ascii="Arial Narrow" w:hAnsi="Arial Narrow"/>
                <w:sz w:val="20"/>
                <w:szCs w:val="20"/>
              </w:rPr>
              <w:t>hoc)</w:t>
            </w:r>
            <w:r w:rsidRPr="00911134">
              <w:rPr>
                <w:rFonts w:ascii="Arial Narrow" w:hAnsi="Arial Narrow"/>
                <w:sz w:val="20"/>
                <w:szCs w:val="20"/>
                <w:vertAlign w:val="superscript"/>
              </w:rPr>
              <w:t>a</w:t>
            </w:r>
          </w:p>
        </w:tc>
      </w:tr>
      <w:tr w:rsidR="007A3BF4" w:rsidRPr="00607822" w14:paraId="147289E2" w14:textId="77777777" w:rsidTr="003B174A">
        <w:tc>
          <w:tcPr>
            <w:tcW w:w="4439" w:type="dxa"/>
          </w:tcPr>
          <w:p w14:paraId="2C911315" w14:textId="77777777" w:rsidR="007A3BF4" w:rsidRPr="00607822" w:rsidRDefault="007A3BF4" w:rsidP="00AA42AE">
            <w:pPr>
              <w:keepNext/>
              <w:keepLines/>
              <w:rPr>
                <w:rFonts w:ascii="Arial Narrow" w:hAnsi="Arial Narrow"/>
                <w:sz w:val="20"/>
                <w:szCs w:val="20"/>
              </w:rPr>
            </w:pPr>
            <w:r w:rsidRPr="00D674C8">
              <w:rPr>
                <w:rFonts w:ascii="Arial Narrow" w:hAnsi="Arial Narrow"/>
                <w:noProof/>
                <w:sz w:val="20"/>
                <w:szCs w:val="20"/>
              </w:rPr>
              <w:drawing>
                <wp:inline distT="0" distB="0" distL="0" distR="0" wp14:anchorId="71B5788A" wp14:editId="5DB0C58C">
                  <wp:extent cx="2806065" cy="1290348"/>
                  <wp:effectExtent l="0" t="0" r="0" b="5080"/>
                  <wp:docPr id="7" name="Picture 7" descr="Figure 1: Kaplan Meier plot of time to event outcomes through Week 76 (REGENCY) and Week 104 (NOBILITY)&#10;A. Time to LN flare (eGFR decrease &gt;20%, UPCR increase and rescue therapy except corticosteroid rescue) after Wk 24&#10;RE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 Kaplan Meier plot of time to event outcomes through Week 76 (REGENCY) and Week 104 (NOBILITY)&#10;A. Time to LN flare (eGFR decrease &gt;20%, UPCR increase and rescue therapy except corticosteroid rescue) after Wk 24&#10;REGENCY"/>
                          <pic:cNvPicPr/>
                        </pic:nvPicPr>
                        <pic:blipFill>
                          <a:blip r:embed="rId11"/>
                          <a:stretch>
                            <a:fillRect/>
                          </a:stretch>
                        </pic:blipFill>
                        <pic:spPr>
                          <a:xfrm>
                            <a:off x="0" y="0"/>
                            <a:ext cx="2811976" cy="1293066"/>
                          </a:xfrm>
                          <a:prstGeom prst="rect">
                            <a:avLst/>
                          </a:prstGeom>
                        </pic:spPr>
                      </pic:pic>
                    </a:graphicData>
                  </a:graphic>
                </wp:inline>
              </w:drawing>
            </w:r>
          </w:p>
        </w:tc>
        <w:tc>
          <w:tcPr>
            <w:tcW w:w="4578" w:type="dxa"/>
          </w:tcPr>
          <w:p w14:paraId="5495DE00" w14:textId="77777777" w:rsidR="007A3BF4" w:rsidRPr="00607822" w:rsidRDefault="007A3BF4" w:rsidP="00AA42AE">
            <w:pPr>
              <w:keepNext/>
              <w:keepLines/>
              <w:rPr>
                <w:rFonts w:ascii="Arial Narrow" w:hAnsi="Arial Narrow"/>
                <w:sz w:val="20"/>
                <w:szCs w:val="20"/>
              </w:rPr>
            </w:pPr>
            <w:r w:rsidRPr="00521F31">
              <w:rPr>
                <w:rFonts w:ascii="Arial Narrow" w:hAnsi="Arial Narrow"/>
                <w:noProof/>
                <w:sz w:val="20"/>
                <w:szCs w:val="20"/>
              </w:rPr>
              <w:drawing>
                <wp:inline distT="0" distB="0" distL="0" distR="0" wp14:anchorId="3ABF56B8" wp14:editId="68E8694D">
                  <wp:extent cx="2895993" cy="1161028"/>
                  <wp:effectExtent l="0" t="0" r="0" b="1270"/>
                  <wp:docPr id="12" name="Picture 12" descr="Figure 1: Kaplan Meier plot of time to event outcomes through Week 76 (REGENCY) and Week 104 (NOBILITY)&#10;A. Time to LN flare (eGFR decrease &gt;20%, UPCR increase and rescue therapy except corticosteroid rescue) after Wk 24&#10;NOBILITY (post h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1: Kaplan Meier plot of time to event outcomes through Week 76 (REGENCY) and Week 104 (NOBILITY)&#10;A. Time to LN flare (eGFR decrease &gt;20%, UPCR increase and rescue therapy except corticosteroid rescue) after Wk 24&#10;NOBILITY (post hoc)&#10;"/>
                          <pic:cNvPicPr/>
                        </pic:nvPicPr>
                        <pic:blipFill>
                          <a:blip r:embed="rId12"/>
                          <a:stretch>
                            <a:fillRect/>
                          </a:stretch>
                        </pic:blipFill>
                        <pic:spPr>
                          <a:xfrm>
                            <a:off x="0" y="0"/>
                            <a:ext cx="2923070" cy="1171883"/>
                          </a:xfrm>
                          <a:prstGeom prst="rect">
                            <a:avLst/>
                          </a:prstGeom>
                        </pic:spPr>
                      </pic:pic>
                    </a:graphicData>
                  </a:graphic>
                </wp:inline>
              </w:drawing>
            </w:r>
          </w:p>
        </w:tc>
      </w:tr>
      <w:tr w:rsidR="007A3BF4" w:rsidRPr="002C178D" w14:paraId="39611508" w14:textId="77777777" w:rsidTr="003B174A">
        <w:tc>
          <w:tcPr>
            <w:tcW w:w="9017" w:type="dxa"/>
            <w:gridSpan w:val="2"/>
            <w:vAlign w:val="center"/>
          </w:tcPr>
          <w:p w14:paraId="09205B74" w14:textId="77777777" w:rsidR="007A3BF4" w:rsidRPr="002C178D" w:rsidRDefault="007A3BF4" w:rsidP="00AA42AE">
            <w:pPr>
              <w:keepNext/>
              <w:keepLines/>
              <w:rPr>
                <w:rFonts w:ascii="Arial Narrow" w:hAnsi="Arial Narrow"/>
                <w:b/>
                <w:bCs/>
                <w:sz w:val="20"/>
                <w:szCs w:val="20"/>
              </w:rPr>
            </w:pPr>
            <w:r w:rsidRPr="002C178D">
              <w:rPr>
                <w:rFonts w:ascii="Arial Narrow" w:hAnsi="Arial Narrow"/>
                <w:b/>
                <w:bCs/>
                <w:sz w:val="20"/>
                <w:szCs w:val="20"/>
              </w:rPr>
              <w:t>B. Time to unfavourable kidney outcomes (first of the following: treatment failure, serum creatinine doubling, or death)</w:t>
            </w:r>
          </w:p>
        </w:tc>
      </w:tr>
      <w:tr w:rsidR="007A3BF4" w:rsidRPr="00607822" w14:paraId="41E73883" w14:textId="77777777" w:rsidTr="003B174A">
        <w:tc>
          <w:tcPr>
            <w:tcW w:w="4439" w:type="dxa"/>
            <w:vAlign w:val="center"/>
          </w:tcPr>
          <w:p w14:paraId="5C70ADF8" w14:textId="77777777" w:rsidR="007A3BF4" w:rsidRPr="00911134" w:rsidRDefault="007A3BF4" w:rsidP="00AA42AE">
            <w:pPr>
              <w:keepNext/>
              <w:keepLines/>
              <w:rPr>
                <w:rFonts w:ascii="Arial Narrow" w:hAnsi="Arial Narrow"/>
                <w:sz w:val="20"/>
                <w:szCs w:val="20"/>
              </w:rPr>
            </w:pPr>
            <w:r w:rsidRPr="00911134">
              <w:rPr>
                <w:rFonts w:ascii="Arial Narrow" w:hAnsi="Arial Narrow"/>
                <w:sz w:val="20"/>
                <w:szCs w:val="20"/>
              </w:rPr>
              <w:t>REGENCY</w:t>
            </w:r>
          </w:p>
        </w:tc>
        <w:tc>
          <w:tcPr>
            <w:tcW w:w="4578" w:type="dxa"/>
            <w:vAlign w:val="center"/>
          </w:tcPr>
          <w:p w14:paraId="69CEE9AB" w14:textId="23ACD742" w:rsidR="007A3BF4" w:rsidRPr="00911134" w:rsidRDefault="007A3BF4" w:rsidP="00AA42AE">
            <w:pPr>
              <w:keepNext/>
              <w:keepLines/>
              <w:rPr>
                <w:rFonts w:ascii="Arial Narrow" w:hAnsi="Arial Narrow"/>
                <w:sz w:val="20"/>
                <w:szCs w:val="20"/>
              </w:rPr>
            </w:pPr>
            <w:r w:rsidRPr="00911134">
              <w:rPr>
                <w:rFonts w:ascii="Arial Narrow" w:hAnsi="Arial Narrow"/>
                <w:sz w:val="20"/>
                <w:szCs w:val="20"/>
              </w:rPr>
              <w:t>NOBILITY (post</w:t>
            </w:r>
            <w:r w:rsidR="00FF1914">
              <w:rPr>
                <w:rFonts w:ascii="Arial Narrow" w:hAnsi="Arial Narrow"/>
                <w:sz w:val="20"/>
                <w:szCs w:val="20"/>
              </w:rPr>
              <w:noBreakHyphen/>
            </w:r>
            <w:r w:rsidRPr="00911134">
              <w:rPr>
                <w:rFonts w:ascii="Arial Narrow" w:hAnsi="Arial Narrow"/>
                <w:sz w:val="20"/>
                <w:szCs w:val="20"/>
              </w:rPr>
              <w:t>hoc)</w:t>
            </w:r>
            <w:r w:rsidRPr="00911134">
              <w:rPr>
                <w:rFonts w:ascii="Arial Narrow" w:hAnsi="Arial Narrow"/>
                <w:sz w:val="20"/>
                <w:szCs w:val="20"/>
                <w:vertAlign w:val="superscript"/>
              </w:rPr>
              <w:t>a</w:t>
            </w:r>
          </w:p>
        </w:tc>
      </w:tr>
      <w:tr w:rsidR="007A3BF4" w:rsidRPr="00607822" w14:paraId="2149DB8D" w14:textId="77777777" w:rsidTr="003B174A">
        <w:tc>
          <w:tcPr>
            <w:tcW w:w="4439" w:type="dxa"/>
          </w:tcPr>
          <w:p w14:paraId="5E6FC8F0" w14:textId="77777777" w:rsidR="007A3BF4" w:rsidRPr="00607822" w:rsidRDefault="007A3BF4" w:rsidP="00AA42AE">
            <w:pPr>
              <w:keepNext/>
              <w:keepLines/>
              <w:rPr>
                <w:rFonts w:ascii="Arial Narrow" w:hAnsi="Arial Narrow"/>
                <w:sz w:val="20"/>
                <w:szCs w:val="20"/>
              </w:rPr>
            </w:pPr>
            <w:r w:rsidRPr="00D674C8">
              <w:rPr>
                <w:rFonts w:ascii="Arial Narrow" w:hAnsi="Arial Narrow"/>
                <w:noProof/>
                <w:sz w:val="20"/>
                <w:szCs w:val="20"/>
              </w:rPr>
              <w:drawing>
                <wp:inline distT="0" distB="0" distL="0" distR="0" wp14:anchorId="0662E411" wp14:editId="77BCC61B">
                  <wp:extent cx="2806810" cy="1387081"/>
                  <wp:effectExtent l="0" t="0" r="0" b="3810"/>
                  <wp:docPr id="13" name="Picture 13" descr="Figure 1: Kaplan Meier plot of time to event outcomes through Week 76 (REGENCY) and Week 104 (NOBILITY)&#10;B. Time to unfavourable kidney outcomes (first of the following: treatment failure, serum creatinine doubling, or death)&#10;RE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1: Kaplan Meier plot of time to event outcomes through Week 76 (REGENCY) and Week 104 (NOBILITY)&#10;B. Time to unfavourable kidney outcomes (first of the following: treatment failure, serum creatinine doubling, or death)&#10;REGENCY"/>
                          <pic:cNvPicPr/>
                        </pic:nvPicPr>
                        <pic:blipFill>
                          <a:blip r:embed="rId13"/>
                          <a:stretch>
                            <a:fillRect/>
                          </a:stretch>
                        </pic:blipFill>
                        <pic:spPr>
                          <a:xfrm>
                            <a:off x="0" y="0"/>
                            <a:ext cx="2840485" cy="1403723"/>
                          </a:xfrm>
                          <a:prstGeom prst="rect">
                            <a:avLst/>
                          </a:prstGeom>
                        </pic:spPr>
                      </pic:pic>
                    </a:graphicData>
                  </a:graphic>
                </wp:inline>
              </w:drawing>
            </w:r>
          </w:p>
        </w:tc>
        <w:tc>
          <w:tcPr>
            <w:tcW w:w="4578" w:type="dxa"/>
          </w:tcPr>
          <w:p w14:paraId="017C86BE" w14:textId="77777777" w:rsidR="007A3BF4" w:rsidRPr="00607822" w:rsidRDefault="007A3BF4" w:rsidP="00AA42AE">
            <w:pPr>
              <w:keepNext/>
              <w:keepLines/>
              <w:rPr>
                <w:rFonts w:ascii="Arial Narrow" w:hAnsi="Arial Narrow"/>
                <w:sz w:val="20"/>
                <w:szCs w:val="20"/>
              </w:rPr>
            </w:pPr>
            <w:r w:rsidRPr="00521F31">
              <w:rPr>
                <w:rFonts w:ascii="Arial Narrow" w:hAnsi="Arial Narrow"/>
                <w:noProof/>
                <w:sz w:val="20"/>
                <w:szCs w:val="20"/>
              </w:rPr>
              <w:drawing>
                <wp:inline distT="0" distB="0" distL="0" distR="0" wp14:anchorId="5716876A" wp14:editId="5F97C48A">
                  <wp:extent cx="2871071" cy="1188885"/>
                  <wp:effectExtent l="0" t="0" r="5715" b="0"/>
                  <wp:docPr id="14" name="Picture 14" descr="Figure 1: Kaplan Meier plot of time to event outcomes through Week 76 (REGENCY) and Week 104 (NOBILITY)&#10;B. Time to unfavourable kidney outcomes (first of the following: treatment failure, serum creatinine doubling, or death)&#10;NOBILITY (post h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1: Kaplan Meier plot of time to event outcomes through Week 76 (REGENCY) and Week 104 (NOBILITY)&#10;B. Time to unfavourable kidney outcomes (first of the following: treatment failure, serum creatinine doubling, or death)&#10;NOBILITY (post hoc)"/>
                          <pic:cNvPicPr/>
                        </pic:nvPicPr>
                        <pic:blipFill>
                          <a:blip r:embed="rId14"/>
                          <a:stretch>
                            <a:fillRect/>
                          </a:stretch>
                        </pic:blipFill>
                        <pic:spPr>
                          <a:xfrm>
                            <a:off x="0" y="0"/>
                            <a:ext cx="2894030" cy="1198392"/>
                          </a:xfrm>
                          <a:prstGeom prst="rect">
                            <a:avLst/>
                          </a:prstGeom>
                        </pic:spPr>
                      </pic:pic>
                    </a:graphicData>
                  </a:graphic>
                </wp:inline>
              </w:drawing>
            </w:r>
          </w:p>
        </w:tc>
      </w:tr>
      <w:tr w:rsidR="007A3BF4" w:rsidRPr="002C178D" w14:paraId="0C7B7159" w14:textId="77777777" w:rsidTr="003B174A">
        <w:tc>
          <w:tcPr>
            <w:tcW w:w="9017" w:type="dxa"/>
            <w:gridSpan w:val="2"/>
          </w:tcPr>
          <w:p w14:paraId="2978705D" w14:textId="77777777" w:rsidR="007A3BF4" w:rsidRPr="002C178D" w:rsidRDefault="007A3BF4" w:rsidP="00AA42AE">
            <w:pPr>
              <w:keepNext/>
              <w:keepLines/>
              <w:rPr>
                <w:rFonts w:ascii="Arial Narrow" w:hAnsi="Arial Narrow"/>
                <w:b/>
                <w:bCs/>
                <w:sz w:val="20"/>
                <w:szCs w:val="20"/>
              </w:rPr>
            </w:pPr>
            <w:r w:rsidRPr="002C178D">
              <w:rPr>
                <w:rFonts w:ascii="Arial Narrow" w:hAnsi="Arial Narrow"/>
                <w:b/>
                <w:bCs/>
                <w:sz w:val="20"/>
                <w:szCs w:val="20"/>
              </w:rPr>
              <w:t>C. Time to onset of CRR (UPCR &lt;0.5 g/g, eGFR ≥85% of baseline and no occurrence of intercurrent events</w:t>
            </w:r>
            <w:r w:rsidRPr="002C178D">
              <w:rPr>
                <w:rFonts w:ascii="Arial Narrow" w:hAnsi="Arial Narrow"/>
                <w:b/>
                <w:bCs/>
                <w:sz w:val="20"/>
                <w:szCs w:val="20"/>
                <w:vertAlign w:val="superscript"/>
              </w:rPr>
              <w:t>b</w:t>
            </w:r>
            <w:r w:rsidRPr="002C178D">
              <w:rPr>
                <w:rFonts w:ascii="Arial Narrow" w:hAnsi="Arial Narrow"/>
                <w:b/>
                <w:bCs/>
                <w:sz w:val="20"/>
                <w:szCs w:val="20"/>
              </w:rPr>
              <w:t>)</w:t>
            </w:r>
          </w:p>
        </w:tc>
      </w:tr>
      <w:tr w:rsidR="007A3BF4" w:rsidRPr="00607822" w14:paraId="1E0AFD6F" w14:textId="77777777" w:rsidTr="003B174A">
        <w:tc>
          <w:tcPr>
            <w:tcW w:w="4439" w:type="dxa"/>
            <w:vAlign w:val="center"/>
          </w:tcPr>
          <w:p w14:paraId="76B81F16" w14:textId="77777777" w:rsidR="007A3BF4" w:rsidRPr="00911134" w:rsidRDefault="007A3BF4" w:rsidP="00AA42AE">
            <w:pPr>
              <w:keepNext/>
              <w:keepLines/>
              <w:rPr>
                <w:rFonts w:ascii="Arial Narrow" w:hAnsi="Arial Narrow"/>
                <w:sz w:val="20"/>
                <w:szCs w:val="20"/>
              </w:rPr>
            </w:pPr>
            <w:r w:rsidRPr="00911134">
              <w:rPr>
                <w:rFonts w:ascii="Arial Narrow" w:hAnsi="Arial Narrow"/>
                <w:sz w:val="20"/>
                <w:szCs w:val="20"/>
              </w:rPr>
              <w:t>REGENCY</w:t>
            </w:r>
          </w:p>
        </w:tc>
        <w:tc>
          <w:tcPr>
            <w:tcW w:w="4578" w:type="dxa"/>
            <w:vAlign w:val="center"/>
          </w:tcPr>
          <w:p w14:paraId="108D7695" w14:textId="77777777" w:rsidR="007A3BF4" w:rsidRPr="00911134" w:rsidRDefault="007A3BF4" w:rsidP="00AA42AE">
            <w:pPr>
              <w:keepNext/>
              <w:keepLines/>
              <w:rPr>
                <w:rFonts w:ascii="Arial Narrow" w:hAnsi="Arial Narrow"/>
                <w:sz w:val="20"/>
                <w:szCs w:val="20"/>
              </w:rPr>
            </w:pPr>
            <w:r w:rsidRPr="00911134">
              <w:rPr>
                <w:rFonts w:ascii="Arial Narrow" w:hAnsi="Arial Narrow"/>
                <w:sz w:val="20"/>
                <w:szCs w:val="20"/>
              </w:rPr>
              <w:t>NOBILITY</w:t>
            </w:r>
            <w:r w:rsidRPr="00911134">
              <w:rPr>
                <w:rFonts w:ascii="Arial Narrow" w:hAnsi="Arial Narrow"/>
                <w:sz w:val="20"/>
                <w:szCs w:val="20"/>
                <w:vertAlign w:val="superscript"/>
              </w:rPr>
              <w:t>c</w:t>
            </w:r>
          </w:p>
        </w:tc>
      </w:tr>
      <w:tr w:rsidR="007A3BF4" w:rsidRPr="00607822" w14:paraId="0B51701C" w14:textId="77777777" w:rsidTr="003B174A">
        <w:tc>
          <w:tcPr>
            <w:tcW w:w="4439" w:type="dxa"/>
          </w:tcPr>
          <w:p w14:paraId="26A953DB" w14:textId="77777777" w:rsidR="007A3BF4" w:rsidRPr="00607822" w:rsidRDefault="007A3BF4" w:rsidP="00AA42AE">
            <w:pPr>
              <w:keepNext/>
              <w:keepLines/>
              <w:rPr>
                <w:rFonts w:ascii="Arial Narrow" w:hAnsi="Arial Narrow"/>
                <w:sz w:val="20"/>
                <w:szCs w:val="20"/>
              </w:rPr>
            </w:pPr>
            <w:r w:rsidRPr="006118E4">
              <w:rPr>
                <w:rFonts w:ascii="Arial Narrow" w:hAnsi="Arial Narrow"/>
                <w:noProof/>
                <w:sz w:val="20"/>
                <w:szCs w:val="20"/>
              </w:rPr>
              <w:drawing>
                <wp:inline distT="0" distB="0" distL="0" distR="0" wp14:anchorId="74770B5F" wp14:editId="1B4878F2">
                  <wp:extent cx="2775005" cy="1210895"/>
                  <wp:effectExtent l="0" t="0" r="6350" b="8890"/>
                  <wp:docPr id="15" name="Picture 15" descr="Figure 1: Kaplan Meier plot of time to event outcomes through Week 76 (REGENCY) and Week 104 (NOBILITY)&#10;C. Time to onset of CRR (UPCR &lt;0.5 g/g, eGFR ≥85% of baseline and no occurrence of intercurrent events)&#10;REGENC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1: Kaplan Meier plot of time to event outcomes through Week 76 (REGENCY) and Week 104 (NOBILITY)&#10;C. Time to onset of CRR (UPCR &lt;0.5 g/g, eGFR ≥85% of baseline and no occurrence of intercurrent events)&#10;REGENCY&#10;"/>
                          <pic:cNvPicPr/>
                        </pic:nvPicPr>
                        <pic:blipFill>
                          <a:blip r:embed="rId15"/>
                          <a:stretch>
                            <a:fillRect/>
                          </a:stretch>
                        </pic:blipFill>
                        <pic:spPr>
                          <a:xfrm>
                            <a:off x="0" y="0"/>
                            <a:ext cx="2803672" cy="1223404"/>
                          </a:xfrm>
                          <a:prstGeom prst="rect">
                            <a:avLst/>
                          </a:prstGeom>
                        </pic:spPr>
                      </pic:pic>
                    </a:graphicData>
                  </a:graphic>
                </wp:inline>
              </w:drawing>
            </w:r>
          </w:p>
        </w:tc>
        <w:tc>
          <w:tcPr>
            <w:tcW w:w="4578" w:type="dxa"/>
          </w:tcPr>
          <w:p w14:paraId="4902CBCE" w14:textId="77777777" w:rsidR="007A3BF4" w:rsidRPr="00607822" w:rsidRDefault="007A3BF4" w:rsidP="00AA42AE">
            <w:pPr>
              <w:keepNext/>
              <w:keepLines/>
              <w:rPr>
                <w:rFonts w:ascii="Arial Narrow" w:hAnsi="Arial Narrow"/>
                <w:sz w:val="20"/>
                <w:szCs w:val="20"/>
              </w:rPr>
            </w:pPr>
            <w:r w:rsidRPr="006118E4">
              <w:rPr>
                <w:rFonts w:ascii="Arial Narrow" w:hAnsi="Arial Narrow"/>
                <w:noProof/>
                <w:sz w:val="20"/>
                <w:szCs w:val="20"/>
              </w:rPr>
              <w:drawing>
                <wp:inline distT="0" distB="0" distL="0" distR="0" wp14:anchorId="0689244E" wp14:editId="1D90DA00">
                  <wp:extent cx="2889074" cy="1478942"/>
                  <wp:effectExtent l="0" t="0" r="6985" b="6985"/>
                  <wp:docPr id="16" name="Picture 16" descr="Figure 1: Kaplan Meier plot of time to event outcomes through Week 76 (REGENCY) and Week 104 (NOBILITY)&#10;C. Time to onset of CRR (UPCR &lt;0.5 g/g, eGFR ≥85% of baseline and no occurrence of intercurrent events)&#10;NO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1: Kaplan Meier plot of time to event outcomes through Week 76 (REGENCY) and Week 104 (NOBILITY)&#10;C. Time to onset of CRR (UPCR &lt;0.5 g/g, eGFR ≥85% of baseline and no occurrence of intercurrent events)&#10;NOBILITY"/>
                          <pic:cNvPicPr/>
                        </pic:nvPicPr>
                        <pic:blipFill>
                          <a:blip r:embed="rId16"/>
                          <a:stretch>
                            <a:fillRect/>
                          </a:stretch>
                        </pic:blipFill>
                        <pic:spPr>
                          <a:xfrm>
                            <a:off x="0" y="0"/>
                            <a:ext cx="2909944" cy="1489626"/>
                          </a:xfrm>
                          <a:prstGeom prst="rect">
                            <a:avLst/>
                          </a:prstGeom>
                        </pic:spPr>
                      </pic:pic>
                    </a:graphicData>
                  </a:graphic>
                </wp:inline>
              </w:drawing>
            </w:r>
          </w:p>
        </w:tc>
      </w:tr>
    </w:tbl>
    <w:p w14:paraId="4E46A695" w14:textId="3F5F76A6" w:rsidR="007A3BF4" w:rsidRDefault="007A3BF4" w:rsidP="007A3BF4">
      <w:pPr>
        <w:rPr>
          <w:rFonts w:ascii="Arial Narrow" w:hAnsi="Arial Narrow"/>
          <w:sz w:val="18"/>
          <w:szCs w:val="18"/>
        </w:rPr>
      </w:pPr>
      <w:r w:rsidRPr="00282C11">
        <w:rPr>
          <w:rFonts w:ascii="Arial Narrow" w:hAnsi="Arial Narrow"/>
          <w:sz w:val="18"/>
          <w:szCs w:val="18"/>
        </w:rPr>
        <w:t>Source:</w:t>
      </w:r>
      <w:r>
        <w:rPr>
          <w:rFonts w:ascii="Arial Narrow" w:hAnsi="Arial Narrow"/>
          <w:sz w:val="18"/>
          <w:szCs w:val="18"/>
        </w:rPr>
        <w:t xml:space="preserve"> </w:t>
      </w:r>
      <w:r w:rsidRPr="006118E4">
        <w:rPr>
          <w:rFonts w:ascii="Arial Narrow" w:hAnsi="Arial Narrow"/>
          <w:sz w:val="18"/>
          <w:szCs w:val="18"/>
        </w:rPr>
        <w:t>g_km_TTUKO_EE_15AUG2024_41705</w:t>
      </w:r>
      <w:r>
        <w:rPr>
          <w:rFonts w:ascii="Arial Narrow" w:hAnsi="Arial Narrow"/>
          <w:sz w:val="18"/>
          <w:szCs w:val="18"/>
        </w:rPr>
        <w:t xml:space="preserve"> and </w:t>
      </w:r>
      <w:r w:rsidRPr="006118E4">
        <w:rPr>
          <w:rFonts w:ascii="Arial Narrow" w:hAnsi="Arial Narrow"/>
          <w:sz w:val="18"/>
          <w:szCs w:val="18"/>
        </w:rPr>
        <w:t>g_km_TTUKO_EE_15AUG2024_41705</w:t>
      </w:r>
      <w:r>
        <w:rPr>
          <w:rFonts w:ascii="Arial Narrow" w:hAnsi="Arial Narrow"/>
          <w:sz w:val="18"/>
          <w:szCs w:val="18"/>
        </w:rPr>
        <w:t>, pp205</w:t>
      </w:r>
      <w:r w:rsidR="00FF1914">
        <w:rPr>
          <w:rFonts w:ascii="Arial Narrow" w:hAnsi="Arial Narrow"/>
          <w:sz w:val="18"/>
          <w:szCs w:val="18"/>
        </w:rPr>
        <w:noBreakHyphen/>
      </w:r>
      <w:r>
        <w:rPr>
          <w:rFonts w:ascii="Arial Narrow" w:hAnsi="Arial Narrow"/>
          <w:sz w:val="18"/>
          <w:szCs w:val="18"/>
        </w:rPr>
        <w:t>206 of REGENCY CSR.pdf, Figure 1 and Figure 2, Rovin 2024 (NOBILITY post</w:t>
      </w:r>
      <w:r w:rsidR="00FF1914">
        <w:rPr>
          <w:rFonts w:ascii="Arial Narrow" w:hAnsi="Arial Narrow"/>
          <w:sz w:val="18"/>
          <w:szCs w:val="18"/>
        </w:rPr>
        <w:noBreakHyphen/>
      </w:r>
      <w:r>
        <w:rPr>
          <w:rFonts w:ascii="Arial Narrow" w:hAnsi="Arial Narrow"/>
          <w:sz w:val="18"/>
          <w:szCs w:val="18"/>
        </w:rPr>
        <w:t>hoc analysis).</w:t>
      </w:r>
    </w:p>
    <w:p w14:paraId="077175C1" w14:textId="1B448F63" w:rsidR="007A3BF4" w:rsidRDefault="007A3BF4" w:rsidP="007A3BF4">
      <w:pPr>
        <w:rPr>
          <w:rFonts w:ascii="Arial Narrow" w:hAnsi="Arial Narrow"/>
          <w:sz w:val="18"/>
          <w:szCs w:val="18"/>
        </w:rPr>
      </w:pPr>
      <w:r w:rsidRPr="002C178D">
        <w:rPr>
          <w:rFonts w:ascii="Arial Narrow" w:hAnsi="Arial Narrow"/>
          <w:sz w:val="18"/>
          <w:szCs w:val="18"/>
        </w:rPr>
        <w:t>CRR=complete renal response; eGFR=estimated glomerular filtration rate;</w:t>
      </w:r>
      <w:r w:rsidR="00D95C45">
        <w:rPr>
          <w:rFonts w:ascii="Arial Narrow" w:hAnsi="Arial Narrow"/>
          <w:sz w:val="18"/>
          <w:szCs w:val="18"/>
        </w:rPr>
        <w:t xml:space="preserve"> </w:t>
      </w:r>
      <w:r>
        <w:rPr>
          <w:rFonts w:ascii="Arial Narrow" w:hAnsi="Arial Narrow"/>
          <w:sz w:val="18"/>
          <w:szCs w:val="18"/>
        </w:rPr>
        <w:t xml:space="preserve">LN=lupus nephritis; </w:t>
      </w:r>
      <w:r w:rsidRPr="002C178D">
        <w:rPr>
          <w:rFonts w:ascii="Arial Narrow" w:hAnsi="Arial Narrow"/>
          <w:sz w:val="18"/>
          <w:szCs w:val="18"/>
        </w:rPr>
        <w:t>UPCR=urinary protein</w:t>
      </w:r>
      <w:r w:rsidR="00FF1914">
        <w:rPr>
          <w:rFonts w:ascii="Arial Narrow" w:hAnsi="Arial Narrow"/>
          <w:sz w:val="18"/>
          <w:szCs w:val="18"/>
        </w:rPr>
        <w:noBreakHyphen/>
      </w:r>
      <w:r w:rsidRPr="002C178D">
        <w:rPr>
          <w:rFonts w:ascii="Arial Narrow" w:hAnsi="Arial Narrow"/>
          <w:sz w:val="18"/>
          <w:szCs w:val="18"/>
        </w:rPr>
        <w:t>to</w:t>
      </w:r>
      <w:r w:rsidR="00FF1914">
        <w:rPr>
          <w:rFonts w:ascii="Arial Narrow" w:hAnsi="Arial Narrow"/>
          <w:sz w:val="18"/>
          <w:szCs w:val="18"/>
        </w:rPr>
        <w:noBreakHyphen/>
      </w:r>
      <w:r w:rsidRPr="002C178D">
        <w:rPr>
          <w:rFonts w:ascii="Arial Narrow" w:hAnsi="Arial Narrow"/>
          <w:sz w:val="18"/>
          <w:szCs w:val="18"/>
        </w:rPr>
        <w:t>creatinine ratio;</w:t>
      </w:r>
      <w:r>
        <w:rPr>
          <w:rFonts w:ascii="Arial Narrow" w:hAnsi="Arial Narrow"/>
          <w:sz w:val="18"/>
          <w:szCs w:val="18"/>
        </w:rPr>
        <w:t xml:space="preserve"> </w:t>
      </w:r>
      <w:r w:rsidRPr="002C178D">
        <w:rPr>
          <w:rFonts w:ascii="Arial Narrow" w:hAnsi="Arial Narrow"/>
          <w:sz w:val="18"/>
          <w:szCs w:val="18"/>
        </w:rPr>
        <w:t xml:space="preserve">ULN=upper limit of normal; </w:t>
      </w:r>
      <w:r>
        <w:rPr>
          <w:rFonts w:ascii="Arial Narrow" w:hAnsi="Arial Narrow"/>
          <w:sz w:val="18"/>
          <w:szCs w:val="18"/>
        </w:rPr>
        <w:t>wk=week;</w:t>
      </w:r>
    </w:p>
    <w:p w14:paraId="26BF1580" w14:textId="0445AB6F" w:rsidR="007A3BF4" w:rsidRDefault="007A3BF4" w:rsidP="007A3BF4">
      <w:pPr>
        <w:tabs>
          <w:tab w:val="left" w:pos="142"/>
        </w:tabs>
        <w:ind w:left="135" w:hanging="135"/>
        <w:rPr>
          <w:rFonts w:ascii="Arial Narrow" w:hAnsi="Arial Narrow"/>
          <w:sz w:val="18"/>
          <w:szCs w:val="18"/>
        </w:rPr>
      </w:pPr>
      <w:r>
        <w:rPr>
          <w:rFonts w:ascii="Arial Narrow" w:hAnsi="Arial Narrow"/>
          <w:sz w:val="18"/>
          <w:szCs w:val="18"/>
        </w:rPr>
        <w:t>a</w:t>
      </w:r>
      <w:r>
        <w:rPr>
          <w:rFonts w:ascii="Arial Narrow" w:hAnsi="Arial Narrow"/>
          <w:sz w:val="18"/>
          <w:szCs w:val="18"/>
        </w:rPr>
        <w:tab/>
      </w:r>
      <w:r w:rsidRPr="00282C11">
        <w:rPr>
          <w:rFonts w:ascii="Arial Narrow" w:hAnsi="Arial Narrow"/>
          <w:sz w:val="18"/>
          <w:szCs w:val="18"/>
        </w:rPr>
        <w:t>Results from the post</w:t>
      </w:r>
      <w:r w:rsidR="00FF1914">
        <w:rPr>
          <w:rFonts w:ascii="Arial Narrow" w:hAnsi="Arial Narrow"/>
          <w:sz w:val="18"/>
          <w:szCs w:val="18"/>
        </w:rPr>
        <w:noBreakHyphen/>
      </w:r>
      <w:r w:rsidRPr="00282C11">
        <w:rPr>
          <w:rFonts w:ascii="Arial Narrow" w:hAnsi="Arial Narrow"/>
          <w:sz w:val="18"/>
          <w:szCs w:val="18"/>
        </w:rPr>
        <w:t>hoc re</w:t>
      </w:r>
      <w:r w:rsidR="00FF1914">
        <w:rPr>
          <w:rFonts w:ascii="Arial Narrow" w:hAnsi="Arial Narrow"/>
          <w:sz w:val="18"/>
          <w:szCs w:val="18"/>
        </w:rPr>
        <w:noBreakHyphen/>
      </w:r>
      <w:r w:rsidRPr="00282C11">
        <w:rPr>
          <w:rFonts w:ascii="Arial Narrow" w:hAnsi="Arial Narrow"/>
          <w:sz w:val="18"/>
          <w:szCs w:val="18"/>
        </w:rPr>
        <w:t>analysed NOBILITY data (using REGENCY outcomes definitions and data handling rules) were descriptive and nominal p</w:t>
      </w:r>
      <w:r w:rsidR="00FF1914">
        <w:rPr>
          <w:rFonts w:ascii="Arial Narrow" w:hAnsi="Arial Narrow"/>
          <w:sz w:val="18"/>
          <w:szCs w:val="18"/>
        </w:rPr>
        <w:noBreakHyphen/>
      </w:r>
      <w:r w:rsidRPr="00282C11">
        <w:rPr>
          <w:rFonts w:ascii="Arial Narrow" w:hAnsi="Arial Narrow"/>
          <w:sz w:val="18"/>
          <w:szCs w:val="18"/>
        </w:rPr>
        <w:t>values was exploratory.</w:t>
      </w:r>
    </w:p>
    <w:p w14:paraId="0BA8A5AC" w14:textId="77777777" w:rsidR="007A3BF4" w:rsidRDefault="007A3BF4" w:rsidP="007A3BF4">
      <w:pPr>
        <w:pStyle w:val="FooterTableFigure"/>
        <w:tabs>
          <w:tab w:val="left" w:pos="142"/>
        </w:tabs>
        <w:ind w:left="140" w:hanging="140"/>
      </w:pPr>
      <w:r>
        <w:t>b</w:t>
      </w:r>
      <w:r>
        <w:tab/>
        <w:t>In REGENCY, intercurrent events included rescue therapy, treatment failure, death, or early study withdrawal.</w:t>
      </w:r>
    </w:p>
    <w:p w14:paraId="5FE8669D" w14:textId="30019B86" w:rsidR="007A3BF4" w:rsidRDefault="007A3BF4" w:rsidP="007A3BF4">
      <w:pPr>
        <w:pStyle w:val="FooterTableFigure"/>
        <w:tabs>
          <w:tab w:val="left" w:pos="142"/>
        </w:tabs>
        <w:ind w:left="140" w:hanging="140"/>
      </w:pPr>
      <w:r>
        <w:t>c</w:t>
      </w:r>
      <w:r>
        <w:tab/>
        <w:t xml:space="preserve">In NOBILITY, CRR defined as </w:t>
      </w:r>
      <w:r w:rsidRPr="00D84A00">
        <w:t>UPCR &lt;0.5</w:t>
      </w:r>
      <w:r>
        <w:t>, normal renal function (serum creatinine ≤ULN) without worsening of baseline serum creatinine by more than 15%, and inactive urinary sediment (&lt;10 red blood cells (RBCs)/high</w:t>
      </w:r>
      <w:r w:rsidR="00FF1914">
        <w:noBreakHyphen/>
      </w:r>
      <w:r>
        <w:t>power field (HPF) without RBC casts).</w:t>
      </w:r>
    </w:p>
    <w:p w14:paraId="5AE607C9" w14:textId="7886CFE9" w:rsidR="007A3BF4" w:rsidRDefault="007A3BF4" w:rsidP="00EC5836">
      <w:pPr>
        <w:pStyle w:val="3-BodyText"/>
      </w:pPr>
      <w:bookmarkStart w:id="37" w:name="_Ref221289694"/>
      <w:r w:rsidRPr="007A3BF4">
        <w:t>The results demonstrated that:</w:t>
      </w:r>
      <w:bookmarkEnd w:id="37"/>
    </w:p>
    <w:p w14:paraId="61533A90" w14:textId="2E69ADD2" w:rsidR="00D1753C" w:rsidRPr="00C561BE" w:rsidRDefault="007A3BF4" w:rsidP="004B0ABD">
      <w:pPr>
        <w:pStyle w:val="3-BodyText"/>
        <w:numPr>
          <w:ilvl w:val="0"/>
          <w:numId w:val="9"/>
        </w:numPr>
      </w:pPr>
      <w:r>
        <w:t>Across the trials, there was improvement from baseline in renal response (CRR, PRR, ORR and prote</w:t>
      </w:r>
      <w:r w:rsidR="00686D6A">
        <w:t>i</w:t>
      </w:r>
      <w:r>
        <w:t>nuric response) for both obinutuzumab and placebo</w:t>
      </w:r>
      <w:r w:rsidR="00FF1914">
        <w:noBreakHyphen/>
      </w:r>
      <w:r>
        <w:t>treated patients</w:t>
      </w:r>
      <w:r w:rsidRPr="00742BF0">
        <w:t xml:space="preserve"> </w:t>
      </w:r>
      <w:r>
        <w:t xml:space="preserve">at Week 76. In REGENCY, CRR, CRR with prednisone taper and proteinuric response at Week 76 were significantly higher in the obinutuzumab group compared to placebo. Fewer patients had intercurrent events (treatment failure, </w:t>
      </w:r>
      <w:r>
        <w:lastRenderedPageBreak/>
        <w:t>rescue therapy, deaths and early withdrawal) in the obinutuzumab group compared to placebo (11.1% vs 25.0%). However, there were no difference</w:t>
      </w:r>
      <w:r w:rsidR="003B174A">
        <w:t>s</w:t>
      </w:r>
      <w:r>
        <w:t xml:space="preserve"> between groups in terms of </w:t>
      </w:r>
      <w:r w:rsidR="00484AF0">
        <w:t xml:space="preserve">ORR at Week 50 and </w:t>
      </w:r>
      <w:r>
        <w:t>PRR and eGFR at Week 76. In NOBILITY, there was no difference between groups in</w:t>
      </w:r>
      <w:r w:rsidR="00C94D0E">
        <w:t xml:space="preserve"> the primary outcome of</w:t>
      </w:r>
      <w:r>
        <w:t xml:space="preserve"> CRR at Week 52 (</w:t>
      </w:r>
      <w:r w:rsidR="00C94D0E">
        <w:t>12.3%, 95%CI</w:t>
      </w:r>
      <w:r w:rsidR="002D184D">
        <w:t>:</w:t>
      </w:r>
      <w:r w:rsidR="00D95C45">
        <w:t xml:space="preserve"> </w:t>
      </w:r>
      <w:r w:rsidR="00FF1914">
        <w:noBreakHyphen/>
      </w:r>
      <w:r w:rsidR="00C94D0E">
        <w:t>3.4%, 28.1%)</w:t>
      </w:r>
      <w:r>
        <w:t>), however, there were statistically significant improvement</w:t>
      </w:r>
      <w:r w:rsidR="003B174A">
        <w:t>s</w:t>
      </w:r>
      <w:r>
        <w:t xml:space="preserve"> in ORR and PRR in the obinutuzumab group compared to placebo. Follow</w:t>
      </w:r>
      <w:r w:rsidR="00FF1914">
        <w:noBreakHyphen/>
      </w:r>
      <w:r>
        <w:t>up data showed improvement</w:t>
      </w:r>
      <w:r w:rsidR="003B174A">
        <w:t>s</w:t>
      </w:r>
      <w:r>
        <w:t xml:space="preserve"> in CRR, PRR and ORR at Weeks 76 and 104 were statistically significant</w:t>
      </w:r>
      <w:r w:rsidRPr="00C67D78">
        <w:t xml:space="preserve">, </w:t>
      </w:r>
      <w:r w:rsidR="00CC7844">
        <w:t>consistent with</w:t>
      </w:r>
      <w:r w:rsidR="00CC7844" w:rsidRPr="00C67D78">
        <w:t xml:space="preserve"> </w:t>
      </w:r>
      <w:r w:rsidRPr="00C67D78">
        <w:t>delayed and sustained response</w:t>
      </w:r>
      <w:r w:rsidR="003B174A" w:rsidRPr="00C67D78">
        <w:t>s</w:t>
      </w:r>
      <w:r w:rsidRPr="00C67D78">
        <w:t>.</w:t>
      </w:r>
      <w:r w:rsidR="00755228" w:rsidRPr="00C67D78">
        <w:t xml:space="preserve"> In addition, post</w:t>
      </w:r>
      <w:r w:rsidR="00FF1914">
        <w:noBreakHyphen/>
      </w:r>
      <w:r w:rsidR="00755228" w:rsidRPr="00C67D78">
        <w:t>hoc re</w:t>
      </w:r>
      <w:r w:rsidR="00FF1914">
        <w:noBreakHyphen/>
      </w:r>
      <w:r w:rsidR="00755228" w:rsidRPr="00C67D78">
        <w:t>analyses of NOBILITY data using the REGENCY outcome definitions and data handling rules showed that obinutuzumab</w:t>
      </w:r>
      <w:r w:rsidR="00FF1914">
        <w:noBreakHyphen/>
      </w:r>
      <w:r w:rsidR="00755228" w:rsidRPr="00C67D78">
        <w:t>treated patients who stopped treatment at Week 26 (four</w:t>
      </w:r>
      <w:r w:rsidR="00FF1914">
        <w:noBreakHyphen/>
      </w:r>
      <w:r w:rsidR="00755228" w:rsidRPr="00C67D78">
        <w:t>dose regimen) in NOBILITY had greater improvement in CRR and CRR with prednisone taper one</w:t>
      </w:r>
      <w:r w:rsidR="003B174A" w:rsidRPr="00C67D78">
        <w:t xml:space="preserve"> </w:t>
      </w:r>
      <w:r w:rsidR="00755228" w:rsidRPr="00C67D78">
        <w:t>year post</w:t>
      </w:r>
      <w:r w:rsidR="00FF1914">
        <w:noBreakHyphen/>
      </w:r>
      <w:r w:rsidR="00755228" w:rsidRPr="00C67D78">
        <w:t xml:space="preserve">treatment </w:t>
      </w:r>
      <w:r w:rsidR="0063564E" w:rsidRPr="00C67D78">
        <w:t>(</w:t>
      </w:r>
      <w:r w:rsidR="00755228" w:rsidRPr="00C67D78">
        <w:t>Week 76</w:t>
      </w:r>
      <w:r w:rsidR="0063564E" w:rsidRPr="00C67D78">
        <w:t>)</w:t>
      </w:r>
      <w:r w:rsidR="00755228" w:rsidRPr="00C67D78">
        <w:t xml:space="preserve"> compared to those who received additional treatment at Week 50</w:t>
      </w:r>
      <w:r w:rsidR="003956E5" w:rsidRPr="00C67D78">
        <w:rPr>
          <w:rFonts w:cstheme="minorHAnsi"/>
        </w:rPr>
        <w:t>‒</w:t>
      </w:r>
      <w:r w:rsidR="00755228" w:rsidRPr="00C67D78">
        <w:t>52 (five and six</w:t>
      </w:r>
      <w:r w:rsidR="00FF1914">
        <w:noBreakHyphen/>
      </w:r>
      <w:r w:rsidR="00755228" w:rsidRPr="00C67D78">
        <w:t>dose regimen</w:t>
      </w:r>
      <w:r w:rsidR="0063564E" w:rsidRPr="00C67D78">
        <w:t>s</w:t>
      </w:r>
      <w:r w:rsidR="00755228" w:rsidRPr="00C67D78">
        <w:t xml:space="preserve">) in the REGENCY trial. The submission described the improvement in CRR </w:t>
      </w:r>
      <w:r w:rsidR="000B089F" w:rsidRPr="00C67D78">
        <w:t xml:space="preserve">at Week 76 </w:t>
      </w:r>
      <w:r w:rsidR="00755228" w:rsidRPr="00C67D78">
        <w:t xml:space="preserve">as clinically meaningful based on </w:t>
      </w:r>
      <w:r w:rsidR="00D816C7" w:rsidRPr="00C67D78">
        <w:t xml:space="preserve">the proposed </w:t>
      </w:r>
      <w:r w:rsidR="00755228" w:rsidRPr="00C67D78">
        <w:t>MCID &gt;10% absolute risk difference in the proportion of patients achieving CRR at Week 52.</w:t>
      </w:r>
      <w:r w:rsidR="000B089F" w:rsidRPr="00C67D78">
        <w:t xml:space="preserve"> It was noted, however, that in REGENCY the difference between groups in CRR response at Week 50 (5.59%, 95%CI: </w:t>
      </w:r>
      <w:r w:rsidR="00FF1914">
        <w:noBreakHyphen/>
      </w:r>
      <w:r w:rsidR="000B089F" w:rsidRPr="00C67D78">
        <w:t>5.75</w:t>
      </w:r>
      <w:r w:rsidR="002D184D" w:rsidRPr="00C67D78">
        <w:t>%</w:t>
      </w:r>
      <w:r w:rsidR="000B089F" w:rsidRPr="00C67D78">
        <w:t>, 16.92</w:t>
      </w:r>
      <w:r w:rsidR="002D184D" w:rsidRPr="00C67D78">
        <w:t>%</w:t>
      </w:r>
      <w:r w:rsidR="000B089F" w:rsidRPr="00C67D78">
        <w:t>) was less than 10%.</w:t>
      </w:r>
      <w:r w:rsidR="00E125C4">
        <w:t xml:space="preserve"> </w:t>
      </w:r>
      <w:r w:rsidR="00FC3105" w:rsidRPr="00C561BE">
        <w:t>The</w:t>
      </w:r>
      <w:r w:rsidR="002933A0" w:rsidRPr="00C561BE">
        <w:t xml:space="preserve"> </w:t>
      </w:r>
      <w:r w:rsidR="00705265" w:rsidRPr="00C561BE">
        <w:t>S</w:t>
      </w:r>
      <w:r w:rsidR="002933A0" w:rsidRPr="00C561BE">
        <w:t>ub</w:t>
      </w:r>
      <w:r w:rsidR="00FF1914">
        <w:noBreakHyphen/>
      </w:r>
      <w:r w:rsidR="00705265" w:rsidRPr="00C561BE">
        <w:t>C</w:t>
      </w:r>
      <w:r w:rsidR="002933A0" w:rsidRPr="00C561BE">
        <w:t xml:space="preserve">ommittees noted that the </w:t>
      </w:r>
      <w:r w:rsidR="00FC3105" w:rsidRPr="00C561BE">
        <w:t>PSCR</w:t>
      </w:r>
      <w:r w:rsidR="00FA1520" w:rsidRPr="00C561BE">
        <w:t xml:space="preserve"> </w:t>
      </w:r>
      <w:r w:rsidR="00FC3105" w:rsidRPr="00C561BE">
        <w:t>provided some additional context to explain the</w:t>
      </w:r>
      <w:r w:rsidR="000769DB" w:rsidRPr="00C561BE">
        <w:t>se result</w:t>
      </w:r>
      <w:r w:rsidR="006571A6" w:rsidRPr="00C561BE">
        <w:t xml:space="preserve">s. The PSCR noted </w:t>
      </w:r>
      <w:r w:rsidR="008604A2" w:rsidRPr="00C561BE">
        <w:t>t</w:t>
      </w:r>
      <w:r w:rsidR="00F5566A" w:rsidRPr="00C561BE">
        <w:t>he observed difference in CRR efficacy between NOBILITY and REGENCY at Week 76 was already evident at</w:t>
      </w:r>
      <w:r w:rsidR="00D92DC6" w:rsidRPr="00C561BE">
        <w:t xml:space="preserve"> </w:t>
      </w:r>
      <w:r w:rsidR="006741B7" w:rsidRPr="00C561BE">
        <w:t>w</w:t>
      </w:r>
      <w:r w:rsidR="00D92DC6" w:rsidRPr="00C561BE">
        <w:t xml:space="preserve">eeks 25 and 50/52 </w:t>
      </w:r>
      <w:r w:rsidR="006B3DE7" w:rsidRPr="00C561BE">
        <w:t>which suggests that it may be the result of other trial</w:t>
      </w:r>
      <w:r w:rsidR="00FF1914">
        <w:noBreakHyphen/>
      </w:r>
      <w:r w:rsidR="006B3DE7" w:rsidRPr="00C561BE">
        <w:t>related differences rather than the dosing regimen</w:t>
      </w:r>
      <w:r w:rsidR="0043107A" w:rsidRPr="00C561BE">
        <w:t>. The PSCR suggested t</w:t>
      </w:r>
      <w:r w:rsidR="006741B7" w:rsidRPr="00C561BE">
        <w:t>h</w:t>
      </w:r>
      <w:r w:rsidR="0043107A" w:rsidRPr="00C561BE">
        <w:t>at</w:t>
      </w:r>
      <w:r w:rsidR="006B3DE7" w:rsidRPr="00C561BE">
        <w:t xml:space="preserve"> </w:t>
      </w:r>
      <w:r w:rsidR="002B07CD" w:rsidRPr="00C561BE">
        <w:t>this observed difference in efficacy between NOBILITY and REGENCY may be driven by the placebo response</w:t>
      </w:r>
      <w:r w:rsidR="006741B7" w:rsidRPr="00C561BE">
        <w:t xml:space="preserve"> given the</w:t>
      </w:r>
      <w:r w:rsidR="002B07CD" w:rsidRPr="00C561BE">
        <w:t xml:space="preserve"> higher CRR in the placebo arm at Week 24 in NOBILITY</w:t>
      </w:r>
      <w:r w:rsidR="0043107A" w:rsidRPr="00C561BE">
        <w:t xml:space="preserve">. The PSCR noted that </w:t>
      </w:r>
      <w:r w:rsidR="00D1753C" w:rsidRPr="00C561BE">
        <w:t>at Week 24 in both NOBILITY and REGENCY, overall CRR was very similar between placebo and obinutuzumab, suggesting that it takes time for the treatment effect of obinutuzumab to become apparent</w:t>
      </w:r>
      <w:r w:rsidR="006741B7" w:rsidRPr="00C561BE">
        <w:t>. As</w:t>
      </w:r>
      <w:r w:rsidR="00922AFF" w:rsidRPr="00C561BE">
        <w:t xml:space="preserve"> outlined in</w:t>
      </w:r>
      <w:r w:rsidR="006741B7" w:rsidRPr="00C561BE">
        <w:t xml:space="preserve"> </w:t>
      </w:r>
      <w:r w:rsidR="00DC7C0B" w:rsidRPr="00C561BE">
        <w:t>para</w:t>
      </w:r>
      <w:r w:rsidR="00922AFF" w:rsidRPr="00C561BE">
        <w:t>graph</w:t>
      </w:r>
      <w:r w:rsidR="00DC7C0B" w:rsidRPr="00C561BE">
        <w:t xml:space="preserve"> </w:t>
      </w:r>
      <w:r w:rsidR="00202FE3" w:rsidRPr="00C561BE">
        <w:fldChar w:fldCharType="begin"/>
      </w:r>
      <w:r w:rsidR="00202FE3" w:rsidRPr="00C561BE">
        <w:instrText xml:space="preserve"> REF _Ref221519745 \r \h </w:instrText>
      </w:r>
      <w:r w:rsidR="006571A6" w:rsidRPr="00C561BE">
        <w:instrText xml:space="preserve"> \* MERGEFORMAT </w:instrText>
      </w:r>
      <w:r w:rsidR="00202FE3" w:rsidRPr="00C561BE">
        <w:fldChar w:fldCharType="separate"/>
      </w:r>
      <w:r w:rsidR="002255D9">
        <w:t>3.2</w:t>
      </w:r>
      <w:r w:rsidR="00202FE3" w:rsidRPr="00C561BE">
        <w:fldChar w:fldCharType="end"/>
      </w:r>
      <w:r w:rsidR="002702CC" w:rsidRPr="00C561BE">
        <w:t>,</w:t>
      </w:r>
      <w:r w:rsidR="00DE6189" w:rsidRPr="00C561BE">
        <w:t xml:space="preserve"> </w:t>
      </w:r>
      <w:r w:rsidR="006741B7" w:rsidRPr="00C561BE">
        <w:t xml:space="preserve">the PSCR noted that </w:t>
      </w:r>
      <w:r w:rsidR="00DE6189" w:rsidRPr="00C561BE">
        <w:rPr>
          <w:rFonts w:ascii="Calibri" w:eastAsia="Calibri" w:hAnsi="Calibri" w:cs="Times New Roman"/>
        </w:rPr>
        <w:t xml:space="preserve">patients in REGENCY who received the additional dose of obinutuzumab at Week 52 continued to show improvement. </w:t>
      </w:r>
      <w:r w:rsidR="002702CC" w:rsidRPr="00C561BE">
        <w:rPr>
          <w:rFonts w:ascii="Calibri" w:eastAsia="Calibri" w:hAnsi="Calibri" w:cs="Times New Roman"/>
        </w:rPr>
        <w:t>In contrast</w:t>
      </w:r>
      <w:r w:rsidR="00DE6189" w:rsidRPr="00C561BE">
        <w:rPr>
          <w:rFonts w:ascii="Calibri" w:eastAsia="Calibri" w:hAnsi="Calibri" w:cs="Times New Roman"/>
        </w:rPr>
        <w:t xml:space="preserve">, </w:t>
      </w:r>
      <w:r w:rsidR="00D1753C" w:rsidRPr="00C561BE">
        <w:t>the overall proportion of patients who achieve CRR appears to plateau between Weeks 52 and 76 in NOBILITY</w:t>
      </w:r>
      <w:r w:rsidR="006571A6" w:rsidRPr="00C561BE">
        <w:t xml:space="preserve">. The PSCR argued that this </w:t>
      </w:r>
      <w:r w:rsidR="00D1753C" w:rsidRPr="00C561BE">
        <w:t xml:space="preserve">suggested a benefit of additional obinutuzumab dosing. </w:t>
      </w:r>
    </w:p>
    <w:p w14:paraId="1D90B546" w14:textId="35466774" w:rsidR="00755228" w:rsidRPr="00C67D78" w:rsidRDefault="00755228" w:rsidP="004B0ABD">
      <w:pPr>
        <w:pStyle w:val="3-BodyText"/>
        <w:numPr>
          <w:ilvl w:val="0"/>
          <w:numId w:val="9"/>
        </w:numPr>
      </w:pPr>
      <w:r>
        <w:t>In REGENCY, subgroup analys</w:t>
      </w:r>
      <w:r w:rsidR="003B174A">
        <w:t>e</w:t>
      </w:r>
      <w:r>
        <w:t>s for CRR at Week 76 were generally consistent with the ITT population, with the exception of two subgroups (male and patients with low eGFR of 30</w:t>
      </w:r>
      <w:r w:rsidR="00B21C1C">
        <w:rPr>
          <w:rFonts w:cstheme="minorHAnsi"/>
        </w:rPr>
        <w:t>‒</w:t>
      </w:r>
      <w:r>
        <w:t>&lt;60 mL/min/1.73 m</w:t>
      </w:r>
      <w:r w:rsidRPr="00EA218C">
        <w:rPr>
          <w:vertAlign w:val="superscript"/>
        </w:rPr>
        <w:t>2</w:t>
      </w:r>
      <w:r>
        <w:t xml:space="preserve"> at baseline), which showed greater improvement in CRR for</w:t>
      </w:r>
      <w:r w:rsidR="003B174A">
        <w:t xml:space="preserve"> the</w:t>
      </w:r>
      <w:r>
        <w:t xml:space="preserve"> placebo compared to </w:t>
      </w:r>
      <w:r w:rsidR="003B174A">
        <w:t xml:space="preserve">the </w:t>
      </w:r>
      <w:r>
        <w:t>obinutuzumab group. Efficacy analysis of blinded obinutuzumab treatment beyond Week 76 showed that improvement in CRR (59.3</w:t>
      </w:r>
      <w:r w:rsidR="00B21C1C">
        <w:rPr>
          <w:rFonts w:cstheme="minorHAnsi"/>
        </w:rPr>
        <w:t>‒</w:t>
      </w:r>
      <w:r>
        <w:t>72.2%) was maintained to Week 184 in the obinutuzumab</w:t>
      </w:r>
      <w:r w:rsidR="00FF1914">
        <w:noBreakHyphen/>
      </w:r>
      <w:r>
        <w:t xml:space="preserve">treated patients who were adequate responders at Week 76. </w:t>
      </w:r>
      <w:r w:rsidRPr="00C67D78">
        <w:t>These results should be interpreted with caution</w:t>
      </w:r>
      <w:r w:rsidR="003B174A" w:rsidRPr="00C67D78">
        <w:t>,</w:t>
      </w:r>
      <w:r w:rsidRPr="00C67D78">
        <w:t xml:space="preserve"> given </w:t>
      </w:r>
      <w:r w:rsidR="003B174A" w:rsidRPr="00C67D78">
        <w:t xml:space="preserve">that </w:t>
      </w:r>
      <w:r w:rsidRPr="00C67D78">
        <w:t xml:space="preserve">the analysis was exploratory, sample sizes </w:t>
      </w:r>
      <w:r w:rsidR="003B174A" w:rsidRPr="00C67D78">
        <w:t xml:space="preserve">were small </w:t>
      </w:r>
      <w:r w:rsidRPr="00C67D78">
        <w:t xml:space="preserve">and blinded treatment beyond Week 76 was </w:t>
      </w:r>
      <w:r w:rsidR="003B174A" w:rsidRPr="00C67D78">
        <w:lastRenderedPageBreak/>
        <w:t xml:space="preserve">restricted to </w:t>
      </w:r>
      <w:r w:rsidRPr="00C67D78">
        <w:t>the adequate</w:t>
      </w:r>
      <w:r w:rsidR="00FF1914">
        <w:noBreakHyphen/>
      </w:r>
      <w:r w:rsidRPr="00C67D78">
        <w:t>responder population (i.e. only 18 patients in the obinutuzumab group were included in the post</w:t>
      </w:r>
      <w:r w:rsidR="00FF1914">
        <w:noBreakHyphen/>
      </w:r>
      <w:r w:rsidRPr="00C67D78">
        <w:t>Week 76 analysis at Week 184).</w:t>
      </w:r>
    </w:p>
    <w:p w14:paraId="0852BBBF" w14:textId="1BBE59C5" w:rsidR="004C0E14" w:rsidRPr="00527A82" w:rsidRDefault="004C0E14" w:rsidP="004B0ABD">
      <w:pPr>
        <w:pStyle w:val="3-BodyText"/>
        <w:numPr>
          <w:ilvl w:val="0"/>
          <w:numId w:val="9"/>
        </w:numPr>
      </w:pPr>
      <w:r>
        <w:t>There were fewer deaths and renal</w:t>
      </w:r>
      <w:r w:rsidR="00FF1914">
        <w:noBreakHyphen/>
      </w:r>
      <w:r>
        <w:t xml:space="preserve">related events for the obinutuzumab group compared to placebo to Week 76, which was not statistically significant (due to statistical significance not reached for the key secondary outcome of eGFR in the testing hierarchy). Time to CRR (HR: </w:t>
      </w:r>
      <w:r w:rsidRPr="00BF5B1A">
        <w:t>1.31</w:t>
      </w:r>
      <w:r>
        <w:t xml:space="preserve">, 95%CI: </w:t>
      </w:r>
      <w:r w:rsidRPr="00BF5B1A">
        <w:t>0.91, 1.89)</w:t>
      </w:r>
      <w:r>
        <w:t xml:space="preserve"> was similar between groups</w:t>
      </w:r>
      <w:r w:rsidRPr="004F19CE">
        <w:t xml:space="preserve"> </w:t>
      </w:r>
      <w:r>
        <w:t xml:space="preserve">at Week 76. However, time to lupus nephritis flare (HR: </w:t>
      </w:r>
      <w:r w:rsidRPr="00BF5B1A">
        <w:t>0.44</w:t>
      </w:r>
      <w:r>
        <w:t xml:space="preserve">, 95%CI: </w:t>
      </w:r>
      <w:r w:rsidRPr="00BF5B1A">
        <w:t>0.24, 0.82</w:t>
      </w:r>
      <w:r>
        <w:t xml:space="preserve">) and time to unfavourable kidney events (HR: 0.37, 95%CI: 0.18, 0.75) favoured obinutuzumab treatment to Week 76. The difference between treatment groups was driven by </w:t>
      </w:r>
      <w:r w:rsidR="003B174A">
        <w:t xml:space="preserve">a </w:t>
      </w:r>
      <w:r>
        <w:t>higher proportion of treatment failures requiring rescue therapy</w:t>
      </w:r>
      <w:r w:rsidRPr="00527A82">
        <w:t>. Post</w:t>
      </w:r>
      <w:r w:rsidR="00FF1914">
        <w:noBreakHyphen/>
      </w:r>
      <w:r w:rsidRPr="00527A82">
        <w:t>hoc analysis of NOBILITY data using the REGENCY outcome definitions showed consistently decreased time to unfavourable kidney events (HR: 0.40, 95%CI: 0.20, 0.80) and lupus nephritis flare (HR: 0.43, 95%CI: 0.20, 0.95) in favour of obinutuzumab treatment to Week 104.</w:t>
      </w:r>
    </w:p>
    <w:p w14:paraId="4876DD07" w14:textId="01510D01" w:rsidR="007A3BF4" w:rsidRPr="007A3BF4" w:rsidRDefault="004C0E14" w:rsidP="0072568D">
      <w:pPr>
        <w:pStyle w:val="3-BodyText"/>
      </w:pPr>
      <w:r w:rsidRPr="003B0495">
        <w:t xml:space="preserve">The submission presented </w:t>
      </w:r>
      <w:r>
        <w:t>results for other outcomes</w:t>
      </w:r>
      <w:r w:rsidR="003B174A">
        <w:t>,</w:t>
      </w:r>
      <w:r>
        <w:t xml:space="preserve"> including change in serologic biomarkers, which showed greater improvement in </w:t>
      </w:r>
      <w:r w:rsidRPr="003B0495">
        <w:t>C3</w:t>
      </w:r>
      <w:r>
        <w:t xml:space="preserve"> (p&lt;0.05)</w:t>
      </w:r>
      <w:r w:rsidRPr="003B0495">
        <w:t>, C4, and anti</w:t>
      </w:r>
      <w:r w:rsidR="00FF1914">
        <w:noBreakHyphen/>
      </w:r>
      <w:r w:rsidRPr="003B0495">
        <w:t>dsDNA antibody levels</w:t>
      </w:r>
      <w:r>
        <w:t xml:space="preserve"> (p&lt;0.05) for </w:t>
      </w:r>
      <w:r w:rsidR="003B174A">
        <w:t xml:space="preserve">the </w:t>
      </w:r>
      <w:r>
        <w:t>obinutuzumab group compared to placebo to Week 50/52. For patient</w:t>
      </w:r>
      <w:r w:rsidR="00FF1914">
        <w:noBreakHyphen/>
      </w:r>
      <w:r>
        <w:t>reported outcomes</w:t>
      </w:r>
      <w:r w:rsidRPr="00F41421">
        <w:t xml:space="preserve"> </w:t>
      </w:r>
      <w:r>
        <w:t>(FACIT</w:t>
      </w:r>
      <w:r w:rsidR="00FF1914">
        <w:noBreakHyphen/>
      </w:r>
      <w:r>
        <w:t>F and EQ</w:t>
      </w:r>
      <w:r w:rsidR="00FF1914">
        <w:noBreakHyphen/>
      </w:r>
      <w:r>
        <w:t>5D</w:t>
      </w:r>
      <w:r w:rsidR="00FF1914">
        <w:noBreakHyphen/>
      </w:r>
      <w:r>
        <w:t>5L), there were no difference</w:t>
      </w:r>
      <w:r w:rsidR="003B174A">
        <w:t>s</w:t>
      </w:r>
      <w:r>
        <w:t xml:space="preserve"> between groups</w:t>
      </w:r>
      <w:r w:rsidR="003B174A">
        <w:t xml:space="preserve"> through</w:t>
      </w:r>
      <w:r>
        <w:t xml:space="preserve"> to Week 76.</w:t>
      </w:r>
    </w:p>
    <w:p w14:paraId="1452C351" w14:textId="0D19F1B0" w:rsidR="00B60939" w:rsidRPr="0098262F" w:rsidRDefault="00B60939" w:rsidP="00D86231">
      <w:pPr>
        <w:pStyle w:val="4-SubsectionHeading"/>
      </w:pPr>
      <w:bookmarkStart w:id="38" w:name="_Toc22897642"/>
      <w:bookmarkStart w:id="39" w:name="_Toc219886549"/>
      <w:r w:rsidRPr="0098262F">
        <w:t>Comparative harms</w:t>
      </w:r>
      <w:bookmarkEnd w:id="38"/>
      <w:bookmarkEnd w:id="39"/>
    </w:p>
    <w:p w14:paraId="6727D4B8" w14:textId="3B8A0BF3" w:rsidR="003F5840" w:rsidRDefault="005D1B76" w:rsidP="00D86231">
      <w:pPr>
        <w:pStyle w:val="3-BodyText"/>
      </w:pPr>
      <w:r>
        <w:fldChar w:fldCharType="begin"/>
      </w:r>
      <w:r>
        <w:instrText xml:space="preserve"> REF _Ref218520437 \h </w:instrText>
      </w:r>
      <w:r>
        <w:fldChar w:fldCharType="separate"/>
      </w:r>
      <w:r w:rsidR="002255D9">
        <w:t xml:space="preserve">Table </w:t>
      </w:r>
      <w:r w:rsidR="002255D9">
        <w:rPr>
          <w:noProof/>
        </w:rPr>
        <w:t>5</w:t>
      </w:r>
      <w:r>
        <w:fldChar w:fldCharType="end"/>
      </w:r>
      <w:r w:rsidR="003F5840" w:rsidRPr="003F5840">
        <w:t xml:space="preserve"> summarises the key safety outcomes to Week 76 in REGENCY and </w:t>
      </w:r>
      <w:r w:rsidR="00821E0C">
        <w:t xml:space="preserve">Week 52 in </w:t>
      </w:r>
      <w:r w:rsidR="003F5840" w:rsidRPr="003F5840">
        <w:t>NOBILITY.</w:t>
      </w:r>
    </w:p>
    <w:p w14:paraId="791EF228" w14:textId="77AD23EF" w:rsidR="003F5840" w:rsidRPr="00080909" w:rsidRDefault="005D1B76" w:rsidP="00F13EE7">
      <w:pPr>
        <w:pStyle w:val="Caption"/>
        <w:jc w:val="left"/>
      </w:pPr>
      <w:bookmarkStart w:id="40" w:name="_Ref218520437"/>
      <w:r>
        <w:lastRenderedPageBreak/>
        <w:t xml:space="preserve">Table </w:t>
      </w:r>
      <w:fldSimple w:instr=" SEQ Table \* ARABIC ">
        <w:r w:rsidR="002255D9">
          <w:rPr>
            <w:noProof/>
          </w:rPr>
          <w:t>5</w:t>
        </w:r>
      </w:fldSimple>
      <w:bookmarkEnd w:id="40"/>
      <w:r w:rsidR="003F5840" w:rsidRPr="00080909">
        <w:t>:</w:t>
      </w:r>
      <w:r w:rsidR="003F5840">
        <w:t xml:space="preserve"> </w:t>
      </w:r>
      <w:r w:rsidR="003F5840" w:rsidRPr="00080909">
        <w:t>Summary of key adverse events</w:t>
      </w:r>
      <w:r w:rsidR="003F5840">
        <w:t xml:space="preserve"> to Week 76</w:t>
      </w:r>
      <w:r w:rsidR="003F5840" w:rsidRPr="00080909">
        <w:t xml:space="preserve"> </w:t>
      </w:r>
      <w:r w:rsidR="003F5840">
        <w:t>in REGENCY and</w:t>
      </w:r>
      <w:r w:rsidR="00821E0C">
        <w:t xml:space="preserve"> Week 52 in</w:t>
      </w:r>
      <w:r w:rsidR="003F5840">
        <w:t xml:space="preserve"> NOBILITY</w:t>
      </w:r>
    </w:p>
    <w:tbl>
      <w:tblPr>
        <w:tblStyle w:val="TableGrid"/>
        <w:tblW w:w="5000" w:type="pct"/>
        <w:tblCellMar>
          <w:left w:w="28" w:type="dxa"/>
          <w:right w:w="28" w:type="dxa"/>
        </w:tblCellMar>
        <w:tblLook w:val="04A0" w:firstRow="1" w:lastRow="0" w:firstColumn="1" w:lastColumn="0" w:noHBand="0" w:noVBand="1"/>
        <w:tblCaption w:val="Table 5: Summary of key adverse events to Week 76 in REGENCY and Week 52 in NOBILITY"/>
      </w:tblPr>
      <w:tblGrid>
        <w:gridCol w:w="3511"/>
        <w:gridCol w:w="1322"/>
        <w:gridCol w:w="1104"/>
        <w:gridCol w:w="1540"/>
        <w:gridCol w:w="1540"/>
      </w:tblGrid>
      <w:tr w:rsidR="003F5840" w:rsidRPr="00375A8F" w14:paraId="18C9CD09" w14:textId="77777777" w:rsidTr="0072568D">
        <w:trPr>
          <w:trHeight w:val="195"/>
        </w:trPr>
        <w:tc>
          <w:tcPr>
            <w:tcW w:w="1947" w:type="pct"/>
            <w:vAlign w:val="center"/>
          </w:tcPr>
          <w:p w14:paraId="333CD63A" w14:textId="77777777" w:rsidR="003F5840" w:rsidRPr="006117B6" w:rsidRDefault="003F5840" w:rsidP="00F13EE7">
            <w:pPr>
              <w:keepNext/>
              <w:keepLines/>
              <w:jc w:val="left"/>
              <w:rPr>
                <w:rFonts w:ascii="Arial Narrow" w:hAnsi="Arial Narrow"/>
                <w:b/>
                <w:bCs/>
                <w:sz w:val="20"/>
                <w:szCs w:val="20"/>
              </w:rPr>
            </w:pPr>
            <w:r w:rsidRPr="006117B6">
              <w:rPr>
                <w:rFonts w:ascii="Arial Narrow" w:hAnsi="Arial Narrow"/>
                <w:b/>
                <w:bCs/>
                <w:sz w:val="20"/>
                <w:szCs w:val="20"/>
              </w:rPr>
              <w:t>N (%)</w:t>
            </w:r>
          </w:p>
        </w:tc>
        <w:tc>
          <w:tcPr>
            <w:tcW w:w="733" w:type="pct"/>
            <w:vAlign w:val="center"/>
          </w:tcPr>
          <w:p w14:paraId="3FF345EA" w14:textId="77777777" w:rsidR="003F5840" w:rsidRPr="006117B6" w:rsidRDefault="003F5840" w:rsidP="00F13EE7">
            <w:pPr>
              <w:keepNext/>
              <w:keepLines/>
              <w:jc w:val="center"/>
              <w:rPr>
                <w:rFonts w:ascii="Arial Narrow" w:hAnsi="Arial Narrow"/>
                <w:b/>
                <w:bCs/>
                <w:sz w:val="20"/>
                <w:szCs w:val="20"/>
              </w:rPr>
            </w:pPr>
            <w:r w:rsidRPr="006117B6">
              <w:rPr>
                <w:rFonts w:ascii="Arial Narrow" w:hAnsi="Arial Narrow"/>
                <w:b/>
                <w:bCs/>
                <w:sz w:val="20"/>
                <w:szCs w:val="20"/>
              </w:rPr>
              <w:t>OBI</w:t>
            </w:r>
          </w:p>
        </w:tc>
        <w:tc>
          <w:tcPr>
            <w:tcW w:w="612" w:type="pct"/>
            <w:vAlign w:val="center"/>
          </w:tcPr>
          <w:p w14:paraId="72CDE97D" w14:textId="77777777" w:rsidR="003F5840" w:rsidRPr="006117B6" w:rsidRDefault="003F5840" w:rsidP="00F13EE7">
            <w:pPr>
              <w:keepNext/>
              <w:keepLines/>
              <w:jc w:val="center"/>
              <w:rPr>
                <w:rFonts w:ascii="Arial Narrow" w:hAnsi="Arial Narrow"/>
                <w:b/>
                <w:bCs/>
                <w:sz w:val="20"/>
                <w:szCs w:val="20"/>
              </w:rPr>
            </w:pPr>
            <w:r w:rsidRPr="006117B6">
              <w:rPr>
                <w:rFonts w:ascii="Arial Narrow" w:hAnsi="Arial Narrow"/>
                <w:b/>
                <w:bCs/>
                <w:sz w:val="20"/>
                <w:szCs w:val="20"/>
              </w:rPr>
              <w:t>PBO</w:t>
            </w:r>
          </w:p>
        </w:tc>
        <w:tc>
          <w:tcPr>
            <w:tcW w:w="854" w:type="pct"/>
            <w:vAlign w:val="center"/>
          </w:tcPr>
          <w:p w14:paraId="60834530" w14:textId="77777777" w:rsidR="003F5840" w:rsidRPr="006117B6" w:rsidRDefault="003F5840" w:rsidP="00F13EE7">
            <w:pPr>
              <w:keepNext/>
              <w:keepLines/>
              <w:jc w:val="center"/>
              <w:rPr>
                <w:rFonts w:ascii="Arial Narrow" w:hAnsi="Arial Narrow"/>
                <w:b/>
                <w:bCs/>
                <w:sz w:val="20"/>
                <w:szCs w:val="20"/>
              </w:rPr>
            </w:pPr>
            <w:r w:rsidRPr="006117B6">
              <w:rPr>
                <w:rFonts w:ascii="Arial Narrow" w:hAnsi="Arial Narrow"/>
                <w:b/>
                <w:bCs/>
                <w:sz w:val="20"/>
                <w:szCs w:val="20"/>
              </w:rPr>
              <w:t>RR (95%CI)</w:t>
            </w:r>
          </w:p>
        </w:tc>
        <w:tc>
          <w:tcPr>
            <w:tcW w:w="854" w:type="pct"/>
            <w:vAlign w:val="center"/>
          </w:tcPr>
          <w:p w14:paraId="2702281E" w14:textId="77777777" w:rsidR="003F5840" w:rsidRPr="006117B6" w:rsidRDefault="003F5840" w:rsidP="00F13EE7">
            <w:pPr>
              <w:keepNext/>
              <w:keepLines/>
              <w:jc w:val="center"/>
              <w:rPr>
                <w:rFonts w:ascii="Arial Narrow" w:hAnsi="Arial Narrow"/>
                <w:b/>
                <w:bCs/>
                <w:sz w:val="20"/>
                <w:szCs w:val="20"/>
              </w:rPr>
            </w:pPr>
            <w:r w:rsidRPr="006117B6">
              <w:rPr>
                <w:rFonts w:ascii="Arial Narrow" w:hAnsi="Arial Narrow"/>
                <w:b/>
                <w:bCs/>
                <w:sz w:val="20"/>
                <w:szCs w:val="20"/>
              </w:rPr>
              <w:t>RD (95%CI)</w:t>
            </w:r>
          </w:p>
        </w:tc>
      </w:tr>
      <w:tr w:rsidR="003F5840" w:rsidRPr="00375A8F" w14:paraId="78498BF8" w14:textId="77777777" w:rsidTr="0072568D">
        <w:tc>
          <w:tcPr>
            <w:tcW w:w="1947" w:type="pct"/>
            <w:vAlign w:val="center"/>
          </w:tcPr>
          <w:p w14:paraId="10CB8659" w14:textId="77777777" w:rsidR="003F5840" w:rsidRDefault="003F5840" w:rsidP="00F13EE7">
            <w:pPr>
              <w:keepNext/>
              <w:keepLines/>
              <w:rPr>
                <w:rFonts w:ascii="Arial Narrow" w:hAnsi="Arial Narrow"/>
                <w:sz w:val="20"/>
                <w:szCs w:val="20"/>
              </w:rPr>
            </w:pPr>
            <w:r>
              <w:rPr>
                <w:rFonts w:ascii="Arial Narrow" w:hAnsi="Arial Narrow"/>
                <w:b/>
                <w:bCs/>
                <w:sz w:val="20"/>
                <w:szCs w:val="20"/>
              </w:rPr>
              <w:t>REGENCY</w:t>
            </w:r>
          </w:p>
        </w:tc>
        <w:tc>
          <w:tcPr>
            <w:tcW w:w="733" w:type="pct"/>
            <w:vAlign w:val="center"/>
          </w:tcPr>
          <w:p w14:paraId="6AEDC106" w14:textId="77777777" w:rsidR="003F5840" w:rsidRDefault="003F5840" w:rsidP="00F13EE7">
            <w:pPr>
              <w:keepNext/>
              <w:keepLines/>
              <w:jc w:val="center"/>
              <w:rPr>
                <w:rFonts w:ascii="Arial Narrow" w:hAnsi="Arial Narrow"/>
                <w:sz w:val="20"/>
                <w:szCs w:val="20"/>
              </w:rPr>
            </w:pPr>
            <w:r>
              <w:rPr>
                <w:rFonts w:ascii="Arial Narrow" w:hAnsi="Arial Narrow"/>
                <w:b/>
                <w:bCs/>
                <w:sz w:val="20"/>
                <w:szCs w:val="20"/>
              </w:rPr>
              <w:t>N=136</w:t>
            </w:r>
          </w:p>
        </w:tc>
        <w:tc>
          <w:tcPr>
            <w:tcW w:w="612" w:type="pct"/>
            <w:vAlign w:val="center"/>
          </w:tcPr>
          <w:p w14:paraId="3E12E1F7" w14:textId="77777777" w:rsidR="003F5840" w:rsidRPr="00AB428B" w:rsidRDefault="003F5840" w:rsidP="00F13EE7">
            <w:pPr>
              <w:keepNext/>
              <w:keepLines/>
              <w:jc w:val="center"/>
              <w:rPr>
                <w:rFonts w:ascii="Arial Narrow" w:hAnsi="Arial Narrow"/>
                <w:sz w:val="20"/>
                <w:szCs w:val="20"/>
              </w:rPr>
            </w:pPr>
            <w:r w:rsidRPr="006117B6">
              <w:rPr>
                <w:rFonts w:ascii="Arial Narrow" w:hAnsi="Arial Narrow"/>
                <w:b/>
                <w:bCs/>
                <w:sz w:val="20"/>
                <w:szCs w:val="20"/>
              </w:rPr>
              <w:t>N=</w:t>
            </w:r>
            <w:r>
              <w:rPr>
                <w:rFonts w:ascii="Arial Narrow" w:hAnsi="Arial Narrow"/>
                <w:b/>
                <w:bCs/>
                <w:sz w:val="20"/>
                <w:szCs w:val="20"/>
              </w:rPr>
              <w:t>132</w:t>
            </w:r>
          </w:p>
        </w:tc>
        <w:tc>
          <w:tcPr>
            <w:tcW w:w="854" w:type="pct"/>
            <w:vAlign w:val="center"/>
          </w:tcPr>
          <w:p w14:paraId="75739206" w14:textId="77777777" w:rsidR="003F5840" w:rsidRPr="00375A8F" w:rsidRDefault="003F5840" w:rsidP="00F13EE7">
            <w:pPr>
              <w:keepNext/>
              <w:keepLines/>
              <w:jc w:val="center"/>
              <w:rPr>
                <w:rFonts w:ascii="Arial Narrow" w:hAnsi="Arial Narrow"/>
                <w:sz w:val="20"/>
                <w:szCs w:val="20"/>
              </w:rPr>
            </w:pPr>
          </w:p>
        </w:tc>
        <w:tc>
          <w:tcPr>
            <w:tcW w:w="854" w:type="pct"/>
            <w:vAlign w:val="center"/>
          </w:tcPr>
          <w:p w14:paraId="6DB5F374" w14:textId="77777777" w:rsidR="003F5840" w:rsidRPr="00375A8F" w:rsidRDefault="003F5840" w:rsidP="00F13EE7">
            <w:pPr>
              <w:keepNext/>
              <w:keepLines/>
              <w:jc w:val="center"/>
              <w:rPr>
                <w:rFonts w:ascii="Arial Narrow" w:hAnsi="Arial Narrow"/>
                <w:sz w:val="20"/>
                <w:szCs w:val="20"/>
              </w:rPr>
            </w:pPr>
          </w:p>
        </w:tc>
      </w:tr>
      <w:tr w:rsidR="003F5840" w:rsidRPr="00375A8F" w14:paraId="3694EF92" w14:textId="77777777" w:rsidTr="0072568D">
        <w:tc>
          <w:tcPr>
            <w:tcW w:w="1947" w:type="pct"/>
            <w:vAlign w:val="center"/>
          </w:tcPr>
          <w:p w14:paraId="388B9969" w14:textId="77777777" w:rsidR="003F5840" w:rsidRPr="00375A8F" w:rsidRDefault="003F5840" w:rsidP="00F13EE7">
            <w:pPr>
              <w:keepNext/>
              <w:keepLines/>
              <w:rPr>
                <w:rFonts w:ascii="Arial Narrow" w:hAnsi="Arial Narrow"/>
                <w:sz w:val="20"/>
                <w:szCs w:val="20"/>
              </w:rPr>
            </w:pPr>
            <w:r>
              <w:rPr>
                <w:rFonts w:ascii="Arial Narrow" w:hAnsi="Arial Narrow"/>
                <w:sz w:val="20"/>
                <w:szCs w:val="20"/>
              </w:rPr>
              <w:t>≥1 AEs</w:t>
            </w:r>
          </w:p>
        </w:tc>
        <w:tc>
          <w:tcPr>
            <w:tcW w:w="733" w:type="pct"/>
            <w:vAlign w:val="center"/>
          </w:tcPr>
          <w:p w14:paraId="5E8935C6" w14:textId="77777777" w:rsidR="003F5840" w:rsidRPr="00375A8F" w:rsidRDefault="003F5840" w:rsidP="00F13EE7">
            <w:pPr>
              <w:keepNext/>
              <w:keepLines/>
              <w:jc w:val="center"/>
              <w:rPr>
                <w:rFonts w:ascii="Arial Narrow" w:hAnsi="Arial Narrow"/>
                <w:sz w:val="20"/>
                <w:szCs w:val="20"/>
              </w:rPr>
            </w:pPr>
            <w:r>
              <w:rPr>
                <w:rFonts w:ascii="Arial Narrow" w:hAnsi="Arial Narrow"/>
                <w:sz w:val="20"/>
                <w:szCs w:val="20"/>
              </w:rPr>
              <w:t>126 (92.6)</w:t>
            </w:r>
          </w:p>
        </w:tc>
        <w:tc>
          <w:tcPr>
            <w:tcW w:w="612" w:type="pct"/>
            <w:vAlign w:val="center"/>
          </w:tcPr>
          <w:p w14:paraId="50E0C498"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117 (88.6)</w:t>
            </w:r>
          </w:p>
        </w:tc>
        <w:tc>
          <w:tcPr>
            <w:tcW w:w="854" w:type="pct"/>
            <w:vAlign w:val="center"/>
          </w:tcPr>
          <w:p w14:paraId="59E2E8FD"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1.05 (0.97, 1.13)</w:t>
            </w:r>
          </w:p>
        </w:tc>
        <w:tc>
          <w:tcPr>
            <w:tcW w:w="854" w:type="pct"/>
            <w:vAlign w:val="center"/>
          </w:tcPr>
          <w:p w14:paraId="71110FB8" w14:textId="698F10AC"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0.04 (</w:t>
            </w:r>
            <w:r w:rsidR="00FF1914">
              <w:rPr>
                <w:rFonts w:ascii="Arial Narrow" w:hAnsi="Arial Narrow"/>
                <w:sz w:val="20"/>
                <w:szCs w:val="20"/>
              </w:rPr>
              <w:noBreakHyphen/>
            </w:r>
            <w:r w:rsidRPr="00B41FBD">
              <w:rPr>
                <w:rFonts w:ascii="Arial Narrow" w:hAnsi="Arial Narrow"/>
                <w:sz w:val="20"/>
                <w:szCs w:val="20"/>
              </w:rPr>
              <w:t>0.03, 0.11)</w:t>
            </w:r>
          </w:p>
        </w:tc>
      </w:tr>
      <w:tr w:rsidR="003F5840" w:rsidRPr="00375A8F" w14:paraId="559B73FC" w14:textId="77777777" w:rsidTr="0072568D">
        <w:tc>
          <w:tcPr>
            <w:tcW w:w="1947" w:type="pct"/>
            <w:vAlign w:val="center"/>
          </w:tcPr>
          <w:p w14:paraId="0AB772E8" w14:textId="77777777" w:rsidR="003F5840" w:rsidRPr="00375A8F" w:rsidRDefault="003F5840" w:rsidP="00F13EE7">
            <w:pPr>
              <w:keepNext/>
              <w:keepLines/>
              <w:jc w:val="left"/>
              <w:rPr>
                <w:rFonts w:ascii="Arial Narrow" w:hAnsi="Arial Narrow"/>
                <w:sz w:val="20"/>
                <w:szCs w:val="20"/>
              </w:rPr>
            </w:pPr>
            <w:r w:rsidRPr="006117B6">
              <w:rPr>
                <w:rFonts w:ascii="Arial Narrow" w:hAnsi="Arial Narrow"/>
                <w:sz w:val="20"/>
                <w:szCs w:val="20"/>
              </w:rPr>
              <w:t>AE leading to discontinuation</w:t>
            </w:r>
          </w:p>
        </w:tc>
        <w:tc>
          <w:tcPr>
            <w:tcW w:w="733" w:type="pct"/>
            <w:vAlign w:val="center"/>
          </w:tcPr>
          <w:p w14:paraId="3ABFF0F8" w14:textId="77777777" w:rsidR="003F5840" w:rsidRPr="00375A8F"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612" w:type="pct"/>
            <w:vAlign w:val="center"/>
          </w:tcPr>
          <w:p w14:paraId="708C26E5" w14:textId="77777777" w:rsidR="003F5840" w:rsidRPr="00375A8F"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854" w:type="pct"/>
            <w:vAlign w:val="center"/>
          </w:tcPr>
          <w:p w14:paraId="4BBD0000" w14:textId="2819D2DA"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p>
        </w:tc>
        <w:tc>
          <w:tcPr>
            <w:tcW w:w="854" w:type="pct"/>
            <w:vAlign w:val="center"/>
          </w:tcPr>
          <w:p w14:paraId="2CB5CD8D" w14:textId="76D35BDE"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p>
        </w:tc>
      </w:tr>
      <w:tr w:rsidR="003F5840" w:rsidRPr="00375A8F" w14:paraId="67899DA7" w14:textId="77777777" w:rsidTr="0072568D">
        <w:tc>
          <w:tcPr>
            <w:tcW w:w="1947" w:type="pct"/>
            <w:vAlign w:val="center"/>
          </w:tcPr>
          <w:p w14:paraId="47BD7B9D" w14:textId="77777777" w:rsidR="003F5840" w:rsidRPr="00375A8F" w:rsidRDefault="003F5840" w:rsidP="00F13EE7">
            <w:pPr>
              <w:keepNext/>
              <w:keepLines/>
              <w:jc w:val="left"/>
              <w:rPr>
                <w:rFonts w:ascii="Arial Narrow" w:hAnsi="Arial Narrow"/>
                <w:sz w:val="20"/>
                <w:szCs w:val="20"/>
              </w:rPr>
            </w:pPr>
            <w:r>
              <w:rPr>
                <w:rFonts w:ascii="Arial Narrow" w:hAnsi="Arial Narrow"/>
                <w:sz w:val="20"/>
                <w:szCs w:val="20"/>
              </w:rPr>
              <w:t>SAE</w:t>
            </w:r>
          </w:p>
        </w:tc>
        <w:tc>
          <w:tcPr>
            <w:tcW w:w="733" w:type="pct"/>
            <w:vAlign w:val="center"/>
          </w:tcPr>
          <w:p w14:paraId="4B3C138C"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44 (32.4)</w:t>
            </w:r>
          </w:p>
        </w:tc>
        <w:tc>
          <w:tcPr>
            <w:tcW w:w="612" w:type="pct"/>
            <w:vAlign w:val="center"/>
          </w:tcPr>
          <w:p w14:paraId="5AC6AFB5"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24 (18.2)</w:t>
            </w:r>
          </w:p>
        </w:tc>
        <w:tc>
          <w:tcPr>
            <w:tcW w:w="854" w:type="pct"/>
            <w:vAlign w:val="center"/>
          </w:tcPr>
          <w:p w14:paraId="134FA865"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1.78 (1.15, 2.75)</w:t>
            </w:r>
          </w:p>
        </w:tc>
        <w:tc>
          <w:tcPr>
            <w:tcW w:w="854" w:type="pct"/>
            <w:vAlign w:val="center"/>
          </w:tcPr>
          <w:p w14:paraId="71FBE4E8"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0.14 (0.04, 0.24)</w:t>
            </w:r>
          </w:p>
        </w:tc>
      </w:tr>
      <w:tr w:rsidR="003F5840" w:rsidRPr="00375A8F" w14:paraId="492B7703" w14:textId="77777777" w:rsidTr="0072568D">
        <w:tc>
          <w:tcPr>
            <w:tcW w:w="1947" w:type="pct"/>
            <w:vAlign w:val="center"/>
          </w:tcPr>
          <w:p w14:paraId="2571F5CC" w14:textId="77777777" w:rsidR="003F5840" w:rsidRPr="00375A8F" w:rsidRDefault="003F5840" w:rsidP="00F13EE7">
            <w:pPr>
              <w:keepNext/>
              <w:keepLines/>
              <w:jc w:val="left"/>
              <w:rPr>
                <w:rFonts w:ascii="Arial Narrow" w:hAnsi="Arial Narrow"/>
                <w:sz w:val="20"/>
                <w:szCs w:val="20"/>
              </w:rPr>
            </w:pPr>
            <w:r>
              <w:rPr>
                <w:rFonts w:ascii="Arial Narrow" w:hAnsi="Arial Narrow"/>
                <w:sz w:val="20"/>
                <w:szCs w:val="20"/>
              </w:rPr>
              <w:t>Deaths</w:t>
            </w:r>
          </w:p>
        </w:tc>
        <w:tc>
          <w:tcPr>
            <w:tcW w:w="733" w:type="pct"/>
            <w:vAlign w:val="center"/>
          </w:tcPr>
          <w:p w14:paraId="1FEF5CB1"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3 (2.2)</w:t>
            </w:r>
          </w:p>
        </w:tc>
        <w:tc>
          <w:tcPr>
            <w:tcW w:w="612" w:type="pct"/>
            <w:vAlign w:val="center"/>
          </w:tcPr>
          <w:p w14:paraId="3CC3B403"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1 (0.8)</w:t>
            </w:r>
            <w:r w:rsidRPr="00BD70C4">
              <w:rPr>
                <w:rFonts w:ascii="Arial Narrow" w:hAnsi="Arial Narrow"/>
                <w:sz w:val="20"/>
                <w:szCs w:val="20"/>
                <w:vertAlign w:val="superscript"/>
              </w:rPr>
              <w:t>a</w:t>
            </w:r>
          </w:p>
        </w:tc>
        <w:tc>
          <w:tcPr>
            <w:tcW w:w="854" w:type="pct"/>
            <w:vAlign w:val="center"/>
          </w:tcPr>
          <w:p w14:paraId="3ADDBC65"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2.91 (0.31, 27.64)</w:t>
            </w:r>
          </w:p>
        </w:tc>
        <w:tc>
          <w:tcPr>
            <w:tcW w:w="854" w:type="pct"/>
            <w:vAlign w:val="center"/>
          </w:tcPr>
          <w:p w14:paraId="67913858" w14:textId="15C2690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0.01 (</w:t>
            </w:r>
            <w:r w:rsidR="00FF1914">
              <w:rPr>
                <w:rFonts w:ascii="Arial Narrow" w:hAnsi="Arial Narrow"/>
                <w:sz w:val="20"/>
                <w:szCs w:val="20"/>
              </w:rPr>
              <w:noBreakHyphen/>
            </w:r>
            <w:r w:rsidRPr="00B41FBD">
              <w:rPr>
                <w:rFonts w:ascii="Arial Narrow" w:hAnsi="Arial Narrow"/>
                <w:sz w:val="20"/>
                <w:szCs w:val="20"/>
              </w:rPr>
              <w:t>0.01, 0.04)</w:t>
            </w:r>
          </w:p>
        </w:tc>
      </w:tr>
      <w:tr w:rsidR="003F5840" w:rsidRPr="00375A8F" w14:paraId="6503312B" w14:textId="77777777" w:rsidTr="0072568D">
        <w:tc>
          <w:tcPr>
            <w:tcW w:w="1947" w:type="pct"/>
            <w:vAlign w:val="center"/>
          </w:tcPr>
          <w:p w14:paraId="23818F46" w14:textId="77777777" w:rsidR="003F5840" w:rsidRDefault="003F5840" w:rsidP="00F13EE7">
            <w:pPr>
              <w:keepNext/>
              <w:keepLines/>
              <w:jc w:val="left"/>
              <w:rPr>
                <w:rFonts w:ascii="Arial Narrow" w:hAnsi="Arial Narrow"/>
                <w:sz w:val="20"/>
                <w:szCs w:val="20"/>
              </w:rPr>
            </w:pPr>
            <w:r>
              <w:rPr>
                <w:rFonts w:ascii="Arial Narrow" w:hAnsi="Arial Narrow"/>
                <w:sz w:val="20"/>
                <w:szCs w:val="20"/>
              </w:rPr>
              <w:t xml:space="preserve">AE related to </w:t>
            </w:r>
            <w:r w:rsidRPr="002609F5">
              <w:rPr>
                <w:rFonts w:ascii="Arial Narrow" w:hAnsi="Arial Narrow"/>
                <w:sz w:val="20"/>
                <w:szCs w:val="20"/>
              </w:rPr>
              <w:t>blinded O</w:t>
            </w:r>
            <w:r>
              <w:rPr>
                <w:rFonts w:ascii="Arial Narrow" w:hAnsi="Arial Narrow"/>
                <w:sz w:val="20"/>
                <w:szCs w:val="20"/>
              </w:rPr>
              <w:t xml:space="preserve">BI or </w:t>
            </w:r>
            <w:r w:rsidRPr="002609F5">
              <w:rPr>
                <w:rFonts w:ascii="Arial Narrow" w:hAnsi="Arial Narrow"/>
                <w:sz w:val="20"/>
                <w:szCs w:val="20"/>
              </w:rPr>
              <w:t>MMF</w:t>
            </w:r>
          </w:p>
        </w:tc>
        <w:tc>
          <w:tcPr>
            <w:tcW w:w="733" w:type="pct"/>
            <w:vAlign w:val="center"/>
          </w:tcPr>
          <w:p w14:paraId="3C623A76" w14:textId="77777777" w:rsidR="003F5840" w:rsidRPr="00AB428B" w:rsidRDefault="003F5840" w:rsidP="00F13EE7">
            <w:pPr>
              <w:keepNext/>
              <w:keepLines/>
              <w:jc w:val="center"/>
              <w:rPr>
                <w:rFonts w:ascii="Arial Narrow" w:hAnsi="Arial Narrow"/>
                <w:sz w:val="20"/>
                <w:szCs w:val="20"/>
              </w:rPr>
            </w:pPr>
            <w:r w:rsidRPr="002609F5">
              <w:rPr>
                <w:rFonts w:ascii="Arial Narrow" w:hAnsi="Arial Narrow"/>
                <w:sz w:val="20"/>
                <w:szCs w:val="20"/>
              </w:rPr>
              <w:t>84 (61.8)</w:t>
            </w:r>
          </w:p>
        </w:tc>
        <w:tc>
          <w:tcPr>
            <w:tcW w:w="612" w:type="pct"/>
            <w:vAlign w:val="center"/>
          </w:tcPr>
          <w:p w14:paraId="1F698607" w14:textId="77777777" w:rsidR="003F5840" w:rsidRPr="00AB428B" w:rsidRDefault="003F5840" w:rsidP="00F13EE7">
            <w:pPr>
              <w:keepNext/>
              <w:keepLines/>
              <w:jc w:val="center"/>
              <w:rPr>
                <w:rFonts w:ascii="Arial Narrow" w:hAnsi="Arial Narrow"/>
                <w:sz w:val="20"/>
                <w:szCs w:val="20"/>
              </w:rPr>
            </w:pPr>
            <w:r w:rsidRPr="002609F5">
              <w:rPr>
                <w:rFonts w:ascii="Arial Narrow" w:hAnsi="Arial Narrow"/>
                <w:sz w:val="20"/>
                <w:szCs w:val="20"/>
              </w:rPr>
              <w:t>61 (46.2)</w:t>
            </w:r>
          </w:p>
        </w:tc>
        <w:tc>
          <w:tcPr>
            <w:tcW w:w="854" w:type="pct"/>
            <w:vAlign w:val="center"/>
          </w:tcPr>
          <w:p w14:paraId="2E47871F"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1.34 (1.07, 1.68)</w:t>
            </w:r>
          </w:p>
        </w:tc>
        <w:tc>
          <w:tcPr>
            <w:tcW w:w="854" w:type="pct"/>
            <w:vAlign w:val="center"/>
          </w:tcPr>
          <w:p w14:paraId="09177C2B"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0.16 (0.04, 0.27)</w:t>
            </w:r>
          </w:p>
        </w:tc>
      </w:tr>
      <w:tr w:rsidR="003F5840" w:rsidRPr="00375A8F" w14:paraId="0A18E3EC" w14:textId="77777777" w:rsidTr="0072568D">
        <w:tc>
          <w:tcPr>
            <w:tcW w:w="1947" w:type="pct"/>
            <w:vAlign w:val="center"/>
          </w:tcPr>
          <w:p w14:paraId="46823DA0" w14:textId="77777777" w:rsidR="003F5840" w:rsidRPr="00375A8F" w:rsidRDefault="003F5840" w:rsidP="00F13EE7">
            <w:pPr>
              <w:keepNext/>
              <w:keepLines/>
              <w:jc w:val="left"/>
              <w:rPr>
                <w:rFonts w:ascii="Arial Narrow" w:hAnsi="Arial Narrow"/>
                <w:sz w:val="20"/>
                <w:szCs w:val="20"/>
              </w:rPr>
            </w:pPr>
            <w:r>
              <w:rPr>
                <w:rFonts w:ascii="Arial Narrow" w:hAnsi="Arial Narrow"/>
                <w:sz w:val="20"/>
                <w:szCs w:val="20"/>
              </w:rPr>
              <w:t>AEs of interest</w:t>
            </w:r>
          </w:p>
        </w:tc>
        <w:tc>
          <w:tcPr>
            <w:tcW w:w="733" w:type="pct"/>
            <w:vAlign w:val="center"/>
          </w:tcPr>
          <w:p w14:paraId="0D82F866" w14:textId="77777777" w:rsidR="003F5840" w:rsidRPr="00375A8F" w:rsidRDefault="003F5840" w:rsidP="00F13EE7">
            <w:pPr>
              <w:keepNext/>
              <w:keepLines/>
              <w:jc w:val="center"/>
              <w:rPr>
                <w:rFonts w:ascii="Arial Narrow" w:hAnsi="Arial Narrow"/>
                <w:sz w:val="20"/>
                <w:szCs w:val="20"/>
              </w:rPr>
            </w:pPr>
          </w:p>
        </w:tc>
        <w:tc>
          <w:tcPr>
            <w:tcW w:w="612" w:type="pct"/>
            <w:vAlign w:val="center"/>
          </w:tcPr>
          <w:p w14:paraId="7480094A" w14:textId="77777777" w:rsidR="003F5840" w:rsidRPr="00375A8F" w:rsidRDefault="003F5840" w:rsidP="00F13EE7">
            <w:pPr>
              <w:keepNext/>
              <w:keepLines/>
              <w:jc w:val="center"/>
              <w:rPr>
                <w:rFonts w:ascii="Arial Narrow" w:hAnsi="Arial Narrow"/>
                <w:sz w:val="20"/>
                <w:szCs w:val="20"/>
              </w:rPr>
            </w:pPr>
          </w:p>
        </w:tc>
        <w:tc>
          <w:tcPr>
            <w:tcW w:w="854" w:type="pct"/>
            <w:vAlign w:val="center"/>
          </w:tcPr>
          <w:p w14:paraId="6EF14A79" w14:textId="77777777" w:rsidR="003F5840" w:rsidRPr="00B41FBD" w:rsidRDefault="003F5840" w:rsidP="00F13EE7">
            <w:pPr>
              <w:keepNext/>
              <w:keepLines/>
              <w:jc w:val="center"/>
              <w:rPr>
                <w:rFonts w:ascii="Arial Narrow" w:hAnsi="Arial Narrow"/>
                <w:sz w:val="20"/>
                <w:szCs w:val="20"/>
              </w:rPr>
            </w:pPr>
          </w:p>
        </w:tc>
        <w:tc>
          <w:tcPr>
            <w:tcW w:w="854" w:type="pct"/>
            <w:vAlign w:val="center"/>
          </w:tcPr>
          <w:p w14:paraId="39C3080E" w14:textId="77777777" w:rsidR="003F5840" w:rsidRPr="00B41FBD" w:rsidRDefault="003F5840" w:rsidP="00F13EE7">
            <w:pPr>
              <w:keepNext/>
              <w:keepLines/>
              <w:jc w:val="center"/>
              <w:rPr>
                <w:rFonts w:ascii="Arial Narrow" w:hAnsi="Arial Narrow"/>
                <w:sz w:val="20"/>
                <w:szCs w:val="20"/>
              </w:rPr>
            </w:pPr>
          </w:p>
        </w:tc>
      </w:tr>
      <w:tr w:rsidR="003F5840" w:rsidRPr="00375A8F" w14:paraId="28485C21" w14:textId="77777777" w:rsidTr="0072568D">
        <w:tc>
          <w:tcPr>
            <w:tcW w:w="1947" w:type="pct"/>
            <w:vAlign w:val="center"/>
          </w:tcPr>
          <w:p w14:paraId="77EC783F"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Infusion related reactions</w:t>
            </w:r>
          </w:p>
        </w:tc>
        <w:tc>
          <w:tcPr>
            <w:tcW w:w="733" w:type="pct"/>
            <w:vAlign w:val="center"/>
          </w:tcPr>
          <w:p w14:paraId="45CE0CD6"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21 (15.4)</w:t>
            </w:r>
          </w:p>
        </w:tc>
        <w:tc>
          <w:tcPr>
            <w:tcW w:w="612" w:type="pct"/>
            <w:vAlign w:val="center"/>
          </w:tcPr>
          <w:p w14:paraId="0CCF42A4"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15 (11.4)</w:t>
            </w:r>
          </w:p>
        </w:tc>
        <w:tc>
          <w:tcPr>
            <w:tcW w:w="854" w:type="pct"/>
            <w:vAlign w:val="center"/>
          </w:tcPr>
          <w:p w14:paraId="063C3957"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1.36 (0.73, 2.52)</w:t>
            </w:r>
          </w:p>
        </w:tc>
        <w:tc>
          <w:tcPr>
            <w:tcW w:w="854" w:type="pct"/>
            <w:vAlign w:val="center"/>
          </w:tcPr>
          <w:p w14:paraId="4F707514" w14:textId="6D4B6745"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0.04 (</w:t>
            </w:r>
            <w:r w:rsidR="00FF1914">
              <w:rPr>
                <w:rFonts w:ascii="Arial Narrow" w:hAnsi="Arial Narrow"/>
                <w:sz w:val="20"/>
                <w:szCs w:val="20"/>
              </w:rPr>
              <w:noBreakHyphen/>
            </w:r>
            <w:r w:rsidRPr="00B41FBD">
              <w:rPr>
                <w:rFonts w:ascii="Arial Narrow" w:hAnsi="Arial Narrow"/>
                <w:sz w:val="20"/>
                <w:szCs w:val="20"/>
              </w:rPr>
              <w:t>0.04, 0.12)</w:t>
            </w:r>
          </w:p>
        </w:tc>
      </w:tr>
      <w:tr w:rsidR="003F5840" w:rsidRPr="00375A8F" w14:paraId="3351090E" w14:textId="77777777" w:rsidTr="0072568D">
        <w:tc>
          <w:tcPr>
            <w:tcW w:w="1947" w:type="pct"/>
            <w:vAlign w:val="center"/>
          </w:tcPr>
          <w:p w14:paraId="7B032BFC"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Grade 3–5 infection</w:t>
            </w:r>
          </w:p>
        </w:tc>
        <w:tc>
          <w:tcPr>
            <w:tcW w:w="733" w:type="pct"/>
            <w:vAlign w:val="center"/>
          </w:tcPr>
          <w:p w14:paraId="43BB661F"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21 (15.4)</w:t>
            </w:r>
          </w:p>
        </w:tc>
        <w:tc>
          <w:tcPr>
            <w:tcW w:w="612" w:type="pct"/>
            <w:vAlign w:val="center"/>
          </w:tcPr>
          <w:p w14:paraId="07498B9B"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9 (6.8)</w:t>
            </w:r>
          </w:p>
        </w:tc>
        <w:tc>
          <w:tcPr>
            <w:tcW w:w="854" w:type="pct"/>
            <w:vAlign w:val="center"/>
          </w:tcPr>
          <w:p w14:paraId="2B7D72B5"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2.26 (1.08, 4.76)</w:t>
            </w:r>
          </w:p>
        </w:tc>
        <w:tc>
          <w:tcPr>
            <w:tcW w:w="854" w:type="pct"/>
            <w:vAlign w:val="center"/>
          </w:tcPr>
          <w:p w14:paraId="06A6427A"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0.09 (0.01, 0.16)</w:t>
            </w:r>
          </w:p>
        </w:tc>
      </w:tr>
      <w:tr w:rsidR="003F5840" w:rsidRPr="00375A8F" w14:paraId="37881AC1" w14:textId="77777777" w:rsidTr="0072568D">
        <w:tc>
          <w:tcPr>
            <w:tcW w:w="1947" w:type="pct"/>
            <w:vAlign w:val="center"/>
          </w:tcPr>
          <w:p w14:paraId="46D5238B"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Drug related neutropenia</w:t>
            </w:r>
          </w:p>
        </w:tc>
        <w:tc>
          <w:tcPr>
            <w:tcW w:w="733" w:type="pct"/>
            <w:vAlign w:val="center"/>
          </w:tcPr>
          <w:p w14:paraId="79C173F1"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17 (12.5)</w:t>
            </w:r>
          </w:p>
        </w:tc>
        <w:tc>
          <w:tcPr>
            <w:tcW w:w="612" w:type="pct"/>
            <w:vAlign w:val="center"/>
          </w:tcPr>
          <w:p w14:paraId="0D89ECB3"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5 (3.8)</w:t>
            </w:r>
          </w:p>
        </w:tc>
        <w:tc>
          <w:tcPr>
            <w:tcW w:w="854" w:type="pct"/>
            <w:vAlign w:val="center"/>
          </w:tcPr>
          <w:p w14:paraId="7F4A4426"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3.30 (1.25, 8.69)</w:t>
            </w:r>
          </w:p>
        </w:tc>
        <w:tc>
          <w:tcPr>
            <w:tcW w:w="854" w:type="pct"/>
            <w:vAlign w:val="center"/>
          </w:tcPr>
          <w:p w14:paraId="5F255DB0"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0.09 (0.02, 0.15)</w:t>
            </w:r>
          </w:p>
        </w:tc>
      </w:tr>
      <w:tr w:rsidR="003F5840" w:rsidRPr="00375A8F" w14:paraId="7CFC7F4E" w14:textId="77777777" w:rsidTr="0072568D">
        <w:tc>
          <w:tcPr>
            <w:tcW w:w="1947" w:type="pct"/>
            <w:vAlign w:val="center"/>
          </w:tcPr>
          <w:p w14:paraId="7B773494"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Drug related thrombocytopenia</w:t>
            </w:r>
          </w:p>
        </w:tc>
        <w:tc>
          <w:tcPr>
            <w:tcW w:w="733" w:type="pct"/>
            <w:vAlign w:val="center"/>
          </w:tcPr>
          <w:p w14:paraId="27290322"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1 (0.7)</w:t>
            </w:r>
          </w:p>
        </w:tc>
        <w:tc>
          <w:tcPr>
            <w:tcW w:w="612" w:type="pct"/>
            <w:vAlign w:val="center"/>
          </w:tcPr>
          <w:p w14:paraId="6B6A0272" w14:textId="77777777" w:rsidR="003F5840" w:rsidRPr="00375A8F"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854" w:type="pct"/>
            <w:vAlign w:val="center"/>
          </w:tcPr>
          <w:p w14:paraId="5CECBA1C"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2.91 (0.12, 70.86)</w:t>
            </w:r>
          </w:p>
        </w:tc>
        <w:tc>
          <w:tcPr>
            <w:tcW w:w="854" w:type="pct"/>
            <w:vAlign w:val="center"/>
          </w:tcPr>
          <w:p w14:paraId="00ACB731" w14:textId="3D840532"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0.01 (</w:t>
            </w:r>
            <w:r w:rsidR="00FF1914">
              <w:rPr>
                <w:rFonts w:ascii="Arial Narrow" w:hAnsi="Arial Narrow"/>
                <w:sz w:val="20"/>
                <w:szCs w:val="20"/>
              </w:rPr>
              <w:noBreakHyphen/>
            </w:r>
            <w:r w:rsidRPr="00B41FBD">
              <w:rPr>
                <w:rFonts w:ascii="Arial Narrow" w:hAnsi="Arial Narrow"/>
                <w:sz w:val="20"/>
                <w:szCs w:val="20"/>
              </w:rPr>
              <w:t>0.01, 0.03)</w:t>
            </w:r>
          </w:p>
        </w:tc>
      </w:tr>
      <w:tr w:rsidR="003F5840" w:rsidRPr="00375A8F" w14:paraId="349DBD36" w14:textId="77777777" w:rsidTr="0072568D">
        <w:tc>
          <w:tcPr>
            <w:tcW w:w="1947" w:type="pct"/>
            <w:vAlign w:val="center"/>
          </w:tcPr>
          <w:p w14:paraId="7DACCF7D" w14:textId="7605068E"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Worsening of pre</w:t>
            </w:r>
            <w:r w:rsidR="00FF1914">
              <w:rPr>
                <w:rFonts w:ascii="Arial Narrow" w:hAnsi="Arial Narrow"/>
                <w:sz w:val="20"/>
                <w:szCs w:val="20"/>
              </w:rPr>
              <w:noBreakHyphen/>
            </w:r>
            <w:r w:rsidRPr="006117B6">
              <w:rPr>
                <w:rFonts w:ascii="Arial Narrow" w:hAnsi="Arial Narrow"/>
                <w:sz w:val="20"/>
                <w:szCs w:val="20"/>
              </w:rPr>
              <w:t>existing cardiac conditions</w:t>
            </w:r>
          </w:p>
        </w:tc>
        <w:tc>
          <w:tcPr>
            <w:tcW w:w="733" w:type="pct"/>
            <w:vAlign w:val="center"/>
          </w:tcPr>
          <w:p w14:paraId="69A0F966" w14:textId="77777777" w:rsidR="003F5840" w:rsidRPr="00375A8F"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612" w:type="pct"/>
            <w:vAlign w:val="center"/>
          </w:tcPr>
          <w:p w14:paraId="5F8CBC28" w14:textId="77777777" w:rsidR="003F5840" w:rsidRPr="00375A8F" w:rsidRDefault="003F5840" w:rsidP="00F13EE7">
            <w:pPr>
              <w:keepNext/>
              <w:keepLines/>
              <w:jc w:val="center"/>
              <w:rPr>
                <w:rFonts w:ascii="Arial Narrow" w:hAnsi="Arial Narrow"/>
                <w:sz w:val="20"/>
                <w:szCs w:val="20"/>
              </w:rPr>
            </w:pPr>
            <w:r w:rsidRPr="00AB428B">
              <w:rPr>
                <w:rFonts w:ascii="Arial Narrow" w:hAnsi="Arial Narrow"/>
                <w:sz w:val="20"/>
                <w:szCs w:val="20"/>
              </w:rPr>
              <w:t>2 (1.5)</w:t>
            </w:r>
          </w:p>
        </w:tc>
        <w:tc>
          <w:tcPr>
            <w:tcW w:w="854" w:type="pct"/>
            <w:vAlign w:val="center"/>
          </w:tcPr>
          <w:p w14:paraId="351B3F45"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0.19 (0.01, 4.01)</w:t>
            </w:r>
          </w:p>
        </w:tc>
        <w:tc>
          <w:tcPr>
            <w:tcW w:w="854" w:type="pct"/>
            <w:vAlign w:val="center"/>
          </w:tcPr>
          <w:p w14:paraId="715713C1" w14:textId="72D9B3DF"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r w:rsidR="003F5840" w:rsidRPr="00B41FBD">
              <w:rPr>
                <w:rFonts w:ascii="Arial Narrow" w:hAnsi="Arial Narrow"/>
                <w:sz w:val="20"/>
                <w:szCs w:val="20"/>
              </w:rPr>
              <w:t>0.02 (</w:t>
            </w:r>
            <w:r>
              <w:rPr>
                <w:rFonts w:ascii="Arial Narrow" w:hAnsi="Arial Narrow"/>
                <w:sz w:val="20"/>
                <w:szCs w:val="20"/>
              </w:rPr>
              <w:noBreakHyphen/>
            </w:r>
            <w:r w:rsidR="003F5840" w:rsidRPr="00B41FBD">
              <w:rPr>
                <w:rFonts w:ascii="Arial Narrow" w:hAnsi="Arial Narrow"/>
                <w:sz w:val="20"/>
                <w:szCs w:val="20"/>
              </w:rPr>
              <w:t>0.04, 0.01)</w:t>
            </w:r>
          </w:p>
        </w:tc>
      </w:tr>
      <w:tr w:rsidR="003F5840" w:rsidRPr="00375A8F" w14:paraId="0B1A0D98" w14:textId="77777777" w:rsidTr="0072568D">
        <w:tc>
          <w:tcPr>
            <w:tcW w:w="1947" w:type="pct"/>
          </w:tcPr>
          <w:p w14:paraId="2270A240" w14:textId="77777777" w:rsidR="003F5840" w:rsidRPr="00AB428B" w:rsidRDefault="003F5840" w:rsidP="00F13EE7">
            <w:pPr>
              <w:keepNext/>
              <w:keepLines/>
              <w:jc w:val="left"/>
              <w:rPr>
                <w:rFonts w:ascii="Arial Narrow" w:hAnsi="Arial Narrow"/>
                <w:b/>
                <w:bCs/>
                <w:sz w:val="20"/>
                <w:szCs w:val="20"/>
              </w:rPr>
            </w:pPr>
            <w:r w:rsidRPr="00AB428B">
              <w:rPr>
                <w:rFonts w:ascii="Arial Narrow" w:hAnsi="Arial Narrow"/>
                <w:b/>
                <w:bCs/>
                <w:sz w:val="20"/>
                <w:szCs w:val="20"/>
              </w:rPr>
              <w:t>NOBILITY</w:t>
            </w:r>
          </w:p>
        </w:tc>
        <w:tc>
          <w:tcPr>
            <w:tcW w:w="733" w:type="pct"/>
            <w:vAlign w:val="center"/>
          </w:tcPr>
          <w:p w14:paraId="560D3EBA" w14:textId="77777777" w:rsidR="003F5840" w:rsidRPr="00AB428B" w:rsidRDefault="003F5840" w:rsidP="00F13EE7">
            <w:pPr>
              <w:keepNext/>
              <w:keepLines/>
              <w:jc w:val="center"/>
              <w:rPr>
                <w:rFonts w:ascii="Arial Narrow" w:hAnsi="Arial Narrow"/>
                <w:b/>
                <w:bCs/>
                <w:sz w:val="20"/>
                <w:szCs w:val="20"/>
              </w:rPr>
            </w:pPr>
            <w:r w:rsidRPr="00AB428B">
              <w:rPr>
                <w:rFonts w:ascii="Arial Narrow" w:hAnsi="Arial Narrow"/>
                <w:b/>
                <w:bCs/>
                <w:sz w:val="20"/>
                <w:szCs w:val="20"/>
              </w:rPr>
              <w:t>N=64</w:t>
            </w:r>
          </w:p>
        </w:tc>
        <w:tc>
          <w:tcPr>
            <w:tcW w:w="612" w:type="pct"/>
            <w:vAlign w:val="center"/>
          </w:tcPr>
          <w:p w14:paraId="552C385D" w14:textId="77777777" w:rsidR="003F5840" w:rsidRPr="00AB428B" w:rsidRDefault="003F5840" w:rsidP="00F13EE7">
            <w:pPr>
              <w:keepNext/>
              <w:keepLines/>
              <w:jc w:val="center"/>
              <w:rPr>
                <w:rFonts w:ascii="Arial Narrow" w:hAnsi="Arial Narrow"/>
                <w:b/>
                <w:bCs/>
                <w:sz w:val="20"/>
                <w:szCs w:val="20"/>
              </w:rPr>
            </w:pPr>
            <w:r w:rsidRPr="00AB428B">
              <w:rPr>
                <w:rFonts w:ascii="Arial Narrow" w:hAnsi="Arial Narrow"/>
                <w:b/>
                <w:bCs/>
                <w:sz w:val="20"/>
                <w:szCs w:val="20"/>
              </w:rPr>
              <w:t>N=61</w:t>
            </w:r>
          </w:p>
        </w:tc>
        <w:tc>
          <w:tcPr>
            <w:tcW w:w="854" w:type="pct"/>
            <w:vAlign w:val="center"/>
          </w:tcPr>
          <w:p w14:paraId="1C7B3CFA" w14:textId="77777777" w:rsidR="003F5840" w:rsidRPr="00375A8F" w:rsidRDefault="003F5840" w:rsidP="00F13EE7">
            <w:pPr>
              <w:keepNext/>
              <w:keepLines/>
              <w:jc w:val="center"/>
              <w:rPr>
                <w:rFonts w:ascii="Arial Narrow" w:hAnsi="Arial Narrow"/>
                <w:sz w:val="20"/>
                <w:szCs w:val="20"/>
              </w:rPr>
            </w:pPr>
          </w:p>
        </w:tc>
        <w:tc>
          <w:tcPr>
            <w:tcW w:w="854" w:type="pct"/>
            <w:vAlign w:val="center"/>
          </w:tcPr>
          <w:p w14:paraId="3EDEF998" w14:textId="77777777" w:rsidR="003F5840" w:rsidRPr="00375A8F" w:rsidRDefault="003F5840" w:rsidP="00F13EE7">
            <w:pPr>
              <w:keepNext/>
              <w:keepLines/>
              <w:jc w:val="center"/>
              <w:rPr>
                <w:rFonts w:ascii="Arial Narrow" w:hAnsi="Arial Narrow"/>
                <w:sz w:val="20"/>
                <w:szCs w:val="20"/>
              </w:rPr>
            </w:pPr>
          </w:p>
        </w:tc>
      </w:tr>
      <w:tr w:rsidR="003F5840" w:rsidRPr="00375A8F" w14:paraId="7102D7AD" w14:textId="77777777" w:rsidTr="0072568D">
        <w:tc>
          <w:tcPr>
            <w:tcW w:w="1947" w:type="pct"/>
            <w:vAlign w:val="center"/>
          </w:tcPr>
          <w:p w14:paraId="01883DBD" w14:textId="77777777" w:rsidR="003F5840" w:rsidRDefault="003F5840" w:rsidP="00F13EE7">
            <w:pPr>
              <w:keepNext/>
              <w:keepLines/>
              <w:jc w:val="left"/>
              <w:rPr>
                <w:rFonts w:ascii="Arial Narrow" w:hAnsi="Arial Narrow"/>
                <w:sz w:val="20"/>
                <w:szCs w:val="20"/>
              </w:rPr>
            </w:pPr>
            <w:r>
              <w:rPr>
                <w:rFonts w:ascii="Arial Narrow" w:hAnsi="Arial Narrow"/>
                <w:sz w:val="20"/>
                <w:szCs w:val="20"/>
              </w:rPr>
              <w:t>≥1 AEs</w:t>
            </w:r>
          </w:p>
        </w:tc>
        <w:tc>
          <w:tcPr>
            <w:tcW w:w="733" w:type="pct"/>
            <w:vAlign w:val="center"/>
          </w:tcPr>
          <w:p w14:paraId="62B53401"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55 (85.9)</w:t>
            </w:r>
          </w:p>
        </w:tc>
        <w:tc>
          <w:tcPr>
            <w:tcW w:w="612" w:type="pct"/>
            <w:vAlign w:val="center"/>
          </w:tcPr>
          <w:p w14:paraId="5C98FAFB"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52 (85.2)</w:t>
            </w:r>
          </w:p>
        </w:tc>
        <w:tc>
          <w:tcPr>
            <w:tcW w:w="854" w:type="pct"/>
            <w:vAlign w:val="center"/>
          </w:tcPr>
          <w:p w14:paraId="73E154B5"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1.01 (0.87, 1.16)</w:t>
            </w:r>
          </w:p>
        </w:tc>
        <w:tc>
          <w:tcPr>
            <w:tcW w:w="854" w:type="pct"/>
            <w:vAlign w:val="center"/>
          </w:tcPr>
          <w:p w14:paraId="267BA8AE" w14:textId="5075AA7C"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0.01 (</w:t>
            </w:r>
            <w:r w:rsidR="00FF1914">
              <w:rPr>
                <w:rFonts w:ascii="Arial Narrow" w:hAnsi="Arial Narrow"/>
                <w:sz w:val="20"/>
                <w:szCs w:val="20"/>
              </w:rPr>
              <w:noBreakHyphen/>
            </w:r>
            <w:r w:rsidRPr="00B41FBD">
              <w:rPr>
                <w:rFonts w:ascii="Arial Narrow" w:hAnsi="Arial Narrow"/>
                <w:sz w:val="20"/>
                <w:szCs w:val="20"/>
              </w:rPr>
              <w:t>0.12, 0.13)</w:t>
            </w:r>
          </w:p>
        </w:tc>
      </w:tr>
      <w:tr w:rsidR="003F5840" w:rsidRPr="00375A8F" w14:paraId="3A00CC7D" w14:textId="77777777" w:rsidTr="0072568D">
        <w:tc>
          <w:tcPr>
            <w:tcW w:w="1947" w:type="pct"/>
            <w:vAlign w:val="center"/>
          </w:tcPr>
          <w:p w14:paraId="1518F818" w14:textId="77777777" w:rsidR="003F5840" w:rsidRDefault="003F5840" w:rsidP="00F13EE7">
            <w:pPr>
              <w:keepNext/>
              <w:keepLines/>
              <w:jc w:val="left"/>
              <w:rPr>
                <w:rFonts w:ascii="Arial Narrow" w:hAnsi="Arial Narrow"/>
                <w:sz w:val="20"/>
                <w:szCs w:val="20"/>
              </w:rPr>
            </w:pPr>
            <w:r w:rsidRPr="006117B6">
              <w:rPr>
                <w:rFonts w:ascii="Arial Narrow" w:hAnsi="Arial Narrow"/>
                <w:sz w:val="20"/>
                <w:szCs w:val="20"/>
              </w:rPr>
              <w:t>AE leading to discontinuation</w:t>
            </w:r>
          </w:p>
        </w:tc>
        <w:tc>
          <w:tcPr>
            <w:tcW w:w="733" w:type="pct"/>
            <w:vAlign w:val="center"/>
          </w:tcPr>
          <w:p w14:paraId="79F26816" w14:textId="77777777" w:rsidR="003F5840" w:rsidRPr="00AB428B"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612" w:type="pct"/>
            <w:vAlign w:val="center"/>
          </w:tcPr>
          <w:p w14:paraId="63901D1C" w14:textId="77777777" w:rsidR="003F5840" w:rsidRPr="00AB428B"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854" w:type="pct"/>
            <w:vAlign w:val="center"/>
          </w:tcPr>
          <w:p w14:paraId="2AB9A499" w14:textId="0205D84E"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p>
        </w:tc>
        <w:tc>
          <w:tcPr>
            <w:tcW w:w="854" w:type="pct"/>
            <w:vAlign w:val="center"/>
          </w:tcPr>
          <w:p w14:paraId="2EEC4ADD" w14:textId="1DE00DBC"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p>
        </w:tc>
      </w:tr>
      <w:tr w:rsidR="003F5840" w:rsidRPr="00375A8F" w14:paraId="358E8D31" w14:textId="77777777" w:rsidTr="0072568D">
        <w:tc>
          <w:tcPr>
            <w:tcW w:w="1947" w:type="pct"/>
            <w:vAlign w:val="center"/>
          </w:tcPr>
          <w:p w14:paraId="4BB1A6D5" w14:textId="77777777" w:rsidR="003F5840" w:rsidRDefault="003F5840" w:rsidP="00F13EE7">
            <w:pPr>
              <w:keepNext/>
              <w:keepLines/>
              <w:jc w:val="left"/>
              <w:rPr>
                <w:rFonts w:ascii="Arial Narrow" w:hAnsi="Arial Narrow"/>
                <w:sz w:val="20"/>
                <w:szCs w:val="20"/>
              </w:rPr>
            </w:pPr>
            <w:r>
              <w:rPr>
                <w:rFonts w:ascii="Arial Narrow" w:hAnsi="Arial Narrow"/>
                <w:sz w:val="20"/>
                <w:szCs w:val="20"/>
              </w:rPr>
              <w:t>SAE</w:t>
            </w:r>
          </w:p>
        </w:tc>
        <w:tc>
          <w:tcPr>
            <w:tcW w:w="733" w:type="pct"/>
            <w:vAlign w:val="center"/>
          </w:tcPr>
          <w:p w14:paraId="795A27E5"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9 (14.1)</w:t>
            </w:r>
          </w:p>
        </w:tc>
        <w:tc>
          <w:tcPr>
            <w:tcW w:w="612" w:type="pct"/>
            <w:vAlign w:val="center"/>
          </w:tcPr>
          <w:p w14:paraId="12B97953"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13 (21.3)</w:t>
            </w:r>
          </w:p>
        </w:tc>
        <w:tc>
          <w:tcPr>
            <w:tcW w:w="854" w:type="pct"/>
            <w:vAlign w:val="center"/>
          </w:tcPr>
          <w:p w14:paraId="707025D0"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0.66 (0.30, 1.43)</w:t>
            </w:r>
          </w:p>
        </w:tc>
        <w:tc>
          <w:tcPr>
            <w:tcW w:w="854" w:type="pct"/>
            <w:vAlign w:val="center"/>
          </w:tcPr>
          <w:p w14:paraId="19679367" w14:textId="62BDB20C"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r w:rsidR="003F5840" w:rsidRPr="00B41FBD">
              <w:rPr>
                <w:rFonts w:ascii="Arial Narrow" w:hAnsi="Arial Narrow"/>
                <w:sz w:val="20"/>
                <w:szCs w:val="20"/>
              </w:rPr>
              <w:t>0.07 (</w:t>
            </w:r>
            <w:r>
              <w:rPr>
                <w:rFonts w:ascii="Arial Narrow" w:hAnsi="Arial Narrow"/>
                <w:sz w:val="20"/>
                <w:szCs w:val="20"/>
              </w:rPr>
              <w:noBreakHyphen/>
            </w:r>
            <w:r w:rsidR="003F5840" w:rsidRPr="00B41FBD">
              <w:rPr>
                <w:rFonts w:ascii="Arial Narrow" w:hAnsi="Arial Narrow"/>
                <w:sz w:val="20"/>
                <w:szCs w:val="20"/>
              </w:rPr>
              <w:t>0.21, 0.06)</w:t>
            </w:r>
          </w:p>
        </w:tc>
      </w:tr>
      <w:tr w:rsidR="003F5840" w:rsidRPr="00375A8F" w14:paraId="7E52968D" w14:textId="77777777" w:rsidTr="0072568D">
        <w:tc>
          <w:tcPr>
            <w:tcW w:w="1947" w:type="pct"/>
            <w:vAlign w:val="center"/>
          </w:tcPr>
          <w:p w14:paraId="38CB622C" w14:textId="77777777" w:rsidR="003F5840" w:rsidRDefault="003F5840" w:rsidP="00F13EE7">
            <w:pPr>
              <w:keepNext/>
              <w:keepLines/>
              <w:jc w:val="left"/>
              <w:rPr>
                <w:rFonts w:ascii="Arial Narrow" w:hAnsi="Arial Narrow"/>
                <w:sz w:val="20"/>
                <w:szCs w:val="20"/>
              </w:rPr>
            </w:pPr>
            <w:r>
              <w:rPr>
                <w:rFonts w:ascii="Arial Narrow" w:hAnsi="Arial Narrow"/>
                <w:sz w:val="20"/>
                <w:szCs w:val="20"/>
              </w:rPr>
              <w:t>Deaths</w:t>
            </w:r>
          </w:p>
        </w:tc>
        <w:tc>
          <w:tcPr>
            <w:tcW w:w="733" w:type="pct"/>
            <w:vAlign w:val="center"/>
          </w:tcPr>
          <w:p w14:paraId="6D8215DD" w14:textId="77777777" w:rsidR="003F5840" w:rsidRPr="00AB428B"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612" w:type="pct"/>
            <w:vAlign w:val="center"/>
          </w:tcPr>
          <w:p w14:paraId="328D9DFF"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2 (3.3)</w:t>
            </w:r>
          </w:p>
        </w:tc>
        <w:tc>
          <w:tcPr>
            <w:tcW w:w="854" w:type="pct"/>
            <w:vAlign w:val="center"/>
          </w:tcPr>
          <w:p w14:paraId="7DF309E3"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0.19 (0.01, 3.89)</w:t>
            </w:r>
          </w:p>
        </w:tc>
        <w:tc>
          <w:tcPr>
            <w:tcW w:w="854" w:type="pct"/>
            <w:vAlign w:val="center"/>
          </w:tcPr>
          <w:p w14:paraId="6FCF49E4" w14:textId="3DAD49FB"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r w:rsidR="003F5840" w:rsidRPr="00B41FBD">
              <w:rPr>
                <w:rFonts w:ascii="Arial Narrow" w:hAnsi="Arial Narrow"/>
                <w:sz w:val="20"/>
                <w:szCs w:val="20"/>
              </w:rPr>
              <w:t>0.03 (</w:t>
            </w:r>
            <w:r>
              <w:rPr>
                <w:rFonts w:ascii="Arial Narrow" w:hAnsi="Arial Narrow"/>
                <w:sz w:val="20"/>
                <w:szCs w:val="20"/>
              </w:rPr>
              <w:noBreakHyphen/>
            </w:r>
            <w:r w:rsidR="003F5840" w:rsidRPr="00B41FBD">
              <w:rPr>
                <w:rFonts w:ascii="Arial Narrow" w:hAnsi="Arial Narrow"/>
                <w:sz w:val="20"/>
                <w:szCs w:val="20"/>
              </w:rPr>
              <w:t>0.09, 0.02)</w:t>
            </w:r>
          </w:p>
        </w:tc>
      </w:tr>
      <w:tr w:rsidR="003F5840" w:rsidRPr="00375A8F" w14:paraId="5C8F7EBB" w14:textId="77777777" w:rsidTr="0072568D">
        <w:tc>
          <w:tcPr>
            <w:tcW w:w="1947" w:type="pct"/>
            <w:vAlign w:val="center"/>
          </w:tcPr>
          <w:p w14:paraId="4166A0A0" w14:textId="77777777" w:rsidR="003F5840" w:rsidRDefault="003F5840" w:rsidP="00F13EE7">
            <w:pPr>
              <w:keepNext/>
              <w:keepLines/>
              <w:jc w:val="left"/>
              <w:rPr>
                <w:rFonts w:ascii="Arial Narrow" w:hAnsi="Arial Narrow"/>
                <w:sz w:val="20"/>
                <w:szCs w:val="20"/>
              </w:rPr>
            </w:pPr>
            <w:r w:rsidRPr="002609F5">
              <w:rPr>
                <w:rFonts w:ascii="Arial Narrow" w:hAnsi="Arial Narrow"/>
                <w:sz w:val="20"/>
                <w:szCs w:val="20"/>
              </w:rPr>
              <w:t>AE related OBI</w:t>
            </w:r>
            <w:r>
              <w:rPr>
                <w:rFonts w:ascii="Arial Narrow" w:hAnsi="Arial Narrow"/>
                <w:sz w:val="20"/>
                <w:szCs w:val="20"/>
              </w:rPr>
              <w:t xml:space="preserve"> or </w:t>
            </w:r>
            <w:r w:rsidRPr="002609F5">
              <w:rPr>
                <w:rFonts w:ascii="Arial Narrow" w:hAnsi="Arial Narrow"/>
                <w:sz w:val="20"/>
                <w:szCs w:val="20"/>
              </w:rPr>
              <w:t>MMF</w:t>
            </w:r>
            <w:r>
              <w:rPr>
                <w:rFonts w:ascii="Arial Narrow" w:hAnsi="Arial Narrow"/>
                <w:sz w:val="20"/>
                <w:szCs w:val="20"/>
              </w:rPr>
              <w:t xml:space="preserve"> or methylprednisolone</w:t>
            </w:r>
          </w:p>
        </w:tc>
        <w:tc>
          <w:tcPr>
            <w:tcW w:w="733" w:type="pct"/>
            <w:vAlign w:val="center"/>
          </w:tcPr>
          <w:p w14:paraId="192CE847"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37 (57.8)</w:t>
            </w:r>
          </w:p>
        </w:tc>
        <w:tc>
          <w:tcPr>
            <w:tcW w:w="612" w:type="pct"/>
            <w:vAlign w:val="center"/>
          </w:tcPr>
          <w:p w14:paraId="6AD7B093"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28 (45.9)</w:t>
            </w:r>
          </w:p>
        </w:tc>
        <w:tc>
          <w:tcPr>
            <w:tcW w:w="854" w:type="pct"/>
            <w:vAlign w:val="center"/>
          </w:tcPr>
          <w:p w14:paraId="6F9DEDDD"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1.26 (0.89, 1.78)</w:t>
            </w:r>
          </w:p>
        </w:tc>
        <w:tc>
          <w:tcPr>
            <w:tcW w:w="854" w:type="pct"/>
            <w:vAlign w:val="center"/>
          </w:tcPr>
          <w:p w14:paraId="18BB17DF" w14:textId="4C9308C4"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0.12 (</w:t>
            </w:r>
            <w:r w:rsidR="00FF1914">
              <w:rPr>
                <w:rFonts w:ascii="Arial Narrow" w:hAnsi="Arial Narrow"/>
                <w:sz w:val="20"/>
                <w:szCs w:val="20"/>
              </w:rPr>
              <w:noBreakHyphen/>
            </w:r>
            <w:r w:rsidRPr="00B41FBD">
              <w:rPr>
                <w:rFonts w:ascii="Arial Narrow" w:hAnsi="Arial Narrow"/>
                <w:sz w:val="20"/>
                <w:szCs w:val="20"/>
              </w:rPr>
              <w:t>0.05, 0.29)</w:t>
            </w:r>
          </w:p>
        </w:tc>
      </w:tr>
      <w:tr w:rsidR="003F5840" w:rsidRPr="00375A8F" w14:paraId="2A290044" w14:textId="77777777" w:rsidTr="0072568D">
        <w:tc>
          <w:tcPr>
            <w:tcW w:w="1947" w:type="pct"/>
            <w:vAlign w:val="center"/>
          </w:tcPr>
          <w:p w14:paraId="07FDB908" w14:textId="77777777" w:rsidR="003F5840" w:rsidRDefault="003F5840" w:rsidP="00F13EE7">
            <w:pPr>
              <w:keepNext/>
              <w:keepLines/>
              <w:jc w:val="left"/>
              <w:rPr>
                <w:rFonts w:ascii="Arial Narrow" w:hAnsi="Arial Narrow"/>
                <w:sz w:val="20"/>
                <w:szCs w:val="20"/>
              </w:rPr>
            </w:pPr>
            <w:r>
              <w:rPr>
                <w:rFonts w:ascii="Arial Narrow" w:hAnsi="Arial Narrow"/>
                <w:sz w:val="20"/>
                <w:szCs w:val="20"/>
              </w:rPr>
              <w:t>AEs of interest</w:t>
            </w:r>
          </w:p>
        </w:tc>
        <w:tc>
          <w:tcPr>
            <w:tcW w:w="733" w:type="pct"/>
            <w:vAlign w:val="center"/>
          </w:tcPr>
          <w:p w14:paraId="2BB02D5E" w14:textId="77777777" w:rsidR="003F5840" w:rsidRPr="00AB428B" w:rsidRDefault="003F5840" w:rsidP="00F13EE7">
            <w:pPr>
              <w:keepNext/>
              <w:keepLines/>
              <w:jc w:val="center"/>
              <w:rPr>
                <w:rFonts w:ascii="Arial Narrow" w:hAnsi="Arial Narrow"/>
                <w:sz w:val="20"/>
                <w:szCs w:val="20"/>
              </w:rPr>
            </w:pPr>
          </w:p>
        </w:tc>
        <w:tc>
          <w:tcPr>
            <w:tcW w:w="612" w:type="pct"/>
            <w:vAlign w:val="center"/>
          </w:tcPr>
          <w:p w14:paraId="20C9313D" w14:textId="77777777" w:rsidR="003F5840" w:rsidRPr="00AB428B" w:rsidRDefault="003F5840" w:rsidP="00F13EE7">
            <w:pPr>
              <w:keepNext/>
              <w:keepLines/>
              <w:jc w:val="center"/>
              <w:rPr>
                <w:rFonts w:ascii="Arial Narrow" w:hAnsi="Arial Narrow"/>
                <w:sz w:val="20"/>
                <w:szCs w:val="20"/>
              </w:rPr>
            </w:pPr>
          </w:p>
        </w:tc>
        <w:tc>
          <w:tcPr>
            <w:tcW w:w="854" w:type="pct"/>
            <w:vAlign w:val="center"/>
          </w:tcPr>
          <w:p w14:paraId="6172AC94" w14:textId="77777777" w:rsidR="003F5840" w:rsidRPr="00B41FBD" w:rsidRDefault="003F5840" w:rsidP="00F13EE7">
            <w:pPr>
              <w:keepNext/>
              <w:keepLines/>
              <w:jc w:val="center"/>
              <w:rPr>
                <w:rFonts w:ascii="Arial Narrow" w:hAnsi="Arial Narrow"/>
                <w:sz w:val="20"/>
                <w:szCs w:val="20"/>
              </w:rPr>
            </w:pPr>
          </w:p>
        </w:tc>
        <w:tc>
          <w:tcPr>
            <w:tcW w:w="854" w:type="pct"/>
            <w:vAlign w:val="center"/>
          </w:tcPr>
          <w:p w14:paraId="0753852F" w14:textId="77777777" w:rsidR="003F5840" w:rsidRPr="00B41FBD" w:rsidRDefault="003F5840" w:rsidP="00F13EE7">
            <w:pPr>
              <w:keepNext/>
              <w:keepLines/>
              <w:jc w:val="center"/>
              <w:rPr>
                <w:rFonts w:ascii="Arial Narrow" w:hAnsi="Arial Narrow"/>
                <w:sz w:val="20"/>
                <w:szCs w:val="20"/>
              </w:rPr>
            </w:pPr>
          </w:p>
        </w:tc>
      </w:tr>
      <w:tr w:rsidR="003F5840" w:rsidRPr="00375A8F" w14:paraId="40A0F9F1" w14:textId="77777777" w:rsidTr="0072568D">
        <w:tc>
          <w:tcPr>
            <w:tcW w:w="1947" w:type="pct"/>
            <w:vAlign w:val="center"/>
          </w:tcPr>
          <w:p w14:paraId="01FC0048"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Infusion related reactions</w:t>
            </w:r>
          </w:p>
        </w:tc>
        <w:tc>
          <w:tcPr>
            <w:tcW w:w="733" w:type="pct"/>
            <w:vAlign w:val="center"/>
          </w:tcPr>
          <w:p w14:paraId="3BA379E3"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10 (15.6)</w:t>
            </w:r>
          </w:p>
        </w:tc>
        <w:tc>
          <w:tcPr>
            <w:tcW w:w="612" w:type="pct"/>
            <w:vAlign w:val="center"/>
          </w:tcPr>
          <w:p w14:paraId="0987C7FF"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6 (9.8)</w:t>
            </w:r>
          </w:p>
        </w:tc>
        <w:tc>
          <w:tcPr>
            <w:tcW w:w="854" w:type="pct"/>
            <w:vAlign w:val="center"/>
          </w:tcPr>
          <w:p w14:paraId="3910338A"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1.59 (0.61, 4.11)</w:t>
            </w:r>
          </w:p>
        </w:tc>
        <w:tc>
          <w:tcPr>
            <w:tcW w:w="854" w:type="pct"/>
            <w:vAlign w:val="center"/>
          </w:tcPr>
          <w:p w14:paraId="3D960DEC" w14:textId="629BF003"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0.06 (</w:t>
            </w:r>
            <w:r w:rsidR="00FF1914">
              <w:rPr>
                <w:rFonts w:ascii="Arial Narrow" w:hAnsi="Arial Narrow"/>
                <w:sz w:val="20"/>
                <w:szCs w:val="20"/>
              </w:rPr>
              <w:noBreakHyphen/>
            </w:r>
            <w:r w:rsidRPr="00B41FBD">
              <w:rPr>
                <w:rFonts w:ascii="Arial Narrow" w:hAnsi="Arial Narrow"/>
                <w:sz w:val="20"/>
                <w:szCs w:val="20"/>
              </w:rPr>
              <w:t>0.06, 0.17)</w:t>
            </w:r>
          </w:p>
        </w:tc>
      </w:tr>
      <w:tr w:rsidR="003F5840" w:rsidRPr="00375A8F" w14:paraId="7F1B6A4F" w14:textId="77777777" w:rsidTr="0072568D">
        <w:tc>
          <w:tcPr>
            <w:tcW w:w="1947" w:type="pct"/>
            <w:vAlign w:val="center"/>
          </w:tcPr>
          <w:p w14:paraId="7AA158E8"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Grade 3–5 infection</w:t>
            </w:r>
          </w:p>
        </w:tc>
        <w:tc>
          <w:tcPr>
            <w:tcW w:w="733" w:type="pct"/>
            <w:vAlign w:val="center"/>
          </w:tcPr>
          <w:p w14:paraId="1ADCABA1"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1 (1.6)</w:t>
            </w:r>
          </w:p>
        </w:tc>
        <w:tc>
          <w:tcPr>
            <w:tcW w:w="612" w:type="pct"/>
            <w:vAlign w:val="center"/>
          </w:tcPr>
          <w:p w14:paraId="1EB0EFF8"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11 (18.0)</w:t>
            </w:r>
          </w:p>
        </w:tc>
        <w:tc>
          <w:tcPr>
            <w:tcW w:w="854" w:type="pct"/>
            <w:vAlign w:val="center"/>
          </w:tcPr>
          <w:p w14:paraId="04F2C494"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0.09 (0.01, 0.65)</w:t>
            </w:r>
          </w:p>
        </w:tc>
        <w:tc>
          <w:tcPr>
            <w:tcW w:w="854" w:type="pct"/>
            <w:vAlign w:val="center"/>
          </w:tcPr>
          <w:p w14:paraId="706C202E" w14:textId="71ED998A"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r w:rsidR="003F5840" w:rsidRPr="00B41FBD">
              <w:rPr>
                <w:rFonts w:ascii="Arial Narrow" w:hAnsi="Arial Narrow"/>
                <w:sz w:val="20"/>
                <w:szCs w:val="20"/>
              </w:rPr>
              <w:t>0.16 (</w:t>
            </w:r>
            <w:r>
              <w:rPr>
                <w:rFonts w:ascii="Arial Narrow" w:hAnsi="Arial Narrow"/>
                <w:sz w:val="20"/>
                <w:szCs w:val="20"/>
              </w:rPr>
              <w:noBreakHyphen/>
            </w:r>
            <w:r w:rsidR="003F5840" w:rsidRPr="00B41FBD">
              <w:rPr>
                <w:rFonts w:ascii="Arial Narrow" w:hAnsi="Arial Narrow"/>
                <w:sz w:val="20"/>
                <w:szCs w:val="20"/>
              </w:rPr>
              <w:t xml:space="preserve">0.27, </w:t>
            </w:r>
            <w:r>
              <w:rPr>
                <w:rFonts w:ascii="Arial Narrow" w:hAnsi="Arial Narrow"/>
                <w:sz w:val="20"/>
                <w:szCs w:val="20"/>
              </w:rPr>
              <w:noBreakHyphen/>
            </w:r>
            <w:r w:rsidR="003F5840" w:rsidRPr="00B41FBD">
              <w:rPr>
                <w:rFonts w:ascii="Arial Narrow" w:hAnsi="Arial Narrow"/>
                <w:sz w:val="20"/>
                <w:szCs w:val="20"/>
              </w:rPr>
              <w:t>0.06)</w:t>
            </w:r>
          </w:p>
        </w:tc>
      </w:tr>
      <w:tr w:rsidR="003F5840" w:rsidRPr="00375A8F" w14:paraId="4FED83A2" w14:textId="77777777" w:rsidTr="0072568D">
        <w:tc>
          <w:tcPr>
            <w:tcW w:w="1947" w:type="pct"/>
            <w:vAlign w:val="center"/>
          </w:tcPr>
          <w:p w14:paraId="59CA6497"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Drug related neutropenia</w:t>
            </w:r>
          </w:p>
        </w:tc>
        <w:tc>
          <w:tcPr>
            <w:tcW w:w="733" w:type="pct"/>
            <w:vAlign w:val="center"/>
          </w:tcPr>
          <w:p w14:paraId="4481D37D"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3 (4.7)</w:t>
            </w:r>
          </w:p>
        </w:tc>
        <w:tc>
          <w:tcPr>
            <w:tcW w:w="612" w:type="pct"/>
            <w:vAlign w:val="center"/>
          </w:tcPr>
          <w:p w14:paraId="439B4C0F"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1 (1.6)</w:t>
            </w:r>
          </w:p>
        </w:tc>
        <w:tc>
          <w:tcPr>
            <w:tcW w:w="854" w:type="pct"/>
            <w:vAlign w:val="center"/>
          </w:tcPr>
          <w:p w14:paraId="37C1B9A3"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2.86 (0.31, 26.75)</w:t>
            </w:r>
          </w:p>
        </w:tc>
        <w:tc>
          <w:tcPr>
            <w:tcW w:w="854" w:type="pct"/>
            <w:vAlign w:val="center"/>
          </w:tcPr>
          <w:p w14:paraId="1DFB620E" w14:textId="7622C03C"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0.03 (</w:t>
            </w:r>
            <w:r w:rsidR="00FF1914">
              <w:rPr>
                <w:rFonts w:ascii="Arial Narrow" w:hAnsi="Arial Narrow"/>
                <w:sz w:val="20"/>
                <w:szCs w:val="20"/>
              </w:rPr>
              <w:noBreakHyphen/>
            </w:r>
            <w:r w:rsidRPr="00B41FBD">
              <w:rPr>
                <w:rFonts w:ascii="Arial Narrow" w:hAnsi="Arial Narrow"/>
                <w:sz w:val="20"/>
                <w:szCs w:val="20"/>
              </w:rPr>
              <w:t>0.03, 0.09)</w:t>
            </w:r>
          </w:p>
        </w:tc>
      </w:tr>
      <w:tr w:rsidR="003F5840" w:rsidRPr="00375A8F" w14:paraId="719A483C" w14:textId="77777777" w:rsidTr="0072568D">
        <w:tc>
          <w:tcPr>
            <w:tcW w:w="1947" w:type="pct"/>
            <w:vAlign w:val="center"/>
          </w:tcPr>
          <w:p w14:paraId="65DFC1CE" w14:textId="77777777" w:rsidR="003F5840" w:rsidRDefault="003F5840" w:rsidP="00F13EE7">
            <w:pPr>
              <w:keepNext/>
              <w:keepLines/>
              <w:ind w:left="109"/>
              <w:jc w:val="left"/>
              <w:rPr>
                <w:rFonts w:ascii="Arial Narrow" w:hAnsi="Arial Narrow"/>
                <w:sz w:val="20"/>
                <w:szCs w:val="20"/>
              </w:rPr>
            </w:pPr>
            <w:r w:rsidRPr="006117B6">
              <w:rPr>
                <w:rFonts w:ascii="Arial Narrow" w:hAnsi="Arial Narrow"/>
                <w:sz w:val="20"/>
                <w:szCs w:val="20"/>
              </w:rPr>
              <w:t>Drug related thrombocytopenia</w:t>
            </w:r>
          </w:p>
        </w:tc>
        <w:tc>
          <w:tcPr>
            <w:tcW w:w="733" w:type="pct"/>
            <w:vAlign w:val="center"/>
          </w:tcPr>
          <w:p w14:paraId="541AE183" w14:textId="77777777" w:rsidR="003F5840" w:rsidRPr="00AB428B"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612" w:type="pct"/>
            <w:vAlign w:val="center"/>
          </w:tcPr>
          <w:p w14:paraId="264A4B17" w14:textId="77777777" w:rsidR="003F5840" w:rsidRPr="00AB428B"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854" w:type="pct"/>
            <w:vAlign w:val="center"/>
          </w:tcPr>
          <w:p w14:paraId="0B2F656F" w14:textId="5C4B9467"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p>
        </w:tc>
        <w:tc>
          <w:tcPr>
            <w:tcW w:w="854" w:type="pct"/>
            <w:vAlign w:val="center"/>
          </w:tcPr>
          <w:p w14:paraId="34531004" w14:textId="57558892" w:rsidR="003F5840" w:rsidRPr="00B41FBD" w:rsidRDefault="00FF1914" w:rsidP="00F13EE7">
            <w:pPr>
              <w:keepNext/>
              <w:keepLines/>
              <w:jc w:val="center"/>
              <w:rPr>
                <w:rFonts w:ascii="Arial Narrow" w:hAnsi="Arial Narrow"/>
                <w:sz w:val="20"/>
                <w:szCs w:val="20"/>
              </w:rPr>
            </w:pPr>
            <w:r>
              <w:rPr>
                <w:rFonts w:ascii="Arial Narrow" w:hAnsi="Arial Narrow"/>
                <w:sz w:val="20"/>
                <w:szCs w:val="20"/>
              </w:rPr>
              <w:noBreakHyphen/>
            </w:r>
          </w:p>
        </w:tc>
      </w:tr>
      <w:tr w:rsidR="003F5840" w:rsidRPr="00375A8F" w14:paraId="0FE114C4" w14:textId="77777777" w:rsidTr="0072568D">
        <w:tc>
          <w:tcPr>
            <w:tcW w:w="1947" w:type="pct"/>
            <w:vAlign w:val="center"/>
          </w:tcPr>
          <w:p w14:paraId="46D21D62" w14:textId="77777777" w:rsidR="003F5840" w:rsidRDefault="003F5840" w:rsidP="00F13EE7">
            <w:pPr>
              <w:keepNext/>
              <w:keepLines/>
              <w:ind w:left="109"/>
              <w:jc w:val="left"/>
              <w:rPr>
                <w:rFonts w:ascii="Arial Narrow" w:hAnsi="Arial Narrow"/>
                <w:sz w:val="20"/>
                <w:szCs w:val="20"/>
              </w:rPr>
            </w:pPr>
            <w:r w:rsidRPr="00A22260">
              <w:rPr>
                <w:rFonts w:ascii="Arial Narrow" w:hAnsi="Arial Narrow"/>
                <w:sz w:val="20"/>
                <w:szCs w:val="20"/>
              </w:rPr>
              <w:t>Gastrointestinal perforations</w:t>
            </w:r>
          </w:p>
        </w:tc>
        <w:tc>
          <w:tcPr>
            <w:tcW w:w="733" w:type="pct"/>
            <w:vAlign w:val="center"/>
          </w:tcPr>
          <w:p w14:paraId="05BE0E8C" w14:textId="77777777" w:rsidR="003F5840" w:rsidRPr="00AB428B" w:rsidRDefault="003F5840" w:rsidP="00F13EE7">
            <w:pPr>
              <w:keepNext/>
              <w:keepLines/>
              <w:jc w:val="center"/>
              <w:rPr>
                <w:rFonts w:ascii="Arial Narrow" w:hAnsi="Arial Narrow"/>
                <w:sz w:val="20"/>
                <w:szCs w:val="20"/>
              </w:rPr>
            </w:pPr>
            <w:r w:rsidRPr="00A17D23">
              <w:rPr>
                <w:rFonts w:ascii="Arial Narrow" w:hAnsi="Arial Narrow"/>
                <w:sz w:val="20"/>
                <w:szCs w:val="20"/>
              </w:rPr>
              <w:t>1 (1.6)</w:t>
            </w:r>
          </w:p>
        </w:tc>
        <w:tc>
          <w:tcPr>
            <w:tcW w:w="612" w:type="pct"/>
            <w:vAlign w:val="center"/>
          </w:tcPr>
          <w:p w14:paraId="6740D172" w14:textId="77777777" w:rsidR="003F5840" w:rsidRPr="00AB428B" w:rsidRDefault="003F5840" w:rsidP="00F13EE7">
            <w:pPr>
              <w:keepNext/>
              <w:keepLines/>
              <w:jc w:val="center"/>
              <w:rPr>
                <w:rFonts w:ascii="Arial Narrow" w:hAnsi="Arial Narrow"/>
                <w:sz w:val="20"/>
                <w:szCs w:val="20"/>
              </w:rPr>
            </w:pPr>
            <w:r>
              <w:rPr>
                <w:rFonts w:ascii="Arial Narrow" w:hAnsi="Arial Narrow"/>
                <w:sz w:val="20"/>
                <w:szCs w:val="20"/>
              </w:rPr>
              <w:t>0</w:t>
            </w:r>
          </w:p>
        </w:tc>
        <w:tc>
          <w:tcPr>
            <w:tcW w:w="854" w:type="pct"/>
            <w:vAlign w:val="center"/>
          </w:tcPr>
          <w:p w14:paraId="3CAFF248" w14:textId="77777777"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2.86 (0.12, 68.92)</w:t>
            </w:r>
          </w:p>
        </w:tc>
        <w:tc>
          <w:tcPr>
            <w:tcW w:w="854" w:type="pct"/>
            <w:vAlign w:val="center"/>
          </w:tcPr>
          <w:p w14:paraId="44EE9543" w14:textId="4D9EC76B" w:rsidR="003F5840" w:rsidRPr="00B41FBD" w:rsidRDefault="003F5840" w:rsidP="00F13EE7">
            <w:pPr>
              <w:keepNext/>
              <w:keepLines/>
              <w:jc w:val="center"/>
              <w:rPr>
                <w:rFonts w:ascii="Arial Narrow" w:hAnsi="Arial Narrow"/>
                <w:sz w:val="20"/>
                <w:szCs w:val="20"/>
              </w:rPr>
            </w:pPr>
            <w:r w:rsidRPr="00B41FBD">
              <w:rPr>
                <w:rFonts w:ascii="Arial Narrow" w:hAnsi="Arial Narrow"/>
                <w:sz w:val="20"/>
                <w:szCs w:val="20"/>
              </w:rPr>
              <w:t>0.02 (</w:t>
            </w:r>
            <w:r w:rsidR="00FF1914">
              <w:rPr>
                <w:rFonts w:ascii="Arial Narrow" w:hAnsi="Arial Narrow"/>
                <w:sz w:val="20"/>
                <w:szCs w:val="20"/>
              </w:rPr>
              <w:noBreakHyphen/>
            </w:r>
            <w:r w:rsidRPr="00B41FBD">
              <w:rPr>
                <w:rFonts w:ascii="Arial Narrow" w:hAnsi="Arial Narrow"/>
                <w:sz w:val="20"/>
                <w:szCs w:val="20"/>
              </w:rPr>
              <w:t>0.03, 0.06)</w:t>
            </w:r>
          </w:p>
        </w:tc>
      </w:tr>
    </w:tbl>
    <w:p w14:paraId="36993F2C" w14:textId="12D5DF4B" w:rsidR="00DF2B5B" w:rsidRDefault="00DF2B5B" w:rsidP="00DF2B5B">
      <w:pPr>
        <w:pStyle w:val="TableFigureFooter"/>
        <w:spacing w:after="0"/>
        <w:rPr>
          <w:rStyle w:val="CommentReference"/>
          <w:b w:val="0"/>
          <w:bCs w:val="0"/>
          <w:sz w:val="18"/>
          <w:szCs w:val="18"/>
        </w:rPr>
      </w:pPr>
      <w:r>
        <w:rPr>
          <w:rStyle w:val="CommentReference"/>
          <w:b w:val="0"/>
          <w:sz w:val="18"/>
          <w:szCs w:val="18"/>
        </w:rPr>
        <w:t xml:space="preserve">Risk statistics calculated </w:t>
      </w:r>
      <w:r w:rsidRPr="004F7CA7">
        <w:rPr>
          <w:rStyle w:val="CommentReference"/>
          <w:b w:val="0"/>
          <w:sz w:val="18"/>
          <w:szCs w:val="18"/>
        </w:rPr>
        <w:t>using Review Manager (version 5.3)</w:t>
      </w:r>
      <w:r>
        <w:rPr>
          <w:rStyle w:val="CommentReference"/>
          <w:b w:val="0"/>
          <w:sz w:val="18"/>
          <w:szCs w:val="18"/>
        </w:rPr>
        <w:t>.</w:t>
      </w:r>
    </w:p>
    <w:p w14:paraId="48E66C7C" w14:textId="639BFBB5" w:rsidR="003F5840" w:rsidRDefault="003F5840" w:rsidP="003F5840">
      <w:pPr>
        <w:rPr>
          <w:rFonts w:ascii="Arial Narrow" w:hAnsi="Arial Narrow"/>
          <w:sz w:val="18"/>
          <w:szCs w:val="18"/>
        </w:rPr>
      </w:pPr>
      <w:r w:rsidRPr="00AB428B">
        <w:rPr>
          <w:rFonts w:ascii="Arial Narrow" w:hAnsi="Arial Narrow"/>
          <w:sz w:val="18"/>
          <w:szCs w:val="18"/>
        </w:rPr>
        <w:t>Source: Table 2.29, pp70</w:t>
      </w:r>
      <w:r w:rsidR="00FF1914">
        <w:rPr>
          <w:rFonts w:ascii="Arial Narrow" w:hAnsi="Arial Narrow"/>
          <w:sz w:val="18"/>
          <w:szCs w:val="18"/>
        </w:rPr>
        <w:noBreakHyphen/>
      </w:r>
      <w:r w:rsidRPr="00AB428B">
        <w:rPr>
          <w:rFonts w:ascii="Arial Narrow" w:hAnsi="Arial Narrow"/>
          <w:sz w:val="18"/>
          <w:szCs w:val="18"/>
        </w:rPr>
        <w:t>71 of the submission.</w:t>
      </w:r>
    </w:p>
    <w:p w14:paraId="4ADC9D40" w14:textId="06CD054E" w:rsidR="003F5840" w:rsidRDefault="003F5840" w:rsidP="003F5840">
      <w:pPr>
        <w:rPr>
          <w:rFonts w:ascii="Arial Narrow" w:hAnsi="Arial Narrow"/>
          <w:sz w:val="18"/>
          <w:szCs w:val="18"/>
        </w:rPr>
      </w:pPr>
      <w:r w:rsidRPr="00A22260">
        <w:rPr>
          <w:rFonts w:ascii="Arial Narrow" w:hAnsi="Arial Narrow"/>
          <w:sz w:val="18"/>
          <w:szCs w:val="18"/>
        </w:rPr>
        <w:t xml:space="preserve">AE=adverse event; </w:t>
      </w:r>
      <w:r w:rsidRPr="002609F5">
        <w:rPr>
          <w:rFonts w:ascii="Arial Narrow" w:hAnsi="Arial Narrow"/>
          <w:sz w:val="18"/>
          <w:szCs w:val="18"/>
        </w:rPr>
        <w:t>MMF=</w:t>
      </w:r>
      <w:r>
        <w:rPr>
          <w:rFonts w:ascii="Arial Narrow" w:hAnsi="Arial Narrow"/>
          <w:sz w:val="18"/>
          <w:szCs w:val="18"/>
        </w:rPr>
        <w:t>m</w:t>
      </w:r>
      <w:r w:rsidRPr="002609F5">
        <w:rPr>
          <w:rFonts w:ascii="Arial Narrow" w:hAnsi="Arial Narrow"/>
          <w:sz w:val="18"/>
          <w:szCs w:val="18"/>
        </w:rPr>
        <w:t xml:space="preserve">ycophenolate </w:t>
      </w:r>
      <w:r>
        <w:rPr>
          <w:rFonts w:ascii="Arial Narrow" w:hAnsi="Arial Narrow"/>
          <w:sz w:val="18"/>
          <w:szCs w:val="18"/>
        </w:rPr>
        <w:t>m</w:t>
      </w:r>
      <w:r w:rsidRPr="002609F5">
        <w:rPr>
          <w:rFonts w:ascii="Arial Narrow" w:hAnsi="Arial Narrow"/>
          <w:sz w:val="18"/>
          <w:szCs w:val="18"/>
        </w:rPr>
        <w:t>ofetil</w:t>
      </w:r>
      <w:r>
        <w:rPr>
          <w:rFonts w:ascii="Arial Narrow" w:hAnsi="Arial Narrow"/>
          <w:sz w:val="18"/>
          <w:szCs w:val="18"/>
        </w:rPr>
        <w:t xml:space="preserve">; OBI=obinutuzumab; PBO=placebo; </w:t>
      </w:r>
      <w:r w:rsidRPr="00A22260">
        <w:rPr>
          <w:rFonts w:ascii="Arial Narrow" w:hAnsi="Arial Narrow"/>
          <w:sz w:val="18"/>
          <w:szCs w:val="18"/>
        </w:rPr>
        <w:t>PML=progressive multifocal leukoencephalopathy;</w:t>
      </w:r>
      <w:r>
        <w:rPr>
          <w:rFonts w:ascii="Arial Narrow" w:hAnsi="Arial Narrow"/>
          <w:sz w:val="18"/>
          <w:szCs w:val="18"/>
        </w:rPr>
        <w:t xml:space="preserve"> SAE=serious </w:t>
      </w:r>
      <w:r w:rsidR="00B80E69">
        <w:rPr>
          <w:rFonts w:ascii="Arial Narrow" w:hAnsi="Arial Narrow"/>
          <w:sz w:val="18"/>
          <w:szCs w:val="18"/>
        </w:rPr>
        <w:t>AE.</w:t>
      </w:r>
      <w:r>
        <w:rPr>
          <w:rFonts w:ascii="Arial Narrow" w:hAnsi="Arial Narrow"/>
          <w:sz w:val="18"/>
          <w:szCs w:val="18"/>
        </w:rPr>
        <w:t xml:space="preserve"> </w:t>
      </w:r>
    </w:p>
    <w:p w14:paraId="0C896FAD" w14:textId="0D9C681F" w:rsidR="003F5840" w:rsidRPr="00AB428B" w:rsidRDefault="003F5840" w:rsidP="003F5840">
      <w:pPr>
        <w:tabs>
          <w:tab w:val="left" w:pos="142"/>
        </w:tabs>
        <w:rPr>
          <w:rFonts w:ascii="Arial Narrow" w:hAnsi="Arial Narrow"/>
          <w:sz w:val="18"/>
          <w:szCs w:val="18"/>
        </w:rPr>
      </w:pPr>
      <w:r>
        <w:rPr>
          <w:rFonts w:ascii="Arial Narrow" w:hAnsi="Arial Narrow"/>
          <w:sz w:val="18"/>
          <w:szCs w:val="18"/>
        </w:rPr>
        <w:t>a</w:t>
      </w:r>
      <w:r>
        <w:rPr>
          <w:rFonts w:ascii="Arial Narrow" w:hAnsi="Arial Narrow"/>
          <w:sz w:val="18"/>
          <w:szCs w:val="18"/>
        </w:rPr>
        <w:tab/>
      </w:r>
      <w:r w:rsidRPr="00BD70C4">
        <w:rPr>
          <w:rFonts w:ascii="Arial Narrow" w:hAnsi="Arial Narrow"/>
          <w:sz w:val="18"/>
          <w:szCs w:val="18"/>
        </w:rPr>
        <w:t xml:space="preserve">One patient in </w:t>
      </w:r>
      <w:r>
        <w:rPr>
          <w:rFonts w:ascii="Arial Narrow" w:hAnsi="Arial Narrow"/>
          <w:sz w:val="18"/>
          <w:szCs w:val="18"/>
        </w:rPr>
        <w:t xml:space="preserve">PBO </w:t>
      </w:r>
      <w:r w:rsidRPr="00BD70C4">
        <w:rPr>
          <w:rFonts w:ascii="Arial Narrow" w:hAnsi="Arial Narrow"/>
          <w:sz w:val="18"/>
          <w:szCs w:val="18"/>
        </w:rPr>
        <w:t xml:space="preserve">experienced an AE </w:t>
      </w:r>
      <w:r>
        <w:rPr>
          <w:rFonts w:ascii="Arial Narrow" w:hAnsi="Arial Narrow"/>
          <w:sz w:val="18"/>
          <w:szCs w:val="18"/>
        </w:rPr>
        <w:t>(</w:t>
      </w:r>
      <w:r w:rsidRPr="00BD70C4">
        <w:rPr>
          <w:rFonts w:ascii="Arial Narrow" w:hAnsi="Arial Narrow"/>
          <w:sz w:val="18"/>
          <w:szCs w:val="18"/>
        </w:rPr>
        <w:t>B</w:t>
      </w:r>
      <w:r w:rsidR="00FF1914">
        <w:rPr>
          <w:rFonts w:ascii="Arial Narrow" w:hAnsi="Arial Narrow"/>
          <w:sz w:val="18"/>
          <w:szCs w:val="18"/>
        </w:rPr>
        <w:noBreakHyphen/>
      </w:r>
      <w:r w:rsidRPr="00BD70C4">
        <w:rPr>
          <w:rFonts w:ascii="Arial Narrow" w:hAnsi="Arial Narrow"/>
          <w:sz w:val="18"/>
          <w:szCs w:val="18"/>
        </w:rPr>
        <w:t>cell lymphoma</w:t>
      </w:r>
      <w:r>
        <w:rPr>
          <w:rFonts w:ascii="Arial Narrow" w:hAnsi="Arial Narrow"/>
          <w:sz w:val="18"/>
          <w:szCs w:val="18"/>
        </w:rPr>
        <w:t>)</w:t>
      </w:r>
      <w:r w:rsidRPr="00BD70C4">
        <w:rPr>
          <w:rFonts w:ascii="Arial Narrow" w:hAnsi="Arial Narrow"/>
          <w:sz w:val="18"/>
          <w:szCs w:val="18"/>
        </w:rPr>
        <w:t xml:space="preserve"> during the 76</w:t>
      </w:r>
      <w:r w:rsidR="00FF1914">
        <w:rPr>
          <w:rFonts w:ascii="Arial Narrow" w:hAnsi="Arial Narrow"/>
          <w:sz w:val="18"/>
          <w:szCs w:val="18"/>
        </w:rPr>
        <w:noBreakHyphen/>
      </w:r>
      <w:r w:rsidRPr="00BD70C4">
        <w:rPr>
          <w:rFonts w:ascii="Arial Narrow" w:hAnsi="Arial Narrow"/>
          <w:sz w:val="18"/>
          <w:szCs w:val="18"/>
        </w:rPr>
        <w:t>week</w:t>
      </w:r>
      <w:r>
        <w:rPr>
          <w:rFonts w:ascii="Arial Narrow" w:hAnsi="Arial Narrow"/>
          <w:sz w:val="18"/>
          <w:szCs w:val="18"/>
        </w:rPr>
        <w:t xml:space="preserve"> </w:t>
      </w:r>
      <w:r w:rsidRPr="00BD70C4">
        <w:rPr>
          <w:rFonts w:ascii="Arial Narrow" w:hAnsi="Arial Narrow"/>
          <w:sz w:val="18"/>
          <w:szCs w:val="18"/>
        </w:rPr>
        <w:t>blinded treatment, which resulted in death after W</w:t>
      </w:r>
      <w:r>
        <w:rPr>
          <w:rFonts w:ascii="Arial Narrow" w:hAnsi="Arial Narrow"/>
          <w:sz w:val="18"/>
          <w:szCs w:val="18"/>
        </w:rPr>
        <w:t>ee</w:t>
      </w:r>
      <w:r w:rsidRPr="00BD70C4">
        <w:rPr>
          <w:rFonts w:ascii="Arial Narrow" w:hAnsi="Arial Narrow"/>
          <w:sz w:val="18"/>
          <w:szCs w:val="18"/>
        </w:rPr>
        <w:t>k 76.</w:t>
      </w:r>
    </w:p>
    <w:p w14:paraId="0EBB2C4E" w14:textId="0676589B" w:rsidR="003F5840" w:rsidRPr="00A400BF" w:rsidRDefault="003F5840" w:rsidP="00D86231">
      <w:pPr>
        <w:pStyle w:val="3-BodyText"/>
      </w:pPr>
      <w:r w:rsidRPr="00A17D23">
        <w:t>Across the trials, the incidence of AEs was similar between</w:t>
      </w:r>
      <w:r w:rsidR="003B174A">
        <w:t xml:space="preserve"> the</w:t>
      </w:r>
      <w:r w:rsidRPr="00A17D23">
        <w:t xml:space="preserve"> obinutuzumab and placebo groups </w:t>
      </w:r>
      <w:r w:rsidR="003B174A">
        <w:t xml:space="preserve">through to </w:t>
      </w:r>
      <w:r w:rsidR="00821E0C">
        <w:t xml:space="preserve">Week </w:t>
      </w:r>
      <w:r w:rsidR="00821E0C" w:rsidRPr="00A17D23">
        <w:t>76</w:t>
      </w:r>
      <w:r w:rsidR="00821E0C">
        <w:t xml:space="preserve"> in REGENCY or</w:t>
      </w:r>
      <w:r w:rsidR="00821E0C" w:rsidRPr="00A17D23">
        <w:t xml:space="preserve"> </w:t>
      </w:r>
      <w:r w:rsidRPr="00A17D23">
        <w:t>Week 52</w:t>
      </w:r>
      <w:r w:rsidR="003B174A">
        <w:t xml:space="preserve"> in NOBILITY</w:t>
      </w:r>
      <w:r w:rsidRPr="00A17D23">
        <w:t xml:space="preserve">. </w:t>
      </w:r>
      <w:r>
        <w:t>The majority of AEs were non</w:t>
      </w:r>
      <w:r w:rsidR="00FF1914">
        <w:noBreakHyphen/>
      </w:r>
      <w:r>
        <w:t>serious and did not lead to study discontinuation. The most frequently reported AEs included COVID</w:t>
      </w:r>
      <w:r w:rsidR="00FF1914">
        <w:noBreakHyphen/>
      </w:r>
      <w:r>
        <w:t>19, diarrhoea, urinary tract infection, IRR</w:t>
      </w:r>
      <w:r w:rsidR="0032654E">
        <w:t>s</w:t>
      </w:r>
      <w:r>
        <w:t xml:space="preserve">, upper respiratory tract infection and neutropenia. There was also </w:t>
      </w:r>
      <w:r w:rsidR="00BA15D4">
        <w:t xml:space="preserve">a </w:t>
      </w:r>
      <w:r>
        <w:t>higher incidence of AEs of special interest (IRR</w:t>
      </w:r>
      <w:r w:rsidR="0032654E">
        <w:t>s</w:t>
      </w:r>
      <w:r>
        <w:t>, Grade 3</w:t>
      </w:r>
      <w:r w:rsidR="00FF1914">
        <w:noBreakHyphen/>
      </w:r>
      <w:r>
        <w:t>5 infections and drug</w:t>
      </w:r>
      <w:r w:rsidR="00FF1914">
        <w:noBreakHyphen/>
      </w:r>
      <w:r>
        <w:t xml:space="preserve">related neutropenia) in the obinutuzumab group </w:t>
      </w:r>
      <w:r w:rsidR="00BA15D4">
        <w:t xml:space="preserve">than in the </w:t>
      </w:r>
      <w:r>
        <w:t>placebo</w:t>
      </w:r>
      <w:r w:rsidR="00BA15D4">
        <w:t xml:space="preserve"> group</w:t>
      </w:r>
      <w:r>
        <w:t xml:space="preserve">. </w:t>
      </w:r>
      <w:r w:rsidRPr="00A400BF">
        <w:t xml:space="preserve">These safety results </w:t>
      </w:r>
      <w:r w:rsidR="00BA15D4" w:rsidRPr="00A400BF">
        <w:t>were observed under</w:t>
      </w:r>
      <w:r w:rsidRPr="00A400BF">
        <w:t xml:space="preserve"> trial conditions </w:t>
      </w:r>
      <w:r w:rsidR="00BA15D4" w:rsidRPr="00A400BF">
        <w:t xml:space="preserve">in which </w:t>
      </w:r>
      <w:r w:rsidRPr="00A400BF">
        <w:t>patients</w:t>
      </w:r>
      <w:r w:rsidR="00BA15D4" w:rsidRPr="00A400BF">
        <w:t xml:space="preserve"> in the placebo group received sham</w:t>
      </w:r>
      <w:r w:rsidRPr="00A400BF">
        <w:t xml:space="preserve"> infusions</w:t>
      </w:r>
      <w:r w:rsidR="00EA3DC2" w:rsidRPr="00A400BF">
        <w:t>;</w:t>
      </w:r>
      <w:r w:rsidR="00BA15D4" w:rsidRPr="00A400BF">
        <w:t xml:space="preserve"> therefore</w:t>
      </w:r>
      <w:r w:rsidR="00EA3DC2" w:rsidRPr="00A400BF">
        <w:t>,</w:t>
      </w:r>
      <w:r w:rsidR="00BA15D4" w:rsidRPr="00A400BF">
        <w:t xml:space="preserve"> </w:t>
      </w:r>
      <w:r w:rsidRPr="00A400BF">
        <w:t>additional infusion reactions are to be expected for obinutu</w:t>
      </w:r>
      <w:r w:rsidR="004B086F" w:rsidRPr="00A400BF">
        <w:t>zu</w:t>
      </w:r>
      <w:r w:rsidRPr="00A400BF">
        <w:t xml:space="preserve">mab in clinical practice </w:t>
      </w:r>
      <w:r w:rsidR="00BA15D4" w:rsidRPr="00A400BF">
        <w:t>compared with</w:t>
      </w:r>
      <w:r w:rsidRPr="00A400BF">
        <w:t xml:space="preserve"> placebo.</w:t>
      </w:r>
    </w:p>
    <w:p w14:paraId="2625C07F" w14:textId="787FD4BE" w:rsidR="003F5840" w:rsidRPr="00A400BF" w:rsidRDefault="003F5840" w:rsidP="00D86231">
      <w:pPr>
        <w:pStyle w:val="3-BodyText"/>
      </w:pPr>
      <w:r>
        <w:t xml:space="preserve">In REGENCY, the incidence of SAE and </w:t>
      </w:r>
      <w:r w:rsidRPr="009E1B49">
        <w:t>AE</w:t>
      </w:r>
      <w:r>
        <w:t>s</w:t>
      </w:r>
      <w:r w:rsidRPr="009E1B49">
        <w:t xml:space="preserve"> related to </w:t>
      </w:r>
      <w:r>
        <w:t>obinutuzumab or</w:t>
      </w:r>
      <w:r w:rsidRPr="009E1B49">
        <w:t xml:space="preserve"> MMF </w:t>
      </w:r>
      <w:r>
        <w:t xml:space="preserve">was higher in the obinutuzumab group compared to placebo </w:t>
      </w:r>
      <w:r w:rsidR="00EA3DC2">
        <w:t xml:space="preserve">through </w:t>
      </w:r>
      <w:r>
        <w:t xml:space="preserve">Week 76. There were four deaths (3 in </w:t>
      </w:r>
      <w:r w:rsidR="00BA15D4">
        <w:t xml:space="preserve">the </w:t>
      </w:r>
      <w:r>
        <w:t xml:space="preserve">obinutuzumab group and 1 in </w:t>
      </w:r>
      <w:r w:rsidR="00BA15D4">
        <w:t xml:space="preserve">the </w:t>
      </w:r>
      <w:r>
        <w:t>placebo</w:t>
      </w:r>
      <w:r w:rsidR="00BA15D4">
        <w:t xml:space="preserve"> group</w:t>
      </w:r>
      <w:r>
        <w:t>), which were due to COVID</w:t>
      </w:r>
      <w:r w:rsidR="00FF1914">
        <w:noBreakHyphen/>
      </w:r>
      <w:r>
        <w:t>19 (2 in</w:t>
      </w:r>
      <w:r w:rsidR="00BA15D4">
        <w:t xml:space="preserve"> the</w:t>
      </w:r>
      <w:r>
        <w:t xml:space="preserve"> obinutuzumab group and 1 in </w:t>
      </w:r>
      <w:r w:rsidR="00BA15D4">
        <w:t xml:space="preserve">the </w:t>
      </w:r>
      <w:r>
        <w:t>placebo</w:t>
      </w:r>
      <w:r w:rsidR="00BA15D4">
        <w:t xml:space="preserve"> group</w:t>
      </w:r>
      <w:r>
        <w:t xml:space="preserve">) and nephrotic syndrome (1 in </w:t>
      </w:r>
      <w:r w:rsidR="00BA15D4">
        <w:t>the obinutuzumab group</w:t>
      </w:r>
      <w:r>
        <w:t>). In NOBILITY, the incidence</w:t>
      </w:r>
      <w:r w:rsidR="00BA15D4">
        <w:t>s</w:t>
      </w:r>
      <w:r>
        <w:t xml:space="preserve"> of SAEs and AEs related to </w:t>
      </w:r>
      <w:r w:rsidRPr="0055692A">
        <w:t xml:space="preserve">obinutuzumab or MMF </w:t>
      </w:r>
      <w:r>
        <w:t>or methylprednisolone were similar between groups to Week 52. Two patients in</w:t>
      </w:r>
      <w:r w:rsidR="00EA3DC2">
        <w:t xml:space="preserve"> the</w:t>
      </w:r>
      <w:r>
        <w:t xml:space="preserve"> placebo group experienced fatal events due to renal failure and SLE. The follow</w:t>
      </w:r>
      <w:r w:rsidR="00FF1914">
        <w:noBreakHyphen/>
      </w:r>
      <w:r>
        <w:t xml:space="preserve">up data to Week 104 </w:t>
      </w:r>
      <w:r w:rsidR="00BA15D4">
        <w:t>were</w:t>
      </w:r>
      <w:r>
        <w:t xml:space="preserve"> generally </w:t>
      </w:r>
      <w:r>
        <w:lastRenderedPageBreak/>
        <w:t>consistent with the safety data to Week 52, with no new safety signals.</w:t>
      </w:r>
      <w:r w:rsidRPr="0055692A">
        <w:t xml:space="preserve"> </w:t>
      </w:r>
      <w:r w:rsidRPr="00A400BF">
        <w:t xml:space="preserve">However, there </w:t>
      </w:r>
      <w:r w:rsidR="00BA15D4" w:rsidRPr="00A400BF">
        <w:t>were</w:t>
      </w:r>
      <w:r w:rsidRPr="00A400BF">
        <w:t xml:space="preserve"> higher incidence</w:t>
      </w:r>
      <w:r w:rsidR="00BA15D4" w:rsidRPr="00A400BF">
        <w:t>s</w:t>
      </w:r>
      <w:r w:rsidRPr="00A400BF">
        <w:t xml:space="preserve"> of AEs related to </w:t>
      </w:r>
      <w:r w:rsidR="00CD24AF" w:rsidRPr="00A400BF">
        <w:t>o</w:t>
      </w:r>
      <w:r w:rsidR="00BA15D4" w:rsidRPr="00A400BF">
        <w:t>binutuzumab,</w:t>
      </w:r>
      <w:r w:rsidRPr="00A400BF">
        <w:t xml:space="preserve"> MMF or methylprednisolone in the obinutuzumab group compared to placebo (65.6% vs 45.9</w:t>
      </w:r>
      <w:r w:rsidR="00BA15D4" w:rsidRPr="00A400BF">
        <w:t>%</w:t>
      </w:r>
      <w:r w:rsidRPr="00A400BF">
        <w:t xml:space="preserve">) </w:t>
      </w:r>
      <w:r w:rsidR="00EA3DC2" w:rsidRPr="00A400BF">
        <w:t xml:space="preserve">at </w:t>
      </w:r>
      <w:r w:rsidRPr="00A400BF">
        <w:t>Week 104.</w:t>
      </w:r>
    </w:p>
    <w:p w14:paraId="04908C7F" w14:textId="415B9B7D" w:rsidR="007F1017" w:rsidRPr="0098262F" w:rsidRDefault="007F1017" w:rsidP="00D86231">
      <w:pPr>
        <w:pStyle w:val="4-SubsectionHeading"/>
      </w:pPr>
      <w:bookmarkStart w:id="41" w:name="_Toc22897643"/>
      <w:bookmarkStart w:id="42" w:name="_Toc219886550"/>
      <w:r w:rsidRPr="0098262F">
        <w:t>Benefits/harms</w:t>
      </w:r>
      <w:bookmarkEnd w:id="41"/>
      <w:bookmarkEnd w:id="42"/>
    </w:p>
    <w:p w14:paraId="7824AD7A" w14:textId="6AFACE64" w:rsidR="003F5840" w:rsidRDefault="003F5840" w:rsidP="00D2155B">
      <w:pPr>
        <w:pStyle w:val="3-BodyText"/>
      </w:pPr>
      <w:r w:rsidRPr="003F5840">
        <w:t xml:space="preserve">The comparative benefits and harms for </w:t>
      </w:r>
      <w:r>
        <w:t xml:space="preserve">obinutuzumab </w:t>
      </w:r>
      <w:r w:rsidRPr="003F5840">
        <w:t xml:space="preserve">versus placebo (i.e. SOC) in patients with </w:t>
      </w:r>
      <w:r w:rsidR="00EA777E">
        <w:t>lupus nephritis</w:t>
      </w:r>
      <w:r w:rsidR="00EA777E" w:rsidRPr="003F5840">
        <w:t xml:space="preserve"> </w:t>
      </w:r>
      <w:r w:rsidRPr="003F5840">
        <w:t xml:space="preserve">can be drawn from Table </w:t>
      </w:r>
      <w:r>
        <w:t>4</w:t>
      </w:r>
      <w:r w:rsidRPr="003F5840">
        <w:t xml:space="preserve"> and Table </w:t>
      </w:r>
      <w:r>
        <w:t>5</w:t>
      </w:r>
      <w:r w:rsidRPr="003F5840">
        <w:t xml:space="preserve"> above.</w:t>
      </w:r>
      <w:r>
        <w:t xml:space="preserve"> On the basis of direct evidence presented in the submission, for every 100 patients treated with obinutuzumab in comparison with placebo (SOC):</w:t>
      </w:r>
    </w:p>
    <w:p w14:paraId="6B9E6BB9" w14:textId="02761CD1" w:rsidR="003F5840" w:rsidRPr="00213264" w:rsidRDefault="003F5840" w:rsidP="004B0ABD">
      <w:pPr>
        <w:pStyle w:val="3-BodyText"/>
        <w:numPr>
          <w:ilvl w:val="0"/>
          <w:numId w:val="9"/>
        </w:numPr>
      </w:pPr>
      <w:r>
        <w:t>Approximately 13 to 23 additional patients will achieve CRR at Week 76, depending on the trial and analysis used.</w:t>
      </w:r>
      <w:r w:rsidR="00E5418B">
        <w:t xml:space="preserve"> </w:t>
      </w:r>
      <w:r w:rsidR="00082BA0">
        <w:t>The submission</w:t>
      </w:r>
      <w:r w:rsidR="00E5418B">
        <w:t xml:space="preserve"> considered that the </w:t>
      </w:r>
      <w:r w:rsidR="00E5418B" w:rsidRPr="00E5418B">
        <w:t>absolute risk difference</w:t>
      </w:r>
      <w:r w:rsidR="007F47F4">
        <w:t xml:space="preserve"> between groups of</w:t>
      </w:r>
      <w:r w:rsidR="00E5418B" w:rsidRPr="00E5418B">
        <w:t xml:space="preserve"> &gt;10% </w:t>
      </w:r>
      <w:r w:rsidR="00E5418B">
        <w:t>for</w:t>
      </w:r>
      <w:r w:rsidR="00E5418B" w:rsidRPr="00E5418B">
        <w:t xml:space="preserve"> the proportion of patients achieving CRR at Week 52</w:t>
      </w:r>
      <w:r w:rsidR="00E5418B">
        <w:t xml:space="preserve"> was clinically meaningful.</w:t>
      </w:r>
      <w:r w:rsidR="007F47F4">
        <w:t xml:space="preserve"> </w:t>
      </w:r>
      <w:r w:rsidR="007F47F4" w:rsidRPr="00213264">
        <w:t>It is unclear how many patients achieved CRR at Week 52.</w:t>
      </w:r>
    </w:p>
    <w:p w14:paraId="3A385533" w14:textId="1FC6B597" w:rsidR="003F5840" w:rsidRDefault="003F5840" w:rsidP="004B0ABD">
      <w:pPr>
        <w:pStyle w:val="3-BodyText"/>
        <w:numPr>
          <w:ilvl w:val="0"/>
          <w:numId w:val="9"/>
        </w:numPr>
      </w:pPr>
      <w:r>
        <w:t>Approximately 12 to 25 additional patients will achieve CRR with prednisone taper at Week 76.</w:t>
      </w:r>
      <w:r w:rsidR="00E5418B">
        <w:t xml:space="preserve"> </w:t>
      </w:r>
      <w:r w:rsidR="006F17F4">
        <w:t>The submission</w:t>
      </w:r>
      <w:r w:rsidR="00E5418B">
        <w:t xml:space="preserve"> considered that an improvement in the </w:t>
      </w:r>
      <w:r w:rsidR="00E5418B" w:rsidRPr="00E5418B">
        <w:t xml:space="preserve">absolute risk difference &gt;10% </w:t>
      </w:r>
      <w:r w:rsidR="00E5418B">
        <w:t>for</w:t>
      </w:r>
      <w:r w:rsidR="00E5418B" w:rsidRPr="00E5418B">
        <w:t xml:space="preserve"> the proportion of patients achieving CRR at Week 52</w:t>
      </w:r>
      <w:r w:rsidR="00E5418B">
        <w:t xml:space="preserve"> was clinically meaningful.</w:t>
      </w:r>
    </w:p>
    <w:p w14:paraId="071D8B6E" w14:textId="65A21C92" w:rsidR="003F5840" w:rsidRDefault="003F5840" w:rsidP="004B0ABD">
      <w:pPr>
        <w:pStyle w:val="3-BodyText"/>
        <w:numPr>
          <w:ilvl w:val="0"/>
          <w:numId w:val="9"/>
        </w:numPr>
      </w:pPr>
      <w:r>
        <w:t>Approximately 14 additional patients will achieve proteinuric response at Week 76.</w:t>
      </w:r>
    </w:p>
    <w:p w14:paraId="172EF019" w14:textId="1F79EA6D" w:rsidR="003F5840" w:rsidRDefault="003F5840" w:rsidP="004B0ABD">
      <w:pPr>
        <w:pStyle w:val="3-BodyText"/>
        <w:numPr>
          <w:ilvl w:val="0"/>
          <w:numId w:val="9"/>
        </w:numPr>
      </w:pPr>
      <w:r>
        <w:t xml:space="preserve">Approximately 17 fewer patients will experience death or renal related events </w:t>
      </w:r>
      <w:r w:rsidR="00EA3DC2">
        <w:t xml:space="preserve">by </w:t>
      </w:r>
      <w:r>
        <w:t>Week 76.</w:t>
      </w:r>
    </w:p>
    <w:p w14:paraId="2A8CFDAC" w14:textId="3B943FA7" w:rsidR="00E5418B" w:rsidRDefault="00E5418B" w:rsidP="004B0ABD">
      <w:pPr>
        <w:pStyle w:val="3-BodyText"/>
        <w:numPr>
          <w:ilvl w:val="0"/>
          <w:numId w:val="9"/>
        </w:numPr>
      </w:pPr>
      <w:r>
        <w:t>Approximately 14 additional patients will experience SAE at Week 76</w:t>
      </w:r>
      <w:r w:rsidR="00BF75D2">
        <w:t xml:space="preserve">, based on </w:t>
      </w:r>
      <w:r w:rsidR="0063564E">
        <w:t xml:space="preserve">the </w:t>
      </w:r>
      <w:r w:rsidR="00BF75D2">
        <w:t>REGENCY trial data.</w:t>
      </w:r>
    </w:p>
    <w:p w14:paraId="6159C074" w14:textId="0768E8EF" w:rsidR="00E5418B" w:rsidRDefault="00E5418B" w:rsidP="004B0ABD">
      <w:pPr>
        <w:pStyle w:val="3-BodyText"/>
        <w:numPr>
          <w:ilvl w:val="0"/>
          <w:numId w:val="9"/>
        </w:numPr>
      </w:pPr>
      <w:r>
        <w:t>Approximately 16 additional patients will experience AE related to obinutuzumab or MMF at Week 76</w:t>
      </w:r>
      <w:r w:rsidR="00BF75D2">
        <w:t xml:space="preserve">, based on </w:t>
      </w:r>
      <w:r w:rsidR="00EA3DC2">
        <w:t xml:space="preserve">the </w:t>
      </w:r>
      <w:r w:rsidR="00BF75D2">
        <w:t>REGENCY trial data</w:t>
      </w:r>
      <w:r>
        <w:t>.</w:t>
      </w:r>
    </w:p>
    <w:p w14:paraId="279A83E9" w14:textId="60633FB1" w:rsidR="00E5418B" w:rsidRDefault="00E5418B" w:rsidP="004B0ABD">
      <w:pPr>
        <w:pStyle w:val="3-BodyText"/>
        <w:numPr>
          <w:ilvl w:val="0"/>
          <w:numId w:val="9"/>
        </w:numPr>
      </w:pPr>
      <w:r>
        <w:t>Approximately 9 additional patients will experience Grade 3</w:t>
      </w:r>
      <w:r w:rsidR="002D184D">
        <w:rPr>
          <w:rFonts w:cstheme="minorHAnsi"/>
          <w:i/>
          <w:iCs/>
        </w:rPr>
        <w:t>‒</w:t>
      </w:r>
      <w:r>
        <w:t>5 infection at Week 76</w:t>
      </w:r>
      <w:r w:rsidR="00EB749B">
        <w:t xml:space="preserve">, based on </w:t>
      </w:r>
      <w:r w:rsidR="00EA3DC2">
        <w:t xml:space="preserve">the </w:t>
      </w:r>
      <w:r w:rsidR="00EB749B">
        <w:t>REGENCY trial data.</w:t>
      </w:r>
    </w:p>
    <w:p w14:paraId="3B653B96" w14:textId="0ABBD15B" w:rsidR="00FC1884" w:rsidRPr="0098262F" w:rsidRDefault="00E5418B" w:rsidP="004B0ABD">
      <w:pPr>
        <w:pStyle w:val="3-BodyText"/>
        <w:numPr>
          <w:ilvl w:val="0"/>
          <w:numId w:val="9"/>
        </w:numPr>
      </w:pPr>
      <w:r>
        <w:t>Approximately 9 additional patients will experience drug related neutropenia at Week 76</w:t>
      </w:r>
      <w:r w:rsidR="00BF75D2">
        <w:t>, based on</w:t>
      </w:r>
      <w:r w:rsidR="00EA3DC2">
        <w:t xml:space="preserve"> the</w:t>
      </w:r>
      <w:r w:rsidR="00BF75D2">
        <w:t xml:space="preserve"> REGENCY trial data.</w:t>
      </w:r>
    </w:p>
    <w:p w14:paraId="7A1772B6" w14:textId="23BB3145" w:rsidR="00B60939" w:rsidRPr="0098262F" w:rsidRDefault="00B60939" w:rsidP="00E9094A">
      <w:pPr>
        <w:pStyle w:val="4-SubsectionHeading"/>
      </w:pPr>
      <w:bookmarkStart w:id="43" w:name="_Toc22897644"/>
      <w:bookmarkStart w:id="44" w:name="_Toc219886551"/>
      <w:r w:rsidRPr="0098262F">
        <w:t>Clinical claim</w:t>
      </w:r>
      <w:bookmarkEnd w:id="43"/>
      <w:bookmarkEnd w:id="44"/>
    </w:p>
    <w:p w14:paraId="61016983" w14:textId="408DA37F" w:rsidR="00A27AA7" w:rsidRPr="00A27AA7" w:rsidRDefault="00A27AA7" w:rsidP="00E9094A">
      <w:pPr>
        <w:pStyle w:val="3-BodyText"/>
      </w:pPr>
      <w:r>
        <w:t xml:space="preserve">The submission described obinutuzumab plus SOC (MMF plus glucocorticoids) as superior in terms of effectiveness and inferior in terms of safety compared </w:t>
      </w:r>
      <w:r w:rsidR="00CD24AF">
        <w:t>with</w:t>
      </w:r>
      <w:r>
        <w:t xml:space="preserve"> placebo plus SOC in patients with class III/IV </w:t>
      </w:r>
      <w:r>
        <w:rPr>
          <w:rFonts w:cs="Calibri"/>
        </w:rPr>
        <w:t>±</w:t>
      </w:r>
      <w:r>
        <w:t xml:space="preserve"> V lupus nephritis. The claim was based on the results from</w:t>
      </w:r>
      <w:r w:rsidR="00CD24AF">
        <w:t xml:space="preserve"> the</w:t>
      </w:r>
      <w:r>
        <w:t xml:space="preserve"> REGENCY and NOBILITY trial</w:t>
      </w:r>
      <w:r w:rsidR="00CD24AF">
        <w:t xml:space="preserve">s, which </w:t>
      </w:r>
      <w:r>
        <w:t xml:space="preserve">showed </w:t>
      </w:r>
      <w:r w:rsidR="00CD24AF">
        <w:t xml:space="preserve">that </w:t>
      </w:r>
      <w:r>
        <w:t>patients treated with obinutuzumab achieve</w:t>
      </w:r>
      <w:r w:rsidR="00CD24AF">
        <w:t>d</w:t>
      </w:r>
      <w:r>
        <w:t xml:space="preserve"> sustained remission while minimising exposure to glucocorticoids with safety</w:t>
      </w:r>
      <w:r w:rsidR="00CD24AF">
        <w:t xml:space="preserve"> profile consistent with known class effect</w:t>
      </w:r>
      <w:r>
        <w:t>.</w:t>
      </w:r>
    </w:p>
    <w:p w14:paraId="53CF4D81" w14:textId="4B6D71A8" w:rsidR="00A27AA7" w:rsidRPr="00A400BF" w:rsidRDefault="00B347E5" w:rsidP="00E9094A">
      <w:pPr>
        <w:pStyle w:val="3-BodyText"/>
      </w:pPr>
      <w:r>
        <w:t>The evaluation considered that o</w:t>
      </w:r>
      <w:r w:rsidR="00A27AA7" w:rsidRPr="00A400BF">
        <w:t>verall, the clinical claim for superior efficacy versus placebo may be reasonable, however the following issues were noted:</w:t>
      </w:r>
    </w:p>
    <w:p w14:paraId="1ABB49AA" w14:textId="4A317E0E" w:rsidR="00A27AA7" w:rsidRPr="00A400BF" w:rsidRDefault="00A27AA7" w:rsidP="004B0ABD">
      <w:pPr>
        <w:pStyle w:val="3-BodyText"/>
        <w:numPr>
          <w:ilvl w:val="0"/>
          <w:numId w:val="9"/>
        </w:numPr>
      </w:pPr>
      <w:r w:rsidRPr="00A400BF">
        <w:lastRenderedPageBreak/>
        <w:t xml:space="preserve">The REGENCY </w:t>
      </w:r>
      <w:r w:rsidR="002960C5" w:rsidRPr="00A400BF">
        <w:t xml:space="preserve">results </w:t>
      </w:r>
      <w:r w:rsidRPr="00A400BF">
        <w:t>favoured obinutuzumab in terms of CRR, CRR with prednisone taper and proteinuric response at Week 76, which may be clinically meaningful based on the proposed MCID (</w:t>
      </w:r>
      <w:r w:rsidRPr="00A400BF">
        <w:rPr>
          <w:rFonts w:cstheme="minorHAnsi"/>
        </w:rPr>
        <w:t>≥</w:t>
      </w:r>
      <w:r w:rsidRPr="00A400BF">
        <w:t xml:space="preserve">10% absolute difference </w:t>
      </w:r>
      <w:r w:rsidR="000B089F" w:rsidRPr="00A400BF">
        <w:t xml:space="preserve">in CRR </w:t>
      </w:r>
      <w:r w:rsidRPr="00A400BF">
        <w:t xml:space="preserve">at Week 52). While there was no difference between groups in other secondary and exploratory outcomes including ORR, PRR, eGFR and time to </w:t>
      </w:r>
      <w:r w:rsidR="004A3D36" w:rsidRPr="00A400BF">
        <w:t>onset of CRR</w:t>
      </w:r>
      <w:r w:rsidRPr="00A400BF">
        <w:t>, there was a trend towards improved renal response and decreased time to flares and unfavourable kidney function for obinutuzumab</w:t>
      </w:r>
      <w:r w:rsidR="00FF1914">
        <w:noBreakHyphen/>
      </w:r>
      <w:r w:rsidRPr="00A400BF">
        <w:t>treated patients compared to placebo</w:t>
      </w:r>
      <w:r w:rsidR="004A3D36" w:rsidRPr="00A400BF">
        <w:t xml:space="preserve"> to Week 76</w:t>
      </w:r>
      <w:r w:rsidRPr="00A400BF">
        <w:t>.</w:t>
      </w:r>
    </w:p>
    <w:p w14:paraId="0DB52B34" w14:textId="2F943756" w:rsidR="00A27AA7" w:rsidRPr="00C561BE" w:rsidRDefault="00A27AA7" w:rsidP="004B0ABD">
      <w:pPr>
        <w:pStyle w:val="3-BodyText"/>
        <w:numPr>
          <w:ilvl w:val="0"/>
          <w:numId w:val="9"/>
        </w:numPr>
      </w:pPr>
      <w:r w:rsidRPr="00946CA3">
        <w:rPr>
          <w:i/>
          <w:iCs/>
        </w:rPr>
        <w:t>Post</w:t>
      </w:r>
      <w:r w:rsidR="00FF1914">
        <w:rPr>
          <w:i/>
          <w:iCs/>
        </w:rPr>
        <w:noBreakHyphen/>
      </w:r>
      <w:r w:rsidRPr="00946CA3">
        <w:rPr>
          <w:i/>
          <w:iCs/>
        </w:rPr>
        <w:t>hoc</w:t>
      </w:r>
      <w:r w:rsidRPr="00A400BF">
        <w:t xml:space="preserve"> analys</w:t>
      </w:r>
      <w:r w:rsidR="00BE5124" w:rsidRPr="00A400BF">
        <w:t>e</w:t>
      </w:r>
      <w:r w:rsidRPr="00A400BF">
        <w:t xml:space="preserve">s </w:t>
      </w:r>
      <w:r w:rsidR="002960C5" w:rsidRPr="00A400BF">
        <w:t xml:space="preserve">of </w:t>
      </w:r>
      <w:r w:rsidRPr="00A400BF">
        <w:t>NOBILITY</w:t>
      </w:r>
      <w:r w:rsidR="002960C5" w:rsidRPr="00A400BF">
        <w:t xml:space="preserve"> data</w:t>
      </w:r>
      <w:r w:rsidRPr="00A400BF">
        <w:t xml:space="preserve"> using REGENCY outcome definitions and data handling rules showed obinutuzumab</w:t>
      </w:r>
      <w:r w:rsidR="00FF1914">
        <w:noBreakHyphen/>
      </w:r>
      <w:r w:rsidRPr="00A400BF">
        <w:t>treated patients who stopped treatment at Week 26 (four</w:t>
      </w:r>
      <w:r w:rsidR="00FF1914">
        <w:noBreakHyphen/>
      </w:r>
      <w:r w:rsidRPr="00A400BF">
        <w:t>dose regimen) in NOBILITY had greater improvement in CRR and CRR with prednisone taper one</w:t>
      </w:r>
      <w:r w:rsidR="00CD24AF" w:rsidRPr="00A400BF">
        <w:t xml:space="preserve"> </w:t>
      </w:r>
      <w:r w:rsidRPr="00A400BF">
        <w:t>year post</w:t>
      </w:r>
      <w:r w:rsidR="00FF1914">
        <w:noBreakHyphen/>
      </w:r>
      <w:r w:rsidRPr="00A400BF">
        <w:t xml:space="preserve">treatment </w:t>
      </w:r>
      <w:r w:rsidR="002960C5" w:rsidRPr="00A400BF">
        <w:t>(</w:t>
      </w:r>
      <w:r w:rsidRPr="00A400BF">
        <w:t>Week 76</w:t>
      </w:r>
      <w:r w:rsidR="002960C5" w:rsidRPr="00A400BF">
        <w:t>) compared to</w:t>
      </w:r>
      <w:r w:rsidRPr="00A400BF">
        <w:t xml:space="preserve"> those who received additional </w:t>
      </w:r>
      <w:r w:rsidR="002960C5" w:rsidRPr="00A400BF">
        <w:t>doses</w:t>
      </w:r>
      <w:r w:rsidRPr="00A400BF">
        <w:t xml:space="preserve"> at Week 50</w:t>
      </w:r>
      <w:r w:rsidR="0064538A" w:rsidRPr="00A400BF">
        <w:rPr>
          <w:rFonts w:cstheme="minorHAnsi"/>
        </w:rPr>
        <w:t>‒</w:t>
      </w:r>
      <w:r w:rsidRPr="00A400BF">
        <w:t>52 (five and six</w:t>
      </w:r>
      <w:r w:rsidR="00FF1914">
        <w:noBreakHyphen/>
      </w:r>
      <w:r w:rsidRPr="00A400BF">
        <w:t>dose regimen</w:t>
      </w:r>
      <w:r w:rsidR="002960C5" w:rsidRPr="00A400BF">
        <w:t>s</w:t>
      </w:r>
      <w:r w:rsidRPr="00A400BF">
        <w:t>) in REGENCY.</w:t>
      </w:r>
      <w:r w:rsidR="0052245B" w:rsidRPr="00C561BE">
        <w:t xml:space="preserve"> </w:t>
      </w:r>
      <w:r w:rsidR="002D6C60" w:rsidRPr="00C561BE">
        <w:t xml:space="preserve">However as </w:t>
      </w:r>
      <w:r w:rsidR="000F108A" w:rsidRPr="00C561BE">
        <w:t>outlined</w:t>
      </w:r>
      <w:r w:rsidR="002D6C60" w:rsidRPr="00C561BE">
        <w:t xml:space="preserve"> in para</w:t>
      </w:r>
      <w:r w:rsidR="005868C9" w:rsidRPr="00C561BE">
        <w:t>graph</w:t>
      </w:r>
      <w:r w:rsidR="002D6C60" w:rsidRPr="00C561BE">
        <w:t xml:space="preserve"> </w:t>
      </w:r>
      <w:r w:rsidR="00C75606" w:rsidRPr="00C561BE">
        <w:fldChar w:fldCharType="begin"/>
      </w:r>
      <w:r w:rsidR="00C75606" w:rsidRPr="00C561BE">
        <w:instrText xml:space="preserve"> REF _Ref221289694 \r \h </w:instrText>
      </w:r>
      <w:r w:rsidR="00C561BE">
        <w:instrText xml:space="preserve"> \* MERGEFORMAT </w:instrText>
      </w:r>
      <w:r w:rsidR="00C75606" w:rsidRPr="00C561BE">
        <w:fldChar w:fldCharType="separate"/>
      </w:r>
      <w:r w:rsidR="002255D9">
        <w:t>6.21</w:t>
      </w:r>
      <w:r w:rsidR="00C75606" w:rsidRPr="00C561BE">
        <w:fldChar w:fldCharType="end"/>
      </w:r>
      <w:r w:rsidR="00C75606" w:rsidRPr="00C561BE">
        <w:t xml:space="preserve"> </w:t>
      </w:r>
      <w:r w:rsidR="00096B94" w:rsidRPr="00C561BE">
        <w:t>the PSCR suggested reasons why</w:t>
      </w:r>
      <w:r w:rsidR="002B5057" w:rsidRPr="00C561BE">
        <w:t xml:space="preserve"> the results of these </w:t>
      </w:r>
      <w:r w:rsidR="002B5057" w:rsidRPr="00526145">
        <w:rPr>
          <w:i/>
          <w:iCs/>
        </w:rPr>
        <w:t>post</w:t>
      </w:r>
      <w:r w:rsidR="00FF1914">
        <w:rPr>
          <w:i/>
          <w:iCs/>
        </w:rPr>
        <w:noBreakHyphen/>
      </w:r>
      <w:r w:rsidR="002B5057" w:rsidRPr="00526145">
        <w:rPr>
          <w:i/>
          <w:iCs/>
        </w:rPr>
        <w:t>hoc</w:t>
      </w:r>
      <w:r w:rsidR="002B5057" w:rsidRPr="00C561BE">
        <w:t xml:space="preserve"> analyses</w:t>
      </w:r>
      <w:r w:rsidR="00096B94" w:rsidRPr="00C561BE">
        <w:t xml:space="preserve"> </w:t>
      </w:r>
      <w:r w:rsidR="002B5057" w:rsidRPr="00C561BE">
        <w:t xml:space="preserve">do not rule out a </w:t>
      </w:r>
      <w:r w:rsidR="00B12C5E" w:rsidRPr="00C561BE">
        <w:t>benefit from additional obinutuzumab dosing.</w:t>
      </w:r>
      <w:r w:rsidR="0098116E">
        <w:t xml:space="preserve"> Further, the PBAC noted that the ACM </w:t>
      </w:r>
      <w:r w:rsidR="003572BA" w:rsidRPr="003572BA">
        <w:t>advised that treatment should be continued for a total of 52 weeks (doses on day 1, weeks 2, 24, 26, (50), and 52) with re</w:t>
      </w:r>
      <w:r w:rsidR="00FF1914">
        <w:noBreakHyphen/>
      </w:r>
      <w:r w:rsidR="003572BA" w:rsidRPr="003572BA">
        <w:t>evaluation of response at week 72</w:t>
      </w:r>
      <w:r w:rsidR="003572BA">
        <w:t>.</w:t>
      </w:r>
      <w:r w:rsidR="00B12C5E" w:rsidRPr="00C561BE">
        <w:t xml:space="preserve"> </w:t>
      </w:r>
    </w:p>
    <w:p w14:paraId="134D776D" w14:textId="4C32904B" w:rsidR="00A27AA7" w:rsidRPr="00C561BE" w:rsidRDefault="00A27AA7" w:rsidP="004B0ABD">
      <w:pPr>
        <w:pStyle w:val="3-BodyText"/>
        <w:numPr>
          <w:ilvl w:val="0"/>
          <w:numId w:val="9"/>
        </w:numPr>
      </w:pPr>
      <w:r w:rsidRPr="00C561BE">
        <w:t>There was limited long</w:t>
      </w:r>
      <w:r w:rsidR="00FF1914">
        <w:noBreakHyphen/>
      </w:r>
      <w:r w:rsidRPr="00C561BE">
        <w:t xml:space="preserve">term </w:t>
      </w:r>
      <w:r w:rsidR="00CD24AF" w:rsidRPr="00C561BE">
        <w:t xml:space="preserve">comparative </w:t>
      </w:r>
      <w:r w:rsidRPr="00C561BE">
        <w:t>evidence of treatment beyond 1.5 years; in REGENCY</w:t>
      </w:r>
      <w:r w:rsidR="00CD24AF" w:rsidRPr="00C561BE">
        <w:t>,</w:t>
      </w:r>
      <w:r w:rsidRPr="00C561BE">
        <w:t xml:space="preserve"> blinded data beyond Week 76 </w:t>
      </w:r>
      <w:r w:rsidR="00CD24AF" w:rsidRPr="00C561BE">
        <w:t>were limited to</w:t>
      </w:r>
      <w:r w:rsidRPr="00C561BE">
        <w:t xml:space="preserve"> the adequate responder population up to Week 184.</w:t>
      </w:r>
      <w:r w:rsidR="00BE0C57" w:rsidRPr="00C561BE">
        <w:t xml:space="preserve"> </w:t>
      </w:r>
      <w:r w:rsidR="002F3872" w:rsidRPr="00C561BE">
        <w:t xml:space="preserve">As </w:t>
      </w:r>
      <w:r w:rsidR="005868C9" w:rsidRPr="00C561BE">
        <w:t>outlined</w:t>
      </w:r>
      <w:r w:rsidR="002F3872" w:rsidRPr="00C561BE">
        <w:t xml:space="preserve"> in para</w:t>
      </w:r>
      <w:r w:rsidR="005868C9" w:rsidRPr="00C561BE">
        <w:t>graph</w:t>
      </w:r>
      <w:r w:rsidR="002F3872" w:rsidRPr="00C561BE">
        <w:t xml:space="preserve"> </w:t>
      </w:r>
      <w:r w:rsidR="002F3872" w:rsidRPr="00C561BE">
        <w:fldChar w:fldCharType="begin"/>
      </w:r>
      <w:r w:rsidR="002F3872" w:rsidRPr="00C561BE">
        <w:instrText xml:space="preserve"> REF _Ref221524966 \r \h  \* MERGEFORMAT </w:instrText>
      </w:r>
      <w:r w:rsidR="002F3872" w:rsidRPr="00C561BE">
        <w:fldChar w:fldCharType="separate"/>
      </w:r>
      <w:r w:rsidR="002255D9">
        <w:t>6.11</w:t>
      </w:r>
      <w:r w:rsidR="002F3872" w:rsidRPr="00C561BE">
        <w:fldChar w:fldCharType="end"/>
      </w:r>
      <w:r w:rsidR="002F3872" w:rsidRPr="00C561BE">
        <w:t xml:space="preserve"> ,t</w:t>
      </w:r>
      <w:r w:rsidR="006F23B1" w:rsidRPr="00C561BE">
        <w:t xml:space="preserve">he </w:t>
      </w:r>
      <w:r w:rsidR="00705265" w:rsidRPr="00C561BE">
        <w:t>S</w:t>
      </w:r>
      <w:r w:rsidR="006F23B1" w:rsidRPr="00C561BE">
        <w:t>ub</w:t>
      </w:r>
      <w:r w:rsidR="00FF1914">
        <w:noBreakHyphen/>
      </w:r>
      <w:r w:rsidR="00705265" w:rsidRPr="00C561BE">
        <w:t>C</w:t>
      </w:r>
      <w:r w:rsidR="006F23B1" w:rsidRPr="00C561BE">
        <w:t xml:space="preserve">ommittees </w:t>
      </w:r>
      <w:r w:rsidR="006107C1" w:rsidRPr="00C561BE">
        <w:t>considered</w:t>
      </w:r>
      <w:r w:rsidR="00BA324D" w:rsidRPr="00C561BE">
        <w:t xml:space="preserve"> that the</w:t>
      </w:r>
      <w:r w:rsidR="006F23B1" w:rsidRPr="00C561BE">
        <w:t xml:space="preserve"> lack of data on maintenance treatment beyond 12 months was a limitation of the evidence. </w:t>
      </w:r>
    </w:p>
    <w:p w14:paraId="3D120993" w14:textId="1D40C27E" w:rsidR="00A27AA7" w:rsidRPr="00C561BE" w:rsidRDefault="00CD24AF" w:rsidP="004B0ABD">
      <w:pPr>
        <w:pStyle w:val="3-BodyText"/>
        <w:numPr>
          <w:ilvl w:val="0"/>
          <w:numId w:val="9"/>
        </w:numPr>
      </w:pPr>
      <w:r w:rsidRPr="00C561BE">
        <w:t xml:space="preserve">There was </w:t>
      </w:r>
      <w:r w:rsidR="00D25CCF">
        <w:t>no</w:t>
      </w:r>
      <w:r w:rsidR="00D25CCF" w:rsidRPr="00C561BE">
        <w:t xml:space="preserve"> </w:t>
      </w:r>
      <w:r w:rsidRPr="00C561BE">
        <w:t xml:space="preserve">evidence in patients aged &lt;18 years and &gt;75 years; REGENCY and NOBILITY included </w:t>
      </w:r>
      <w:r w:rsidR="00A27AA7" w:rsidRPr="00C561BE">
        <w:t>adults aged 18</w:t>
      </w:r>
      <w:r w:rsidR="0064538A" w:rsidRPr="00C561BE">
        <w:rPr>
          <w:rFonts w:cstheme="minorHAnsi"/>
        </w:rPr>
        <w:t>‒</w:t>
      </w:r>
      <w:r w:rsidR="00A27AA7" w:rsidRPr="00C561BE">
        <w:t xml:space="preserve">75 years. The proposed PBS population was </w:t>
      </w:r>
      <w:r w:rsidRPr="00C561BE">
        <w:t>not restricted by age</w:t>
      </w:r>
      <w:r w:rsidR="00A27AA7" w:rsidRPr="00C561BE">
        <w:t>.</w:t>
      </w:r>
      <w:r w:rsidR="00111ED0" w:rsidRPr="00C561BE">
        <w:t xml:space="preserve"> </w:t>
      </w:r>
    </w:p>
    <w:p w14:paraId="7F613CD1" w14:textId="3B9A6520" w:rsidR="005F7588" w:rsidRPr="001C31A6" w:rsidRDefault="000F0FE4" w:rsidP="0072568D">
      <w:pPr>
        <w:pStyle w:val="3-BodyText"/>
        <w:rPr>
          <w:rFonts w:eastAsia="Calibri"/>
          <w:i/>
          <w:iCs/>
        </w:rPr>
      </w:pPr>
      <w:r>
        <w:t>The evaluation considered that t</w:t>
      </w:r>
      <w:r w:rsidR="00A27AA7" w:rsidRPr="00A400BF">
        <w:t>he claim of inferior safety versus placebo was reasonable. The incidence of AEs was similar between obinutuzumab and placebo groups to Week 52</w:t>
      </w:r>
      <w:r w:rsidR="0064538A" w:rsidRPr="00A400BF">
        <w:rPr>
          <w:rFonts w:cstheme="minorHAnsi"/>
        </w:rPr>
        <w:t>‒</w:t>
      </w:r>
      <w:r w:rsidR="00A27AA7" w:rsidRPr="00A400BF">
        <w:t>76</w:t>
      </w:r>
      <w:r w:rsidR="00CD24AF" w:rsidRPr="00A400BF">
        <w:t xml:space="preserve"> in NOBILITY and REGENCY;</w:t>
      </w:r>
      <w:r w:rsidR="00A27AA7" w:rsidRPr="00A400BF">
        <w:t xml:space="preserve"> however</w:t>
      </w:r>
      <w:r w:rsidR="00CD24AF" w:rsidRPr="00A400BF">
        <w:t>,</w:t>
      </w:r>
      <w:r w:rsidR="00A27AA7" w:rsidRPr="00A400BF">
        <w:t xml:space="preserve"> patients treated with obinutuzumab experienced </w:t>
      </w:r>
      <w:r w:rsidR="00CD24AF" w:rsidRPr="00A400BF">
        <w:t xml:space="preserve">a </w:t>
      </w:r>
      <w:r w:rsidR="00A27AA7" w:rsidRPr="00A400BF">
        <w:t>higher incidence of AEs of special interest</w:t>
      </w:r>
      <w:r w:rsidR="00CD24AF" w:rsidRPr="00A400BF">
        <w:t>,</w:t>
      </w:r>
      <w:r w:rsidR="00A27AA7" w:rsidRPr="00A400BF">
        <w:t xml:space="preserve"> including IRR</w:t>
      </w:r>
      <w:r w:rsidR="0032654E" w:rsidRPr="00A400BF">
        <w:t>s</w:t>
      </w:r>
      <w:r w:rsidR="00A27AA7" w:rsidRPr="00A400BF">
        <w:t>, Grade 3</w:t>
      </w:r>
      <w:r w:rsidR="0064538A" w:rsidRPr="00A400BF">
        <w:rPr>
          <w:rFonts w:cstheme="minorHAnsi"/>
        </w:rPr>
        <w:t>‒</w:t>
      </w:r>
      <w:r w:rsidR="00A27AA7" w:rsidRPr="00A400BF">
        <w:t>5 infections and drug</w:t>
      </w:r>
      <w:r w:rsidR="00FF1914">
        <w:noBreakHyphen/>
      </w:r>
      <w:r w:rsidR="00A27AA7" w:rsidRPr="00A400BF">
        <w:t xml:space="preserve">related neutropenia compared to placebo. The safety results </w:t>
      </w:r>
      <w:r w:rsidR="00CD24AF" w:rsidRPr="00A400BF">
        <w:t>were obtained under</w:t>
      </w:r>
      <w:r w:rsidR="00A27AA7" w:rsidRPr="00A400BF">
        <w:t xml:space="preserve"> trial conditions </w:t>
      </w:r>
      <w:r w:rsidR="00CD24AF" w:rsidRPr="00A400BF">
        <w:t>in which</w:t>
      </w:r>
      <w:r w:rsidR="00A27AA7" w:rsidRPr="00A400BF">
        <w:t xml:space="preserve"> patients were administered sham infusions in the placebo arm</w:t>
      </w:r>
      <w:r w:rsidR="00CD24AF" w:rsidRPr="00A400BF">
        <w:t>; therefore,</w:t>
      </w:r>
      <w:r w:rsidR="00A27AA7" w:rsidRPr="00A400BF">
        <w:t xml:space="preserve"> additional infusion reactions are to be expected for obinutu</w:t>
      </w:r>
      <w:r w:rsidR="004B086F" w:rsidRPr="00A400BF">
        <w:t>zu</w:t>
      </w:r>
      <w:r w:rsidR="00A27AA7" w:rsidRPr="00A400BF">
        <w:t xml:space="preserve">mab in clinical practice </w:t>
      </w:r>
      <w:r w:rsidR="00CD24AF" w:rsidRPr="00A400BF">
        <w:t>compared with</w:t>
      </w:r>
      <w:r w:rsidR="00A27AA7" w:rsidRPr="00A400BF">
        <w:t xml:space="preserve"> placebo.</w:t>
      </w:r>
      <w:r w:rsidR="00465754">
        <w:t xml:space="preserve"> </w:t>
      </w:r>
      <w:r w:rsidR="00465754" w:rsidRPr="00C561BE">
        <w:t xml:space="preserve">The </w:t>
      </w:r>
      <w:r w:rsidR="00464FB7" w:rsidRPr="00C561BE">
        <w:t>S</w:t>
      </w:r>
      <w:r w:rsidR="00465754" w:rsidRPr="00C561BE">
        <w:t>ub</w:t>
      </w:r>
      <w:r w:rsidR="00FF1914">
        <w:noBreakHyphen/>
      </w:r>
      <w:r w:rsidR="00464FB7" w:rsidRPr="00C561BE">
        <w:t>C</w:t>
      </w:r>
      <w:r w:rsidR="00465754" w:rsidRPr="00C561BE">
        <w:t xml:space="preserve">ommittees agreed that there </w:t>
      </w:r>
      <w:r w:rsidR="004177BD" w:rsidRPr="00C561BE">
        <w:t>is an incr</w:t>
      </w:r>
      <w:r w:rsidR="00E802F9" w:rsidRPr="00C561BE">
        <w:t>e</w:t>
      </w:r>
      <w:r w:rsidR="004177BD" w:rsidRPr="00C561BE">
        <w:t>ased risk of AEs</w:t>
      </w:r>
      <w:r w:rsidR="008B6BA8" w:rsidRPr="00C561BE">
        <w:t xml:space="preserve"> of special interest with obinutuzumab treatment.</w:t>
      </w:r>
    </w:p>
    <w:p w14:paraId="4E9882A2" w14:textId="4E7FB989" w:rsidR="001C31A6" w:rsidRPr="00CE42B4" w:rsidRDefault="001C31A6" w:rsidP="001C31A6">
      <w:pPr>
        <w:pStyle w:val="3-BodyText"/>
        <w:rPr>
          <w:snapToGrid w:val="0"/>
        </w:rPr>
      </w:pPr>
      <w:bookmarkStart w:id="45" w:name="_Hlk76376200"/>
      <w:r w:rsidRPr="00CE42B4">
        <w:rPr>
          <w:iCs/>
          <w:snapToGrid w:val="0"/>
        </w:rPr>
        <w:t>The</w:t>
      </w:r>
      <w:r w:rsidRPr="00CE42B4">
        <w:rPr>
          <w:snapToGrid w:val="0"/>
        </w:rPr>
        <w:t xml:space="preserve"> PBAC considered that the claim of superior comparative effectiveness was reasonable.</w:t>
      </w:r>
    </w:p>
    <w:p w14:paraId="173E77B5" w14:textId="605C66C6" w:rsidR="001C31A6" w:rsidRPr="001C31A6" w:rsidRDefault="001C31A6" w:rsidP="001C31A6">
      <w:pPr>
        <w:pStyle w:val="3-BodyText"/>
        <w:rPr>
          <w:snapToGrid w:val="0"/>
        </w:rPr>
      </w:pPr>
      <w:r w:rsidRPr="00CE42B4">
        <w:rPr>
          <w:snapToGrid w:val="0"/>
        </w:rPr>
        <w:t>The PBAC considered that the claim of inferior</w:t>
      </w:r>
      <w:r w:rsidR="00A4342F">
        <w:rPr>
          <w:snapToGrid w:val="0"/>
        </w:rPr>
        <w:t xml:space="preserve"> </w:t>
      </w:r>
      <w:r w:rsidRPr="00CE42B4">
        <w:rPr>
          <w:snapToGrid w:val="0"/>
        </w:rPr>
        <w:t>comparative safety was reasonable.</w:t>
      </w:r>
      <w:bookmarkEnd w:id="45"/>
    </w:p>
    <w:p w14:paraId="703095FF" w14:textId="77777777" w:rsidR="006F0D5C" w:rsidRPr="0098262F" w:rsidRDefault="006F0D5C" w:rsidP="006F0D5C">
      <w:pPr>
        <w:pStyle w:val="4-SubsectionHeading"/>
      </w:pPr>
      <w:bookmarkStart w:id="46" w:name="_Toc22897645"/>
      <w:bookmarkStart w:id="47" w:name="_Toc218871173"/>
      <w:bookmarkStart w:id="48" w:name="_Toc219886552"/>
      <w:bookmarkStart w:id="49" w:name="_Toc22897646"/>
      <w:r w:rsidRPr="0098262F">
        <w:lastRenderedPageBreak/>
        <w:t>Economic analysis</w:t>
      </w:r>
      <w:bookmarkEnd w:id="46"/>
      <w:bookmarkEnd w:id="47"/>
      <w:bookmarkEnd w:id="48"/>
      <w:r w:rsidRPr="0098262F">
        <w:t xml:space="preserve"> </w:t>
      </w:r>
    </w:p>
    <w:p w14:paraId="12F74ACE" w14:textId="5E0E992D" w:rsidR="006F0D5C" w:rsidRPr="008539B0" w:rsidRDefault="006F0D5C" w:rsidP="006F0D5C">
      <w:pPr>
        <w:pStyle w:val="3-BodyText"/>
        <w:numPr>
          <w:ilvl w:val="1"/>
          <w:numId w:val="1"/>
        </w:numPr>
        <w:rPr>
          <w:color w:val="0066FF"/>
        </w:rPr>
      </w:pPr>
      <w:r w:rsidRPr="0098262F">
        <w:t xml:space="preserve">The submission presented a </w:t>
      </w:r>
      <w:r>
        <w:t>stepped</w:t>
      </w:r>
      <w:r w:rsidRPr="0098262F">
        <w:t xml:space="preserve"> </w:t>
      </w:r>
      <w:r>
        <w:t>cost</w:t>
      </w:r>
      <w:r w:rsidR="00FF1914">
        <w:noBreakHyphen/>
      </w:r>
      <w:r>
        <w:t>utility analysis</w:t>
      </w:r>
      <w:r w:rsidRPr="0098262F">
        <w:t xml:space="preserve"> </w:t>
      </w:r>
      <w:r>
        <w:t>of obinutuzumab plus standard therapy (</w:t>
      </w:r>
      <w:r w:rsidRPr="007668A4">
        <w:t>glucocorticoids and</w:t>
      </w:r>
      <w:r>
        <w:t xml:space="preserve"> </w:t>
      </w:r>
      <w:r w:rsidRPr="007668A4">
        <w:t>MMF</w:t>
      </w:r>
      <w:r>
        <w:t xml:space="preserve">) compared to standard therapy alone (herein obinutuzumab arm and SOC arm, respectively), primarily </w:t>
      </w:r>
      <w:r w:rsidRPr="0098262F">
        <w:t xml:space="preserve">based on </w:t>
      </w:r>
      <w:r>
        <w:t>the REGENCY trial, with long</w:t>
      </w:r>
      <w:r w:rsidR="00FF1914">
        <w:noBreakHyphen/>
      </w:r>
      <w:r>
        <w:t>term extrapolation based on observational data from the US</w:t>
      </w:r>
      <w:r w:rsidR="00FF1914">
        <w:noBreakHyphen/>
      </w:r>
      <w:r>
        <w:t xml:space="preserve">based </w:t>
      </w:r>
      <w:r w:rsidRPr="009F77A9">
        <w:t xml:space="preserve">Hopkins Lupus Cohort </w:t>
      </w:r>
      <w:r>
        <w:t>(Davidson et al., 2018</w:t>
      </w:r>
      <w:r>
        <w:rPr>
          <w:rStyle w:val="FootnoteReference"/>
        </w:rPr>
        <w:footnoteReference w:id="18"/>
      </w:r>
      <w:r>
        <w:t>) and Australia and New Zealand dialysis and transplant registry (ANZDATA 2024</w:t>
      </w:r>
      <w:r>
        <w:rPr>
          <w:rStyle w:val="FootnoteReference"/>
        </w:rPr>
        <w:footnoteReference w:id="19"/>
      </w:r>
      <w:r>
        <w:t>)</w:t>
      </w:r>
      <w:r w:rsidRPr="0098262F">
        <w:t>.</w:t>
      </w:r>
      <w:r>
        <w:t xml:space="preserve"> A summary of the key components is presented in </w:t>
      </w:r>
      <w:fldSimple w:instr=" REF _Ref218784275 ">
        <w:r w:rsidR="002255D9" w:rsidRPr="0098262F">
          <w:t xml:space="preserve">Table </w:t>
        </w:r>
        <w:r w:rsidR="002255D9">
          <w:rPr>
            <w:noProof/>
          </w:rPr>
          <w:t>6</w:t>
        </w:r>
      </w:fldSimple>
      <w:r>
        <w:t>.</w:t>
      </w:r>
      <w:r w:rsidRPr="009F3376">
        <w:rPr>
          <w:color w:val="0066FF"/>
        </w:rPr>
        <w:t xml:space="preserve"> </w:t>
      </w:r>
      <w:r w:rsidRPr="008539B0">
        <w:t>Many of the model components (including choice of data sources) were informed by an Institute for Clinical and Economic Review economic model (Tice 2021</w:t>
      </w:r>
      <w:r w:rsidRPr="008539B0">
        <w:rPr>
          <w:rStyle w:val="FootnoteReference"/>
        </w:rPr>
        <w:footnoteReference w:id="20"/>
      </w:r>
      <w:r w:rsidRPr="008539B0">
        <w:t>, published as Mandrik 2022</w:t>
      </w:r>
      <w:r w:rsidRPr="008539B0">
        <w:rPr>
          <w:rStyle w:val="FootnoteReference"/>
        </w:rPr>
        <w:footnoteReference w:id="21"/>
      </w:r>
      <w:r w:rsidRPr="008539B0">
        <w:t xml:space="preserve"> with costs later updated by Kennedy 2024</w:t>
      </w:r>
      <w:r w:rsidRPr="008539B0">
        <w:rPr>
          <w:rStyle w:val="FootnoteReference"/>
        </w:rPr>
        <w:footnoteReference w:id="22"/>
      </w:r>
      <w:r w:rsidRPr="008539B0">
        <w:t>), which compared voclosporin and belimumab for lupus nephritis.</w:t>
      </w:r>
    </w:p>
    <w:p w14:paraId="33FD7B5B" w14:textId="3DD1C7F9" w:rsidR="006F0D5C" w:rsidRPr="0098262F" w:rsidRDefault="006F0D5C" w:rsidP="006F0D5C">
      <w:pPr>
        <w:pStyle w:val="Caption"/>
        <w:jc w:val="left"/>
        <w:rPr>
          <w:rStyle w:val="CommentReference"/>
          <w:b/>
          <w:szCs w:val="24"/>
        </w:rPr>
      </w:pPr>
      <w:bookmarkStart w:id="50" w:name="_Ref218784275"/>
      <w:bookmarkStart w:id="51" w:name="_Hlk218787976"/>
      <w:r w:rsidRPr="0098262F">
        <w:t xml:space="preserve">Table </w:t>
      </w:r>
      <w:fldSimple w:instr=" SEQ Table \* ARABIC ">
        <w:r w:rsidR="002255D9">
          <w:rPr>
            <w:noProof/>
          </w:rPr>
          <w:t>6</w:t>
        </w:r>
      </w:fldSimple>
      <w:bookmarkEnd w:id="50"/>
      <w:r w:rsidRPr="0098262F">
        <w:t>:</w:t>
      </w:r>
      <w:r w:rsidRPr="0098262F">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6: Summary of model structure, key inputs and rationale"/>
      </w:tblPr>
      <w:tblGrid>
        <w:gridCol w:w="1271"/>
        <w:gridCol w:w="7746"/>
      </w:tblGrid>
      <w:tr w:rsidR="006F0D5C" w:rsidRPr="0098262F" w14:paraId="30F47439" w14:textId="77777777" w:rsidTr="0072568D">
        <w:trPr>
          <w:tblHeader/>
        </w:trPr>
        <w:tc>
          <w:tcPr>
            <w:tcW w:w="705" w:type="pct"/>
            <w:vAlign w:val="center"/>
          </w:tcPr>
          <w:bookmarkEnd w:id="51"/>
          <w:p w14:paraId="1E722695" w14:textId="77777777" w:rsidR="006F0D5C" w:rsidRPr="0098262F" w:rsidRDefault="006F0D5C" w:rsidP="0072568D">
            <w:pPr>
              <w:pStyle w:val="In-tableHeading"/>
              <w:keepNext w:val="0"/>
              <w:keepLines w:val="0"/>
              <w:rPr>
                <w:lang w:val="en-AU"/>
              </w:rPr>
            </w:pPr>
            <w:r w:rsidRPr="0098262F">
              <w:rPr>
                <w:lang w:val="en-AU"/>
              </w:rPr>
              <w:t>Component</w:t>
            </w:r>
          </w:p>
        </w:tc>
        <w:tc>
          <w:tcPr>
            <w:tcW w:w="4295" w:type="pct"/>
            <w:vAlign w:val="center"/>
          </w:tcPr>
          <w:p w14:paraId="1C3ED169" w14:textId="77777777" w:rsidR="006F0D5C" w:rsidRPr="0098262F" w:rsidRDefault="006F0D5C" w:rsidP="0072568D">
            <w:pPr>
              <w:pStyle w:val="In-tableHeading"/>
              <w:keepNext w:val="0"/>
              <w:keepLines w:val="0"/>
              <w:rPr>
                <w:lang w:val="en-AU"/>
              </w:rPr>
            </w:pPr>
            <w:r w:rsidRPr="0098262F">
              <w:rPr>
                <w:lang w:val="en-AU"/>
              </w:rPr>
              <w:t>Summary</w:t>
            </w:r>
          </w:p>
        </w:tc>
      </w:tr>
      <w:tr w:rsidR="006F0D5C" w:rsidRPr="0098262F" w14:paraId="0D42F295" w14:textId="77777777" w:rsidTr="0072568D">
        <w:tc>
          <w:tcPr>
            <w:tcW w:w="705" w:type="pct"/>
            <w:vAlign w:val="center"/>
          </w:tcPr>
          <w:p w14:paraId="2D1B88B3" w14:textId="77777777" w:rsidR="006F0D5C" w:rsidRPr="0098262F" w:rsidRDefault="006F0D5C" w:rsidP="0072568D">
            <w:pPr>
              <w:pStyle w:val="TableText0"/>
              <w:keepNext w:val="0"/>
              <w:keepLines w:val="0"/>
            </w:pPr>
            <w:r w:rsidRPr="0098262F">
              <w:t>Treatments</w:t>
            </w:r>
          </w:p>
        </w:tc>
        <w:tc>
          <w:tcPr>
            <w:tcW w:w="4295" w:type="pct"/>
            <w:vAlign w:val="center"/>
          </w:tcPr>
          <w:p w14:paraId="1457F447" w14:textId="77777777" w:rsidR="006F0D5C" w:rsidRPr="00D96C48" w:rsidRDefault="006F0D5C" w:rsidP="0072568D">
            <w:pPr>
              <w:pStyle w:val="TableText0"/>
              <w:keepNext w:val="0"/>
              <w:keepLines w:val="0"/>
            </w:pPr>
            <w:r w:rsidRPr="00D96C48">
              <w:t>Obinutuzumab plus SOC (obinutuzumab arm) vs SOC alone (SOC arm)</w:t>
            </w:r>
          </w:p>
        </w:tc>
      </w:tr>
      <w:tr w:rsidR="006F0D5C" w:rsidRPr="0098262F" w14:paraId="4414B46D" w14:textId="77777777" w:rsidTr="0072568D">
        <w:tc>
          <w:tcPr>
            <w:tcW w:w="705" w:type="pct"/>
            <w:vAlign w:val="center"/>
          </w:tcPr>
          <w:p w14:paraId="5C60E6BD" w14:textId="77777777" w:rsidR="006F0D5C" w:rsidRPr="0098262F" w:rsidRDefault="006F0D5C" w:rsidP="0072568D">
            <w:pPr>
              <w:pStyle w:val="TableText0"/>
              <w:keepNext w:val="0"/>
              <w:keepLines w:val="0"/>
            </w:pPr>
            <w:r w:rsidRPr="0098262F">
              <w:t>Time horizon</w:t>
            </w:r>
          </w:p>
        </w:tc>
        <w:tc>
          <w:tcPr>
            <w:tcW w:w="4295" w:type="pct"/>
            <w:vAlign w:val="center"/>
          </w:tcPr>
          <w:p w14:paraId="0C80CBBC" w14:textId="0FCB4A4C" w:rsidR="006F0D5C" w:rsidRPr="00D96C48" w:rsidRDefault="006F0D5C" w:rsidP="0072568D">
            <w:pPr>
              <w:pStyle w:val="TableText0"/>
              <w:keepNext w:val="0"/>
              <w:keepLines w:val="0"/>
            </w:pPr>
            <w:r w:rsidRPr="00D96C48">
              <w:t xml:space="preserve">20 years in the model base case versus 76 weeks in REGENCY. </w:t>
            </w:r>
            <w:r w:rsidRPr="00D96C48">
              <w:rPr>
                <w:lang w:eastAsia="en-US"/>
              </w:rPr>
              <w:t>There were few end</w:t>
            </w:r>
            <w:r w:rsidR="00FF1914">
              <w:rPr>
                <w:lang w:eastAsia="en-US"/>
              </w:rPr>
              <w:noBreakHyphen/>
            </w:r>
            <w:r w:rsidRPr="00D96C48">
              <w:rPr>
                <w:lang w:eastAsia="en-US"/>
              </w:rPr>
              <w:t>stage kidney disease (dialysis or transplant) events or deaths observed in REGENCY, and therefore the long</w:t>
            </w:r>
            <w:r w:rsidR="00FF1914">
              <w:rPr>
                <w:lang w:eastAsia="en-US"/>
              </w:rPr>
              <w:noBreakHyphen/>
            </w:r>
            <w:r w:rsidRPr="00D96C48">
              <w:rPr>
                <w:lang w:eastAsia="en-US"/>
              </w:rPr>
              <w:t>term modelling of these events was based on extrapolation from non</w:t>
            </w:r>
            <w:r w:rsidR="00FF1914">
              <w:rPr>
                <w:lang w:eastAsia="en-US"/>
              </w:rPr>
              <w:noBreakHyphen/>
            </w:r>
            <w:r w:rsidRPr="00D96C48">
              <w:rPr>
                <w:lang w:eastAsia="en-US"/>
              </w:rPr>
              <w:t xml:space="preserve">randomised data (4 years of data from the Hopkins Lupus cohort, 1 year of data from the ANZDATA). </w:t>
            </w:r>
            <w:r w:rsidRPr="00D96C48">
              <w:t>The PBAC had previously accepted a 15</w:t>
            </w:r>
            <w:r w:rsidR="00FF1914">
              <w:noBreakHyphen/>
            </w:r>
            <w:r w:rsidRPr="00D96C48">
              <w:t>year time horizon for anifrolumab in SLE with no active LN (para 7.10 anifrolumab PSD March 2024).</w:t>
            </w:r>
            <w:r w:rsidR="003A3DCA" w:rsidRPr="00D96C48">
              <w:t xml:space="preserve"> The </w:t>
            </w:r>
            <w:r w:rsidR="00705265" w:rsidRPr="00D96C48">
              <w:t>S</w:t>
            </w:r>
            <w:r w:rsidR="003A3DCA" w:rsidRPr="00D96C48">
              <w:t>ub</w:t>
            </w:r>
            <w:r w:rsidR="00FF1914">
              <w:noBreakHyphen/>
            </w:r>
            <w:r w:rsidR="00705265" w:rsidRPr="00D96C48">
              <w:t>C</w:t>
            </w:r>
            <w:r w:rsidR="003A3DCA" w:rsidRPr="00D96C48">
              <w:t>ommittees advised that a</w:t>
            </w:r>
            <w:r w:rsidR="000420C8" w:rsidRPr="00D96C48">
              <w:t xml:space="preserve"> shorter</w:t>
            </w:r>
            <w:r w:rsidR="003A3DCA" w:rsidRPr="00D96C48">
              <w:t xml:space="preserve"> 15 year time horizon was more appropriate, </w:t>
            </w:r>
            <w:r w:rsidR="000420C8" w:rsidRPr="00D96C48">
              <w:t>given the already considerabl</w:t>
            </w:r>
            <w:r w:rsidR="00DD53B9" w:rsidRPr="00D96C48">
              <w:t>e</w:t>
            </w:r>
            <w:r w:rsidR="000420C8" w:rsidRPr="00D96C48">
              <w:t xml:space="preserve"> uncertainty </w:t>
            </w:r>
            <w:r w:rsidR="00273368" w:rsidRPr="00D96C48">
              <w:t xml:space="preserve">of extrapolating from 76 week trial data. </w:t>
            </w:r>
          </w:p>
        </w:tc>
      </w:tr>
      <w:tr w:rsidR="006F0D5C" w:rsidRPr="0098262F" w14:paraId="24F79012" w14:textId="77777777" w:rsidTr="0072568D">
        <w:tc>
          <w:tcPr>
            <w:tcW w:w="705" w:type="pct"/>
            <w:vAlign w:val="center"/>
          </w:tcPr>
          <w:p w14:paraId="695A9E39" w14:textId="77777777" w:rsidR="006F0D5C" w:rsidRPr="0098262F" w:rsidRDefault="006F0D5C" w:rsidP="0072568D">
            <w:pPr>
              <w:pStyle w:val="TableText0"/>
              <w:keepNext w:val="0"/>
              <w:keepLines w:val="0"/>
            </w:pPr>
            <w:r w:rsidRPr="0098262F">
              <w:t>Outcomes</w:t>
            </w:r>
          </w:p>
        </w:tc>
        <w:tc>
          <w:tcPr>
            <w:tcW w:w="4295" w:type="pct"/>
            <w:vAlign w:val="center"/>
          </w:tcPr>
          <w:p w14:paraId="5474EEBC" w14:textId="36E444E6" w:rsidR="006F0D5C" w:rsidRPr="00D96C48" w:rsidRDefault="006F0D5C" w:rsidP="0072568D">
            <w:pPr>
              <w:pStyle w:val="TableText0"/>
              <w:keepNext w:val="0"/>
              <w:keepLines w:val="0"/>
            </w:pPr>
            <w:r w:rsidRPr="00D96C48">
              <w:rPr>
                <w:lang w:eastAsia="en-US"/>
              </w:rPr>
              <w:t>Costs, life years gained, quality</w:t>
            </w:r>
            <w:r w:rsidR="00FF1914">
              <w:rPr>
                <w:lang w:eastAsia="en-US"/>
              </w:rPr>
              <w:noBreakHyphen/>
            </w:r>
            <w:r w:rsidRPr="00D96C48">
              <w:rPr>
                <w:lang w:eastAsia="en-US"/>
              </w:rPr>
              <w:t>adjusted life years, transplants.</w:t>
            </w:r>
          </w:p>
        </w:tc>
      </w:tr>
      <w:tr w:rsidR="006F0D5C" w:rsidRPr="0098262F" w14:paraId="4A225638" w14:textId="77777777" w:rsidTr="0072568D">
        <w:tc>
          <w:tcPr>
            <w:tcW w:w="705" w:type="pct"/>
            <w:vAlign w:val="center"/>
          </w:tcPr>
          <w:p w14:paraId="485EB9FC" w14:textId="77777777" w:rsidR="006F0D5C" w:rsidRPr="0098262F" w:rsidRDefault="006F0D5C" w:rsidP="0072568D">
            <w:pPr>
              <w:pStyle w:val="TableText0"/>
              <w:keepNext w:val="0"/>
              <w:keepLines w:val="0"/>
            </w:pPr>
            <w:r w:rsidRPr="0098262F">
              <w:t>Methods used to generate results</w:t>
            </w:r>
          </w:p>
        </w:tc>
        <w:tc>
          <w:tcPr>
            <w:tcW w:w="4295" w:type="pct"/>
            <w:vAlign w:val="center"/>
          </w:tcPr>
          <w:p w14:paraId="7511E245" w14:textId="5D861C70" w:rsidR="006F0D5C" w:rsidRPr="00D96C48" w:rsidRDefault="006F0D5C" w:rsidP="0072568D">
            <w:pPr>
              <w:pStyle w:val="TableText0"/>
              <w:keepNext w:val="0"/>
              <w:keepLines w:val="0"/>
            </w:pPr>
            <w:r w:rsidRPr="00D96C48">
              <w:rPr>
                <w:lang w:eastAsia="en-US"/>
              </w:rPr>
              <w:t>Markov cohort model. The PBAC previously accepted a Markov model for SLE (para 7.8</w:t>
            </w:r>
            <w:r w:rsidR="00FF1914">
              <w:rPr>
                <w:lang w:eastAsia="en-US"/>
              </w:rPr>
              <w:noBreakHyphen/>
            </w:r>
            <w:r w:rsidRPr="00D96C48">
              <w:rPr>
                <w:lang w:eastAsia="en-US"/>
              </w:rPr>
              <w:t>7.9 anifrolumab PSD March 2024)</w:t>
            </w:r>
          </w:p>
        </w:tc>
      </w:tr>
      <w:tr w:rsidR="006F0D5C" w:rsidRPr="0098262F" w14:paraId="7F261487" w14:textId="77777777" w:rsidTr="0072568D">
        <w:tc>
          <w:tcPr>
            <w:tcW w:w="705" w:type="pct"/>
            <w:vAlign w:val="center"/>
          </w:tcPr>
          <w:p w14:paraId="22528494" w14:textId="77777777" w:rsidR="006F0D5C" w:rsidRPr="0098262F" w:rsidRDefault="006F0D5C" w:rsidP="0072568D">
            <w:pPr>
              <w:pStyle w:val="TableText0"/>
              <w:keepNext w:val="0"/>
              <w:keepLines w:val="0"/>
            </w:pPr>
            <w:r w:rsidRPr="0098262F">
              <w:t>Health states</w:t>
            </w:r>
          </w:p>
        </w:tc>
        <w:tc>
          <w:tcPr>
            <w:tcW w:w="4295" w:type="pct"/>
            <w:vAlign w:val="center"/>
          </w:tcPr>
          <w:p w14:paraId="52B4DA43" w14:textId="77777777" w:rsidR="006F0D5C" w:rsidRPr="00D96C48" w:rsidRDefault="006F0D5C" w:rsidP="0072568D">
            <w:pPr>
              <w:pStyle w:val="TableText0"/>
              <w:keepNext w:val="0"/>
              <w:keepLines w:val="0"/>
              <w:spacing w:line="256" w:lineRule="auto"/>
              <w:rPr>
                <w:lang w:eastAsia="en-US"/>
              </w:rPr>
            </w:pPr>
            <w:r w:rsidRPr="00D96C48">
              <w:rPr>
                <w:lang w:eastAsia="en-US"/>
              </w:rPr>
              <w:t>6 states: complete response (CR), partial response (PR), active disease (AD, model entry state), dialysis, transplant, death. These were similar to previously published economic models of LN.</w:t>
            </w:r>
          </w:p>
        </w:tc>
      </w:tr>
      <w:tr w:rsidR="006F0D5C" w:rsidRPr="0098262F" w14:paraId="3A9AB61D" w14:textId="77777777" w:rsidTr="0072568D">
        <w:tc>
          <w:tcPr>
            <w:tcW w:w="705" w:type="pct"/>
            <w:vAlign w:val="center"/>
          </w:tcPr>
          <w:p w14:paraId="72EE773A" w14:textId="77777777" w:rsidR="006F0D5C" w:rsidRPr="0098262F" w:rsidRDefault="006F0D5C" w:rsidP="0072568D">
            <w:pPr>
              <w:pStyle w:val="TableText0"/>
              <w:keepNext w:val="0"/>
              <w:keepLines w:val="0"/>
            </w:pPr>
            <w:r w:rsidRPr="0098262F">
              <w:t>Cycle length</w:t>
            </w:r>
          </w:p>
        </w:tc>
        <w:tc>
          <w:tcPr>
            <w:tcW w:w="4295" w:type="pct"/>
            <w:vAlign w:val="center"/>
          </w:tcPr>
          <w:p w14:paraId="4160D366" w14:textId="6E0337FF" w:rsidR="006F0D5C" w:rsidRPr="00D96C48" w:rsidRDefault="006F0D5C" w:rsidP="0072568D">
            <w:pPr>
              <w:pStyle w:val="TableText0"/>
              <w:keepNext w:val="0"/>
              <w:keepLines w:val="0"/>
            </w:pPr>
            <w:r w:rsidRPr="00D96C48">
              <w:rPr>
                <w:lang w:eastAsia="en-US"/>
              </w:rPr>
              <w:t>6 months, with half</w:t>
            </w:r>
            <w:r w:rsidR="00FF1914">
              <w:rPr>
                <w:lang w:eastAsia="en-US"/>
              </w:rPr>
              <w:noBreakHyphen/>
            </w:r>
            <w:r w:rsidRPr="00D96C48">
              <w:rPr>
                <w:lang w:eastAsia="en-US"/>
              </w:rPr>
              <w:t xml:space="preserve">cycle correction for outcomes and health state costs, except treatment costs in the first cycle. LN status may vary over 6 months, so the model cycle length may not capture all events. It </w:t>
            </w:r>
            <w:r w:rsidR="00986345" w:rsidRPr="00D96C48">
              <w:rPr>
                <w:lang w:eastAsia="en-US"/>
              </w:rPr>
              <w:t xml:space="preserve">was </w:t>
            </w:r>
            <w:r w:rsidR="0046343B" w:rsidRPr="00D96C48">
              <w:rPr>
                <w:lang w:eastAsia="en-US"/>
              </w:rPr>
              <w:t xml:space="preserve">incorrect </w:t>
            </w:r>
            <w:r w:rsidRPr="00D96C48">
              <w:rPr>
                <w:lang w:eastAsia="en-US"/>
              </w:rPr>
              <w:t>to apply half</w:t>
            </w:r>
            <w:r w:rsidR="00FF1914">
              <w:rPr>
                <w:lang w:eastAsia="en-US"/>
              </w:rPr>
              <w:noBreakHyphen/>
            </w:r>
            <w:r w:rsidRPr="00D96C48">
              <w:rPr>
                <w:lang w:eastAsia="en-US"/>
              </w:rPr>
              <w:t>cycle correction to obinutuzumab treatment costs in any cycle, based on the timing of treatment in REGENCY.</w:t>
            </w:r>
          </w:p>
        </w:tc>
      </w:tr>
      <w:tr w:rsidR="006F0D5C" w:rsidRPr="0098262F" w14:paraId="013A566E" w14:textId="77777777" w:rsidTr="0072568D">
        <w:tc>
          <w:tcPr>
            <w:tcW w:w="705" w:type="pct"/>
            <w:vAlign w:val="center"/>
          </w:tcPr>
          <w:p w14:paraId="32749F20" w14:textId="77777777" w:rsidR="002255D9" w:rsidRPr="002255D9" w:rsidRDefault="006F0D5C" w:rsidP="002255D9">
            <w:pPr>
              <w:pStyle w:val="TableText0"/>
            </w:pPr>
            <w:r w:rsidRPr="0098262F">
              <w:lastRenderedPageBreak/>
              <w:t>Transition probabilities</w:t>
            </w:r>
            <w:r>
              <w:t xml:space="preserve"> (see </w:t>
            </w:r>
            <w:r>
              <w:fldChar w:fldCharType="begin"/>
            </w:r>
            <w:r>
              <w:instrText xml:space="preserve"> REF _Ref218846649 \h </w:instrText>
            </w:r>
            <w:r w:rsidR="008539B0">
              <w:instrText xml:space="preserve"> \* MERGEFORMAT </w:instrText>
            </w:r>
            <w:r>
              <w:fldChar w:fldCharType="separate"/>
            </w:r>
          </w:p>
          <w:p w14:paraId="5C494A01" w14:textId="66D6F074" w:rsidR="006F0D5C" w:rsidRPr="0098262F" w:rsidRDefault="002255D9" w:rsidP="0072568D">
            <w:pPr>
              <w:pStyle w:val="TableText0"/>
              <w:keepNext w:val="0"/>
              <w:keepLines w:val="0"/>
            </w:pPr>
            <w:r w:rsidRPr="0098262F">
              <w:t>Table</w:t>
            </w:r>
            <w:r w:rsidRPr="0098262F">
              <w:rPr>
                <w:noProof/>
              </w:rPr>
              <w:t xml:space="preserve"> </w:t>
            </w:r>
            <w:r>
              <w:rPr>
                <w:noProof/>
              </w:rPr>
              <w:t>8</w:t>
            </w:r>
            <w:r w:rsidR="006F0D5C">
              <w:fldChar w:fldCharType="end"/>
            </w:r>
            <w:r w:rsidR="006F0D5C">
              <w:t>)</w:t>
            </w:r>
          </w:p>
        </w:tc>
        <w:tc>
          <w:tcPr>
            <w:tcW w:w="4295" w:type="pct"/>
            <w:vAlign w:val="center"/>
          </w:tcPr>
          <w:p w14:paraId="02A8EF8B" w14:textId="1930A86D" w:rsidR="006F0D5C" w:rsidRPr="00D96C48" w:rsidRDefault="006F0D5C" w:rsidP="0072568D">
            <w:pPr>
              <w:pStyle w:val="TableText0"/>
              <w:keepNext w:val="0"/>
              <w:keepLines w:val="0"/>
              <w:spacing w:line="256" w:lineRule="auto"/>
              <w:rPr>
                <w:lang w:eastAsia="en-US"/>
              </w:rPr>
            </w:pPr>
            <w:r w:rsidRPr="00D96C48">
              <w:rPr>
                <w:lang w:eastAsia="en-US"/>
              </w:rPr>
              <w:t>Months 0</w:t>
            </w:r>
            <w:r w:rsidR="00FF1914">
              <w:rPr>
                <w:lang w:eastAsia="en-US"/>
              </w:rPr>
              <w:noBreakHyphen/>
            </w:r>
            <w:r w:rsidRPr="00D96C48">
              <w:rPr>
                <w:lang w:eastAsia="en-US"/>
              </w:rPr>
              <w:t>18: percentages from REGENCY Weeks 0</w:t>
            </w:r>
            <w:r w:rsidR="00FF1914">
              <w:rPr>
                <w:lang w:eastAsia="en-US"/>
              </w:rPr>
              <w:noBreakHyphen/>
            </w:r>
            <w:r w:rsidRPr="00D96C48">
              <w:rPr>
                <w:lang w:eastAsia="en-US"/>
              </w:rPr>
              <w:t>76.</w:t>
            </w:r>
          </w:p>
          <w:p w14:paraId="25FA5F8B" w14:textId="77777777" w:rsidR="006F0D5C" w:rsidRPr="00D96C48" w:rsidRDefault="006F0D5C" w:rsidP="0072568D">
            <w:pPr>
              <w:pStyle w:val="TableText0"/>
              <w:keepNext w:val="0"/>
              <w:keepLines w:val="0"/>
              <w:spacing w:line="256" w:lineRule="auto"/>
              <w:rPr>
                <w:lang w:eastAsia="en-US"/>
              </w:rPr>
            </w:pPr>
            <w:r w:rsidRPr="00D96C48">
              <w:rPr>
                <w:lang w:eastAsia="en-US"/>
              </w:rPr>
              <w:t xml:space="preserve">Months 19 onwards: </w:t>
            </w:r>
          </w:p>
          <w:p w14:paraId="11302C3F" w14:textId="4F9DF288" w:rsidR="006F0D5C" w:rsidRPr="00D96C48" w:rsidRDefault="006F0D5C" w:rsidP="004B0ABD">
            <w:pPr>
              <w:pStyle w:val="TableText0"/>
              <w:keepNext w:val="0"/>
              <w:keepLines w:val="0"/>
              <w:numPr>
                <w:ilvl w:val="0"/>
                <w:numId w:val="10"/>
              </w:numPr>
              <w:spacing w:line="256" w:lineRule="auto"/>
              <w:ind w:left="137" w:hanging="142"/>
              <w:rPr>
                <w:lang w:eastAsia="en-US"/>
              </w:rPr>
            </w:pPr>
            <w:r w:rsidRPr="00D96C48">
              <w:rPr>
                <w:u w:val="single"/>
                <w:lang w:eastAsia="en-US"/>
              </w:rPr>
              <w:t>Response:</w:t>
            </w:r>
            <w:r w:rsidRPr="00D96C48">
              <w:rPr>
                <w:lang w:eastAsia="en-US"/>
              </w:rPr>
              <w:t xml:space="preserve"> From Month 19, the model fixed each patient’s health state (AD, PR, or CR) based on their Month 18 response. No further transitions between these health states were allowed. The submission assumed that patients continued to accrue AD/PR/CR costs and utilities until they transitioned to dialysis, transplant, or death, although this was not well supported by the submission. For patients in CR and PR, the likelihoods of leaving these states were minimal.</w:t>
            </w:r>
            <w:r w:rsidR="003D65BD" w:rsidRPr="00D96C48">
              <w:rPr>
                <w:rFonts w:ascii="Calibri" w:eastAsia="Times New Roman" w:hAnsi="Calibri" w:cs="Arial"/>
                <w:bCs w:val="0"/>
                <w:sz w:val="24"/>
              </w:rPr>
              <w:t xml:space="preserve"> </w:t>
            </w:r>
            <w:r w:rsidR="003D65BD" w:rsidRPr="00D96C48">
              <w:rPr>
                <w:lang w:eastAsia="en-US"/>
              </w:rPr>
              <w:t xml:space="preserve">The </w:t>
            </w:r>
            <w:r w:rsidR="00705265" w:rsidRPr="00D96C48">
              <w:rPr>
                <w:lang w:eastAsia="en-US"/>
              </w:rPr>
              <w:t>S</w:t>
            </w:r>
            <w:r w:rsidR="003D65BD" w:rsidRPr="00D96C48">
              <w:rPr>
                <w:lang w:eastAsia="en-US"/>
              </w:rPr>
              <w:t>ub</w:t>
            </w:r>
            <w:r w:rsidR="00FF1914">
              <w:rPr>
                <w:lang w:eastAsia="en-US"/>
              </w:rPr>
              <w:noBreakHyphen/>
            </w:r>
            <w:r w:rsidR="00705265" w:rsidRPr="00D96C48">
              <w:rPr>
                <w:lang w:eastAsia="en-US"/>
              </w:rPr>
              <w:t>C</w:t>
            </w:r>
            <w:r w:rsidR="003D65BD" w:rsidRPr="00D96C48">
              <w:rPr>
                <w:lang w:eastAsia="en-US"/>
              </w:rPr>
              <w:t>ommittees noted that this assumption means that responders at Month 18 had lower rates of dialysis and death, lower health state costs and higher utilities, applied across the time horizon.</w:t>
            </w:r>
          </w:p>
          <w:p w14:paraId="001E21B7" w14:textId="77777777" w:rsidR="006F0D5C" w:rsidRPr="00D96C48" w:rsidRDefault="006F0D5C" w:rsidP="004B0ABD">
            <w:pPr>
              <w:pStyle w:val="TableText0"/>
              <w:keepNext w:val="0"/>
              <w:keepLines w:val="0"/>
              <w:numPr>
                <w:ilvl w:val="0"/>
                <w:numId w:val="10"/>
              </w:numPr>
              <w:spacing w:line="256" w:lineRule="auto"/>
              <w:ind w:left="137" w:hanging="142"/>
              <w:rPr>
                <w:lang w:eastAsia="en-US"/>
              </w:rPr>
            </w:pPr>
            <w:r w:rsidRPr="00D96C48">
              <w:rPr>
                <w:u w:val="single"/>
                <w:lang w:eastAsia="en-US"/>
              </w:rPr>
              <w:t>Mortality from AD, PR, CR</w:t>
            </w:r>
            <w:r w:rsidRPr="00D96C48">
              <w:rPr>
                <w:lang w:eastAsia="en-US"/>
              </w:rPr>
              <w:t>: REGENCY pooled data (could not be verified).</w:t>
            </w:r>
          </w:p>
          <w:p w14:paraId="1F001F22" w14:textId="344E33B4" w:rsidR="006F0D5C" w:rsidRPr="00D96C48" w:rsidRDefault="006F0D5C" w:rsidP="004B0ABD">
            <w:pPr>
              <w:pStyle w:val="TableText0"/>
              <w:keepNext w:val="0"/>
              <w:keepLines w:val="0"/>
              <w:numPr>
                <w:ilvl w:val="0"/>
                <w:numId w:val="10"/>
              </w:numPr>
              <w:spacing w:line="256" w:lineRule="auto"/>
              <w:ind w:left="137" w:hanging="142"/>
              <w:rPr>
                <w:lang w:eastAsia="en-US"/>
              </w:rPr>
            </w:pPr>
            <w:r w:rsidRPr="00D96C48">
              <w:rPr>
                <w:u w:val="single"/>
                <w:lang w:eastAsia="en-US"/>
              </w:rPr>
              <w:t>Probability of dialysis from AD</w:t>
            </w:r>
            <w:r w:rsidRPr="00D96C48">
              <w:rPr>
                <w:lang w:eastAsia="en-US"/>
              </w:rPr>
              <w:t>: Davidson 2018 at Year 4 with mortality removed (assumed 50% from Chen 2008), converted to 6</w:t>
            </w:r>
            <w:r w:rsidR="00FF1914">
              <w:rPr>
                <w:lang w:eastAsia="en-US"/>
              </w:rPr>
              <w:noBreakHyphen/>
            </w:r>
            <w:r w:rsidRPr="00D96C48">
              <w:rPr>
                <w:lang w:eastAsia="en-US"/>
              </w:rPr>
              <w:t xml:space="preserve">month probability. </w:t>
            </w:r>
            <w:r w:rsidRPr="00D96C48">
              <w:rPr>
                <w:u w:val="single"/>
                <w:lang w:eastAsia="en-US"/>
              </w:rPr>
              <w:t>Probability of dialysis from CR/PR when receiving SOC</w:t>
            </w:r>
            <w:r w:rsidRPr="00D96C48">
              <w:rPr>
                <w:lang w:eastAsia="en-US"/>
              </w:rPr>
              <w:t xml:space="preserve">: AD to dialysis probabilities with Davidson 2018 HR 0.254 applied. </w:t>
            </w:r>
            <w:r w:rsidRPr="00D96C48">
              <w:rPr>
                <w:u w:val="single"/>
                <w:lang w:eastAsia="en-US"/>
              </w:rPr>
              <w:t>Probability of dialysis from CR/PR when receiving OBI</w:t>
            </w:r>
            <w:r w:rsidRPr="00D96C48">
              <w:rPr>
                <w:lang w:eastAsia="en-US"/>
              </w:rPr>
              <w:t xml:space="preserve">: Same as SOC with an additional HR 0.44 applied (based on time to LN flares between obinutuzumab and placebo arms in REGENCY Weeks 24 to 76). </w:t>
            </w:r>
            <w:r w:rsidR="008C48F9" w:rsidRPr="00D96C48">
              <w:rPr>
                <w:lang w:eastAsia="en-US"/>
              </w:rPr>
              <w:t>The evaluation considered that t</w:t>
            </w:r>
            <w:r w:rsidRPr="00D96C48">
              <w:rPr>
                <w:lang w:eastAsia="en-US"/>
              </w:rPr>
              <w:t>he use of REGENCY flare rates to predict additional benefit of obinutuzumab on dialysis risk was not well justified.</w:t>
            </w:r>
            <w:r w:rsidR="00FF1914">
              <w:t xml:space="preserve"> </w:t>
            </w:r>
            <w:r w:rsidR="00B071B1" w:rsidRPr="00D96C48">
              <w:t xml:space="preserve">The </w:t>
            </w:r>
            <w:r w:rsidR="007C0C92" w:rsidRPr="00D96C48">
              <w:t>S</w:t>
            </w:r>
            <w:r w:rsidR="00B071B1" w:rsidRPr="00D96C48">
              <w:t>ub</w:t>
            </w:r>
            <w:r w:rsidR="00FF1914">
              <w:noBreakHyphen/>
            </w:r>
            <w:r w:rsidR="007C0C92" w:rsidRPr="00D96C48">
              <w:t>C</w:t>
            </w:r>
            <w:r w:rsidR="00B071B1" w:rsidRPr="00D96C48">
              <w:t xml:space="preserve">ommittees </w:t>
            </w:r>
            <w:r w:rsidR="00B071B1" w:rsidRPr="00D96C48">
              <w:rPr>
                <w:lang w:eastAsia="en-US"/>
              </w:rPr>
              <w:t xml:space="preserve">agreed that it was not well justified to </w:t>
            </w:r>
            <w:r w:rsidR="00593420" w:rsidRPr="00D96C48">
              <w:rPr>
                <w:lang w:eastAsia="en-US"/>
              </w:rPr>
              <w:t xml:space="preserve">apply an additional </w:t>
            </w:r>
            <w:r w:rsidR="00B071B1" w:rsidRPr="00D96C48">
              <w:rPr>
                <w:lang w:eastAsia="en-US"/>
              </w:rPr>
              <w:t xml:space="preserve">treatment benefit of </w:t>
            </w:r>
            <w:r w:rsidR="000420C8" w:rsidRPr="00D96C48">
              <w:rPr>
                <w:lang w:eastAsia="en-US"/>
              </w:rPr>
              <w:t xml:space="preserve">reduced dialysis from </w:t>
            </w:r>
            <w:r w:rsidR="00B071B1" w:rsidRPr="00D96C48">
              <w:rPr>
                <w:lang w:eastAsia="en-US"/>
              </w:rPr>
              <w:t xml:space="preserve">obinutuzumab versus SOC for responders, based </w:t>
            </w:r>
            <w:r w:rsidR="00593420" w:rsidRPr="00D96C48">
              <w:rPr>
                <w:lang w:eastAsia="en-US"/>
              </w:rPr>
              <w:t xml:space="preserve">on the HR </w:t>
            </w:r>
            <w:r w:rsidR="00B071B1" w:rsidRPr="00D96C48">
              <w:rPr>
                <w:lang w:eastAsia="en-US"/>
              </w:rPr>
              <w:t>for flares across treatment arms</w:t>
            </w:r>
            <w:r w:rsidR="000420C8" w:rsidRPr="00D96C48">
              <w:rPr>
                <w:lang w:eastAsia="en-US"/>
              </w:rPr>
              <w:t xml:space="preserve">. </w:t>
            </w:r>
          </w:p>
          <w:p w14:paraId="62B710ED" w14:textId="22C20BE0" w:rsidR="006F0D5C" w:rsidRPr="00D96C48" w:rsidRDefault="006F0D5C" w:rsidP="004B0ABD">
            <w:pPr>
              <w:pStyle w:val="TableText0"/>
              <w:keepNext w:val="0"/>
              <w:keepLines w:val="0"/>
              <w:numPr>
                <w:ilvl w:val="0"/>
                <w:numId w:val="10"/>
              </w:numPr>
              <w:spacing w:line="256" w:lineRule="auto"/>
              <w:ind w:left="114" w:hanging="142"/>
              <w:rPr>
                <w:lang w:eastAsia="en-US"/>
              </w:rPr>
            </w:pPr>
            <w:r w:rsidRPr="00D96C48">
              <w:rPr>
                <w:u w:val="single"/>
                <w:lang w:eastAsia="en-US"/>
              </w:rPr>
              <w:t>Probability of transplant, dialysis or death from dialysis or transplant</w:t>
            </w:r>
            <w:r w:rsidRPr="00D96C48">
              <w:rPr>
                <w:lang w:eastAsia="en-US"/>
              </w:rPr>
              <w:t>: ANZDATA 47</w:t>
            </w:r>
            <w:r w:rsidRPr="00D96C48">
              <w:rPr>
                <w:vertAlign w:val="superscript"/>
                <w:lang w:eastAsia="en-US"/>
              </w:rPr>
              <w:t>th</w:t>
            </w:r>
            <w:r w:rsidRPr="00D96C48">
              <w:rPr>
                <w:lang w:eastAsia="en-US"/>
              </w:rPr>
              <w:t xml:space="preserve"> Annual report (Chapters 4, 5 and 7). The mortality rate from dialysis could not be verified in the ANZDATA report and appeared to be underestimated compared to the source. This is discussed further in the error</w:t>
            </w:r>
            <w:r w:rsidR="00FF1914">
              <w:rPr>
                <w:lang w:eastAsia="en-US"/>
              </w:rPr>
              <w:noBreakHyphen/>
            </w:r>
            <w:r w:rsidRPr="00D96C48">
              <w:rPr>
                <w:lang w:eastAsia="en-US"/>
              </w:rPr>
              <w:t xml:space="preserve">corrected base case below. </w:t>
            </w:r>
          </w:p>
          <w:p w14:paraId="24113774" w14:textId="77777777" w:rsidR="006F0D5C" w:rsidRPr="00D96C48" w:rsidRDefault="006F0D5C" w:rsidP="004B0ABD">
            <w:pPr>
              <w:pStyle w:val="TableText0"/>
              <w:keepNext w:val="0"/>
              <w:keepLines w:val="0"/>
              <w:numPr>
                <w:ilvl w:val="0"/>
                <w:numId w:val="10"/>
              </w:numPr>
              <w:spacing w:line="256" w:lineRule="auto"/>
              <w:ind w:left="114" w:hanging="142"/>
              <w:rPr>
                <w:lang w:eastAsia="en-US"/>
              </w:rPr>
            </w:pPr>
            <w:r w:rsidRPr="00D96C48">
              <w:rPr>
                <w:lang w:eastAsia="en-US"/>
              </w:rPr>
              <w:t>General population mortality was added to all mortality rates per cycle.</w:t>
            </w:r>
          </w:p>
          <w:p w14:paraId="4389316F" w14:textId="256573F3" w:rsidR="006F0D5C" w:rsidRPr="00D96C48" w:rsidRDefault="006F0D5C" w:rsidP="0072568D">
            <w:pPr>
              <w:pStyle w:val="TableText0"/>
              <w:keepNext w:val="0"/>
              <w:keepLines w:val="0"/>
            </w:pPr>
            <w:r w:rsidRPr="00D96C48">
              <w:rPr>
                <w:u w:val="single"/>
                <w:lang w:eastAsia="en-US"/>
              </w:rPr>
              <w:t>Time on obinutuzumab</w:t>
            </w:r>
            <w:r w:rsidRPr="00D96C48">
              <w:rPr>
                <w:lang w:eastAsia="en-US"/>
              </w:rPr>
              <w:t>: per cycle 6.8% discontinuation rate applied in Months 0</w:t>
            </w:r>
            <w:r w:rsidR="00FF1914">
              <w:rPr>
                <w:lang w:eastAsia="en-US"/>
              </w:rPr>
              <w:noBreakHyphen/>
            </w:r>
            <w:r w:rsidRPr="00D96C48">
              <w:rPr>
                <w:lang w:eastAsia="en-US"/>
              </w:rPr>
              <w:t>18 for AD, Months 0</w:t>
            </w:r>
            <w:r w:rsidR="00FF1914">
              <w:rPr>
                <w:lang w:eastAsia="en-US"/>
              </w:rPr>
              <w:noBreakHyphen/>
            </w:r>
            <w:r w:rsidRPr="00D96C48">
              <w:rPr>
                <w:lang w:eastAsia="en-US"/>
              </w:rPr>
              <w:t>36 for CR/PR, 100% patients discontinue obinutuzumab thereafter.</w:t>
            </w:r>
          </w:p>
        </w:tc>
      </w:tr>
      <w:tr w:rsidR="006F0D5C" w:rsidRPr="0098262F" w14:paraId="102274FF" w14:textId="77777777" w:rsidTr="0072568D">
        <w:tc>
          <w:tcPr>
            <w:tcW w:w="705" w:type="pct"/>
            <w:vAlign w:val="center"/>
          </w:tcPr>
          <w:p w14:paraId="36126B0A" w14:textId="77777777" w:rsidR="006F0D5C" w:rsidRPr="0098262F" w:rsidRDefault="006F0D5C" w:rsidP="0072568D">
            <w:pPr>
              <w:pStyle w:val="TableText0"/>
              <w:keepNext w:val="0"/>
              <w:keepLines w:val="0"/>
            </w:pPr>
            <w:r w:rsidRPr="0098262F">
              <w:t>Health related quality of life</w:t>
            </w:r>
          </w:p>
        </w:tc>
        <w:tc>
          <w:tcPr>
            <w:tcW w:w="4295" w:type="pct"/>
            <w:vAlign w:val="center"/>
          </w:tcPr>
          <w:p w14:paraId="7BA1377F" w14:textId="362D2822" w:rsidR="006F0D5C" w:rsidRPr="00D96C48" w:rsidRDefault="006F0D5C" w:rsidP="0072568D">
            <w:pPr>
              <w:pStyle w:val="TableText0"/>
              <w:keepNext w:val="0"/>
              <w:keepLines w:val="0"/>
              <w:spacing w:line="256" w:lineRule="auto"/>
              <w:rPr>
                <w:lang w:eastAsia="en-US"/>
              </w:rPr>
            </w:pPr>
            <w:r w:rsidRPr="008539B0">
              <w:rPr>
                <w:u w:val="single"/>
                <w:lang w:eastAsia="en-US"/>
              </w:rPr>
              <w:t>Utilit</w:t>
            </w:r>
            <w:r w:rsidR="00BE11C2" w:rsidRPr="008539B0">
              <w:rPr>
                <w:u w:val="single"/>
                <w:lang w:eastAsia="en-US"/>
              </w:rPr>
              <w:t>ies</w:t>
            </w:r>
            <w:r w:rsidRPr="008539B0">
              <w:rPr>
                <w:u w:val="single"/>
                <w:lang w:eastAsia="en-US"/>
              </w:rPr>
              <w:t xml:space="preserve"> for </w:t>
            </w:r>
            <w:r w:rsidRPr="00D96C48">
              <w:rPr>
                <w:u w:val="single"/>
                <w:lang w:eastAsia="en-US"/>
              </w:rPr>
              <w:t>AD, PR and CR</w:t>
            </w:r>
            <w:r w:rsidRPr="00D96C48">
              <w:rPr>
                <w:lang w:eastAsia="en-US"/>
              </w:rPr>
              <w:t xml:space="preserve">: were taken from Mandrik 2022 (AD 0.624, PR 0.710, CR 0.800). The CR value was originally from Bexelius 2013, and PR and AD were derived by applying utility decrements between health states from Mohara 2014. The submission reasonably did not use REGENCY utilities because REGENCY reported higher utility in AD and PR than in CR, which was not clinically plausible. The Mohara 2014 decrements were applied additively to the Bexelius 2013 values; this may not be appropriate and may have overestimated the utility difference between CR, PR and AD. </w:t>
            </w:r>
          </w:p>
          <w:p w14:paraId="72DAF8C5" w14:textId="77777777" w:rsidR="006F0D5C" w:rsidRPr="00D96C48" w:rsidRDefault="006F0D5C" w:rsidP="0072568D">
            <w:pPr>
              <w:pStyle w:val="TableText0"/>
              <w:keepNext w:val="0"/>
              <w:keepLines w:val="0"/>
              <w:spacing w:line="256" w:lineRule="auto"/>
              <w:rPr>
                <w:lang w:eastAsia="en-US"/>
              </w:rPr>
            </w:pPr>
          </w:p>
          <w:p w14:paraId="5586A4A9" w14:textId="5095527A" w:rsidR="006F0D5C" w:rsidRPr="00D96C48" w:rsidRDefault="006F0D5C" w:rsidP="0072568D">
            <w:pPr>
              <w:pStyle w:val="TableText0"/>
              <w:keepNext w:val="0"/>
              <w:keepLines w:val="0"/>
              <w:spacing w:line="256" w:lineRule="auto"/>
              <w:rPr>
                <w:lang w:eastAsia="en-US"/>
              </w:rPr>
            </w:pPr>
            <w:r w:rsidRPr="00D96C48">
              <w:rPr>
                <w:u w:val="single"/>
                <w:lang w:eastAsia="en-US"/>
              </w:rPr>
              <w:t>Utility for dialysis:</w:t>
            </w:r>
            <w:r w:rsidRPr="00D96C48">
              <w:rPr>
                <w:lang w:eastAsia="en-US"/>
              </w:rPr>
              <w:t xml:space="preserve"> A weighted dialysis utility of 0.455 was applied, based on Lee 2005 (peritoneal dialysis 0.53; haemodialysis 0.44) and weighted using ANZDATA dialysis modality prevalence. This</w:t>
            </w:r>
            <w:r w:rsidR="00C651E6" w:rsidRPr="00D96C48">
              <w:rPr>
                <w:lang w:eastAsia="en-US"/>
              </w:rPr>
              <w:t xml:space="preserve"> was</w:t>
            </w:r>
            <w:r w:rsidRPr="00D96C48">
              <w:rPr>
                <w:lang w:eastAsia="en-US"/>
              </w:rPr>
              <w:t xml:space="preserve"> corrected</w:t>
            </w:r>
            <w:r w:rsidR="00C651E6" w:rsidRPr="00D96C48">
              <w:rPr>
                <w:lang w:eastAsia="en-US"/>
              </w:rPr>
              <w:t xml:space="preserve"> during evaluation as</w:t>
            </w:r>
            <w:r w:rsidRPr="00D96C48">
              <w:rPr>
                <w:lang w:eastAsia="en-US"/>
              </w:rPr>
              <w:t xml:space="preserve"> the submission reversed the peritoneal and haemodialysis utilities and therefore overestimated the weighted dialysis utility (0.515 in the submission versus 0.455 after correction).</w:t>
            </w:r>
          </w:p>
          <w:p w14:paraId="2967D46B" w14:textId="77777777" w:rsidR="006F0D5C" w:rsidRPr="00D96C48" w:rsidRDefault="006F0D5C" w:rsidP="0072568D">
            <w:pPr>
              <w:pStyle w:val="TableText0"/>
              <w:keepNext w:val="0"/>
              <w:keepLines w:val="0"/>
              <w:spacing w:line="256" w:lineRule="auto"/>
              <w:rPr>
                <w:lang w:eastAsia="en-US"/>
              </w:rPr>
            </w:pPr>
          </w:p>
          <w:p w14:paraId="0F4CCB5D" w14:textId="1AC7F791" w:rsidR="006F0D5C" w:rsidRPr="0098262F" w:rsidRDefault="006F0D5C" w:rsidP="0072568D">
            <w:pPr>
              <w:pStyle w:val="TableText0"/>
              <w:keepNext w:val="0"/>
              <w:keepLines w:val="0"/>
            </w:pPr>
            <w:r w:rsidRPr="00D96C48">
              <w:rPr>
                <w:u w:val="single"/>
                <w:lang w:eastAsia="en-US"/>
              </w:rPr>
              <w:t>One</w:t>
            </w:r>
            <w:r w:rsidR="00FF1914">
              <w:rPr>
                <w:u w:val="single"/>
                <w:lang w:eastAsia="en-US"/>
              </w:rPr>
              <w:noBreakHyphen/>
            </w:r>
            <w:r w:rsidRPr="00D96C48">
              <w:rPr>
                <w:u w:val="single"/>
                <w:lang w:eastAsia="en-US"/>
              </w:rPr>
              <w:t xml:space="preserve">off QALY loss for transition to dialysis: </w:t>
            </w:r>
            <w:r w:rsidRPr="00D96C48">
              <w:rPr>
                <w:lang w:eastAsia="en-US"/>
              </w:rPr>
              <w:t>A one</w:t>
            </w:r>
            <w:r w:rsidR="00FF1914">
              <w:rPr>
                <w:lang w:eastAsia="en-US"/>
              </w:rPr>
              <w:noBreakHyphen/>
            </w:r>
            <w:r w:rsidRPr="00D96C48">
              <w:rPr>
                <w:lang w:eastAsia="en-US"/>
              </w:rPr>
              <w:t>off QALY loss was applied for patients moving from CR/PR to dialysis, estimated as the difference between CR (or PR) and AD utilities multiplied by 1.206 years (assumed time spent in AD after Month 18 for those progressing to dialysis). As very few patients moved from CR/PR to dialysis, this decrement had little impact on the ICER.</w:t>
            </w:r>
            <w:r w:rsidR="00C40776" w:rsidRPr="00D96C48">
              <w:t xml:space="preserve"> </w:t>
            </w:r>
            <w:r w:rsidR="00C40776" w:rsidRPr="00D96C48">
              <w:rPr>
                <w:lang w:eastAsia="en-US"/>
              </w:rPr>
              <w:t xml:space="preserve">The </w:t>
            </w:r>
            <w:r w:rsidR="007C0C92" w:rsidRPr="00D96C48">
              <w:rPr>
                <w:lang w:eastAsia="en-US"/>
              </w:rPr>
              <w:t>S</w:t>
            </w:r>
            <w:r w:rsidR="00C40776" w:rsidRPr="00D96C48">
              <w:rPr>
                <w:lang w:eastAsia="en-US"/>
              </w:rPr>
              <w:t>ub</w:t>
            </w:r>
            <w:r w:rsidR="00FF1914">
              <w:rPr>
                <w:lang w:eastAsia="en-US"/>
              </w:rPr>
              <w:noBreakHyphen/>
            </w:r>
            <w:r w:rsidR="007C0C92" w:rsidRPr="00D96C48">
              <w:rPr>
                <w:lang w:eastAsia="en-US"/>
              </w:rPr>
              <w:t>C</w:t>
            </w:r>
            <w:r w:rsidR="00C40776" w:rsidRPr="00D96C48">
              <w:rPr>
                <w:lang w:eastAsia="en-US"/>
              </w:rPr>
              <w:t xml:space="preserve">ommittees noted that this approach is </w:t>
            </w:r>
            <w:r w:rsidR="002E59ED" w:rsidRPr="00D96C48">
              <w:rPr>
                <w:lang w:eastAsia="en-US"/>
              </w:rPr>
              <w:t>un</w:t>
            </w:r>
            <w:r w:rsidR="00C40776" w:rsidRPr="00D96C48">
              <w:rPr>
                <w:lang w:eastAsia="en-US"/>
              </w:rPr>
              <w:t>able to capture periods of AD and associate</w:t>
            </w:r>
            <w:r w:rsidR="003C1769" w:rsidRPr="00D96C48">
              <w:rPr>
                <w:lang w:eastAsia="en-US"/>
              </w:rPr>
              <w:t>d</w:t>
            </w:r>
            <w:r w:rsidR="00C40776" w:rsidRPr="00D96C48">
              <w:rPr>
                <w:lang w:eastAsia="en-US"/>
              </w:rPr>
              <w:t xml:space="preserve"> costs/QALY losses over time for those who do not progress to dialysis.</w:t>
            </w:r>
          </w:p>
        </w:tc>
      </w:tr>
    </w:tbl>
    <w:p w14:paraId="14EF15AF" w14:textId="77777777" w:rsidR="006F0D5C" w:rsidRDefault="006F0D5C" w:rsidP="006F0D5C">
      <w:pPr>
        <w:pStyle w:val="TableFigureFooter"/>
      </w:pPr>
      <w:r w:rsidRPr="0098262F">
        <w:t xml:space="preserve">Source: </w:t>
      </w:r>
      <w:r>
        <w:t>compiled during the evaluation</w:t>
      </w:r>
    </w:p>
    <w:p w14:paraId="331F9325" w14:textId="4DD46B88" w:rsidR="006F0D5C" w:rsidRDefault="006F0D5C" w:rsidP="006F0D5C">
      <w:pPr>
        <w:pStyle w:val="TableFigureFooter"/>
      </w:pPr>
      <w:r>
        <w:t>AD=active disease, CR=complete response, ICER=incremental cost</w:t>
      </w:r>
      <w:r w:rsidR="00FF1914">
        <w:noBreakHyphen/>
      </w:r>
      <w:r>
        <w:t>effectiveness ratio, LY=life</w:t>
      </w:r>
      <w:r w:rsidR="00FF1914">
        <w:noBreakHyphen/>
      </w:r>
      <w:r>
        <w:t>year, MMF=</w:t>
      </w:r>
      <w:r w:rsidRPr="006505F2">
        <w:t xml:space="preserve"> </w:t>
      </w:r>
      <w:r w:rsidRPr="007668A4">
        <w:t>mycophenolate mofetil</w:t>
      </w:r>
      <w:r>
        <w:t>, MP=methylprednisolone, OBI=obinutuzumab, PR=partial response, QALY=quality</w:t>
      </w:r>
      <w:r w:rsidR="00FF1914">
        <w:noBreakHyphen/>
      </w:r>
      <w:r>
        <w:t>adjusted life</w:t>
      </w:r>
      <w:r w:rsidR="00FF1914">
        <w:noBreakHyphen/>
      </w:r>
      <w:r>
        <w:t>year, SOC=standard or care</w:t>
      </w:r>
    </w:p>
    <w:p w14:paraId="6B5ECF02" w14:textId="0153C7E7" w:rsidR="00DA1220" w:rsidRDefault="006F0D5C" w:rsidP="00DA1220">
      <w:pPr>
        <w:pStyle w:val="3-BodyText"/>
      </w:pPr>
      <w:r w:rsidRPr="001A631C">
        <w:t xml:space="preserve">During the evaluation, several errors and inconsistencies were identified in how the model implemented </w:t>
      </w:r>
      <w:r w:rsidR="00F769BD">
        <w:t xml:space="preserve">the </w:t>
      </w:r>
      <w:r w:rsidRPr="001A631C">
        <w:t xml:space="preserve">data inputs described in </w:t>
      </w:r>
      <w:fldSimple w:instr="REF _Ref218784275  \* MERGEFORMAT">
        <w:r w:rsidR="002255D9" w:rsidRPr="0098262F">
          <w:t xml:space="preserve">Table </w:t>
        </w:r>
        <w:r w:rsidR="002255D9">
          <w:t>6</w:t>
        </w:r>
      </w:fldSimple>
      <w:r w:rsidRPr="001A631C">
        <w:t xml:space="preserve">. </w:t>
      </w:r>
      <w:r w:rsidR="00F769BD">
        <w:t xml:space="preserve">The evaluation therefore </w:t>
      </w:r>
      <w:r w:rsidR="00F769BD">
        <w:lastRenderedPageBreak/>
        <w:t>generated a</w:t>
      </w:r>
      <w:r w:rsidRPr="001A631C">
        <w:t>n error</w:t>
      </w:r>
      <w:r w:rsidR="00FF1914">
        <w:noBreakHyphen/>
      </w:r>
      <w:r w:rsidRPr="001A631C">
        <w:t xml:space="preserve">corrected base case using the inputs as described in the submission. </w:t>
      </w:r>
      <w:bookmarkStart w:id="52" w:name="_Hlk219108399"/>
      <w:r w:rsidR="005233F2" w:rsidRPr="00C561BE">
        <w:t xml:space="preserve">The </w:t>
      </w:r>
      <w:r w:rsidR="007C0C92" w:rsidRPr="00C561BE">
        <w:t>S</w:t>
      </w:r>
      <w:r w:rsidR="003505C9" w:rsidRPr="00C561BE">
        <w:t>ub</w:t>
      </w:r>
      <w:r w:rsidR="00FF1914">
        <w:noBreakHyphen/>
      </w:r>
      <w:r w:rsidR="007C0C92" w:rsidRPr="00C561BE">
        <w:t>C</w:t>
      </w:r>
      <w:r w:rsidR="003505C9" w:rsidRPr="00C561BE">
        <w:t>ommittees</w:t>
      </w:r>
      <w:r w:rsidR="005233F2" w:rsidRPr="00C561BE">
        <w:t xml:space="preserve"> noted that the sponsor acknowledged these errors in the </w:t>
      </w:r>
      <w:r w:rsidR="003E318C" w:rsidRPr="00C561BE">
        <w:t xml:space="preserve">PSCR </w:t>
      </w:r>
      <w:r w:rsidR="005233F2" w:rsidRPr="00C561BE">
        <w:t xml:space="preserve">and accepted the </w:t>
      </w:r>
      <w:r w:rsidR="00871699" w:rsidRPr="00C561BE">
        <w:t>error</w:t>
      </w:r>
      <w:r w:rsidR="00FF1914">
        <w:noBreakHyphen/>
      </w:r>
      <w:r w:rsidR="0027512C" w:rsidRPr="00C561BE">
        <w:t>corrected base case</w:t>
      </w:r>
      <w:r w:rsidR="005233F2" w:rsidRPr="00C561BE">
        <w:t>.</w:t>
      </w:r>
      <w:r w:rsidR="00DA1220">
        <w:t xml:space="preserve"> </w:t>
      </w:r>
      <w:bookmarkEnd w:id="52"/>
    </w:p>
    <w:p w14:paraId="675E4042" w14:textId="34078F47" w:rsidR="00393611" w:rsidRDefault="006F0D5C" w:rsidP="00DA1220">
      <w:pPr>
        <w:pStyle w:val="3-BodyText"/>
      </w:pPr>
      <w:r w:rsidRPr="00DA1220">
        <w:t xml:space="preserve">The effects of these changes are presented in </w:t>
      </w:r>
      <w:fldSimple w:instr="REF _Ref218788043  \* MERGEFORMAT">
        <w:r w:rsidR="002255D9" w:rsidRPr="0098262F">
          <w:t xml:space="preserve">Table </w:t>
        </w:r>
        <w:r w:rsidR="002255D9">
          <w:t>7</w:t>
        </w:r>
      </w:fldSimple>
      <w:r w:rsidRPr="00DA1220">
        <w:t>. The error</w:t>
      </w:r>
      <w:r w:rsidR="00FF1914">
        <w:noBreakHyphen/>
      </w:r>
      <w:r w:rsidRPr="00DA1220">
        <w:t xml:space="preserve">corrected base case ICER was </w:t>
      </w:r>
      <w:r w:rsidR="00727E7B" w:rsidRPr="00727E7B">
        <w:t>$35,000 to &lt; $45,000</w:t>
      </w:r>
      <w:r w:rsidRPr="00DA1220">
        <w:t xml:space="preserve"> per QALY</w:t>
      </w:r>
      <w:r w:rsidRPr="001A631C">
        <w:t xml:space="preserve"> gained, compared with </w:t>
      </w:r>
      <w:r w:rsidR="00162362" w:rsidRPr="00162362">
        <w:t>$15,000 to &lt; $25,000</w:t>
      </w:r>
      <w:r w:rsidRPr="001A631C">
        <w:t xml:space="preserve"> in the submitted base case. Although the error</w:t>
      </w:r>
      <w:r w:rsidR="00FF1914">
        <w:noBreakHyphen/>
      </w:r>
      <w:r w:rsidRPr="001A631C">
        <w:t>corrected base case corrected the implementation of the submission inputs,</w:t>
      </w:r>
      <w:r w:rsidR="00A2676D">
        <w:t xml:space="preserve"> </w:t>
      </w:r>
      <w:r w:rsidR="0027512C">
        <w:t xml:space="preserve">the evaluation considered that </w:t>
      </w:r>
      <w:r w:rsidRPr="001A631C">
        <w:t>it did not account for the uncertainty in the model structure and input sources, and should not be considered a ‘preferred’ base case</w:t>
      </w:r>
      <w:r w:rsidRPr="0066213F">
        <w:t>.</w:t>
      </w:r>
      <w:r w:rsidR="00EB552B" w:rsidRPr="0066213F">
        <w:t xml:space="preserve"> The Sub</w:t>
      </w:r>
      <w:r w:rsidR="00FF1914">
        <w:noBreakHyphen/>
      </w:r>
      <w:r w:rsidR="00EB552B" w:rsidRPr="0066213F">
        <w:t>Committees advised the model structure was adequately reliable for decision</w:t>
      </w:r>
      <w:r w:rsidR="00FF1914">
        <w:noBreakHyphen/>
      </w:r>
      <w:r w:rsidR="00EB552B" w:rsidRPr="0066213F">
        <w:t>making with the changes applied in the error</w:t>
      </w:r>
      <w:r w:rsidR="00FF1914">
        <w:noBreakHyphen/>
      </w:r>
      <w:r w:rsidR="00EB552B" w:rsidRPr="0066213F">
        <w:t>corrected base case</w:t>
      </w:r>
      <w:r w:rsidR="00946E94" w:rsidRPr="0066213F">
        <w:t xml:space="preserve"> (subject to additiona</w:t>
      </w:r>
      <w:r w:rsidR="0050178A">
        <w:t>l</w:t>
      </w:r>
      <w:r w:rsidR="00946E94" w:rsidRPr="0066213F">
        <w:t xml:space="preserve"> changes to address remaining model uncertaint</w:t>
      </w:r>
      <w:r w:rsidR="0066213F" w:rsidRPr="0066213F">
        <w:t>ies as discussed below</w:t>
      </w:r>
      <w:r w:rsidR="0050178A">
        <w:t>)</w:t>
      </w:r>
      <w:r w:rsidR="00EB552B" w:rsidRPr="0066213F">
        <w:t xml:space="preserve">. </w:t>
      </w:r>
    </w:p>
    <w:p w14:paraId="7B093C4E" w14:textId="77777777" w:rsidR="00F829AD" w:rsidRPr="00393611" w:rsidRDefault="00F829AD" w:rsidP="00393611"/>
    <w:p w14:paraId="6639F32C" w14:textId="2D5300D4" w:rsidR="006F0D5C" w:rsidRPr="0066213F" w:rsidRDefault="006F0D5C" w:rsidP="007664DB">
      <w:pPr>
        <w:pStyle w:val="Caption"/>
        <w:jc w:val="left"/>
        <w:rPr>
          <w:rStyle w:val="CommentReference"/>
          <w:b/>
          <w:szCs w:val="24"/>
        </w:rPr>
      </w:pPr>
      <w:bookmarkStart w:id="53" w:name="_Ref218788043"/>
      <w:r w:rsidRPr="0098262F">
        <w:lastRenderedPageBreak/>
        <w:t xml:space="preserve">Table </w:t>
      </w:r>
      <w:fldSimple w:instr=" SEQ Table \* ARABIC ">
        <w:r w:rsidR="002255D9">
          <w:rPr>
            <w:noProof/>
          </w:rPr>
          <w:t>7</w:t>
        </w:r>
      </w:fldSimple>
      <w:bookmarkEnd w:id="53"/>
      <w:r w:rsidRPr="0098262F">
        <w:t>:</w:t>
      </w:r>
      <w:r w:rsidRPr="0066213F">
        <w:rPr>
          <w:rStyle w:val="CommentReference"/>
          <w:b/>
          <w:szCs w:val="24"/>
        </w:rPr>
        <w:t xml:space="preserve"> Error</w:t>
      </w:r>
      <w:r w:rsidR="00FF1914">
        <w:rPr>
          <w:rStyle w:val="CommentReference"/>
          <w:b/>
          <w:szCs w:val="24"/>
        </w:rPr>
        <w:noBreakHyphen/>
      </w:r>
      <w:r w:rsidRPr="0066213F">
        <w:rPr>
          <w:rStyle w:val="CommentReference"/>
          <w:b/>
          <w:szCs w:val="24"/>
        </w:rPr>
        <w:t>corrected base case</w:t>
      </w:r>
    </w:p>
    <w:tbl>
      <w:tblPr>
        <w:tblStyle w:val="TableGrid"/>
        <w:tblW w:w="5000" w:type="pct"/>
        <w:tblCellMar>
          <w:left w:w="28" w:type="dxa"/>
          <w:right w:w="28" w:type="dxa"/>
        </w:tblCellMar>
        <w:tblLook w:val="04A0" w:firstRow="1" w:lastRow="0" w:firstColumn="1" w:lastColumn="0" w:noHBand="0" w:noVBand="1"/>
        <w:tblCaption w:val="Table 7: Error corrected base case"/>
      </w:tblPr>
      <w:tblGrid>
        <w:gridCol w:w="4673"/>
        <w:gridCol w:w="851"/>
        <w:gridCol w:w="849"/>
        <w:gridCol w:w="994"/>
        <w:gridCol w:w="849"/>
        <w:gridCol w:w="801"/>
      </w:tblGrid>
      <w:tr w:rsidR="006F0D5C" w14:paraId="12834116" w14:textId="77777777" w:rsidTr="0072568D">
        <w:tc>
          <w:tcPr>
            <w:tcW w:w="2591" w:type="pct"/>
            <w:vMerge w:val="restart"/>
            <w:vAlign w:val="center"/>
          </w:tcPr>
          <w:p w14:paraId="5832C230" w14:textId="77777777" w:rsidR="006F0D5C" w:rsidRDefault="006F0D5C" w:rsidP="007664DB">
            <w:pPr>
              <w:pStyle w:val="In-tableHeading"/>
            </w:pPr>
            <w:r>
              <w:t>Model component</w:t>
            </w:r>
          </w:p>
        </w:tc>
        <w:tc>
          <w:tcPr>
            <w:tcW w:w="1494" w:type="pct"/>
            <w:gridSpan w:val="3"/>
            <w:vAlign w:val="center"/>
          </w:tcPr>
          <w:p w14:paraId="2E509829" w14:textId="77777777" w:rsidR="006F0D5C" w:rsidRDefault="006F0D5C" w:rsidP="007664DB">
            <w:pPr>
              <w:pStyle w:val="In-tableHeading"/>
              <w:jc w:val="center"/>
            </w:pPr>
            <w:r>
              <w:t>Incremental</w:t>
            </w:r>
          </w:p>
        </w:tc>
        <w:tc>
          <w:tcPr>
            <w:tcW w:w="471" w:type="pct"/>
            <w:vMerge w:val="restart"/>
            <w:vAlign w:val="center"/>
          </w:tcPr>
          <w:p w14:paraId="64EA25DF" w14:textId="77777777" w:rsidR="006F0D5C" w:rsidRDefault="006F0D5C" w:rsidP="007664DB">
            <w:pPr>
              <w:pStyle w:val="In-tableHeading"/>
              <w:jc w:val="center"/>
            </w:pPr>
            <w:r>
              <w:t>ICER ($/QALY)</w:t>
            </w:r>
          </w:p>
        </w:tc>
        <w:tc>
          <w:tcPr>
            <w:tcW w:w="444" w:type="pct"/>
            <w:vMerge w:val="restart"/>
            <w:vAlign w:val="center"/>
          </w:tcPr>
          <w:p w14:paraId="05BBD912" w14:textId="77777777" w:rsidR="006F0D5C" w:rsidRDefault="006F0D5C" w:rsidP="007664DB">
            <w:pPr>
              <w:pStyle w:val="In-tableHeading"/>
              <w:jc w:val="center"/>
            </w:pPr>
            <w:r>
              <w:t>% change</w:t>
            </w:r>
          </w:p>
        </w:tc>
      </w:tr>
      <w:tr w:rsidR="006F0D5C" w14:paraId="43DFF781" w14:textId="77777777" w:rsidTr="0072568D">
        <w:tc>
          <w:tcPr>
            <w:tcW w:w="2591" w:type="pct"/>
            <w:vMerge/>
            <w:vAlign w:val="center"/>
          </w:tcPr>
          <w:p w14:paraId="5064AFA6" w14:textId="77777777" w:rsidR="006F0D5C" w:rsidRDefault="006F0D5C" w:rsidP="007664DB">
            <w:pPr>
              <w:pStyle w:val="TableText0"/>
            </w:pPr>
          </w:p>
        </w:tc>
        <w:tc>
          <w:tcPr>
            <w:tcW w:w="472" w:type="pct"/>
            <w:vAlign w:val="center"/>
          </w:tcPr>
          <w:p w14:paraId="41B35829" w14:textId="77777777" w:rsidR="006F0D5C" w:rsidRDefault="006F0D5C" w:rsidP="007664DB">
            <w:pPr>
              <w:pStyle w:val="In-tableHeading"/>
              <w:jc w:val="center"/>
            </w:pPr>
            <w:r>
              <w:t>Cost</w:t>
            </w:r>
          </w:p>
        </w:tc>
        <w:tc>
          <w:tcPr>
            <w:tcW w:w="471" w:type="pct"/>
            <w:vAlign w:val="center"/>
          </w:tcPr>
          <w:p w14:paraId="1849E31B" w14:textId="77777777" w:rsidR="006F0D5C" w:rsidRDefault="006F0D5C" w:rsidP="007664DB">
            <w:pPr>
              <w:pStyle w:val="In-tableHeading"/>
              <w:jc w:val="center"/>
            </w:pPr>
            <w:r>
              <w:t>LY</w:t>
            </w:r>
          </w:p>
        </w:tc>
        <w:tc>
          <w:tcPr>
            <w:tcW w:w="551" w:type="pct"/>
            <w:vAlign w:val="center"/>
          </w:tcPr>
          <w:p w14:paraId="659A3DDA" w14:textId="77777777" w:rsidR="006F0D5C" w:rsidRDefault="006F0D5C" w:rsidP="007664DB">
            <w:pPr>
              <w:pStyle w:val="In-tableHeading"/>
              <w:jc w:val="center"/>
            </w:pPr>
            <w:r>
              <w:t>QALY</w:t>
            </w:r>
          </w:p>
        </w:tc>
        <w:tc>
          <w:tcPr>
            <w:tcW w:w="471" w:type="pct"/>
            <w:vMerge/>
            <w:vAlign w:val="center"/>
          </w:tcPr>
          <w:p w14:paraId="6943B321" w14:textId="77777777" w:rsidR="006F0D5C" w:rsidRDefault="006F0D5C" w:rsidP="007664DB">
            <w:pPr>
              <w:pStyle w:val="TableText0"/>
              <w:jc w:val="center"/>
            </w:pPr>
          </w:p>
        </w:tc>
        <w:tc>
          <w:tcPr>
            <w:tcW w:w="444" w:type="pct"/>
            <w:vMerge/>
            <w:vAlign w:val="center"/>
          </w:tcPr>
          <w:p w14:paraId="653BD825" w14:textId="77777777" w:rsidR="006F0D5C" w:rsidRDefault="006F0D5C" w:rsidP="007664DB">
            <w:pPr>
              <w:pStyle w:val="TableText0"/>
              <w:jc w:val="center"/>
            </w:pPr>
          </w:p>
        </w:tc>
      </w:tr>
      <w:tr w:rsidR="006F0D5C" w:rsidRPr="00C829F9" w14:paraId="408925A6" w14:textId="77777777" w:rsidTr="0072568D">
        <w:tc>
          <w:tcPr>
            <w:tcW w:w="2591" w:type="pct"/>
            <w:vAlign w:val="center"/>
          </w:tcPr>
          <w:p w14:paraId="0226F791" w14:textId="77777777" w:rsidR="006F0D5C" w:rsidRPr="00D96C48" w:rsidRDefault="006F0D5C" w:rsidP="007664DB">
            <w:pPr>
              <w:pStyle w:val="TableText0"/>
              <w:rPr>
                <w:b/>
                <w:bCs w:val="0"/>
              </w:rPr>
            </w:pPr>
            <w:r w:rsidRPr="00D96C48">
              <w:rPr>
                <w:b/>
                <w:bCs w:val="0"/>
              </w:rPr>
              <w:t>Submission base case</w:t>
            </w:r>
          </w:p>
        </w:tc>
        <w:tc>
          <w:tcPr>
            <w:tcW w:w="472" w:type="pct"/>
          </w:tcPr>
          <w:p w14:paraId="2BF43824" w14:textId="5D30BD64" w:rsidR="006F0D5C" w:rsidRPr="00D96C48" w:rsidRDefault="006F0D5C" w:rsidP="007664DB">
            <w:pPr>
              <w:pStyle w:val="TableText0"/>
              <w:jc w:val="center"/>
              <w:rPr>
                <w:b/>
                <w:bCs w:val="0"/>
              </w:rPr>
            </w:pPr>
            <w:r w:rsidRPr="00D96C48">
              <w:rPr>
                <w:b/>
                <w:bCs w:val="0"/>
              </w:rPr>
              <w:t>$</w:t>
            </w:r>
            <w:r w:rsidR="00102373" w:rsidRPr="00102373">
              <w:rPr>
                <w:b/>
                <w:bCs w:val="0"/>
                <w:sz w:val="2"/>
                <w:highlight w:val="black"/>
              </w:rPr>
              <w:t>redacted content</w:t>
            </w:r>
          </w:p>
        </w:tc>
        <w:tc>
          <w:tcPr>
            <w:tcW w:w="471" w:type="pct"/>
          </w:tcPr>
          <w:p w14:paraId="531A74FA" w14:textId="77777777" w:rsidR="006F0D5C" w:rsidRPr="00D96C48" w:rsidRDefault="006F0D5C" w:rsidP="007664DB">
            <w:pPr>
              <w:pStyle w:val="TableText0"/>
              <w:jc w:val="center"/>
              <w:rPr>
                <w:b/>
                <w:bCs w:val="0"/>
              </w:rPr>
            </w:pPr>
            <w:r w:rsidRPr="00D96C48">
              <w:rPr>
                <w:b/>
                <w:bCs w:val="0"/>
              </w:rPr>
              <w:t>0.070</w:t>
            </w:r>
          </w:p>
        </w:tc>
        <w:tc>
          <w:tcPr>
            <w:tcW w:w="551" w:type="pct"/>
          </w:tcPr>
          <w:p w14:paraId="390678A2" w14:textId="77777777" w:rsidR="006F0D5C" w:rsidRPr="00D96C48" w:rsidRDefault="006F0D5C" w:rsidP="007664DB">
            <w:pPr>
              <w:pStyle w:val="TableText0"/>
              <w:jc w:val="center"/>
              <w:rPr>
                <w:b/>
                <w:bCs w:val="0"/>
              </w:rPr>
            </w:pPr>
            <w:r w:rsidRPr="00D96C48">
              <w:rPr>
                <w:b/>
                <w:bCs w:val="0"/>
              </w:rPr>
              <w:t>0.336</w:t>
            </w:r>
          </w:p>
        </w:tc>
        <w:tc>
          <w:tcPr>
            <w:tcW w:w="471" w:type="pct"/>
            <w:vAlign w:val="center"/>
          </w:tcPr>
          <w:p w14:paraId="484EA236" w14:textId="441134A2" w:rsidR="006F0D5C" w:rsidRPr="004735D7" w:rsidRDefault="006F0D5C" w:rsidP="007664DB">
            <w:pPr>
              <w:pStyle w:val="TableText0"/>
              <w:jc w:val="center"/>
              <w:rPr>
                <w:b/>
                <w:bCs w:val="0"/>
                <w:vertAlign w:val="superscript"/>
              </w:rPr>
            </w:pPr>
            <w:r w:rsidRPr="00D96C48">
              <w:rPr>
                <w:b/>
                <w:bCs w:val="0"/>
              </w:rPr>
              <w:t>$</w:t>
            </w:r>
            <w:r w:rsidR="00102373" w:rsidRPr="00102373">
              <w:rPr>
                <w:b/>
                <w:bCs w:val="0"/>
                <w:sz w:val="2"/>
                <w:highlight w:val="black"/>
              </w:rPr>
              <w:t>redacted content</w:t>
            </w:r>
            <w:r w:rsidR="004735D7">
              <w:rPr>
                <w:b/>
                <w:bCs w:val="0"/>
                <w:vertAlign w:val="superscript"/>
              </w:rPr>
              <w:t>1</w:t>
            </w:r>
          </w:p>
        </w:tc>
        <w:tc>
          <w:tcPr>
            <w:tcW w:w="444" w:type="pct"/>
            <w:vAlign w:val="center"/>
          </w:tcPr>
          <w:p w14:paraId="0BB1D6C6" w14:textId="74B1E3DE" w:rsidR="006F0D5C" w:rsidRPr="00D96C48" w:rsidRDefault="00FF1914" w:rsidP="007664DB">
            <w:pPr>
              <w:pStyle w:val="TableText0"/>
              <w:jc w:val="center"/>
              <w:rPr>
                <w:b/>
                <w:bCs w:val="0"/>
              </w:rPr>
            </w:pPr>
            <w:r>
              <w:rPr>
                <w:b/>
                <w:bCs w:val="0"/>
              </w:rPr>
              <w:noBreakHyphen/>
            </w:r>
          </w:p>
        </w:tc>
      </w:tr>
      <w:tr w:rsidR="006F0D5C" w:rsidRPr="00B42334" w14:paraId="11FEFC7B" w14:textId="77777777" w:rsidTr="0072568D">
        <w:tc>
          <w:tcPr>
            <w:tcW w:w="2591" w:type="pct"/>
            <w:vAlign w:val="center"/>
          </w:tcPr>
          <w:p w14:paraId="6876223A" w14:textId="2B02E42F" w:rsidR="006F0D5C" w:rsidRPr="00D96C48" w:rsidRDefault="006F0D5C" w:rsidP="007664DB">
            <w:pPr>
              <w:pStyle w:val="TableText0"/>
            </w:pPr>
            <w:r w:rsidRPr="00D96C48">
              <w:t>OBI doses included in every cycle (i.e., 3 doses in first cycle, 1 dose per 6</w:t>
            </w:r>
            <w:r w:rsidR="00FF1914">
              <w:noBreakHyphen/>
            </w:r>
            <w:r w:rsidRPr="00D96C48">
              <w:t>month cycle thereafter)</w:t>
            </w:r>
            <w:r w:rsidRPr="00D96C48">
              <w:rPr>
                <w:vertAlign w:val="superscript"/>
              </w:rPr>
              <w:t>a</w:t>
            </w:r>
          </w:p>
        </w:tc>
        <w:tc>
          <w:tcPr>
            <w:tcW w:w="472" w:type="pct"/>
            <w:vAlign w:val="center"/>
          </w:tcPr>
          <w:p w14:paraId="170BEB81" w14:textId="69C89D4D" w:rsidR="006F0D5C" w:rsidRPr="00D96C48" w:rsidRDefault="006F0D5C" w:rsidP="007664DB">
            <w:pPr>
              <w:pStyle w:val="TableText0"/>
              <w:jc w:val="center"/>
            </w:pPr>
            <w:r w:rsidRPr="00D96C48">
              <w:t>$</w:t>
            </w:r>
            <w:r w:rsidR="00102373" w:rsidRPr="00102373">
              <w:rPr>
                <w:sz w:val="2"/>
                <w:highlight w:val="black"/>
              </w:rPr>
              <w:t>redacted content</w:t>
            </w:r>
          </w:p>
        </w:tc>
        <w:tc>
          <w:tcPr>
            <w:tcW w:w="471" w:type="pct"/>
            <w:vAlign w:val="center"/>
          </w:tcPr>
          <w:p w14:paraId="3F5684F0" w14:textId="77777777" w:rsidR="006F0D5C" w:rsidRPr="00D96C48" w:rsidRDefault="006F0D5C" w:rsidP="007664DB">
            <w:pPr>
              <w:pStyle w:val="TableText0"/>
              <w:jc w:val="center"/>
            </w:pPr>
            <w:r w:rsidRPr="00D96C48">
              <w:t>0.070</w:t>
            </w:r>
          </w:p>
        </w:tc>
        <w:tc>
          <w:tcPr>
            <w:tcW w:w="551" w:type="pct"/>
            <w:vAlign w:val="center"/>
          </w:tcPr>
          <w:p w14:paraId="7536B331" w14:textId="77777777" w:rsidR="006F0D5C" w:rsidRPr="00D96C48" w:rsidRDefault="006F0D5C" w:rsidP="007664DB">
            <w:pPr>
              <w:pStyle w:val="TableText0"/>
              <w:jc w:val="center"/>
            </w:pPr>
            <w:r w:rsidRPr="00D96C48">
              <w:t>0.336</w:t>
            </w:r>
          </w:p>
        </w:tc>
        <w:tc>
          <w:tcPr>
            <w:tcW w:w="471" w:type="pct"/>
            <w:vAlign w:val="center"/>
          </w:tcPr>
          <w:p w14:paraId="4E854DFE" w14:textId="61599FE2" w:rsidR="006F0D5C" w:rsidRPr="00C22984" w:rsidRDefault="006F0D5C" w:rsidP="007664DB">
            <w:pPr>
              <w:pStyle w:val="TableText0"/>
              <w:jc w:val="center"/>
              <w:rPr>
                <w:vertAlign w:val="superscript"/>
              </w:rPr>
            </w:pPr>
            <w:r w:rsidRPr="00D96C48">
              <w:t>$</w:t>
            </w:r>
            <w:r w:rsidR="00102373" w:rsidRPr="00102373">
              <w:rPr>
                <w:sz w:val="2"/>
                <w:highlight w:val="black"/>
              </w:rPr>
              <w:t>redacted content</w:t>
            </w:r>
            <w:r w:rsidR="00C22984">
              <w:rPr>
                <w:vertAlign w:val="superscript"/>
              </w:rPr>
              <w:t>2</w:t>
            </w:r>
          </w:p>
        </w:tc>
        <w:tc>
          <w:tcPr>
            <w:tcW w:w="444" w:type="pct"/>
            <w:vAlign w:val="center"/>
          </w:tcPr>
          <w:p w14:paraId="6B0DF864" w14:textId="2A724368" w:rsidR="006F0D5C" w:rsidRPr="00D96C48" w:rsidRDefault="00102373" w:rsidP="007664DB">
            <w:pPr>
              <w:pStyle w:val="TableText0"/>
              <w:jc w:val="center"/>
            </w:pPr>
            <w:r w:rsidRPr="00102373">
              <w:rPr>
                <w:sz w:val="2"/>
                <w:highlight w:val="black"/>
              </w:rPr>
              <w:t>redacted content</w:t>
            </w:r>
            <w:r w:rsidR="006F0D5C" w:rsidRPr="00D96C48">
              <w:t>%</w:t>
            </w:r>
          </w:p>
        </w:tc>
      </w:tr>
      <w:tr w:rsidR="006F0D5C" w:rsidRPr="00B42334" w14:paraId="6D88E989" w14:textId="77777777" w:rsidTr="0072568D">
        <w:tc>
          <w:tcPr>
            <w:tcW w:w="2591" w:type="pct"/>
            <w:vAlign w:val="center"/>
          </w:tcPr>
          <w:p w14:paraId="7E28C0BD" w14:textId="67456CEA" w:rsidR="006F0D5C" w:rsidRPr="00D96C48" w:rsidRDefault="006F0D5C" w:rsidP="007664DB">
            <w:pPr>
              <w:pStyle w:val="TableText0"/>
            </w:pPr>
            <w:r w:rsidRPr="00D96C48">
              <w:t>No half</w:t>
            </w:r>
            <w:r w:rsidR="00FF1914">
              <w:noBreakHyphen/>
            </w:r>
            <w:r w:rsidRPr="00D96C48">
              <w:t>cycle correction for OBI, MP or administration costs across time horizon</w:t>
            </w:r>
            <w:r w:rsidRPr="00D96C48">
              <w:rPr>
                <w:vertAlign w:val="superscript"/>
              </w:rPr>
              <w:t>b</w:t>
            </w:r>
          </w:p>
        </w:tc>
        <w:tc>
          <w:tcPr>
            <w:tcW w:w="472" w:type="pct"/>
            <w:vAlign w:val="center"/>
          </w:tcPr>
          <w:p w14:paraId="7C770C7D" w14:textId="570FAB3A" w:rsidR="006F0D5C" w:rsidRPr="00D96C48" w:rsidRDefault="006F0D5C" w:rsidP="007664DB">
            <w:pPr>
              <w:pStyle w:val="TableText0"/>
              <w:jc w:val="center"/>
            </w:pPr>
            <w:r w:rsidRPr="00D96C48">
              <w:t>$</w:t>
            </w:r>
            <w:r w:rsidR="00102373" w:rsidRPr="00102373">
              <w:rPr>
                <w:sz w:val="2"/>
                <w:highlight w:val="black"/>
              </w:rPr>
              <w:t>redacted content</w:t>
            </w:r>
          </w:p>
        </w:tc>
        <w:tc>
          <w:tcPr>
            <w:tcW w:w="471" w:type="pct"/>
            <w:vAlign w:val="center"/>
          </w:tcPr>
          <w:p w14:paraId="7E272519" w14:textId="77777777" w:rsidR="006F0D5C" w:rsidRPr="00D96C48" w:rsidRDefault="006F0D5C" w:rsidP="007664DB">
            <w:pPr>
              <w:pStyle w:val="TableText0"/>
              <w:jc w:val="center"/>
            </w:pPr>
            <w:r w:rsidRPr="00D96C48">
              <w:t>0.070</w:t>
            </w:r>
          </w:p>
        </w:tc>
        <w:tc>
          <w:tcPr>
            <w:tcW w:w="551" w:type="pct"/>
            <w:vAlign w:val="center"/>
          </w:tcPr>
          <w:p w14:paraId="3EC71C81" w14:textId="77777777" w:rsidR="006F0D5C" w:rsidRPr="00D96C48" w:rsidRDefault="006F0D5C" w:rsidP="007664DB">
            <w:pPr>
              <w:pStyle w:val="TableText0"/>
              <w:jc w:val="center"/>
            </w:pPr>
            <w:r w:rsidRPr="00D96C48">
              <w:t>0.336</w:t>
            </w:r>
          </w:p>
        </w:tc>
        <w:tc>
          <w:tcPr>
            <w:tcW w:w="471" w:type="pct"/>
            <w:vAlign w:val="center"/>
          </w:tcPr>
          <w:p w14:paraId="779D5468" w14:textId="2A666F24" w:rsidR="006F0D5C" w:rsidRPr="00C22984" w:rsidRDefault="006F0D5C" w:rsidP="007664DB">
            <w:pPr>
              <w:pStyle w:val="TableText0"/>
              <w:jc w:val="center"/>
              <w:rPr>
                <w:vertAlign w:val="superscript"/>
              </w:rPr>
            </w:pPr>
            <w:r w:rsidRPr="00D96C48">
              <w:t>$</w:t>
            </w:r>
            <w:r w:rsidR="00102373" w:rsidRPr="00102373">
              <w:rPr>
                <w:sz w:val="2"/>
                <w:highlight w:val="black"/>
              </w:rPr>
              <w:t>redacted content</w:t>
            </w:r>
            <w:r w:rsidR="00C22984">
              <w:rPr>
                <w:vertAlign w:val="superscript"/>
              </w:rPr>
              <w:t>2</w:t>
            </w:r>
          </w:p>
        </w:tc>
        <w:tc>
          <w:tcPr>
            <w:tcW w:w="444" w:type="pct"/>
            <w:vAlign w:val="center"/>
          </w:tcPr>
          <w:p w14:paraId="69BC07EC" w14:textId="5D6B23D3" w:rsidR="006F0D5C" w:rsidRPr="00D96C48" w:rsidRDefault="00102373" w:rsidP="007664DB">
            <w:pPr>
              <w:pStyle w:val="TableText0"/>
              <w:jc w:val="center"/>
            </w:pPr>
            <w:r w:rsidRPr="00102373">
              <w:rPr>
                <w:sz w:val="2"/>
                <w:highlight w:val="black"/>
              </w:rPr>
              <w:t>redacted content</w:t>
            </w:r>
            <w:r w:rsidR="006F0D5C" w:rsidRPr="00D96C48">
              <w:t>%</w:t>
            </w:r>
          </w:p>
        </w:tc>
      </w:tr>
      <w:tr w:rsidR="006F0D5C" w:rsidRPr="00B42334" w14:paraId="6757464A" w14:textId="77777777" w:rsidTr="0072568D">
        <w:tc>
          <w:tcPr>
            <w:tcW w:w="2591" w:type="pct"/>
            <w:vAlign w:val="center"/>
          </w:tcPr>
          <w:p w14:paraId="38740FD3" w14:textId="77777777" w:rsidR="006F0D5C" w:rsidRPr="00D96C48" w:rsidRDefault="006F0D5C" w:rsidP="007664DB">
            <w:pPr>
              <w:pStyle w:val="TableText0"/>
            </w:pPr>
            <w:r w:rsidRPr="00D96C48">
              <w:t>Unit cost of MMF updated ($138.72 vs $181.20 in the submission</w:t>
            </w:r>
            <w:r w:rsidRPr="00D96C48">
              <w:rPr>
                <w:vertAlign w:val="superscript"/>
              </w:rPr>
              <w:t>c</w:t>
            </w:r>
            <w:r w:rsidRPr="00D96C48">
              <w:t>) and dosing of MMF and oral prednisone corrected</w:t>
            </w:r>
            <w:r w:rsidRPr="00D96C48">
              <w:rPr>
                <w:vertAlign w:val="superscript"/>
              </w:rPr>
              <w:t>d</w:t>
            </w:r>
          </w:p>
        </w:tc>
        <w:tc>
          <w:tcPr>
            <w:tcW w:w="472" w:type="pct"/>
            <w:vAlign w:val="center"/>
          </w:tcPr>
          <w:p w14:paraId="578FF096" w14:textId="2323C56A" w:rsidR="006F0D5C" w:rsidRPr="00D96C48" w:rsidRDefault="006F0D5C" w:rsidP="007664DB">
            <w:pPr>
              <w:pStyle w:val="TableText0"/>
              <w:jc w:val="center"/>
            </w:pPr>
            <w:r w:rsidRPr="00D96C48">
              <w:t>$</w:t>
            </w:r>
            <w:r w:rsidR="00102373" w:rsidRPr="00102373">
              <w:rPr>
                <w:sz w:val="2"/>
                <w:highlight w:val="black"/>
              </w:rPr>
              <w:t>redacted content</w:t>
            </w:r>
          </w:p>
        </w:tc>
        <w:tc>
          <w:tcPr>
            <w:tcW w:w="471" w:type="pct"/>
            <w:vAlign w:val="center"/>
          </w:tcPr>
          <w:p w14:paraId="480D89A7" w14:textId="77777777" w:rsidR="006F0D5C" w:rsidRPr="00D96C48" w:rsidRDefault="006F0D5C" w:rsidP="007664DB">
            <w:pPr>
              <w:pStyle w:val="TableText0"/>
              <w:jc w:val="center"/>
            </w:pPr>
            <w:r w:rsidRPr="00D96C48">
              <w:t>0.070</w:t>
            </w:r>
          </w:p>
        </w:tc>
        <w:tc>
          <w:tcPr>
            <w:tcW w:w="551" w:type="pct"/>
            <w:vAlign w:val="center"/>
          </w:tcPr>
          <w:p w14:paraId="4A66995E" w14:textId="77777777" w:rsidR="006F0D5C" w:rsidRPr="00D96C48" w:rsidRDefault="006F0D5C" w:rsidP="007664DB">
            <w:pPr>
              <w:pStyle w:val="TableText0"/>
              <w:jc w:val="center"/>
            </w:pPr>
            <w:r w:rsidRPr="00D96C48">
              <w:t>0.336</w:t>
            </w:r>
          </w:p>
        </w:tc>
        <w:tc>
          <w:tcPr>
            <w:tcW w:w="471" w:type="pct"/>
            <w:vAlign w:val="center"/>
          </w:tcPr>
          <w:p w14:paraId="5D1692D9" w14:textId="2DFCDA6D" w:rsidR="006F0D5C" w:rsidRPr="004735D7" w:rsidRDefault="006F0D5C" w:rsidP="007664DB">
            <w:pPr>
              <w:pStyle w:val="TableText0"/>
              <w:jc w:val="center"/>
              <w:rPr>
                <w:vertAlign w:val="superscript"/>
              </w:rPr>
            </w:pPr>
            <w:r w:rsidRPr="00D96C48">
              <w:t>$</w:t>
            </w:r>
            <w:r w:rsidR="00102373" w:rsidRPr="00102373">
              <w:rPr>
                <w:sz w:val="2"/>
                <w:highlight w:val="black"/>
              </w:rPr>
              <w:t>redacted content</w:t>
            </w:r>
            <w:r w:rsidR="004735D7">
              <w:rPr>
                <w:vertAlign w:val="superscript"/>
              </w:rPr>
              <w:t>1</w:t>
            </w:r>
          </w:p>
        </w:tc>
        <w:tc>
          <w:tcPr>
            <w:tcW w:w="444" w:type="pct"/>
            <w:vAlign w:val="center"/>
          </w:tcPr>
          <w:p w14:paraId="460C77A8" w14:textId="36592C50" w:rsidR="006F0D5C" w:rsidRPr="00D96C48" w:rsidRDefault="00FF1914" w:rsidP="007664DB">
            <w:pPr>
              <w:pStyle w:val="TableText0"/>
              <w:jc w:val="center"/>
            </w:pPr>
            <w:r>
              <w:noBreakHyphen/>
            </w:r>
            <w:r w:rsidR="00102373" w:rsidRPr="00102373">
              <w:rPr>
                <w:sz w:val="2"/>
                <w:highlight w:val="black"/>
              </w:rPr>
              <w:t>redacted content</w:t>
            </w:r>
            <w:r w:rsidR="006F0D5C" w:rsidRPr="00D96C48">
              <w:t>%</w:t>
            </w:r>
          </w:p>
        </w:tc>
      </w:tr>
      <w:tr w:rsidR="006F0D5C" w:rsidRPr="00B42334" w14:paraId="3489402A" w14:textId="77777777" w:rsidTr="0072568D">
        <w:tc>
          <w:tcPr>
            <w:tcW w:w="2591" w:type="pct"/>
            <w:vAlign w:val="center"/>
          </w:tcPr>
          <w:p w14:paraId="1A30720E" w14:textId="77777777" w:rsidR="006F0D5C" w:rsidRPr="00D96C48" w:rsidRDefault="006F0D5C" w:rsidP="007664DB">
            <w:pPr>
              <w:pStyle w:val="TableText0"/>
            </w:pPr>
            <w:r w:rsidRPr="00D96C48">
              <w:t>MP use corrected (SOC arm: no MP; OBI arm: MP cost applied only for every OBI dose plus additional 1000mg in first cycle)</w:t>
            </w:r>
            <w:r w:rsidRPr="00D96C48">
              <w:rPr>
                <w:vertAlign w:val="superscript"/>
              </w:rPr>
              <w:t>e</w:t>
            </w:r>
          </w:p>
        </w:tc>
        <w:tc>
          <w:tcPr>
            <w:tcW w:w="472" w:type="pct"/>
            <w:vAlign w:val="center"/>
          </w:tcPr>
          <w:p w14:paraId="4F944F83" w14:textId="74F7E1F0" w:rsidR="006F0D5C" w:rsidRPr="00D96C48" w:rsidRDefault="006F0D5C" w:rsidP="007664DB">
            <w:pPr>
              <w:pStyle w:val="TableText0"/>
              <w:jc w:val="center"/>
            </w:pPr>
            <w:r w:rsidRPr="00D96C48">
              <w:t>$</w:t>
            </w:r>
            <w:r w:rsidR="00102373" w:rsidRPr="00102373">
              <w:rPr>
                <w:sz w:val="2"/>
                <w:highlight w:val="black"/>
              </w:rPr>
              <w:t>redacted content</w:t>
            </w:r>
          </w:p>
        </w:tc>
        <w:tc>
          <w:tcPr>
            <w:tcW w:w="471" w:type="pct"/>
            <w:vAlign w:val="center"/>
          </w:tcPr>
          <w:p w14:paraId="07BB38EC" w14:textId="77777777" w:rsidR="006F0D5C" w:rsidRPr="00D96C48" w:rsidRDefault="006F0D5C" w:rsidP="007664DB">
            <w:pPr>
              <w:pStyle w:val="TableText0"/>
              <w:jc w:val="center"/>
            </w:pPr>
            <w:r w:rsidRPr="00D96C48">
              <w:t>0.070</w:t>
            </w:r>
          </w:p>
        </w:tc>
        <w:tc>
          <w:tcPr>
            <w:tcW w:w="551" w:type="pct"/>
            <w:vAlign w:val="center"/>
          </w:tcPr>
          <w:p w14:paraId="34837187" w14:textId="77777777" w:rsidR="006F0D5C" w:rsidRPr="00D96C48" w:rsidRDefault="006F0D5C" w:rsidP="007664DB">
            <w:pPr>
              <w:pStyle w:val="TableText0"/>
              <w:jc w:val="center"/>
            </w:pPr>
            <w:r w:rsidRPr="00D96C48">
              <w:t>0.336</w:t>
            </w:r>
          </w:p>
        </w:tc>
        <w:tc>
          <w:tcPr>
            <w:tcW w:w="471" w:type="pct"/>
            <w:vAlign w:val="center"/>
          </w:tcPr>
          <w:p w14:paraId="31A71FEF" w14:textId="747212EC" w:rsidR="006F0D5C" w:rsidRPr="004735D7" w:rsidRDefault="006F0D5C" w:rsidP="007664DB">
            <w:pPr>
              <w:pStyle w:val="TableText0"/>
              <w:jc w:val="center"/>
              <w:rPr>
                <w:vertAlign w:val="superscript"/>
              </w:rPr>
            </w:pPr>
            <w:r w:rsidRPr="00D96C48">
              <w:t>$</w:t>
            </w:r>
            <w:r w:rsidR="00102373" w:rsidRPr="00102373">
              <w:rPr>
                <w:sz w:val="2"/>
                <w:highlight w:val="black"/>
              </w:rPr>
              <w:t>redacted content</w:t>
            </w:r>
            <w:r w:rsidR="004735D7">
              <w:rPr>
                <w:vertAlign w:val="superscript"/>
              </w:rPr>
              <w:t>1</w:t>
            </w:r>
          </w:p>
        </w:tc>
        <w:tc>
          <w:tcPr>
            <w:tcW w:w="444" w:type="pct"/>
            <w:vAlign w:val="center"/>
          </w:tcPr>
          <w:p w14:paraId="7380F022" w14:textId="3948B7F1" w:rsidR="006F0D5C" w:rsidRPr="00D96C48" w:rsidRDefault="00102373" w:rsidP="007664DB">
            <w:pPr>
              <w:pStyle w:val="TableText0"/>
              <w:jc w:val="center"/>
            </w:pPr>
            <w:r w:rsidRPr="00102373">
              <w:rPr>
                <w:sz w:val="2"/>
                <w:highlight w:val="black"/>
              </w:rPr>
              <w:t>redacted content</w:t>
            </w:r>
            <w:r w:rsidR="006F0D5C" w:rsidRPr="00D96C48">
              <w:t>%</w:t>
            </w:r>
          </w:p>
        </w:tc>
      </w:tr>
      <w:tr w:rsidR="006F0D5C" w:rsidRPr="00B42334" w14:paraId="2FD00BD3" w14:textId="77777777" w:rsidTr="0072568D">
        <w:tc>
          <w:tcPr>
            <w:tcW w:w="2591" w:type="pct"/>
            <w:vAlign w:val="center"/>
          </w:tcPr>
          <w:p w14:paraId="106F4FD2" w14:textId="77777777" w:rsidR="006F0D5C" w:rsidRPr="00D96C48" w:rsidRDefault="006F0D5C" w:rsidP="007664DB">
            <w:pPr>
              <w:pStyle w:val="TableText0"/>
            </w:pPr>
            <w:r w:rsidRPr="00D96C48">
              <w:t>Dialysis utilities match source (Lee 2005)</w:t>
            </w:r>
          </w:p>
        </w:tc>
        <w:tc>
          <w:tcPr>
            <w:tcW w:w="472" w:type="pct"/>
            <w:vAlign w:val="center"/>
          </w:tcPr>
          <w:p w14:paraId="1955E67C" w14:textId="7285DAB7" w:rsidR="006F0D5C" w:rsidRPr="00D96C48" w:rsidRDefault="006F0D5C" w:rsidP="007664DB">
            <w:pPr>
              <w:pStyle w:val="TableText0"/>
              <w:jc w:val="center"/>
            </w:pPr>
            <w:r w:rsidRPr="00D96C48">
              <w:t>$</w:t>
            </w:r>
            <w:r w:rsidR="00102373" w:rsidRPr="00102373">
              <w:rPr>
                <w:sz w:val="2"/>
                <w:highlight w:val="black"/>
              </w:rPr>
              <w:t>redacted content</w:t>
            </w:r>
          </w:p>
        </w:tc>
        <w:tc>
          <w:tcPr>
            <w:tcW w:w="471" w:type="pct"/>
            <w:vAlign w:val="center"/>
          </w:tcPr>
          <w:p w14:paraId="0F77E98F" w14:textId="77777777" w:rsidR="006F0D5C" w:rsidRPr="00D96C48" w:rsidRDefault="006F0D5C" w:rsidP="007664DB">
            <w:pPr>
              <w:pStyle w:val="TableText0"/>
              <w:jc w:val="center"/>
            </w:pPr>
            <w:r w:rsidRPr="00D96C48">
              <w:t>0.070</w:t>
            </w:r>
          </w:p>
        </w:tc>
        <w:tc>
          <w:tcPr>
            <w:tcW w:w="551" w:type="pct"/>
            <w:vAlign w:val="center"/>
          </w:tcPr>
          <w:p w14:paraId="0647C382" w14:textId="77777777" w:rsidR="006F0D5C" w:rsidRPr="00D96C48" w:rsidRDefault="006F0D5C" w:rsidP="007664DB">
            <w:pPr>
              <w:pStyle w:val="TableText0"/>
              <w:jc w:val="center"/>
            </w:pPr>
            <w:r w:rsidRPr="00D96C48">
              <w:t>0.348</w:t>
            </w:r>
          </w:p>
        </w:tc>
        <w:tc>
          <w:tcPr>
            <w:tcW w:w="471" w:type="pct"/>
            <w:vAlign w:val="center"/>
          </w:tcPr>
          <w:p w14:paraId="0A23FA51" w14:textId="5790034B" w:rsidR="006F0D5C" w:rsidRPr="004735D7" w:rsidRDefault="006F0D5C" w:rsidP="007664DB">
            <w:pPr>
              <w:pStyle w:val="TableText0"/>
              <w:jc w:val="center"/>
              <w:rPr>
                <w:vertAlign w:val="superscript"/>
              </w:rPr>
            </w:pPr>
            <w:r w:rsidRPr="00D96C48">
              <w:t>$</w:t>
            </w:r>
            <w:r w:rsidR="00102373" w:rsidRPr="00102373">
              <w:rPr>
                <w:sz w:val="2"/>
                <w:highlight w:val="black"/>
              </w:rPr>
              <w:t>redacted content</w:t>
            </w:r>
            <w:r w:rsidR="004735D7">
              <w:rPr>
                <w:vertAlign w:val="superscript"/>
              </w:rPr>
              <w:t>1</w:t>
            </w:r>
          </w:p>
        </w:tc>
        <w:tc>
          <w:tcPr>
            <w:tcW w:w="444" w:type="pct"/>
            <w:vAlign w:val="center"/>
          </w:tcPr>
          <w:p w14:paraId="2146AFB9" w14:textId="58BCCE8C" w:rsidR="006F0D5C" w:rsidRPr="00D96C48" w:rsidRDefault="00FF1914" w:rsidP="007664DB">
            <w:pPr>
              <w:pStyle w:val="TableText0"/>
              <w:jc w:val="center"/>
            </w:pPr>
            <w:r>
              <w:noBreakHyphen/>
            </w:r>
            <w:r w:rsidR="00102373" w:rsidRPr="00102373">
              <w:rPr>
                <w:sz w:val="2"/>
                <w:highlight w:val="black"/>
              </w:rPr>
              <w:t>redacted content</w:t>
            </w:r>
            <w:r w:rsidR="006F0D5C" w:rsidRPr="00D96C48">
              <w:t>%</w:t>
            </w:r>
          </w:p>
        </w:tc>
      </w:tr>
      <w:tr w:rsidR="006F0D5C" w:rsidRPr="00B42334" w14:paraId="5452954E" w14:textId="77777777" w:rsidTr="0072568D">
        <w:tc>
          <w:tcPr>
            <w:tcW w:w="2591" w:type="pct"/>
            <w:vAlign w:val="center"/>
          </w:tcPr>
          <w:p w14:paraId="5B62594B" w14:textId="77777777" w:rsidR="006F0D5C" w:rsidRPr="00D96C48" w:rsidRDefault="006F0D5C" w:rsidP="007664DB">
            <w:pPr>
              <w:pStyle w:val="TableText0"/>
            </w:pPr>
            <w:r w:rsidRPr="00D96C48">
              <w:t>Graft loss due to death excluded from transplant to dialysis transition probability</w:t>
            </w:r>
          </w:p>
        </w:tc>
        <w:tc>
          <w:tcPr>
            <w:tcW w:w="472" w:type="pct"/>
            <w:vAlign w:val="center"/>
          </w:tcPr>
          <w:p w14:paraId="67088290" w14:textId="3F263C39" w:rsidR="006F0D5C" w:rsidRPr="00D96C48" w:rsidRDefault="006F0D5C" w:rsidP="007664DB">
            <w:pPr>
              <w:pStyle w:val="TableText0"/>
              <w:jc w:val="center"/>
            </w:pPr>
            <w:r w:rsidRPr="00D96C48">
              <w:t>$</w:t>
            </w:r>
            <w:r w:rsidR="00102373" w:rsidRPr="00102373">
              <w:rPr>
                <w:sz w:val="2"/>
                <w:highlight w:val="black"/>
              </w:rPr>
              <w:t>redacted content</w:t>
            </w:r>
          </w:p>
        </w:tc>
        <w:tc>
          <w:tcPr>
            <w:tcW w:w="471" w:type="pct"/>
            <w:vAlign w:val="center"/>
          </w:tcPr>
          <w:p w14:paraId="4C85B2DE" w14:textId="77777777" w:rsidR="006F0D5C" w:rsidRPr="00D96C48" w:rsidRDefault="006F0D5C" w:rsidP="007664DB">
            <w:pPr>
              <w:pStyle w:val="TableText0"/>
              <w:jc w:val="center"/>
            </w:pPr>
            <w:r w:rsidRPr="00D96C48">
              <w:t>0.069</w:t>
            </w:r>
          </w:p>
        </w:tc>
        <w:tc>
          <w:tcPr>
            <w:tcW w:w="551" w:type="pct"/>
            <w:vAlign w:val="center"/>
          </w:tcPr>
          <w:p w14:paraId="402BBF59" w14:textId="77777777" w:rsidR="006F0D5C" w:rsidRPr="00D96C48" w:rsidRDefault="006F0D5C" w:rsidP="007664DB">
            <w:pPr>
              <w:pStyle w:val="TableText0"/>
              <w:jc w:val="center"/>
            </w:pPr>
            <w:r w:rsidRPr="00D96C48">
              <w:t>0.333</w:t>
            </w:r>
          </w:p>
        </w:tc>
        <w:tc>
          <w:tcPr>
            <w:tcW w:w="471" w:type="pct"/>
            <w:vAlign w:val="center"/>
          </w:tcPr>
          <w:p w14:paraId="695884DC" w14:textId="33B6C985" w:rsidR="006F0D5C" w:rsidRPr="004735D7" w:rsidRDefault="006F0D5C" w:rsidP="007664DB">
            <w:pPr>
              <w:pStyle w:val="TableText0"/>
              <w:jc w:val="center"/>
              <w:rPr>
                <w:vertAlign w:val="superscript"/>
              </w:rPr>
            </w:pPr>
            <w:r w:rsidRPr="00D96C48">
              <w:t>$</w:t>
            </w:r>
            <w:r w:rsidR="00102373" w:rsidRPr="00102373">
              <w:rPr>
                <w:sz w:val="2"/>
                <w:highlight w:val="black"/>
              </w:rPr>
              <w:t>redacted content</w:t>
            </w:r>
            <w:r w:rsidR="004735D7">
              <w:rPr>
                <w:vertAlign w:val="superscript"/>
              </w:rPr>
              <w:t>1</w:t>
            </w:r>
          </w:p>
        </w:tc>
        <w:tc>
          <w:tcPr>
            <w:tcW w:w="444" w:type="pct"/>
            <w:vAlign w:val="center"/>
          </w:tcPr>
          <w:p w14:paraId="03EDC95D" w14:textId="58B69C24" w:rsidR="006F0D5C" w:rsidRPr="00D96C48" w:rsidRDefault="00102373" w:rsidP="007664DB">
            <w:pPr>
              <w:pStyle w:val="TableText0"/>
              <w:jc w:val="center"/>
            </w:pPr>
            <w:r w:rsidRPr="00102373">
              <w:rPr>
                <w:sz w:val="2"/>
                <w:highlight w:val="black"/>
              </w:rPr>
              <w:t>redacted content</w:t>
            </w:r>
            <w:r w:rsidR="006F0D5C" w:rsidRPr="00D96C48">
              <w:t>%</w:t>
            </w:r>
          </w:p>
        </w:tc>
      </w:tr>
      <w:tr w:rsidR="006F0D5C" w:rsidRPr="00B42334" w14:paraId="77F312A2" w14:textId="77777777" w:rsidTr="0072568D">
        <w:tc>
          <w:tcPr>
            <w:tcW w:w="2591" w:type="pct"/>
            <w:vAlign w:val="center"/>
          </w:tcPr>
          <w:p w14:paraId="7F36A4BA" w14:textId="1211AC27" w:rsidR="006F0D5C" w:rsidRPr="00D96C48" w:rsidRDefault="006F0D5C" w:rsidP="007664DB">
            <w:pPr>
              <w:pStyle w:val="TableText0"/>
            </w:pPr>
            <w:r w:rsidRPr="00D96C48">
              <w:t>Dialysis mortality based on 6</w:t>
            </w:r>
            <w:r w:rsidR="00FF1914">
              <w:noBreakHyphen/>
            </w:r>
            <w:r w:rsidRPr="00D96C48">
              <w:t>month survival rates in ANZDATA 2024</w:t>
            </w:r>
          </w:p>
        </w:tc>
        <w:tc>
          <w:tcPr>
            <w:tcW w:w="472" w:type="pct"/>
            <w:vAlign w:val="center"/>
          </w:tcPr>
          <w:p w14:paraId="6E5A7A24" w14:textId="035D21DD" w:rsidR="006F0D5C" w:rsidRPr="00D96C48" w:rsidRDefault="006F0D5C" w:rsidP="007664DB">
            <w:pPr>
              <w:pStyle w:val="TableText0"/>
              <w:jc w:val="center"/>
            </w:pPr>
            <w:r w:rsidRPr="00D96C48">
              <w:t>$</w:t>
            </w:r>
            <w:r w:rsidR="00102373" w:rsidRPr="00102373">
              <w:rPr>
                <w:sz w:val="2"/>
                <w:highlight w:val="black"/>
              </w:rPr>
              <w:t>redacted content</w:t>
            </w:r>
          </w:p>
        </w:tc>
        <w:tc>
          <w:tcPr>
            <w:tcW w:w="471" w:type="pct"/>
            <w:vAlign w:val="center"/>
          </w:tcPr>
          <w:p w14:paraId="200C999C" w14:textId="77777777" w:rsidR="006F0D5C" w:rsidRPr="00D96C48" w:rsidRDefault="006F0D5C" w:rsidP="007664DB">
            <w:pPr>
              <w:pStyle w:val="TableText0"/>
              <w:jc w:val="center"/>
            </w:pPr>
            <w:r w:rsidRPr="00D96C48">
              <w:t>0.119</w:t>
            </w:r>
          </w:p>
        </w:tc>
        <w:tc>
          <w:tcPr>
            <w:tcW w:w="551" w:type="pct"/>
            <w:vAlign w:val="center"/>
          </w:tcPr>
          <w:p w14:paraId="1E6DCA1E" w14:textId="77777777" w:rsidR="006F0D5C" w:rsidRPr="00D96C48" w:rsidRDefault="006F0D5C" w:rsidP="007664DB">
            <w:pPr>
              <w:pStyle w:val="TableText0"/>
              <w:jc w:val="center"/>
            </w:pPr>
            <w:r w:rsidRPr="00D96C48">
              <w:t>0.363</w:t>
            </w:r>
          </w:p>
        </w:tc>
        <w:tc>
          <w:tcPr>
            <w:tcW w:w="471" w:type="pct"/>
            <w:vAlign w:val="center"/>
          </w:tcPr>
          <w:p w14:paraId="74EFAF92" w14:textId="4E678875" w:rsidR="006F0D5C" w:rsidRPr="00C22984" w:rsidRDefault="006F0D5C" w:rsidP="007664DB">
            <w:pPr>
              <w:pStyle w:val="TableText0"/>
              <w:jc w:val="center"/>
              <w:rPr>
                <w:vertAlign w:val="superscript"/>
              </w:rPr>
            </w:pPr>
            <w:r w:rsidRPr="00D96C48">
              <w:t>$</w:t>
            </w:r>
            <w:r w:rsidR="00102373" w:rsidRPr="00102373">
              <w:rPr>
                <w:sz w:val="2"/>
                <w:highlight w:val="black"/>
              </w:rPr>
              <w:t>redacted content</w:t>
            </w:r>
            <w:r w:rsidR="00C22984">
              <w:rPr>
                <w:vertAlign w:val="superscript"/>
              </w:rPr>
              <w:t>2</w:t>
            </w:r>
          </w:p>
        </w:tc>
        <w:tc>
          <w:tcPr>
            <w:tcW w:w="444" w:type="pct"/>
            <w:vAlign w:val="center"/>
          </w:tcPr>
          <w:p w14:paraId="2A2F699A" w14:textId="6E6CE31F" w:rsidR="006F0D5C" w:rsidRPr="00D96C48" w:rsidRDefault="00102373" w:rsidP="007664DB">
            <w:pPr>
              <w:pStyle w:val="TableText0"/>
              <w:jc w:val="center"/>
            </w:pPr>
            <w:r w:rsidRPr="00102373">
              <w:rPr>
                <w:sz w:val="2"/>
                <w:highlight w:val="black"/>
              </w:rPr>
              <w:t>redacted content</w:t>
            </w:r>
            <w:r w:rsidR="006F0D5C" w:rsidRPr="00D96C48">
              <w:t>%</w:t>
            </w:r>
          </w:p>
        </w:tc>
      </w:tr>
      <w:tr w:rsidR="006F0D5C" w:rsidRPr="00736F1D" w14:paraId="2153CEF1" w14:textId="77777777" w:rsidTr="0072568D">
        <w:tc>
          <w:tcPr>
            <w:tcW w:w="2591" w:type="pct"/>
            <w:vAlign w:val="center"/>
          </w:tcPr>
          <w:p w14:paraId="431EBAF3" w14:textId="77777777" w:rsidR="006F0D5C" w:rsidRPr="00D96C48" w:rsidRDefault="006F0D5C" w:rsidP="007664DB">
            <w:pPr>
              <w:pStyle w:val="TableText0"/>
              <w:rPr>
                <w:b/>
                <w:bCs w:val="0"/>
              </w:rPr>
            </w:pPr>
            <w:r w:rsidRPr="00D96C48">
              <w:rPr>
                <w:b/>
                <w:bCs w:val="0"/>
              </w:rPr>
              <w:t>Error corrected base case</w:t>
            </w:r>
          </w:p>
        </w:tc>
        <w:tc>
          <w:tcPr>
            <w:tcW w:w="472" w:type="pct"/>
          </w:tcPr>
          <w:p w14:paraId="0CF6DDEA" w14:textId="0096EFF3" w:rsidR="006F0D5C" w:rsidRPr="00D96C48" w:rsidRDefault="006F0D5C" w:rsidP="007664DB">
            <w:pPr>
              <w:pStyle w:val="TableText0"/>
              <w:jc w:val="center"/>
              <w:rPr>
                <w:b/>
                <w:bCs w:val="0"/>
              </w:rPr>
            </w:pPr>
            <w:r w:rsidRPr="00D96C48">
              <w:rPr>
                <w:b/>
                <w:bCs w:val="0"/>
              </w:rPr>
              <w:t>$</w:t>
            </w:r>
            <w:r w:rsidR="00102373" w:rsidRPr="00102373">
              <w:rPr>
                <w:b/>
                <w:bCs w:val="0"/>
                <w:sz w:val="2"/>
                <w:highlight w:val="black"/>
              </w:rPr>
              <w:t>redacted content</w:t>
            </w:r>
          </w:p>
        </w:tc>
        <w:tc>
          <w:tcPr>
            <w:tcW w:w="471" w:type="pct"/>
          </w:tcPr>
          <w:p w14:paraId="75AC011E" w14:textId="77777777" w:rsidR="006F0D5C" w:rsidRPr="00D96C48" w:rsidRDefault="006F0D5C" w:rsidP="007664DB">
            <w:pPr>
              <w:pStyle w:val="TableText0"/>
              <w:jc w:val="center"/>
              <w:rPr>
                <w:b/>
                <w:bCs w:val="0"/>
              </w:rPr>
            </w:pPr>
            <w:r w:rsidRPr="00D96C48">
              <w:rPr>
                <w:b/>
                <w:bCs w:val="0"/>
              </w:rPr>
              <w:t>0.116</w:t>
            </w:r>
          </w:p>
        </w:tc>
        <w:tc>
          <w:tcPr>
            <w:tcW w:w="551" w:type="pct"/>
          </w:tcPr>
          <w:p w14:paraId="62B3D50E" w14:textId="77777777" w:rsidR="006F0D5C" w:rsidRPr="00D96C48" w:rsidRDefault="006F0D5C" w:rsidP="007664DB">
            <w:pPr>
              <w:pStyle w:val="TableText0"/>
              <w:jc w:val="center"/>
              <w:rPr>
                <w:b/>
                <w:bCs w:val="0"/>
              </w:rPr>
            </w:pPr>
            <w:r w:rsidRPr="00D96C48">
              <w:rPr>
                <w:b/>
                <w:bCs w:val="0"/>
              </w:rPr>
              <w:t>0.370</w:t>
            </w:r>
          </w:p>
        </w:tc>
        <w:tc>
          <w:tcPr>
            <w:tcW w:w="471" w:type="pct"/>
          </w:tcPr>
          <w:p w14:paraId="28016F5A" w14:textId="7D99FE65" w:rsidR="006F0D5C" w:rsidRPr="005574A3" w:rsidRDefault="006F0D5C" w:rsidP="007664DB">
            <w:pPr>
              <w:pStyle w:val="TableText0"/>
              <w:jc w:val="center"/>
              <w:rPr>
                <w:b/>
                <w:bCs w:val="0"/>
                <w:vertAlign w:val="superscript"/>
              </w:rPr>
            </w:pPr>
            <w:r w:rsidRPr="00D96C48">
              <w:rPr>
                <w:b/>
                <w:bCs w:val="0"/>
              </w:rPr>
              <w:t>$</w:t>
            </w:r>
            <w:r w:rsidR="00102373" w:rsidRPr="00102373">
              <w:rPr>
                <w:b/>
                <w:bCs w:val="0"/>
                <w:sz w:val="2"/>
                <w:highlight w:val="black"/>
              </w:rPr>
              <w:t>redacted content</w:t>
            </w:r>
            <w:r w:rsidR="005574A3">
              <w:rPr>
                <w:b/>
                <w:bCs w:val="0"/>
                <w:vertAlign w:val="superscript"/>
              </w:rPr>
              <w:t>3</w:t>
            </w:r>
          </w:p>
        </w:tc>
        <w:tc>
          <w:tcPr>
            <w:tcW w:w="444" w:type="pct"/>
          </w:tcPr>
          <w:p w14:paraId="5A198D6F" w14:textId="6F07CBC9" w:rsidR="006F0D5C" w:rsidRPr="00D96C48" w:rsidRDefault="00102373" w:rsidP="007664DB">
            <w:pPr>
              <w:pStyle w:val="TableText0"/>
              <w:jc w:val="center"/>
              <w:rPr>
                <w:b/>
                <w:bCs w:val="0"/>
              </w:rPr>
            </w:pPr>
            <w:r w:rsidRPr="00102373">
              <w:rPr>
                <w:b/>
                <w:bCs w:val="0"/>
                <w:sz w:val="2"/>
                <w:highlight w:val="black"/>
              </w:rPr>
              <w:t>redacted content</w:t>
            </w:r>
            <w:r w:rsidR="006F0D5C" w:rsidRPr="00D96C48">
              <w:rPr>
                <w:b/>
                <w:bCs w:val="0"/>
              </w:rPr>
              <w:t>%</w:t>
            </w:r>
          </w:p>
        </w:tc>
      </w:tr>
    </w:tbl>
    <w:p w14:paraId="2736B172" w14:textId="77777777" w:rsidR="006F0D5C" w:rsidRDefault="006F0D5C" w:rsidP="007664DB">
      <w:pPr>
        <w:pStyle w:val="TableFigureFooter"/>
        <w:keepNext/>
      </w:pPr>
      <w:r>
        <w:t>Source: compiled during the evaluation using Excel workbook ‘Economic Evaluation.xlsb’</w:t>
      </w:r>
    </w:p>
    <w:p w14:paraId="7842173C" w14:textId="36BF4C3F" w:rsidR="006F0D5C" w:rsidRDefault="006F0D5C" w:rsidP="007664DB">
      <w:pPr>
        <w:pStyle w:val="TableFigureFooter"/>
        <w:keepNext/>
      </w:pPr>
      <w:r>
        <w:t>ICER=incremental cost</w:t>
      </w:r>
      <w:r w:rsidR="00FF1914">
        <w:noBreakHyphen/>
      </w:r>
      <w:r>
        <w:t>effectiveness ratio, LY=life year MMF=</w:t>
      </w:r>
      <w:r w:rsidRPr="006505F2">
        <w:t xml:space="preserve"> </w:t>
      </w:r>
      <w:r w:rsidRPr="007668A4">
        <w:t>mycophenolate mofetil</w:t>
      </w:r>
      <w:r>
        <w:t>, MP=methylprednisolone, OBI=obinutuzumab, QALY=quality</w:t>
      </w:r>
      <w:r w:rsidR="00FF1914">
        <w:noBreakHyphen/>
      </w:r>
      <w:r>
        <w:t>adjusted life</w:t>
      </w:r>
      <w:r w:rsidR="00FF1914">
        <w:noBreakHyphen/>
      </w:r>
      <w:r>
        <w:t>year, SOC=standard of care</w:t>
      </w:r>
    </w:p>
    <w:p w14:paraId="1A825B2D" w14:textId="286A6ED6" w:rsidR="006F0D5C" w:rsidRPr="00D6027F" w:rsidRDefault="006F0D5C" w:rsidP="007664DB">
      <w:pPr>
        <w:pStyle w:val="TableFigureFooter"/>
        <w:keepNext/>
        <w:ind w:left="165" w:hanging="165"/>
      </w:pPr>
      <w:r w:rsidRPr="00D6027F">
        <w:t>a</w:t>
      </w:r>
      <w:r w:rsidRPr="00D6027F">
        <w:tab/>
        <w:t>This scenario was intended to be used with the removal of half</w:t>
      </w:r>
      <w:r w:rsidR="00FF1914">
        <w:noBreakHyphen/>
      </w:r>
      <w:r w:rsidRPr="00D6027F">
        <w:t>cycle correction, to ensure doses occur at the start of the cycle and more closely follow the proposed dosing schedule. Furthermore, as the model estimated total administration for obinutuzumab and methylprednisolone separately, total administration costs may not be correct in this scenario. The overall corrected base case also corrects administrations</w:t>
      </w:r>
    </w:p>
    <w:p w14:paraId="15F082ED" w14:textId="03B9F9A2" w:rsidR="006F0D5C" w:rsidRPr="00D6027F" w:rsidRDefault="006F0D5C" w:rsidP="007664DB">
      <w:pPr>
        <w:pStyle w:val="TableFigureFooter"/>
        <w:keepNext/>
        <w:ind w:left="165" w:hanging="165"/>
      </w:pPr>
      <w:r w:rsidRPr="00D6027F">
        <w:t>b</w:t>
      </w:r>
      <w:r w:rsidRPr="00D6027F">
        <w:tab/>
        <w:t>To make sure doses occurred at the beginning on the cycle, matching the dosing schedule. Half</w:t>
      </w:r>
      <w:r w:rsidR="00FF1914">
        <w:noBreakHyphen/>
      </w:r>
      <w:r w:rsidRPr="00D6027F">
        <w:t>cycle correction for all other costs, including other treatments, unchanged from the base case (i.e., half</w:t>
      </w:r>
      <w:r w:rsidR="00FF1914">
        <w:noBreakHyphen/>
      </w:r>
      <w:r w:rsidRPr="00D6027F">
        <w:t>cycle correction always applied, except for treatment costs in the first cycle)</w:t>
      </w:r>
    </w:p>
    <w:p w14:paraId="46DB6CB4" w14:textId="76B9ECF5" w:rsidR="006F0D5C" w:rsidRPr="00D6027F" w:rsidRDefault="006F0D5C" w:rsidP="007664DB">
      <w:pPr>
        <w:pStyle w:val="TableFigureFooter"/>
        <w:keepNext/>
      </w:pPr>
      <w:r w:rsidRPr="00D6027F">
        <w:t>c</w:t>
      </w:r>
      <w:r w:rsidRPr="00D6027F">
        <w:tab/>
        <w:t>DPMQ 14000W 60</w:t>
      </w:r>
      <w:r w:rsidR="00FF1914">
        <w:noBreakHyphen/>
      </w:r>
      <w:r w:rsidRPr="00D6027F">
        <w:t>day supply (6 packs of 50x500mg tablets) as stated by the submission.</w:t>
      </w:r>
    </w:p>
    <w:p w14:paraId="6AE60E7A" w14:textId="6D817E9E" w:rsidR="006F0D5C" w:rsidRPr="00D6027F" w:rsidRDefault="006F0D5C" w:rsidP="007664DB">
      <w:pPr>
        <w:pStyle w:val="TableFigureFooter"/>
        <w:keepNext/>
        <w:ind w:left="164" w:hanging="164"/>
      </w:pPr>
      <w:r w:rsidRPr="00D6027F">
        <w:t>d</w:t>
      </w:r>
      <w:r w:rsidRPr="00D6027F">
        <w:tab/>
        <w:t>The submission’s base case estimated weekly cost of MMF and prednisone, and then rounded weeks to the nearest cycle. This resulted in higher costs in some cycles than others (e.g., the twelfth cycle had higher costs than the eleventh or thirteenth), which was only reasonable for the first cycle. The revision estimated average daily costs based on the submission’s proposed dosing schedules (MMF 2500mg/day, prednisone 0.5mg/kg/day not exceeding 60mg/day until Week 24, 5mg/day thereafter) and applied to each 6</w:t>
      </w:r>
      <w:r w:rsidR="00FF1914">
        <w:noBreakHyphen/>
      </w:r>
      <w:r w:rsidRPr="00D6027F">
        <w:t>month cycle, with the first cycle adjusted for the proposed higher dose of prednisone.</w:t>
      </w:r>
    </w:p>
    <w:p w14:paraId="7BDA20DA" w14:textId="77777777" w:rsidR="00BC6D12" w:rsidRDefault="006F0D5C" w:rsidP="00BC6D12">
      <w:pPr>
        <w:pStyle w:val="TableFigureFooter"/>
        <w:keepNext/>
        <w:ind w:left="165" w:hanging="165"/>
        <w:rPr>
          <w:i/>
        </w:rPr>
      </w:pPr>
      <w:r w:rsidRPr="00D6027F">
        <w:t>e</w:t>
      </w:r>
      <w:r w:rsidRPr="00D6027F">
        <w:tab/>
        <w:t>The model assumed MP usage as per the REGENCY trial (1000mg prior to treatment initiation, 80mg prior to every obinutuzumab dose). However, MP was used in REGENCY to prevent infusion reactions for patients receiving obinutuzumab or placebo. Patients receiving SOC in practice will not receive placebo infusions, and therefore, it was not reasonable to assume a cost of MP for these patients. Assumed full pack wastage as per the submission’s base case.</w:t>
      </w:r>
    </w:p>
    <w:p w14:paraId="45CD6086" w14:textId="11300FC8" w:rsidR="00BC6D12" w:rsidRPr="00BC6D12" w:rsidRDefault="00BC6D12" w:rsidP="00BC6D12">
      <w:pPr>
        <w:pStyle w:val="TableFigureFooter"/>
        <w:keepNext/>
        <w:ind w:left="165"/>
        <w:rPr>
          <w:i/>
        </w:rPr>
      </w:pPr>
      <w:r w:rsidRPr="00BC6D12">
        <w:rPr>
          <w:i/>
        </w:rPr>
        <w:t xml:space="preserve">The redacted values correspond to the following ranges: </w:t>
      </w:r>
    </w:p>
    <w:p w14:paraId="72FCD33D" w14:textId="12FCBFD8" w:rsidR="00BC6D12" w:rsidRPr="00BC6D12" w:rsidRDefault="00BC6D12" w:rsidP="00BC6D12">
      <w:pPr>
        <w:pStyle w:val="TableFigureFooter"/>
        <w:keepNext/>
        <w:ind w:left="165"/>
        <w:rPr>
          <w:i/>
        </w:rPr>
      </w:pPr>
      <w:r w:rsidRPr="00BC6D12">
        <w:rPr>
          <w:i/>
          <w:vertAlign w:val="superscript"/>
        </w:rPr>
        <w:t>1</w:t>
      </w:r>
      <w:r w:rsidRPr="00BC6D12">
        <w:rPr>
          <w:i/>
        </w:rPr>
        <w:t xml:space="preserve"> </w:t>
      </w:r>
      <w:r w:rsidR="004735D7" w:rsidRPr="004735D7">
        <w:rPr>
          <w:i/>
        </w:rPr>
        <w:t>$15,000 to &lt; $25,000</w:t>
      </w:r>
    </w:p>
    <w:p w14:paraId="6840ADD7" w14:textId="41CB123A" w:rsidR="00BC6D12" w:rsidRPr="00BC6D12" w:rsidRDefault="00BC6D12" w:rsidP="00BC6D12">
      <w:pPr>
        <w:pStyle w:val="TableFigureFooter"/>
        <w:keepNext/>
        <w:ind w:left="165"/>
        <w:rPr>
          <w:i/>
        </w:rPr>
      </w:pPr>
      <w:r w:rsidRPr="00BC6D12">
        <w:rPr>
          <w:i/>
          <w:vertAlign w:val="superscript"/>
        </w:rPr>
        <w:t>2</w:t>
      </w:r>
      <w:r w:rsidRPr="00BC6D12">
        <w:rPr>
          <w:i/>
        </w:rPr>
        <w:t xml:space="preserve"> </w:t>
      </w:r>
      <w:r w:rsidR="00C22984" w:rsidRPr="00C22984">
        <w:rPr>
          <w:i/>
        </w:rPr>
        <w:t>$25,000 to &lt; $35,000</w:t>
      </w:r>
    </w:p>
    <w:p w14:paraId="16C65D67" w14:textId="17485572" w:rsidR="006F0D5C" w:rsidRPr="00D6027F" w:rsidRDefault="00BC6D12" w:rsidP="005574A3">
      <w:pPr>
        <w:pStyle w:val="TableFigureFooter"/>
        <w:keepNext/>
        <w:ind w:left="165"/>
      </w:pPr>
      <w:r w:rsidRPr="00BC6D12">
        <w:rPr>
          <w:i/>
          <w:vertAlign w:val="superscript"/>
        </w:rPr>
        <w:t>3</w:t>
      </w:r>
      <w:r w:rsidRPr="00BC6D12">
        <w:rPr>
          <w:i/>
        </w:rPr>
        <w:t xml:space="preserve"> </w:t>
      </w:r>
      <w:r w:rsidR="005574A3" w:rsidRPr="005574A3">
        <w:rPr>
          <w:i/>
        </w:rPr>
        <w:t>$35,000 to &lt; $45,000</w:t>
      </w:r>
    </w:p>
    <w:p w14:paraId="52F9EE4A" w14:textId="0020265D" w:rsidR="006F0D5C" w:rsidRPr="00A441BF" w:rsidRDefault="002255D9" w:rsidP="006F0D5C">
      <w:pPr>
        <w:pStyle w:val="3-BodyText"/>
        <w:numPr>
          <w:ilvl w:val="1"/>
          <w:numId w:val="1"/>
        </w:numPr>
      </w:pPr>
      <w:fldSimple w:instr=" REF _Ref218791817 ">
        <w:r>
          <w:t xml:space="preserve">Figure </w:t>
        </w:r>
        <w:r>
          <w:rPr>
            <w:noProof/>
          </w:rPr>
          <w:t>2</w:t>
        </w:r>
      </w:fldSimple>
      <w:r w:rsidR="006F0D5C">
        <w:t xml:space="preserve"> </w:t>
      </w:r>
      <w:bookmarkStart w:id="54" w:name="_Hlk219108590"/>
      <w:r w:rsidR="006F0D5C">
        <w:t xml:space="preserve">summarises the model structure in the submission. Patients entered the model in active disease (AD) and up to Month 18, could remain in AD or transition to complete response (CR), partial response (PR), dialysis, or death each cycle based on REGENCY total percentages. From Month 18 onwards, patients in AD, PR or CR could only remain in their current state or move to dialysis or death; no further movement between AD, PR or CR was permitted. Patients in dialysis could remain in dialysis, or transition to transplant or death each cycle, and patients in transplant could remain in transplant or move to dialysis or death. </w:t>
      </w:r>
      <w:r w:rsidR="006F0D5C" w:rsidRPr="00A441BF">
        <w:t xml:space="preserve">All health states reflected kidney disease status only, with no modelling of other SLE manifestations. As the submission did not claim benefits of obinutuzumab beyond renal outcomes, </w:t>
      </w:r>
      <w:r w:rsidR="002A7A00">
        <w:t xml:space="preserve">the evaluation considered that </w:t>
      </w:r>
      <w:r w:rsidR="006F0D5C" w:rsidRPr="00A441BF">
        <w:t>this was a reasonable simplification.</w:t>
      </w:r>
      <w:bookmarkEnd w:id="54"/>
    </w:p>
    <w:p w14:paraId="59377DB9" w14:textId="057D74C9" w:rsidR="006F0D5C" w:rsidRDefault="006F0D5C" w:rsidP="006F0D5C">
      <w:pPr>
        <w:pStyle w:val="Caption"/>
      </w:pPr>
      <w:bookmarkStart w:id="55" w:name="_Ref218791817"/>
      <w:r>
        <w:lastRenderedPageBreak/>
        <w:t xml:space="preserve">Figure </w:t>
      </w:r>
      <w:fldSimple w:instr=" SEQ Figure \* ARABIC ">
        <w:r w:rsidR="002255D9">
          <w:rPr>
            <w:noProof/>
          </w:rPr>
          <w:t>2</w:t>
        </w:r>
      </w:fldSimple>
      <w:bookmarkEnd w:id="55"/>
      <w:r>
        <w:t>: Model diagram</w:t>
      </w:r>
    </w:p>
    <w:p w14:paraId="40DF112D" w14:textId="77777777" w:rsidR="006F0D5C" w:rsidRDefault="006F0D5C" w:rsidP="006F0D5C">
      <w:r>
        <w:rPr>
          <w:noProof/>
        </w:rPr>
        <w:drawing>
          <wp:inline distT="0" distB="0" distL="0" distR="0" wp14:anchorId="14C97340" wp14:editId="514DF2C8">
            <wp:extent cx="3600000" cy="2609962"/>
            <wp:effectExtent l="0" t="0" r="635" b="0"/>
            <wp:docPr id="451847997" name="Picture 2" descr="Figure 2: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47997" name="Picture 2" descr="Figure 2: Mode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2609962"/>
                    </a:xfrm>
                    <a:prstGeom prst="rect">
                      <a:avLst/>
                    </a:prstGeom>
                    <a:noFill/>
                  </pic:spPr>
                </pic:pic>
              </a:graphicData>
            </a:graphic>
          </wp:inline>
        </w:drawing>
      </w:r>
    </w:p>
    <w:p w14:paraId="48A2C590" w14:textId="36068E23" w:rsidR="006F0D5C" w:rsidRDefault="006F0D5C" w:rsidP="006F0D5C">
      <w:pPr>
        <w:pStyle w:val="TableFigureFooter"/>
      </w:pPr>
      <w:r>
        <w:t>Source: Figure 3.2, p101 of the submission</w:t>
      </w:r>
    </w:p>
    <w:p w14:paraId="3487A929" w14:textId="31BAD9C3" w:rsidR="00C11AAB" w:rsidRPr="00C11AAB" w:rsidRDefault="00C11AAB" w:rsidP="00C11AAB">
      <w:pPr>
        <w:pStyle w:val="TableFigureFooter"/>
      </w:pPr>
      <w:r>
        <w:t>AD=active disease, CR=complete response, ESRD=end stage renal disease, PR=partial response</w:t>
      </w:r>
    </w:p>
    <w:p w14:paraId="48CFE5AD" w14:textId="77777777" w:rsidR="002255D9" w:rsidRDefault="00B01563" w:rsidP="00C121B1">
      <w:pPr>
        <w:pStyle w:val="3-BodyText"/>
        <w:numPr>
          <w:ilvl w:val="0"/>
          <w:numId w:val="0"/>
        </w:numPr>
        <w:rPr>
          <w:rFonts w:ascii="Arial Narrow" w:eastAsiaTheme="majorEastAsia" w:hAnsi="Arial Narrow" w:cstheme="majorBidi"/>
          <w:b/>
          <w:bCs/>
          <w:sz w:val="20"/>
        </w:rPr>
      </w:pPr>
      <w:r>
        <w:fldChar w:fldCharType="begin"/>
      </w:r>
      <w:r>
        <w:instrText xml:space="preserve"> REF _Ref218846649 </w:instrText>
      </w:r>
      <w:r>
        <w:fldChar w:fldCharType="separate"/>
      </w:r>
    </w:p>
    <w:p w14:paraId="2781F377" w14:textId="3ABC3A52" w:rsidR="006F0D5C" w:rsidRPr="00A441BF" w:rsidRDefault="002255D9" w:rsidP="006F0D5C">
      <w:pPr>
        <w:pStyle w:val="3-BodyText"/>
        <w:numPr>
          <w:ilvl w:val="1"/>
          <w:numId w:val="1"/>
        </w:numPr>
      </w:pPr>
      <w:r w:rsidRPr="0098262F">
        <w:t xml:space="preserve">Table </w:t>
      </w:r>
      <w:r>
        <w:rPr>
          <w:noProof/>
        </w:rPr>
        <w:t>8</w:t>
      </w:r>
      <w:r w:rsidR="00B01563">
        <w:rPr>
          <w:noProof/>
        </w:rPr>
        <w:fldChar w:fldCharType="end"/>
      </w:r>
      <w:r w:rsidR="006F0D5C" w:rsidRPr="00355730">
        <w:t>.</w:t>
      </w:r>
      <w:r w:rsidR="006F0D5C">
        <w:t xml:space="preserve"> In summary, REGENCY data informed health state allocations to Month 18, after which the model relied on a combination of Davidson 2018, ANZDATA 2024 and additional REGENCY data. </w:t>
      </w:r>
      <w:r w:rsidR="006F0D5C" w:rsidRPr="00A441BF">
        <w:t xml:space="preserve">In general, </w:t>
      </w:r>
      <w:r w:rsidR="00B20762">
        <w:t xml:space="preserve">the evaluation considered that </w:t>
      </w:r>
      <w:r w:rsidR="006F0D5C" w:rsidRPr="00A441BF">
        <w:t xml:space="preserve">using multiple sources likely introduced uncertainty because the underlying populations differed. </w:t>
      </w:r>
    </w:p>
    <w:p w14:paraId="3F65E104" w14:textId="7E35DF84" w:rsidR="006F0D5C" w:rsidRDefault="006F0D5C" w:rsidP="006F0D5C">
      <w:pPr>
        <w:pStyle w:val="3-BodyText"/>
        <w:numPr>
          <w:ilvl w:val="1"/>
          <w:numId w:val="1"/>
        </w:numPr>
      </w:pPr>
      <w:r w:rsidRPr="00A441BF">
        <w:t xml:space="preserve">These differences included disease characteristics (ANZDATA includes all dialysis or kidney transplant patients, not just </w:t>
      </w:r>
      <w:r w:rsidR="00A62EEF" w:rsidRPr="00A441BF">
        <w:t>lupus nephritis resulting from SLE</w:t>
      </w:r>
      <w:r w:rsidRPr="00A441BF">
        <w:t>), demographics (e.g., 14.8% of patients were described as Black in REGENCY versus 53.4% in Davidson 2018; 84.5% females in REGENCY versus 91.5% in Davidson 2018), treatments (e.g., all patients received MMF, methylprednisolone and prednisone, with 88.1% receiving other concomitant therapy in REGENCY versus 24.4% that received no induction therapy in Davidson 2018), and timing of response (e.g., 76 weeks in REGENCY versus 24 months post baseline in Davidson 2018). A recent single</w:t>
      </w:r>
      <w:r w:rsidR="00FF1914">
        <w:noBreakHyphen/>
      </w:r>
      <w:r w:rsidRPr="00A441BF">
        <w:t>centre study of 60 patients in Australia by Nakagawa 2025</w:t>
      </w:r>
      <w:r w:rsidRPr="00A441BF">
        <w:rPr>
          <w:rStyle w:val="FootnoteReference"/>
        </w:rPr>
        <w:footnoteReference w:id="23"/>
      </w:r>
      <w:r w:rsidRPr="00A441BF">
        <w:t xml:space="preserve"> highlights that some demographics likely differ between the modelled studies and the Australian population, with a larger Asian population in Australia (52% of patients in Nakagawa 2025, compared to 5.9% in REGENCY, NR in Davidson 2018); and worse lupus nephritis class (20% class III versus 25% in Davidson 2018; 37% III or IV+V versus 31.4% in REGENCY). </w:t>
      </w:r>
    </w:p>
    <w:p w14:paraId="7C1EEBD4" w14:textId="297B19DE" w:rsidR="007667EE" w:rsidRDefault="007667EE" w:rsidP="00C121B1">
      <w:pPr>
        <w:pStyle w:val="3-BodyText"/>
        <w:numPr>
          <w:ilvl w:val="0"/>
          <w:numId w:val="0"/>
        </w:numPr>
        <w:rPr>
          <w:rFonts w:ascii="Arial Narrow" w:eastAsiaTheme="majorEastAsia" w:hAnsi="Arial Narrow" w:cstheme="majorBidi"/>
          <w:b/>
          <w:bCs/>
          <w:sz w:val="20"/>
        </w:rPr>
      </w:pPr>
      <w:bookmarkStart w:id="56" w:name="_Ref218846649"/>
    </w:p>
    <w:p w14:paraId="4276268D" w14:textId="12303424" w:rsidR="006F0D5C" w:rsidRDefault="006F0D5C" w:rsidP="00C121B1">
      <w:pPr>
        <w:pStyle w:val="TableFigureHeading"/>
        <w:keepLines/>
      </w:pPr>
      <w:r w:rsidRPr="0098262F">
        <w:lastRenderedPageBreak/>
        <w:t xml:space="preserve">Table </w:t>
      </w:r>
      <w:fldSimple w:instr=" SEQ Table \* ARABIC ">
        <w:r w:rsidR="002255D9">
          <w:rPr>
            <w:noProof/>
          </w:rPr>
          <w:t>8</w:t>
        </w:r>
      </w:fldSimple>
      <w:bookmarkEnd w:id="56"/>
      <w:r w:rsidRPr="000149F8">
        <w:t>:</w:t>
      </w:r>
      <w:r w:rsidRPr="000149F8">
        <w:rPr>
          <w:rStyle w:val="CommentReference"/>
          <w:b/>
          <w:szCs w:val="24"/>
        </w:rPr>
        <w:t xml:space="preserve"> </w:t>
      </w:r>
      <w:r w:rsidRPr="000149F8">
        <w:t xml:space="preserve">Summary </w:t>
      </w:r>
      <w:r w:rsidR="00AF1008" w:rsidRPr="000149F8">
        <w:t xml:space="preserve">of </w:t>
      </w:r>
      <w:r w:rsidRPr="000149F8">
        <w:t>transitions in the model</w:t>
      </w:r>
      <w:r w:rsidR="00FE0B3E" w:rsidRPr="000149F8">
        <w:t xml:space="preserve"> </w:t>
      </w:r>
      <w:r w:rsidR="0055507C" w:rsidRPr="000149F8">
        <w:t>(</w:t>
      </w:r>
      <w:r w:rsidR="001240B8" w:rsidRPr="000149F8">
        <w:t>error</w:t>
      </w:r>
      <w:r w:rsidR="00FF1914">
        <w:noBreakHyphen/>
      </w:r>
      <w:r w:rsidR="0055507C" w:rsidRPr="000149F8">
        <w:t xml:space="preserve">corrected </w:t>
      </w:r>
      <w:r w:rsidR="001240B8" w:rsidRPr="000149F8">
        <w:t>base case)</w:t>
      </w:r>
    </w:p>
    <w:tbl>
      <w:tblPr>
        <w:tblStyle w:val="PBAClayout"/>
        <w:tblW w:w="9301" w:type="dxa"/>
        <w:tblLook w:val="04A0" w:firstRow="1" w:lastRow="0" w:firstColumn="1" w:lastColumn="0" w:noHBand="0" w:noVBand="1"/>
        <w:tblCaption w:val="Table 8: Summary of transitions in the model (error corrected base case)"/>
      </w:tblPr>
      <w:tblGrid>
        <w:gridCol w:w="2122"/>
        <w:gridCol w:w="2268"/>
        <w:gridCol w:w="1985"/>
        <w:gridCol w:w="2926"/>
      </w:tblGrid>
      <w:tr w:rsidR="006F0D5C" w14:paraId="49728AF5" w14:textId="77777777" w:rsidTr="0072568D">
        <w:trPr>
          <w:tblHeader/>
        </w:trPr>
        <w:tc>
          <w:tcPr>
            <w:tcW w:w="2122" w:type="dxa"/>
          </w:tcPr>
          <w:p w14:paraId="49B1CFBB" w14:textId="77777777" w:rsidR="006F0D5C" w:rsidRDefault="006F0D5C" w:rsidP="00C121B1">
            <w:pPr>
              <w:pStyle w:val="In-tableHeading"/>
            </w:pPr>
            <w:r>
              <w:t>Transition</w:t>
            </w:r>
          </w:p>
        </w:tc>
        <w:tc>
          <w:tcPr>
            <w:tcW w:w="4253" w:type="dxa"/>
            <w:gridSpan w:val="2"/>
          </w:tcPr>
          <w:p w14:paraId="457B10F9" w14:textId="77777777" w:rsidR="006F0D5C" w:rsidRDefault="006F0D5C" w:rsidP="00C121B1">
            <w:pPr>
              <w:pStyle w:val="In-tableHeading"/>
            </w:pPr>
            <w:r>
              <w:t>Probabilities</w:t>
            </w:r>
          </w:p>
        </w:tc>
        <w:tc>
          <w:tcPr>
            <w:tcW w:w="2926" w:type="dxa"/>
          </w:tcPr>
          <w:p w14:paraId="1D470AB5" w14:textId="77777777" w:rsidR="006F0D5C" w:rsidRDefault="006F0D5C" w:rsidP="00C121B1">
            <w:pPr>
              <w:pStyle w:val="In-tableHeading"/>
            </w:pPr>
            <w:r>
              <w:t>Source/calculation</w:t>
            </w:r>
          </w:p>
        </w:tc>
      </w:tr>
      <w:tr w:rsidR="006F0D5C" w14:paraId="175B9B7F" w14:textId="77777777" w:rsidTr="0072568D">
        <w:trPr>
          <w:trHeight w:val="148"/>
        </w:trPr>
        <w:tc>
          <w:tcPr>
            <w:tcW w:w="2122" w:type="dxa"/>
            <w:vMerge w:val="restart"/>
          </w:tcPr>
          <w:p w14:paraId="4A49C49A" w14:textId="77777777" w:rsidR="006F0D5C" w:rsidRPr="00D05EB8" w:rsidRDefault="006F0D5C" w:rsidP="00C121B1">
            <w:pPr>
              <w:pStyle w:val="TableText0"/>
            </w:pPr>
            <w:r w:rsidRPr="00D05EB8">
              <w:t>Allocation to AD, PR, CR, up to Month 18 (percentage of total cohort)</w:t>
            </w:r>
          </w:p>
        </w:tc>
        <w:tc>
          <w:tcPr>
            <w:tcW w:w="2268" w:type="dxa"/>
            <w:tcBorders>
              <w:bottom w:val="nil"/>
            </w:tcBorders>
          </w:tcPr>
          <w:p w14:paraId="0B081B7E" w14:textId="77777777" w:rsidR="006F0D5C" w:rsidRPr="00D05EB8" w:rsidRDefault="006F0D5C" w:rsidP="00C121B1">
            <w:pPr>
              <w:pStyle w:val="TableText0"/>
              <w:rPr>
                <w:b/>
                <w:bCs w:val="0"/>
              </w:rPr>
            </w:pPr>
            <w:r w:rsidRPr="00D05EB8">
              <w:rPr>
                <w:b/>
                <w:bCs w:val="0"/>
              </w:rPr>
              <w:t xml:space="preserve">OBI arm </w:t>
            </w:r>
          </w:p>
        </w:tc>
        <w:tc>
          <w:tcPr>
            <w:tcW w:w="1985" w:type="dxa"/>
            <w:tcBorders>
              <w:bottom w:val="nil"/>
            </w:tcBorders>
          </w:tcPr>
          <w:p w14:paraId="5113788E" w14:textId="77777777" w:rsidR="006F0D5C" w:rsidRPr="00D05EB8" w:rsidRDefault="006F0D5C" w:rsidP="00C121B1">
            <w:pPr>
              <w:pStyle w:val="TableText0"/>
              <w:rPr>
                <w:b/>
                <w:bCs w:val="0"/>
              </w:rPr>
            </w:pPr>
            <w:r w:rsidRPr="00D05EB8">
              <w:rPr>
                <w:b/>
                <w:bCs w:val="0"/>
              </w:rPr>
              <w:t xml:space="preserve">SOC arm </w:t>
            </w:r>
          </w:p>
        </w:tc>
        <w:tc>
          <w:tcPr>
            <w:tcW w:w="2926" w:type="dxa"/>
            <w:vMerge w:val="restart"/>
          </w:tcPr>
          <w:p w14:paraId="7304B9DF" w14:textId="77777777" w:rsidR="006F0D5C" w:rsidRPr="00D05EB8" w:rsidRDefault="006F0D5C" w:rsidP="00C121B1">
            <w:pPr>
              <w:pStyle w:val="TableText0"/>
            </w:pPr>
            <w:r w:rsidRPr="00D05EB8">
              <w:t>REGENCY Weeks 24, 50, 76.</w:t>
            </w:r>
          </w:p>
        </w:tc>
      </w:tr>
      <w:tr w:rsidR="006F0D5C" w14:paraId="520F34D1" w14:textId="77777777" w:rsidTr="0072568D">
        <w:trPr>
          <w:trHeight w:val="345"/>
        </w:trPr>
        <w:tc>
          <w:tcPr>
            <w:tcW w:w="2122" w:type="dxa"/>
            <w:vMerge/>
          </w:tcPr>
          <w:p w14:paraId="306917CD" w14:textId="77777777" w:rsidR="006F0D5C" w:rsidRPr="00D05EB8" w:rsidRDefault="006F0D5C" w:rsidP="00C121B1">
            <w:pPr>
              <w:pStyle w:val="TableText0"/>
            </w:pPr>
          </w:p>
        </w:tc>
        <w:tc>
          <w:tcPr>
            <w:tcW w:w="2268" w:type="dxa"/>
            <w:tcBorders>
              <w:top w:val="nil"/>
              <w:bottom w:val="nil"/>
            </w:tcBorders>
          </w:tcPr>
          <w:p w14:paraId="4AC2E3F2" w14:textId="77777777" w:rsidR="006F0D5C" w:rsidRPr="00D05EB8" w:rsidRDefault="006F0D5C" w:rsidP="00C121B1">
            <w:pPr>
              <w:pStyle w:val="TableText0"/>
            </w:pPr>
            <w:r w:rsidRPr="00D05EB8">
              <w:rPr>
                <w:b/>
                <w:bCs w:val="0"/>
              </w:rPr>
              <w:t>Cycle 1:</w:t>
            </w:r>
            <w:r w:rsidRPr="00D05EB8">
              <w:t xml:space="preserve"> AD: 57.5%, PR: 16.9%, CR: 25.6%</w:t>
            </w:r>
          </w:p>
        </w:tc>
        <w:tc>
          <w:tcPr>
            <w:tcW w:w="1985" w:type="dxa"/>
            <w:tcBorders>
              <w:top w:val="nil"/>
              <w:bottom w:val="nil"/>
            </w:tcBorders>
          </w:tcPr>
          <w:p w14:paraId="31AF97E7" w14:textId="77777777" w:rsidR="006F0D5C" w:rsidRPr="00D05EB8" w:rsidRDefault="006F0D5C" w:rsidP="00C121B1">
            <w:pPr>
              <w:pStyle w:val="TableText0"/>
            </w:pPr>
            <w:r w:rsidRPr="00D05EB8">
              <w:rPr>
                <w:b/>
                <w:bCs w:val="0"/>
              </w:rPr>
              <w:t>Cycle 1:</w:t>
            </w:r>
            <w:r w:rsidRPr="00D05EB8">
              <w:t xml:space="preserve"> AD: 57.5%, PR: 20.9%, CR: 23.7%</w:t>
            </w:r>
          </w:p>
        </w:tc>
        <w:tc>
          <w:tcPr>
            <w:tcW w:w="2926" w:type="dxa"/>
            <w:vMerge/>
          </w:tcPr>
          <w:p w14:paraId="38633C5B" w14:textId="77777777" w:rsidR="006F0D5C" w:rsidRPr="00D05EB8" w:rsidRDefault="006F0D5C" w:rsidP="00C121B1">
            <w:pPr>
              <w:pStyle w:val="TableText0"/>
            </w:pPr>
          </w:p>
        </w:tc>
      </w:tr>
      <w:tr w:rsidR="006F0D5C" w14:paraId="36514F02" w14:textId="77777777" w:rsidTr="0072568D">
        <w:trPr>
          <w:trHeight w:val="269"/>
        </w:trPr>
        <w:tc>
          <w:tcPr>
            <w:tcW w:w="2122" w:type="dxa"/>
            <w:vMerge/>
          </w:tcPr>
          <w:p w14:paraId="2C6A13E3" w14:textId="77777777" w:rsidR="006F0D5C" w:rsidRPr="00D05EB8" w:rsidRDefault="006F0D5C" w:rsidP="00C121B1">
            <w:pPr>
              <w:pStyle w:val="TableText0"/>
            </w:pPr>
          </w:p>
        </w:tc>
        <w:tc>
          <w:tcPr>
            <w:tcW w:w="2268" w:type="dxa"/>
            <w:tcBorders>
              <w:top w:val="nil"/>
              <w:bottom w:val="nil"/>
            </w:tcBorders>
          </w:tcPr>
          <w:p w14:paraId="7C89BCC2" w14:textId="77777777" w:rsidR="006F0D5C" w:rsidRPr="00D05EB8" w:rsidRDefault="006F0D5C" w:rsidP="00C121B1">
            <w:pPr>
              <w:pStyle w:val="TableText0"/>
            </w:pPr>
            <w:r w:rsidRPr="00D05EB8">
              <w:rPr>
                <w:b/>
                <w:bCs w:val="0"/>
              </w:rPr>
              <w:t>Cycle 2</w:t>
            </w:r>
            <w:r w:rsidRPr="00D05EB8">
              <w:t>: AD: 46.7%, PR: 16.9%, CR: 36.4%</w:t>
            </w:r>
          </w:p>
        </w:tc>
        <w:tc>
          <w:tcPr>
            <w:tcW w:w="1985" w:type="dxa"/>
            <w:tcBorders>
              <w:top w:val="nil"/>
              <w:bottom w:val="nil"/>
            </w:tcBorders>
          </w:tcPr>
          <w:p w14:paraId="4B1B61C0" w14:textId="77777777" w:rsidR="006F0D5C" w:rsidRPr="00D05EB8" w:rsidRDefault="006F0D5C" w:rsidP="00C121B1">
            <w:pPr>
              <w:pStyle w:val="TableText0"/>
            </w:pPr>
            <w:r w:rsidRPr="00D05EB8">
              <w:rPr>
                <w:b/>
                <w:bCs w:val="0"/>
              </w:rPr>
              <w:t>Cycle 2:</w:t>
            </w:r>
            <w:r w:rsidRPr="00D05EB8">
              <w:t xml:space="preserve"> AD: 54.0%, PR: 15.1%, CR: 30.9%</w:t>
            </w:r>
          </w:p>
        </w:tc>
        <w:tc>
          <w:tcPr>
            <w:tcW w:w="2926" w:type="dxa"/>
            <w:vMerge/>
          </w:tcPr>
          <w:p w14:paraId="7481E594" w14:textId="77777777" w:rsidR="006F0D5C" w:rsidRPr="00D05EB8" w:rsidRDefault="006F0D5C" w:rsidP="00C121B1">
            <w:pPr>
              <w:pStyle w:val="TableText0"/>
            </w:pPr>
          </w:p>
        </w:tc>
      </w:tr>
      <w:tr w:rsidR="006F0D5C" w14:paraId="3D2B0FCE" w14:textId="77777777" w:rsidTr="0072568D">
        <w:trPr>
          <w:trHeight w:val="233"/>
        </w:trPr>
        <w:tc>
          <w:tcPr>
            <w:tcW w:w="2122" w:type="dxa"/>
            <w:vMerge/>
          </w:tcPr>
          <w:p w14:paraId="6850DD76" w14:textId="77777777" w:rsidR="006F0D5C" w:rsidRPr="00D05EB8" w:rsidRDefault="006F0D5C" w:rsidP="00C121B1">
            <w:pPr>
              <w:pStyle w:val="TableText0"/>
            </w:pPr>
          </w:p>
        </w:tc>
        <w:tc>
          <w:tcPr>
            <w:tcW w:w="2268" w:type="dxa"/>
            <w:tcBorders>
              <w:top w:val="nil"/>
              <w:bottom w:val="single" w:sz="4" w:space="0" w:color="auto"/>
            </w:tcBorders>
          </w:tcPr>
          <w:p w14:paraId="014CDAA0" w14:textId="77777777" w:rsidR="006F0D5C" w:rsidRPr="00D05EB8" w:rsidRDefault="006F0D5C" w:rsidP="00C121B1">
            <w:pPr>
              <w:pStyle w:val="TableText0"/>
            </w:pPr>
            <w:r w:rsidRPr="00D05EB8">
              <w:rPr>
                <w:b/>
                <w:bCs w:val="0"/>
              </w:rPr>
              <w:t>Cycle 3</w:t>
            </w:r>
            <w:r w:rsidRPr="00D05EB8">
              <w:t>: AD: 38.3%, PR: 13.7%, CR: 45.8%</w:t>
            </w:r>
          </w:p>
        </w:tc>
        <w:tc>
          <w:tcPr>
            <w:tcW w:w="1985" w:type="dxa"/>
            <w:tcBorders>
              <w:top w:val="nil"/>
              <w:bottom w:val="single" w:sz="4" w:space="0" w:color="auto"/>
            </w:tcBorders>
          </w:tcPr>
          <w:p w14:paraId="7C6BEF08" w14:textId="77777777" w:rsidR="006F0D5C" w:rsidRPr="00D05EB8" w:rsidRDefault="006F0D5C" w:rsidP="00C121B1">
            <w:pPr>
              <w:pStyle w:val="TableText0"/>
            </w:pPr>
            <w:r w:rsidRPr="00D05EB8">
              <w:rPr>
                <w:b/>
                <w:bCs w:val="0"/>
              </w:rPr>
              <w:t>Cycle 3:</w:t>
            </w:r>
            <w:r w:rsidRPr="00D05EB8">
              <w:t xml:space="preserve"> AD: 53.4%, PR: 11.1%, CR: 33.3%</w:t>
            </w:r>
          </w:p>
        </w:tc>
        <w:tc>
          <w:tcPr>
            <w:tcW w:w="2926" w:type="dxa"/>
            <w:vMerge/>
          </w:tcPr>
          <w:p w14:paraId="53BE0DFA" w14:textId="77777777" w:rsidR="006F0D5C" w:rsidRPr="00D05EB8" w:rsidRDefault="006F0D5C" w:rsidP="00C121B1">
            <w:pPr>
              <w:pStyle w:val="TableText0"/>
            </w:pPr>
          </w:p>
        </w:tc>
      </w:tr>
      <w:tr w:rsidR="006F0D5C" w14:paraId="43F13088" w14:textId="77777777" w:rsidTr="0072568D">
        <w:trPr>
          <w:trHeight w:val="233"/>
        </w:trPr>
        <w:tc>
          <w:tcPr>
            <w:tcW w:w="2122" w:type="dxa"/>
            <w:vMerge w:val="restart"/>
          </w:tcPr>
          <w:p w14:paraId="380A1F76" w14:textId="77777777" w:rsidR="006F0D5C" w:rsidRPr="00D05EB8" w:rsidRDefault="006F0D5C" w:rsidP="00C121B1">
            <w:pPr>
              <w:pStyle w:val="TableText0"/>
            </w:pPr>
            <w:r w:rsidRPr="00D05EB8">
              <w:t>Allocation to dialysis or death at Month 18 (percentage of total cohort)</w:t>
            </w:r>
          </w:p>
        </w:tc>
        <w:tc>
          <w:tcPr>
            <w:tcW w:w="2268" w:type="dxa"/>
            <w:tcBorders>
              <w:bottom w:val="nil"/>
            </w:tcBorders>
          </w:tcPr>
          <w:p w14:paraId="7765D299" w14:textId="77777777" w:rsidR="006F0D5C" w:rsidRPr="00D05EB8" w:rsidRDefault="006F0D5C" w:rsidP="00C121B1">
            <w:pPr>
              <w:pStyle w:val="TableText0"/>
            </w:pPr>
            <w:r w:rsidRPr="00D05EB8">
              <w:t xml:space="preserve">Dialysis: 0.0% </w:t>
            </w:r>
          </w:p>
        </w:tc>
        <w:tc>
          <w:tcPr>
            <w:tcW w:w="1985" w:type="dxa"/>
            <w:tcBorders>
              <w:bottom w:val="nil"/>
            </w:tcBorders>
          </w:tcPr>
          <w:p w14:paraId="184D2488" w14:textId="77777777" w:rsidR="006F0D5C" w:rsidRPr="00D05EB8" w:rsidRDefault="006F0D5C" w:rsidP="00C121B1">
            <w:pPr>
              <w:pStyle w:val="TableText0"/>
            </w:pPr>
            <w:r w:rsidRPr="00D05EB8">
              <w:t>Dialysis: 1.5%</w:t>
            </w:r>
          </w:p>
        </w:tc>
        <w:tc>
          <w:tcPr>
            <w:tcW w:w="2926" w:type="dxa"/>
            <w:vMerge w:val="restart"/>
          </w:tcPr>
          <w:p w14:paraId="627F2D14" w14:textId="77777777" w:rsidR="006F0D5C" w:rsidRPr="00D05EB8" w:rsidRDefault="006F0D5C" w:rsidP="00C121B1">
            <w:pPr>
              <w:pStyle w:val="TableText0"/>
            </w:pPr>
            <w:r w:rsidRPr="00D05EB8">
              <w:t>REGENCY Week 76.</w:t>
            </w:r>
          </w:p>
        </w:tc>
      </w:tr>
      <w:tr w:rsidR="006F0D5C" w14:paraId="5D69AEF7" w14:textId="77777777" w:rsidTr="0072568D">
        <w:trPr>
          <w:trHeight w:val="232"/>
        </w:trPr>
        <w:tc>
          <w:tcPr>
            <w:tcW w:w="2122" w:type="dxa"/>
            <w:vMerge/>
          </w:tcPr>
          <w:p w14:paraId="16DFAA33" w14:textId="77777777" w:rsidR="006F0D5C" w:rsidRPr="00D05EB8" w:rsidRDefault="006F0D5C" w:rsidP="00C121B1">
            <w:pPr>
              <w:pStyle w:val="TableText0"/>
            </w:pPr>
          </w:p>
        </w:tc>
        <w:tc>
          <w:tcPr>
            <w:tcW w:w="2268" w:type="dxa"/>
            <w:tcBorders>
              <w:top w:val="nil"/>
            </w:tcBorders>
          </w:tcPr>
          <w:p w14:paraId="1D91235F" w14:textId="77777777" w:rsidR="006F0D5C" w:rsidRPr="00D05EB8" w:rsidRDefault="006F0D5C" w:rsidP="00C121B1">
            <w:pPr>
              <w:pStyle w:val="TableText0"/>
            </w:pPr>
            <w:r w:rsidRPr="00D05EB8">
              <w:t>Dead: 2.2%</w:t>
            </w:r>
          </w:p>
        </w:tc>
        <w:tc>
          <w:tcPr>
            <w:tcW w:w="1985" w:type="dxa"/>
            <w:tcBorders>
              <w:top w:val="nil"/>
            </w:tcBorders>
          </w:tcPr>
          <w:p w14:paraId="6406B9DE" w14:textId="77777777" w:rsidR="006F0D5C" w:rsidRPr="00D05EB8" w:rsidRDefault="006F0D5C" w:rsidP="00C121B1">
            <w:pPr>
              <w:pStyle w:val="TableText0"/>
            </w:pPr>
            <w:r w:rsidRPr="00D05EB8">
              <w:t>Dead: 0.7%</w:t>
            </w:r>
          </w:p>
        </w:tc>
        <w:tc>
          <w:tcPr>
            <w:tcW w:w="2926" w:type="dxa"/>
            <w:vMerge/>
          </w:tcPr>
          <w:p w14:paraId="711568FD" w14:textId="77777777" w:rsidR="006F0D5C" w:rsidRPr="00D05EB8" w:rsidRDefault="006F0D5C" w:rsidP="00C121B1">
            <w:pPr>
              <w:pStyle w:val="TableText0"/>
            </w:pPr>
          </w:p>
        </w:tc>
      </w:tr>
      <w:tr w:rsidR="006F0D5C" w14:paraId="09930328" w14:textId="77777777" w:rsidTr="0072568D">
        <w:tc>
          <w:tcPr>
            <w:tcW w:w="2122" w:type="dxa"/>
          </w:tcPr>
          <w:p w14:paraId="3A6A19B7" w14:textId="77777777" w:rsidR="006F0D5C" w:rsidRPr="00D05EB8" w:rsidRDefault="006F0D5C" w:rsidP="00C121B1">
            <w:pPr>
              <w:pStyle w:val="TableText0"/>
            </w:pPr>
            <w:r w:rsidRPr="00D05EB8">
              <w:t>Treatment discontinuation</w:t>
            </w:r>
          </w:p>
        </w:tc>
        <w:tc>
          <w:tcPr>
            <w:tcW w:w="4253" w:type="dxa"/>
            <w:gridSpan w:val="2"/>
          </w:tcPr>
          <w:p w14:paraId="13694F1C" w14:textId="77777777" w:rsidR="006F0D5C" w:rsidRPr="00D05EB8" w:rsidRDefault="006F0D5C" w:rsidP="00C121B1">
            <w:pPr>
              <w:pStyle w:val="TableText0"/>
            </w:pPr>
            <w:r w:rsidRPr="00D05EB8">
              <w:rPr>
                <w:b/>
                <w:bCs w:val="0"/>
              </w:rPr>
              <w:t>Obinutuzumab:</w:t>
            </w:r>
            <w:r w:rsidRPr="00D05EB8">
              <w:t xml:space="preserve"> 6.8% per cycle until Month 18 for patients in AD, Month 36 for patients in CR/PR; 100% discontinue from Month 18 in AD, Month 36 in CR/PR.</w:t>
            </w:r>
          </w:p>
          <w:p w14:paraId="4A0C9F8A" w14:textId="77777777" w:rsidR="006F0D5C" w:rsidRPr="00D05EB8" w:rsidRDefault="006F0D5C" w:rsidP="00C121B1">
            <w:pPr>
              <w:pStyle w:val="TableText0"/>
            </w:pPr>
            <w:r w:rsidRPr="00D05EB8">
              <w:rPr>
                <w:b/>
                <w:bCs w:val="0"/>
              </w:rPr>
              <w:t>SOC:</w:t>
            </w:r>
            <w:r w:rsidRPr="00D05EB8">
              <w:t xml:space="preserve"> 0% patients discontinue in either arm while in AD, PR or CR.</w:t>
            </w:r>
          </w:p>
        </w:tc>
        <w:tc>
          <w:tcPr>
            <w:tcW w:w="2926" w:type="dxa"/>
          </w:tcPr>
          <w:p w14:paraId="61515E14" w14:textId="1D382BB3" w:rsidR="006F0D5C" w:rsidRPr="00D05EB8" w:rsidRDefault="006F0D5C" w:rsidP="00C121B1">
            <w:pPr>
              <w:pStyle w:val="TableText0"/>
            </w:pPr>
            <w:r w:rsidRPr="00D05EB8">
              <w:t>REGENCY Week 76 (26/136 patients discontinue), assumption beyond Week 76.</w:t>
            </w:r>
            <w:r w:rsidR="00A62EEF" w:rsidRPr="00D05EB8">
              <w:t xml:space="preserve"> </w:t>
            </w:r>
          </w:p>
        </w:tc>
      </w:tr>
      <w:tr w:rsidR="006F0D5C" w14:paraId="74C7DED0" w14:textId="77777777" w:rsidTr="0072568D">
        <w:tc>
          <w:tcPr>
            <w:tcW w:w="2122" w:type="dxa"/>
          </w:tcPr>
          <w:p w14:paraId="67ECB97F" w14:textId="77777777" w:rsidR="006F0D5C" w:rsidRPr="00D05EB8" w:rsidRDefault="006F0D5C" w:rsidP="00C121B1">
            <w:pPr>
              <w:pStyle w:val="TableText0"/>
            </w:pPr>
            <w:r w:rsidRPr="00D05EB8">
              <w:t>AD to dialysis from Month 18</w:t>
            </w:r>
          </w:p>
        </w:tc>
        <w:tc>
          <w:tcPr>
            <w:tcW w:w="4253" w:type="dxa"/>
            <w:gridSpan w:val="2"/>
            <w:tcBorders>
              <w:bottom w:val="single" w:sz="4" w:space="0" w:color="auto"/>
            </w:tcBorders>
          </w:tcPr>
          <w:p w14:paraId="7F951E2A" w14:textId="77777777" w:rsidR="006F0D5C" w:rsidRPr="00D05EB8" w:rsidRDefault="006F0D5C" w:rsidP="00C121B1">
            <w:pPr>
              <w:pStyle w:val="TableText0"/>
            </w:pPr>
            <w:r w:rsidRPr="00D05EB8">
              <w:t>1.10% per cycle.</w:t>
            </w:r>
          </w:p>
        </w:tc>
        <w:tc>
          <w:tcPr>
            <w:tcW w:w="2926" w:type="dxa"/>
            <w:tcBorders>
              <w:bottom w:val="single" w:sz="4" w:space="0" w:color="auto"/>
            </w:tcBorders>
          </w:tcPr>
          <w:p w14:paraId="16B33A14" w14:textId="4E1BBC70" w:rsidR="006F0D5C" w:rsidRPr="00D05EB8" w:rsidRDefault="006F0D5C" w:rsidP="00C121B1">
            <w:pPr>
              <w:pStyle w:val="TableText0"/>
            </w:pPr>
            <w:r w:rsidRPr="00D05EB8">
              <w:t>Davidson 2018 non</w:t>
            </w:r>
            <w:r w:rsidR="00FF1914">
              <w:noBreakHyphen/>
            </w:r>
            <w:r w:rsidRPr="00D05EB8">
              <w:t>responders</w:t>
            </w:r>
            <w:r w:rsidRPr="00D05EB8">
              <w:rPr>
                <w:vertAlign w:val="superscript"/>
              </w:rPr>
              <w:t>a</w:t>
            </w:r>
            <w:r w:rsidRPr="00D05EB8">
              <w:t xml:space="preserve"> proportion ESKD or dead at Year 4 (16.2%), converted to 6</w:t>
            </w:r>
            <w:r w:rsidR="00FF1914">
              <w:noBreakHyphen/>
            </w:r>
            <w:r w:rsidRPr="00D05EB8">
              <w:t>month probability (2.19%), then adjusted by 50% to exclude mortality (based on Chen 2008).</w:t>
            </w:r>
          </w:p>
        </w:tc>
      </w:tr>
      <w:tr w:rsidR="006F0D5C" w14:paraId="7D85F801" w14:textId="77777777" w:rsidTr="0072568D">
        <w:trPr>
          <w:trHeight w:val="458"/>
        </w:trPr>
        <w:tc>
          <w:tcPr>
            <w:tcW w:w="2122" w:type="dxa"/>
            <w:vMerge w:val="restart"/>
          </w:tcPr>
          <w:p w14:paraId="32BBD1B1" w14:textId="77777777" w:rsidR="006F0D5C" w:rsidRPr="00D05EB8" w:rsidRDefault="006F0D5C" w:rsidP="00C121B1">
            <w:pPr>
              <w:pStyle w:val="TableText0"/>
            </w:pPr>
            <w:r w:rsidRPr="00D05EB8">
              <w:t>CR or PR to dialysis from Month 18</w:t>
            </w:r>
          </w:p>
        </w:tc>
        <w:tc>
          <w:tcPr>
            <w:tcW w:w="4253" w:type="dxa"/>
            <w:gridSpan w:val="2"/>
            <w:tcBorders>
              <w:bottom w:val="dashSmallGap" w:sz="4" w:space="0" w:color="auto"/>
            </w:tcBorders>
          </w:tcPr>
          <w:p w14:paraId="6A683E27" w14:textId="77777777" w:rsidR="006F0D5C" w:rsidRPr="00D05EB8" w:rsidRDefault="006F0D5C" w:rsidP="00C121B1">
            <w:pPr>
              <w:pStyle w:val="TableText0"/>
            </w:pPr>
            <w:r w:rsidRPr="00D05EB8">
              <w:rPr>
                <w:b/>
                <w:bCs w:val="0"/>
              </w:rPr>
              <w:t>On SOC:</w:t>
            </w:r>
            <w:r w:rsidRPr="00D05EB8">
              <w:t xml:space="preserve"> 0.28% per cycle (1.10% with HR 0.254 applied)</w:t>
            </w:r>
          </w:p>
        </w:tc>
        <w:tc>
          <w:tcPr>
            <w:tcW w:w="2926" w:type="dxa"/>
            <w:tcBorders>
              <w:bottom w:val="dashSmallGap" w:sz="4" w:space="0" w:color="auto"/>
            </w:tcBorders>
          </w:tcPr>
          <w:p w14:paraId="3C25499E" w14:textId="77777777" w:rsidR="006F0D5C" w:rsidRPr="00D05EB8" w:rsidRDefault="006F0D5C" w:rsidP="00C121B1">
            <w:pPr>
              <w:pStyle w:val="TableText0"/>
            </w:pPr>
            <w:r w:rsidRPr="00D05EB8">
              <w:t>HR for responders</w:t>
            </w:r>
            <w:r w:rsidRPr="00D05EB8">
              <w:rPr>
                <w:vertAlign w:val="superscript"/>
              </w:rPr>
              <w:t>a</w:t>
            </w:r>
            <w:r w:rsidRPr="00D05EB8">
              <w:t xml:space="preserve"> (PR or CR) based on Davidson 2008 CR.</w:t>
            </w:r>
          </w:p>
        </w:tc>
      </w:tr>
      <w:tr w:rsidR="006F0D5C" w14:paraId="6A2DB1DE" w14:textId="77777777" w:rsidTr="0072568D">
        <w:trPr>
          <w:trHeight w:val="457"/>
        </w:trPr>
        <w:tc>
          <w:tcPr>
            <w:tcW w:w="2122" w:type="dxa"/>
            <w:vMerge/>
          </w:tcPr>
          <w:p w14:paraId="178834C1" w14:textId="77777777" w:rsidR="006F0D5C" w:rsidRPr="00D05EB8" w:rsidRDefault="006F0D5C" w:rsidP="00C121B1">
            <w:pPr>
              <w:pStyle w:val="TableText0"/>
            </w:pPr>
          </w:p>
        </w:tc>
        <w:tc>
          <w:tcPr>
            <w:tcW w:w="4253" w:type="dxa"/>
            <w:gridSpan w:val="2"/>
            <w:tcBorders>
              <w:top w:val="dashSmallGap" w:sz="4" w:space="0" w:color="auto"/>
            </w:tcBorders>
          </w:tcPr>
          <w:p w14:paraId="5F5C834A" w14:textId="77777777" w:rsidR="006F0D5C" w:rsidRPr="00D05EB8" w:rsidRDefault="006F0D5C" w:rsidP="00C121B1">
            <w:pPr>
              <w:pStyle w:val="TableText0"/>
            </w:pPr>
            <w:r w:rsidRPr="00D05EB8">
              <w:rPr>
                <w:b/>
                <w:bCs w:val="0"/>
              </w:rPr>
              <w:t>On obinutuzumab:</w:t>
            </w:r>
            <w:r w:rsidRPr="00D05EB8">
              <w:t xml:space="preserve"> 0.12% per cycle (SOC rate 0.28% with HR 0.44 applied)</w:t>
            </w:r>
          </w:p>
        </w:tc>
        <w:tc>
          <w:tcPr>
            <w:tcW w:w="2926" w:type="dxa"/>
            <w:tcBorders>
              <w:top w:val="dashSmallGap" w:sz="4" w:space="0" w:color="auto"/>
            </w:tcBorders>
          </w:tcPr>
          <w:p w14:paraId="7B258A0B" w14:textId="77777777" w:rsidR="006F0D5C" w:rsidRPr="00D05EB8" w:rsidRDefault="006F0D5C" w:rsidP="00C121B1">
            <w:pPr>
              <w:pStyle w:val="TableText0"/>
            </w:pPr>
            <w:r w:rsidRPr="00D05EB8">
              <w:t>HR for obinutuzumab based on LN flare HR from REGENCY.</w:t>
            </w:r>
          </w:p>
        </w:tc>
      </w:tr>
      <w:tr w:rsidR="006F0D5C" w14:paraId="6F32E1A6" w14:textId="77777777" w:rsidTr="0072568D">
        <w:tc>
          <w:tcPr>
            <w:tcW w:w="2122" w:type="dxa"/>
          </w:tcPr>
          <w:p w14:paraId="760D84CF" w14:textId="77777777" w:rsidR="006F0D5C" w:rsidRPr="00D05EB8" w:rsidRDefault="006F0D5C" w:rsidP="00C121B1">
            <w:pPr>
              <w:pStyle w:val="TableText0"/>
            </w:pPr>
            <w:r w:rsidRPr="00D05EB8">
              <w:t>Dialysis to transplant</w:t>
            </w:r>
          </w:p>
        </w:tc>
        <w:tc>
          <w:tcPr>
            <w:tcW w:w="4253" w:type="dxa"/>
            <w:gridSpan w:val="2"/>
          </w:tcPr>
          <w:p w14:paraId="7FAD005E" w14:textId="77777777" w:rsidR="006F0D5C" w:rsidRPr="00D05EB8" w:rsidRDefault="006F0D5C" w:rsidP="00C121B1">
            <w:pPr>
              <w:pStyle w:val="TableText0"/>
            </w:pPr>
            <w:r w:rsidRPr="00D05EB8">
              <w:t>3.20% per cycle</w:t>
            </w:r>
          </w:p>
        </w:tc>
        <w:tc>
          <w:tcPr>
            <w:tcW w:w="2926" w:type="dxa"/>
          </w:tcPr>
          <w:p w14:paraId="2AF40A10" w14:textId="77777777" w:rsidR="006F0D5C" w:rsidRPr="00D05EB8" w:rsidRDefault="006F0D5C" w:rsidP="00C121B1">
            <w:pPr>
              <w:pStyle w:val="TableText0"/>
            </w:pPr>
            <w:r w:rsidRPr="00D05EB8">
              <w:t>Figure 7.2 ANZDATA 47</w:t>
            </w:r>
            <w:r w:rsidRPr="00D05EB8">
              <w:rPr>
                <w:vertAlign w:val="superscript"/>
              </w:rPr>
              <w:t>th</w:t>
            </w:r>
            <w:r w:rsidRPr="00D05EB8">
              <w:t xml:space="preserve"> Annual report.</w:t>
            </w:r>
          </w:p>
        </w:tc>
      </w:tr>
      <w:tr w:rsidR="006F0D5C" w14:paraId="6E958CD1" w14:textId="77777777" w:rsidTr="0072568D">
        <w:tc>
          <w:tcPr>
            <w:tcW w:w="2122" w:type="dxa"/>
          </w:tcPr>
          <w:p w14:paraId="0E079558" w14:textId="77777777" w:rsidR="006F0D5C" w:rsidRPr="00D05EB8" w:rsidRDefault="006F0D5C" w:rsidP="00C121B1">
            <w:pPr>
              <w:pStyle w:val="TableText0"/>
            </w:pPr>
            <w:r w:rsidRPr="00D05EB8">
              <w:t>Transplant to dialysis</w:t>
            </w:r>
          </w:p>
        </w:tc>
        <w:tc>
          <w:tcPr>
            <w:tcW w:w="4253" w:type="dxa"/>
            <w:gridSpan w:val="2"/>
          </w:tcPr>
          <w:p w14:paraId="53F90425" w14:textId="77777777" w:rsidR="006F0D5C" w:rsidRPr="00D05EB8" w:rsidRDefault="006F0D5C" w:rsidP="00C121B1">
            <w:pPr>
              <w:pStyle w:val="TableText0"/>
            </w:pPr>
            <w:r w:rsidRPr="00D05EB8">
              <w:t>1.36% per cycle</w:t>
            </w:r>
          </w:p>
        </w:tc>
        <w:tc>
          <w:tcPr>
            <w:tcW w:w="2926" w:type="dxa"/>
          </w:tcPr>
          <w:p w14:paraId="1320DB9B" w14:textId="77777777" w:rsidR="006F0D5C" w:rsidRPr="00D05EB8" w:rsidRDefault="006F0D5C" w:rsidP="00C121B1">
            <w:pPr>
              <w:pStyle w:val="TableText0"/>
            </w:pPr>
            <w:r w:rsidRPr="00D05EB8">
              <w:t>Table 7.12 ANZDATA 47</w:t>
            </w:r>
            <w:r w:rsidRPr="00D05EB8">
              <w:rPr>
                <w:vertAlign w:val="superscript"/>
              </w:rPr>
              <w:t>th</w:t>
            </w:r>
            <w:r w:rsidRPr="00D05EB8">
              <w:t xml:space="preserve"> Annual report excluding mortality (submission reported 3.20% per cycle which include graft loss due to death with functioning graft).</w:t>
            </w:r>
          </w:p>
        </w:tc>
      </w:tr>
      <w:tr w:rsidR="006F0D5C" w14:paraId="6DAAF6A1" w14:textId="77777777" w:rsidTr="0072568D">
        <w:tc>
          <w:tcPr>
            <w:tcW w:w="2122" w:type="dxa"/>
          </w:tcPr>
          <w:p w14:paraId="7A482103" w14:textId="77777777" w:rsidR="006F0D5C" w:rsidRPr="00D05EB8" w:rsidRDefault="006F0D5C" w:rsidP="00C121B1">
            <w:pPr>
              <w:pStyle w:val="TableText0"/>
            </w:pPr>
            <w:r w:rsidRPr="00D05EB8">
              <w:t>AD to death</w:t>
            </w:r>
          </w:p>
        </w:tc>
        <w:tc>
          <w:tcPr>
            <w:tcW w:w="4253" w:type="dxa"/>
            <w:gridSpan w:val="2"/>
          </w:tcPr>
          <w:p w14:paraId="3C27704B" w14:textId="77777777" w:rsidR="006F0D5C" w:rsidRPr="00D05EB8" w:rsidRDefault="006F0D5C" w:rsidP="00C121B1">
            <w:pPr>
              <w:pStyle w:val="TableText0"/>
            </w:pPr>
            <w:r w:rsidRPr="00D05EB8">
              <w:t>0.76% per cycle</w:t>
            </w:r>
          </w:p>
        </w:tc>
        <w:tc>
          <w:tcPr>
            <w:tcW w:w="2926" w:type="dxa"/>
            <w:vMerge w:val="restart"/>
          </w:tcPr>
          <w:p w14:paraId="500BBEFE" w14:textId="77777777" w:rsidR="006F0D5C" w:rsidRPr="00D05EB8" w:rsidRDefault="006F0D5C" w:rsidP="00C121B1">
            <w:pPr>
              <w:pStyle w:val="TableText0"/>
            </w:pPr>
            <w:r w:rsidRPr="00D05EB8">
              <w:t>REGENCY (data source could not be verified).</w:t>
            </w:r>
          </w:p>
        </w:tc>
      </w:tr>
      <w:tr w:rsidR="006F0D5C" w14:paraId="688D9C5D" w14:textId="77777777" w:rsidTr="0072568D">
        <w:tc>
          <w:tcPr>
            <w:tcW w:w="2122" w:type="dxa"/>
          </w:tcPr>
          <w:p w14:paraId="52C46EF4" w14:textId="77777777" w:rsidR="006F0D5C" w:rsidRPr="00D05EB8" w:rsidRDefault="006F0D5C" w:rsidP="00C121B1">
            <w:pPr>
              <w:pStyle w:val="TableText0"/>
            </w:pPr>
            <w:r w:rsidRPr="00D05EB8">
              <w:t>PR to death</w:t>
            </w:r>
          </w:p>
        </w:tc>
        <w:tc>
          <w:tcPr>
            <w:tcW w:w="4253" w:type="dxa"/>
            <w:gridSpan w:val="2"/>
          </w:tcPr>
          <w:p w14:paraId="54E17934" w14:textId="77777777" w:rsidR="006F0D5C" w:rsidRPr="00D05EB8" w:rsidRDefault="006F0D5C" w:rsidP="00C121B1">
            <w:pPr>
              <w:pStyle w:val="TableText0"/>
            </w:pPr>
            <w:r w:rsidRPr="00D05EB8">
              <w:t>0.17% per cycle</w:t>
            </w:r>
          </w:p>
        </w:tc>
        <w:tc>
          <w:tcPr>
            <w:tcW w:w="2926" w:type="dxa"/>
            <w:vMerge/>
          </w:tcPr>
          <w:p w14:paraId="68F3B5AD" w14:textId="77777777" w:rsidR="006F0D5C" w:rsidRPr="00D05EB8" w:rsidRDefault="006F0D5C" w:rsidP="00C121B1">
            <w:pPr>
              <w:pStyle w:val="TableText0"/>
            </w:pPr>
          </w:p>
        </w:tc>
      </w:tr>
      <w:tr w:rsidR="006F0D5C" w14:paraId="60E0173A" w14:textId="77777777" w:rsidTr="0072568D">
        <w:tc>
          <w:tcPr>
            <w:tcW w:w="2122" w:type="dxa"/>
          </w:tcPr>
          <w:p w14:paraId="1BB498EB" w14:textId="77777777" w:rsidR="006F0D5C" w:rsidRPr="00D05EB8" w:rsidRDefault="006F0D5C" w:rsidP="00C121B1">
            <w:pPr>
              <w:pStyle w:val="TableText0"/>
            </w:pPr>
            <w:r w:rsidRPr="00D05EB8">
              <w:t>CR to death</w:t>
            </w:r>
          </w:p>
        </w:tc>
        <w:tc>
          <w:tcPr>
            <w:tcW w:w="4253" w:type="dxa"/>
            <w:gridSpan w:val="2"/>
          </w:tcPr>
          <w:p w14:paraId="7A5B2FE2" w14:textId="77777777" w:rsidR="006F0D5C" w:rsidRPr="00D05EB8" w:rsidRDefault="006F0D5C" w:rsidP="00C121B1">
            <w:pPr>
              <w:pStyle w:val="TableText0"/>
            </w:pPr>
            <w:r w:rsidRPr="00D05EB8">
              <w:t>0.07% per cycle</w:t>
            </w:r>
          </w:p>
        </w:tc>
        <w:tc>
          <w:tcPr>
            <w:tcW w:w="2926" w:type="dxa"/>
            <w:vMerge/>
          </w:tcPr>
          <w:p w14:paraId="1748DA01" w14:textId="77777777" w:rsidR="006F0D5C" w:rsidRPr="00D05EB8" w:rsidRDefault="006F0D5C" w:rsidP="00C121B1">
            <w:pPr>
              <w:pStyle w:val="TableText0"/>
            </w:pPr>
          </w:p>
        </w:tc>
      </w:tr>
      <w:tr w:rsidR="006F0D5C" w14:paraId="59E15A50" w14:textId="77777777" w:rsidTr="0072568D">
        <w:tc>
          <w:tcPr>
            <w:tcW w:w="2122" w:type="dxa"/>
          </w:tcPr>
          <w:p w14:paraId="0FE7F51F" w14:textId="77777777" w:rsidR="006F0D5C" w:rsidRPr="00D05EB8" w:rsidRDefault="006F0D5C" w:rsidP="00C121B1">
            <w:pPr>
              <w:pStyle w:val="TableText0"/>
            </w:pPr>
            <w:r w:rsidRPr="00D05EB8">
              <w:t>Dialysis to death</w:t>
            </w:r>
          </w:p>
        </w:tc>
        <w:tc>
          <w:tcPr>
            <w:tcW w:w="4253" w:type="dxa"/>
            <w:gridSpan w:val="2"/>
          </w:tcPr>
          <w:p w14:paraId="50B37310" w14:textId="77777777" w:rsidR="006F0D5C" w:rsidRPr="00D05EB8" w:rsidRDefault="006F0D5C" w:rsidP="00C121B1">
            <w:pPr>
              <w:pStyle w:val="TableText0"/>
            </w:pPr>
            <w:r w:rsidRPr="00D05EB8">
              <w:t>5.07% per cycle</w:t>
            </w:r>
          </w:p>
        </w:tc>
        <w:tc>
          <w:tcPr>
            <w:tcW w:w="2926" w:type="dxa"/>
          </w:tcPr>
          <w:p w14:paraId="0F520DA0" w14:textId="6DB9F4BF" w:rsidR="006F0D5C" w:rsidRPr="00D05EB8" w:rsidRDefault="006F0D5C" w:rsidP="00C121B1">
            <w:pPr>
              <w:pStyle w:val="TableText0"/>
            </w:pPr>
            <w:r w:rsidRPr="00D05EB8">
              <w:t>Tables 4.3 and 5.10 ANZDATA 47</w:t>
            </w:r>
            <w:r w:rsidRPr="00D05EB8">
              <w:rPr>
                <w:vertAlign w:val="superscript"/>
              </w:rPr>
              <w:t>th</w:t>
            </w:r>
            <w:r w:rsidRPr="00D05EB8">
              <w:t xml:space="preserve"> Annual report 6</w:t>
            </w:r>
            <w:r w:rsidR="00FF1914">
              <w:noBreakHyphen/>
            </w:r>
            <w:r w:rsidRPr="00D05EB8">
              <w:t>month mortality weighted by number of haemodialysis and peritoneal dialysis deaths (submission 2.8% per cycle could not be verified).</w:t>
            </w:r>
          </w:p>
        </w:tc>
      </w:tr>
      <w:tr w:rsidR="006F0D5C" w14:paraId="02D70FEA" w14:textId="77777777" w:rsidTr="0072568D">
        <w:tc>
          <w:tcPr>
            <w:tcW w:w="2122" w:type="dxa"/>
          </w:tcPr>
          <w:p w14:paraId="355288D4" w14:textId="77777777" w:rsidR="006F0D5C" w:rsidRPr="00D05EB8" w:rsidRDefault="006F0D5C" w:rsidP="00C121B1">
            <w:pPr>
              <w:pStyle w:val="TableText0"/>
            </w:pPr>
            <w:r w:rsidRPr="00D05EB8">
              <w:t>Transplant to death</w:t>
            </w:r>
          </w:p>
        </w:tc>
        <w:tc>
          <w:tcPr>
            <w:tcW w:w="4253" w:type="dxa"/>
            <w:gridSpan w:val="2"/>
          </w:tcPr>
          <w:p w14:paraId="3A57F7B8" w14:textId="77777777" w:rsidR="006F0D5C" w:rsidRPr="00D05EB8" w:rsidRDefault="006F0D5C" w:rsidP="00C121B1">
            <w:pPr>
              <w:pStyle w:val="TableText0"/>
            </w:pPr>
            <w:r w:rsidRPr="00D05EB8">
              <w:t>1.01% per cycle</w:t>
            </w:r>
          </w:p>
        </w:tc>
        <w:tc>
          <w:tcPr>
            <w:tcW w:w="2926" w:type="dxa"/>
          </w:tcPr>
          <w:p w14:paraId="5BC72B5A" w14:textId="77777777" w:rsidR="006F0D5C" w:rsidRPr="00D05EB8" w:rsidRDefault="006F0D5C" w:rsidP="00C121B1">
            <w:pPr>
              <w:pStyle w:val="TableText0"/>
            </w:pPr>
            <w:r w:rsidRPr="00D05EB8">
              <w:t>Table 7.23 ANZDATA 47</w:t>
            </w:r>
            <w:r w:rsidRPr="00D05EB8">
              <w:rPr>
                <w:vertAlign w:val="superscript"/>
              </w:rPr>
              <w:t>th</w:t>
            </w:r>
            <w:r w:rsidRPr="00D05EB8">
              <w:t xml:space="preserve"> Annual report.</w:t>
            </w:r>
          </w:p>
        </w:tc>
      </w:tr>
      <w:tr w:rsidR="006F0D5C" w14:paraId="5CD77CBA" w14:textId="77777777" w:rsidTr="0072568D">
        <w:tc>
          <w:tcPr>
            <w:tcW w:w="2122" w:type="dxa"/>
          </w:tcPr>
          <w:p w14:paraId="0F8A2CEC" w14:textId="77777777" w:rsidR="006F0D5C" w:rsidRPr="00D05EB8" w:rsidRDefault="006F0D5C" w:rsidP="00C121B1">
            <w:pPr>
              <w:pStyle w:val="TableText0"/>
            </w:pPr>
            <w:r w:rsidRPr="00D05EB8">
              <w:t>General population mortality</w:t>
            </w:r>
          </w:p>
        </w:tc>
        <w:tc>
          <w:tcPr>
            <w:tcW w:w="4253" w:type="dxa"/>
            <w:gridSpan w:val="2"/>
          </w:tcPr>
          <w:p w14:paraId="42EA13F5" w14:textId="1F7A3236" w:rsidR="006F0D5C" w:rsidRPr="00D05EB8" w:rsidRDefault="006F0D5C" w:rsidP="00C121B1">
            <w:pPr>
              <w:pStyle w:val="TableText0"/>
            </w:pPr>
            <w:r w:rsidRPr="00D05EB8">
              <w:t>Age</w:t>
            </w:r>
            <w:r w:rsidR="00FF1914">
              <w:noBreakHyphen/>
            </w:r>
            <w:r w:rsidRPr="00D05EB8">
              <w:t>based mortality added to each mortality transition probability</w:t>
            </w:r>
          </w:p>
        </w:tc>
        <w:tc>
          <w:tcPr>
            <w:tcW w:w="2926" w:type="dxa"/>
          </w:tcPr>
          <w:p w14:paraId="290C6DA8" w14:textId="77777777" w:rsidR="006F0D5C" w:rsidRPr="00D05EB8" w:rsidRDefault="006F0D5C" w:rsidP="00C121B1">
            <w:pPr>
              <w:pStyle w:val="TableText0"/>
            </w:pPr>
            <w:r w:rsidRPr="00D05EB8">
              <w:t>ABS statistics.</w:t>
            </w:r>
          </w:p>
        </w:tc>
      </w:tr>
    </w:tbl>
    <w:p w14:paraId="51D8DC56" w14:textId="7FF6CCFF" w:rsidR="006F0D5C" w:rsidRDefault="006F0D5C" w:rsidP="006F0D5C">
      <w:pPr>
        <w:pStyle w:val="TableFigureFooter"/>
      </w:pPr>
      <w:r>
        <w:t>Source: Section 3.4 of the submission and ‘Model Inputs’ of Excel workbook ‘Economic Evalu</w:t>
      </w:r>
      <w:r w:rsidR="00285D68">
        <w:t>a</w:t>
      </w:r>
      <w:r>
        <w:t>tion.xlsb’</w:t>
      </w:r>
    </w:p>
    <w:p w14:paraId="0789B73F" w14:textId="12ED4397" w:rsidR="006F0D5C" w:rsidRDefault="006F0D5C" w:rsidP="006F0D5C">
      <w:pPr>
        <w:pStyle w:val="TableFigureFooter"/>
      </w:pPr>
      <w:r>
        <w:t>AD=active disease, CR=complete response,</w:t>
      </w:r>
      <w:r w:rsidR="00C11AAB">
        <w:t xml:space="preserve"> ESKD=</w:t>
      </w:r>
      <w:r w:rsidR="00CA50D5">
        <w:t xml:space="preserve">end </w:t>
      </w:r>
      <w:r w:rsidR="00C11AAB">
        <w:t>stage kidney disease,</w:t>
      </w:r>
      <w:r>
        <w:t xml:space="preserve"> HR=hazard ratio, OBI=obinutuzumab, PR=partial response, SOC=standard of care</w:t>
      </w:r>
    </w:p>
    <w:p w14:paraId="4947A3DC" w14:textId="7DD57EFA" w:rsidR="006F0D5C" w:rsidRDefault="006F0D5C" w:rsidP="00AF1008">
      <w:pPr>
        <w:pStyle w:val="TableFigureFooter"/>
      </w:pPr>
      <w:r w:rsidRPr="00950FA1">
        <w:rPr>
          <w:vertAlign w:val="superscript"/>
        </w:rPr>
        <w:t>a</w:t>
      </w:r>
      <w:r w:rsidR="00AF1008">
        <w:rPr>
          <w:vertAlign w:val="superscript"/>
        </w:rPr>
        <w:tab/>
      </w:r>
      <w:r>
        <w:t>response in Davidson was measured 24 months post initial biopsy, treatment could have occurred at any time</w:t>
      </w:r>
    </w:p>
    <w:p w14:paraId="5C65FCB2" w14:textId="77777777" w:rsidR="006F0D5C" w:rsidRPr="007C316F" w:rsidRDefault="006F0D5C" w:rsidP="006F0D5C">
      <w:pPr>
        <w:pStyle w:val="3-BodyText"/>
      </w:pPr>
      <w:r w:rsidRPr="007C316F">
        <w:lastRenderedPageBreak/>
        <w:t>The use of REGENCY to inform transitions to Month 18 was generally reasonable. The main concerns with the transition probabilities arose from the assumptions applied after Month 18.</w:t>
      </w:r>
    </w:p>
    <w:p w14:paraId="4F9C2755" w14:textId="4D47788F" w:rsidR="006F0D5C" w:rsidRPr="007C316F" w:rsidRDefault="006F0D5C" w:rsidP="006F0D5C">
      <w:pPr>
        <w:pStyle w:val="3-BodyText"/>
        <w:numPr>
          <w:ilvl w:val="1"/>
          <w:numId w:val="1"/>
        </w:numPr>
        <w:rPr>
          <w:color w:val="0066FF"/>
        </w:rPr>
      </w:pPr>
      <w:bookmarkStart w:id="57" w:name="_Ref222151805"/>
      <w:r w:rsidRPr="007C316F">
        <w:t xml:space="preserve">The model extrapolated time to dialysis based on AD, PR and CR status at Month 18, but did not allow patients to transition between these health states after that point. </w:t>
      </w:r>
      <w:r w:rsidR="004D258E" w:rsidRPr="007C316F">
        <w:t>T</w:t>
      </w:r>
      <w:r w:rsidR="00D534C5" w:rsidRPr="007C316F">
        <w:t>he</w:t>
      </w:r>
      <w:r w:rsidR="00F52223" w:rsidRPr="007C316F">
        <w:t xml:space="preserve"> Sub</w:t>
      </w:r>
      <w:r w:rsidR="00FF1914">
        <w:noBreakHyphen/>
      </w:r>
      <w:r w:rsidR="00F52223" w:rsidRPr="007C316F">
        <w:t xml:space="preserve">Committees agreed with the </w:t>
      </w:r>
      <w:r w:rsidR="00D534C5" w:rsidRPr="007C316F">
        <w:t xml:space="preserve">evaluation that </w:t>
      </w:r>
      <w:r w:rsidR="00306076" w:rsidRPr="007C316F">
        <w:t>the assumption that a patient’s response status at Month 18 is predictive of their long term risk of progressing to ESKD has not been validated.</w:t>
      </w:r>
      <w:r w:rsidRPr="007C316F">
        <w:t xml:space="preserve"> </w:t>
      </w:r>
      <w:r w:rsidR="00D534C5" w:rsidRPr="007C316F">
        <w:t>The Sub</w:t>
      </w:r>
      <w:r w:rsidR="00FF1914">
        <w:noBreakHyphen/>
      </w:r>
      <w:r w:rsidR="00D534C5" w:rsidRPr="007C316F">
        <w:t>Committees noted that this assumption means that responders at Month 18</w:t>
      </w:r>
      <w:r w:rsidR="00337A9A" w:rsidRPr="007C316F">
        <w:t xml:space="preserve"> were assumed to have </w:t>
      </w:r>
      <w:r w:rsidR="00D534C5" w:rsidRPr="007C316F">
        <w:t xml:space="preserve">lower rates of dialysis and death, lower health state costs and higher utilities, applied across the time horizon. </w:t>
      </w:r>
      <w:r w:rsidRPr="007C316F">
        <w:t>To account for deterioration from PR or CR to AD prior to dialysis, the submission applied one</w:t>
      </w:r>
      <w:r w:rsidR="00FF1914">
        <w:noBreakHyphen/>
      </w:r>
      <w:r w:rsidRPr="007C316F">
        <w:t>off costs and QALY decrement equivalent to 1.206 years upon transition to dialysis (consistent with Mandrik 2022). The 1.206 years assumption originated from Tice 2021, and was based on an estimated time with eGFR &lt;</w:t>
      </w:r>
      <w:r w:rsidR="00C42B8D" w:rsidRPr="007C316F">
        <w:t>30m</w:t>
      </w:r>
      <w:r w:rsidR="00C42B8D">
        <w:t>L</w:t>
      </w:r>
      <w:r w:rsidRPr="007C316F">
        <w:t>/min estimated from Hanly 2016</w:t>
      </w:r>
      <w:r w:rsidRPr="007C316F">
        <w:rPr>
          <w:rStyle w:val="FootnoteReference"/>
        </w:rPr>
        <w:footnoteReference w:id="24"/>
      </w:r>
      <w:r w:rsidRPr="007C316F">
        <w:t xml:space="preserve">. As very few patients transition from CR or PR to dialysis, this adjustment had minimal effect on the ICER. However, </w:t>
      </w:r>
      <w:r w:rsidR="009063F1" w:rsidRPr="007C316F">
        <w:t xml:space="preserve">the evaluation noted that </w:t>
      </w:r>
      <w:r w:rsidRPr="007C316F">
        <w:t>many patients may experience periods of AD and associated costs and QALY losses, even without progressing to dialysis, meaning the long</w:t>
      </w:r>
      <w:r w:rsidR="00FF1914">
        <w:noBreakHyphen/>
      </w:r>
      <w:r w:rsidRPr="007C316F">
        <w:t>term incremental difference between response states and AD was likely overestimated.</w:t>
      </w:r>
      <w:r w:rsidR="0063565D" w:rsidRPr="007C316F">
        <w:rPr>
          <w:rFonts w:ascii="Calibri" w:eastAsia="Times New Roman" w:hAnsi="Calibri" w:cs="Arial"/>
          <w:szCs w:val="24"/>
        </w:rPr>
        <w:t xml:space="preserve"> The </w:t>
      </w:r>
      <w:r w:rsidR="007C0C92" w:rsidRPr="007C316F">
        <w:rPr>
          <w:rFonts w:ascii="Calibri" w:eastAsia="Times New Roman" w:hAnsi="Calibri" w:cs="Arial"/>
          <w:szCs w:val="24"/>
        </w:rPr>
        <w:t>S</w:t>
      </w:r>
      <w:r w:rsidR="0063565D" w:rsidRPr="007C316F">
        <w:rPr>
          <w:rFonts w:ascii="Calibri" w:eastAsia="Times New Roman" w:hAnsi="Calibri" w:cs="Arial"/>
          <w:szCs w:val="24"/>
        </w:rPr>
        <w:t>ub</w:t>
      </w:r>
      <w:r w:rsidR="00FF1914">
        <w:rPr>
          <w:rFonts w:ascii="Calibri" w:eastAsia="Times New Roman" w:hAnsi="Calibri" w:cs="Arial"/>
          <w:szCs w:val="24"/>
        </w:rPr>
        <w:noBreakHyphen/>
      </w:r>
      <w:r w:rsidR="007C0C92" w:rsidRPr="007C316F">
        <w:rPr>
          <w:rFonts w:ascii="Calibri" w:eastAsia="Times New Roman" w:hAnsi="Calibri" w:cs="Arial"/>
          <w:szCs w:val="24"/>
        </w:rPr>
        <w:t>C</w:t>
      </w:r>
      <w:r w:rsidR="0063565D" w:rsidRPr="007C316F">
        <w:rPr>
          <w:rFonts w:ascii="Calibri" w:eastAsia="Times New Roman" w:hAnsi="Calibri" w:cs="Arial"/>
          <w:szCs w:val="24"/>
        </w:rPr>
        <w:t xml:space="preserve">ommittees agreed that this </w:t>
      </w:r>
      <w:r w:rsidR="0063565D" w:rsidRPr="007C316F">
        <w:t>approach is not able to capture periods of AD and associate</w:t>
      </w:r>
      <w:r w:rsidR="00AC6F86" w:rsidRPr="007C316F">
        <w:t>d</w:t>
      </w:r>
      <w:r w:rsidR="0063565D" w:rsidRPr="007C316F">
        <w:t xml:space="preserve"> costs/QALY losses over time for those who do not progress to dialysis.</w:t>
      </w:r>
      <w:bookmarkEnd w:id="57"/>
    </w:p>
    <w:p w14:paraId="2975FE16" w14:textId="062316F4" w:rsidR="00C2394C" w:rsidRPr="007C316F" w:rsidRDefault="006F0D5C" w:rsidP="006F0D5C">
      <w:pPr>
        <w:pStyle w:val="3-BodyText"/>
        <w:numPr>
          <w:ilvl w:val="1"/>
          <w:numId w:val="1"/>
        </w:numPr>
        <w:rPr>
          <w:color w:val="0066FF"/>
        </w:rPr>
      </w:pPr>
      <w:r w:rsidRPr="007C316F">
        <w:t>The probability of dialysis from the AD, PR, and CR states under SOC was estimated using time to ESKD from Davidson 2018, with the assumption that 50% of transitions represented mortality (</w:t>
      </w:r>
      <w:r w:rsidR="00AF1008" w:rsidRPr="007C316F">
        <w:t>based on</w:t>
      </w:r>
      <w:r w:rsidRPr="007C316F">
        <w:t xml:space="preserve"> Chen 2008), consistent with Mandrik 2022. Among the studies considered, Davidson 2018 appeared to have the most conservative difference in time to ESKD between responders and non</w:t>
      </w:r>
      <w:r w:rsidR="00FF1914">
        <w:noBreakHyphen/>
      </w:r>
      <w:r w:rsidRPr="007C316F">
        <w:t xml:space="preserve">responders compared to other studies considered by the submission. </w:t>
      </w:r>
      <w:r w:rsidR="00AF1008" w:rsidRPr="007C316F">
        <w:t>However, t</w:t>
      </w:r>
      <w:r w:rsidRPr="007C316F">
        <w:t xml:space="preserve">he </w:t>
      </w:r>
      <w:r w:rsidR="00D41DAA">
        <w:t xml:space="preserve">evaluation considered that the </w:t>
      </w:r>
      <w:r w:rsidRPr="007C316F">
        <w:t xml:space="preserve">extrapolation was not consistent with the underlying data, </w:t>
      </w:r>
      <w:r w:rsidR="00AF1008" w:rsidRPr="007C316F">
        <w:t xml:space="preserve">as </w:t>
      </w:r>
      <w:r w:rsidRPr="007C316F">
        <w:t>the model underestimat</w:t>
      </w:r>
      <w:r w:rsidR="00AF1008" w:rsidRPr="007C316F">
        <w:t xml:space="preserve">ed </w:t>
      </w:r>
      <w:r w:rsidRPr="007C316F">
        <w:t xml:space="preserve">time to ESKD (including mortality) for AD </w:t>
      </w:r>
      <w:r w:rsidR="00C2394C" w:rsidRPr="007C316F">
        <w:t xml:space="preserve">beyond 5 years </w:t>
      </w:r>
      <w:r w:rsidRPr="007C316F">
        <w:t>compared to Davidson 2018 (</w:t>
      </w:r>
      <w:r w:rsidR="00C2394C" w:rsidRPr="007C316F">
        <w:t>see</w:t>
      </w:r>
      <w:r w:rsidRPr="007C316F">
        <w:t xml:space="preserve"> Figure 2a</w:t>
      </w:r>
      <w:r w:rsidR="00E74A58" w:rsidRPr="007C316F">
        <w:t>, brown and black dashed lines</w:t>
      </w:r>
      <w:r w:rsidRPr="007C316F">
        <w:t>).</w:t>
      </w:r>
      <w:r w:rsidR="00AF1008" w:rsidRPr="007C316F">
        <w:t xml:space="preserve"> </w:t>
      </w:r>
    </w:p>
    <w:p w14:paraId="349DCC95" w14:textId="18E24BB5" w:rsidR="006F0D5C" w:rsidRPr="00A441BF" w:rsidRDefault="002255D9" w:rsidP="006F0D5C">
      <w:pPr>
        <w:pStyle w:val="3-BodyText"/>
        <w:numPr>
          <w:ilvl w:val="1"/>
          <w:numId w:val="1"/>
        </w:numPr>
        <w:rPr>
          <w:color w:val="0066FF"/>
        </w:rPr>
      </w:pPr>
      <w:fldSimple w:instr="REF _Ref218849769  \* MERGEFORMAT">
        <w:r>
          <w:t xml:space="preserve">Figure </w:t>
        </w:r>
        <w:r>
          <w:rPr>
            <w:noProof/>
          </w:rPr>
          <w:t>3</w:t>
        </w:r>
      </w:fldSimple>
      <w:r w:rsidR="006F0D5C" w:rsidRPr="007C316F">
        <w:t xml:space="preserve">b </w:t>
      </w:r>
      <w:r w:rsidR="00C2394C" w:rsidRPr="007C316F">
        <w:t>illustrates</w:t>
      </w:r>
      <w:r w:rsidR="006F0D5C" w:rsidRPr="007C316F">
        <w:t xml:space="preserve"> that </w:t>
      </w:r>
      <w:r w:rsidR="00C2394C" w:rsidRPr="007C316F">
        <w:t xml:space="preserve">applying </w:t>
      </w:r>
      <w:r w:rsidR="006F0D5C" w:rsidRPr="007C316F">
        <w:t xml:space="preserve">constant probabilities and </w:t>
      </w:r>
      <w:r w:rsidR="00C2394C" w:rsidRPr="007C316F">
        <w:t xml:space="preserve">a fixed </w:t>
      </w:r>
      <w:r w:rsidR="006F0D5C" w:rsidRPr="007C316F">
        <w:t xml:space="preserve">hazard ratio led to extrapolations of time to ESKD (excluding mortality) for AD and CR that diverged </w:t>
      </w:r>
      <w:r w:rsidR="00C2394C" w:rsidRPr="007C316F">
        <w:t xml:space="preserve">over </w:t>
      </w:r>
      <w:r w:rsidR="006F0D5C" w:rsidRPr="007C316F">
        <w:t xml:space="preserve">the time horizon, which may not be reasonable. </w:t>
      </w:r>
      <w:r w:rsidR="00C2394C" w:rsidRPr="007C316F">
        <w:t xml:space="preserve">In contrast, </w:t>
      </w:r>
      <w:r w:rsidR="006F0D5C" w:rsidRPr="007C316F">
        <w:t>Mandrik 2022 used a Weibull distribution for AD and a log</w:t>
      </w:r>
      <w:r w:rsidR="00FF1914">
        <w:noBreakHyphen/>
      </w:r>
      <w:r w:rsidR="006F0D5C" w:rsidRPr="007C316F">
        <w:t xml:space="preserve">normal distribution for CR/PR to extrapolate time to ESKD. This </w:t>
      </w:r>
      <w:r w:rsidR="00C2394C" w:rsidRPr="007C316F">
        <w:t xml:space="preserve">approach </w:t>
      </w:r>
      <w:r w:rsidR="006F0D5C" w:rsidRPr="007C316F">
        <w:t>resulted in</w:t>
      </w:r>
      <w:r w:rsidR="006F0D5C" w:rsidRPr="00A441BF">
        <w:t xml:space="preserve"> </w:t>
      </w:r>
      <w:r w:rsidR="00C2394C" w:rsidRPr="00A441BF">
        <w:t xml:space="preserve">an </w:t>
      </w:r>
      <w:r w:rsidR="006F0D5C" w:rsidRPr="00A441BF">
        <w:t>increas</w:t>
      </w:r>
      <w:r w:rsidR="00C2394C" w:rsidRPr="00A441BF">
        <w:t xml:space="preserve">ing </w:t>
      </w:r>
      <w:r w:rsidR="006F0D5C" w:rsidRPr="00A441BF">
        <w:t xml:space="preserve">probability of ESKD over time </w:t>
      </w:r>
      <w:r w:rsidR="006F0D5C" w:rsidRPr="00A441BF">
        <w:lastRenderedPageBreak/>
        <w:t>and convergence of the AD and CR/PR extrapolations (</w:t>
      </w:r>
      <w:fldSimple w:instr="REF _Ref218849769  \* MERGEFORMAT">
        <w:r>
          <w:t xml:space="preserve">Figure </w:t>
        </w:r>
        <w:r>
          <w:rPr>
            <w:noProof/>
          </w:rPr>
          <w:t>3</w:t>
        </w:r>
      </w:fldSimple>
      <w:r w:rsidR="006F0D5C" w:rsidRPr="00A441BF">
        <w:t>a, pink and purple lines).</w:t>
      </w:r>
      <w:r w:rsidR="00750E71">
        <w:t xml:space="preserve"> The pre</w:t>
      </w:r>
      <w:r w:rsidR="00FF1914">
        <w:noBreakHyphen/>
      </w:r>
      <w:r w:rsidR="00750E71">
        <w:t xml:space="preserve">PBAC response </w:t>
      </w:r>
      <w:r w:rsidR="003D041D">
        <w:t xml:space="preserve">argued that </w:t>
      </w:r>
      <w:r w:rsidR="00BB4050">
        <w:t xml:space="preserve">the submission’s approach </w:t>
      </w:r>
      <w:r w:rsidR="003A6865">
        <w:t>(</w:t>
      </w:r>
      <w:r w:rsidR="003A6865" w:rsidRPr="007C316F">
        <w:t>applying constant probabilities</w:t>
      </w:r>
      <w:r w:rsidR="003A6865">
        <w:t>)</w:t>
      </w:r>
      <w:r w:rsidR="003A6865" w:rsidRPr="007C316F">
        <w:t xml:space="preserve"> </w:t>
      </w:r>
      <w:r w:rsidR="00BB4050">
        <w:t>was more conservative than the approach used in Mandrik 2022</w:t>
      </w:r>
      <w:r w:rsidR="00EE3C32" w:rsidRPr="00EE3C32">
        <w:t xml:space="preserve"> </w:t>
      </w:r>
      <w:r w:rsidR="00EE3C32">
        <w:t xml:space="preserve">(applying </w:t>
      </w:r>
      <w:r w:rsidR="00EE3C32" w:rsidRPr="00EE3C32">
        <w:t>time</w:t>
      </w:r>
      <w:r w:rsidR="00FF1914">
        <w:noBreakHyphen/>
      </w:r>
      <w:r w:rsidR="00EE3C32" w:rsidRPr="00EE3C32">
        <w:t>varying probabilities i.e. Weibull</w:t>
      </w:r>
      <w:r w:rsidR="00EE3C32">
        <w:t>)</w:t>
      </w:r>
      <w:r w:rsidR="00D26A2D">
        <w:t xml:space="preserve"> until approximately Year 15</w:t>
      </w:r>
      <w:r w:rsidR="003718E2">
        <w:t xml:space="preserve"> </w:t>
      </w:r>
      <w:r w:rsidR="003718E2" w:rsidRPr="00230878">
        <w:rPr>
          <w:rFonts w:eastAsia="Calibri"/>
        </w:rPr>
        <w:t>at which point the constant probabilities begin to outweigh the slowing Weibull probabilities</w:t>
      </w:r>
      <w:r w:rsidR="00D26A2D">
        <w:t>.</w:t>
      </w:r>
      <w:r w:rsidR="004B5620">
        <w:t xml:space="preserve"> Thus</w:t>
      </w:r>
      <w:r w:rsidR="00BD09D9">
        <w:t>,</w:t>
      </w:r>
      <w:r w:rsidR="004B5620">
        <w:t xml:space="preserve"> the pre</w:t>
      </w:r>
      <w:r w:rsidR="00FF1914">
        <w:noBreakHyphen/>
      </w:r>
      <w:r w:rsidR="004B5620">
        <w:t xml:space="preserve">PBAC response argued </w:t>
      </w:r>
      <w:r w:rsidR="00D908AD" w:rsidRPr="00D908AD">
        <w:t xml:space="preserve">that the model </w:t>
      </w:r>
      <w:r w:rsidR="00D908AD">
        <w:t>‘</w:t>
      </w:r>
      <w:r w:rsidR="00D908AD" w:rsidRPr="00D908AD">
        <w:t>does not overstate the long</w:t>
      </w:r>
      <w:r w:rsidR="00FF1914">
        <w:noBreakHyphen/>
      </w:r>
      <w:r w:rsidR="00D908AD" w:rsidRPr="00D908AD">
        <w:t>term benefit of achieving a response</w:t>
      </w:r>
      <w:r w:rsidR="00D908AD">
        <w:t>’.</w:t>
      </w:r>
    </w:p>
    <w:p w14:paraId="24BE4EC4" w14:textId="3AD0CEDC" w:rsidR="006F0D5C" w:rsidRDefault="006F0D5C" w:rsidP="00EE3C32">
      <w:pPr>
        <w:pStyle w:val="TableFigureHeading"/>
        <w:spacing w:before="120"/>
      </w:pPr>
      <w:bookmarkStart w:id="58" w:name="_Ref218849769"/>
      <w:r>
        <w:t xml:space="preserve">Figure </w:t>
      </w:r>
      <w:fldSimple w:instr=" SEQ Figure \* ARABIC ">
        <w:r w:rsidR="002255D9">
          <w:rPr>
            <w:noProof/>
          </w:rPr>
          <w:t>3</w:t>
        </w:r>
      </w:fldSimple>
      <w:bookmarkEnd w:id="58"/>
      <w:r>
        <w:t xml:space="preserve">: </w:t>
      </w:r>
      <w:bookmarkStart w:id="59" w:name="_Hlk219114763"/>
      <w:r>
        <w:t>Extrapolation of Davidson 2018, time to ESKD, by response</w:t>
      </w:r>
      <w:bookmarkEnd w:id="59"/>
    </w:p>
    <w:tbl>
      <w:tblPr>
        <w:tblStyle w:val="TableGrid"/>
        <w:tblW w:w="0" w:type="auto"/>
        <w:jc w:val="center"/>
        <w:tblBorders>
          <w:insideH w:val="none" w:sz="0" w:space="0" w:color="auto"/>
        </w:tblBorders>
        <w:tblCellMar>
          <w:left w:w="28" w:type="dxa"/>
          <w:right w:w="28" w:type="dxa"/>
        </w:tblCellMar>
        <w:tblLook w:val="04A0" w:firstRow="1" w:lastRow="0" w:firstColumn="1" w:lastColumn="0" w:noHBand="0" w:noVBand="1"/>
      </w:tblPr>
      <w:tblGrid>
        <w:gridCol w:w="4508"/>
        <w:gridCol w:w="4509"/>
      </w:tblGrid>
      <w:tr w:rsidR="006F0D5C" w14:paraId="222A7A6C" w14:textId="77777777" w:rsidTr="00AF1008">
        <w:trPr>
          <w:jc w:val="center"/>
        </w:trPr>
        <w:tc>
          <w:tcPr>
            <w:tcW w:w="4508" w:type="dxa"/>
            <w:vAlign w:val="center"/>
          </w:tcPr>
          <w:p w14:paraId="33E0787D" w14:textId="77777777" w:rsidR="006F0D5C" w:rsidRDefault="006F0D5C" w:rsidP="0072568D">
            <w:pPr>
              <w:pStyle w:val="TableFigureHeading"/>
              <w:jc w:val="center"/>
            </w:pPr>
            <w:bookmarkStart w:id="60" w:name="_Hlk219114749"/>
            <w:r>
              <w:t>a) Time to ESKD or death</w:t>
            </w:r>
          </w:p>
        </w:tc>
        <w:tc>
          <w:tcPr>
            <w:tcW w:w="4509" w:type="dxa"/>
            <w:vAlign w:val="center"/>
          </w:tcPr>
          <w:p w14:paraId="457B3198" w14:textId="77777777" w:rsidR="006F0D5C" w:rsidRDefault="006F0D5C" w:rsidP="0072568D">
            <w:pPr>
              <w:pStyle w:val="TableFigureHeading"/>
              <w:jc w:val="center"/>
            </w:pPr>
            <w:r>
              <w:t>b) Modelled time to ESKD</w:t>
            </w:r>
            <w:r w:rsidRPr="009573CF">
              <w:rPr>
                <w:vertAlign w:val="superscript"/>
              </w:rPr>
              <w:t>a</w:t>
            </w:r>
          </w:p>
        </w:tc>
      </w:tr>
      <w:tr w:rsidR="006F0D5C" w14:paraId="3189CB5A" w14:textId="77777777" w:rsidTr="00AF1008">
        <w:trPr>
          <w:jc w:val="center"/>
        </w:trPr>
        <w:tc>
          <w:tcPr>
            <w:tcW w:w="4508" w:type="dxa"/>
            <w:vAlign w:val="center"/>
          </w:tcPr>
          <w:p w14:paraId="52A751C8" w14:textId="77777777" w:rsidR="006F0D5C" w:rsidRDefault="006F0D5C" w:rsidP="0072568D">
            <w:pPr>
              <w:pStyle w:val="TableFigureHeading"/>
              <w:jc w:val="center"/>
            </w:pPr>
            <w:bookmarkStart w:id="61" w:name="_Hlk219115575"/>
            <w:r>
              <w:rPr>
                <w:noProof/>
              </w:rPr>
              <w:drawing>
                <wp:inline distT="0" distB="0" distL="0" distR="0" wp14:anchorId="1983C76D" wp14:editId="3981D4E5">
                  <wp:extent cx="2790000" cy="1816017"/>
                  <wp:effectExtent l="0" t="0" r="0" b="0"/>
                  <wp:docPr id="17" name="Picture 17" descr="Figure 3: Extrapolation of Davidson 2018, time to ESKD, by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3: Extrapolation of Davidson 2018, time to ESKD, by respon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000" cy="1816017"/>
                          </a:xfrm>
                          <a:prstGeom prst="rect">
                            <a:avLst/>
                          </a:prstGeom>
                          <a:noFill/>
                        </pic:spPr>
                      </pic:pic>
                    </a:graphicData>
                  </a:graphic>
                </wp:inline>
              </w:drawing>
            </w:r>
          </w:p>
        </w:tc>
        <w:tc>
          <w:tcPr>
            <w:tcW w:w="4509" w:type="dxa"/>
            <w:vAlign w:val="center"/>
          </w:tcPr>
          <w:p w14:paraId="77F9499C" w14:textId="77777777" w:rsidR="006F0D5C" w:rsidRDefault="006F0D5C" w:rsidP="0072568D">
            <w:pPr>
              <w:pStyle w:val="TableFigureHeading"/>
              <w:jc w:val="center"/>
            </w:pPr>
            <w:r>
              <w:rPr>
                <w:noProof/>
              </w:rPr>
              <w:drawing>
                <wp:inline distT="0" distB="0" distL="0" distR="0" wp14:anchorId="12DDA5D7" wp14:editId="638EC718">
                  <wp:extent cx="2790000" cy="1817259"/>
                  <wp:effectExtent l="0" t="0" r="0" b="0"/>
                  <wp:docPr id="18" name="Picture 18" descr="Figure 3: Extrapolation of Davidson 2018, time to ESKD, by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3: Extrapolation of Davidson 2018, time to ESKD, by respon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000" cy="1817259"/>
                          </a:xfrm>
                          <a:prstGeom prst="rect">
                            <a:avLst/>
                          </a:prstGeom>
                          <a:noFill/>
                        </pic:spPr>
                      </pic:pic>
                    </a:graphicData>
                  </a:graphic>
                </wp:inline>
              </w:drawing>
            </w:r>
          </w:p>
        </w:tc>
      </w:tr>
    </w:tbl>
    <w:p w14:paraId="5FD53B16" w14:textId="77777777" w:rsidR="006F0D5C" w:rsidRDefault="006F0D5C" w:rsidP="006F0D5C">
      <w:pPr>
        <w:pStyle w:val="TableFigureFooter"/>
      </w:pPr>
      <w:bookmarkStart w:id="62" w:name="_Hlk219114865"/>
      <w:bookmarkEnd w:id="61"/>
      <w:r>
        <w:t>Source: compiled during the evaluation from Sheets ‘ESKD data’ and ‘Model Inputs’ of the Excel workbook ‘Economic Evaluation.xlsb’. KM data in the Excel workbook included implausibilities (such as increases in ESKD free survival across time), likely due to extraction errors or noisy original plots. These KM therefore should be interpreted as illustrative of trend, rather than accurate</w:t>
      </w:r>
      <w:bookmarkEnd w:id="62"/>
      <w:r>
        <w:t>.</w:t>
      </w:r>
    </w:p>
    <w:p w14:paraId="12489A3B" w14:textId="12B05DDF" w:rsidR="006F0D5C" w:rsidRDefault="006F0D5C" w:rsidP="006F0D5C">
      <w:pPr>
        <w:pStyle w:val="TableFigureFooter"/>
      </w:pPr>
      <w:bookmarkStart w:id="63" w:name="_Hlk219114914"/>
      <w:r>
        <w:t>AD=active disease (non</w:t>
      </w:r>
      <w:r w:rsidR="00FF1914">
        <w:noBreakHyphen/>
      </w:r>
      <w:r>
        <w:t xml:space="preserve">responders in Davidson 2018), CR=complete response, </w:t>
      </w:r>
      <w:bookmarkStart w:id="64" w:name="_Hlk218849734"/>
      <w:r>
        <w:t xml:space="preserve">ESKD=end stage kidney disease, </w:t>
      </w:r>
      <w:bookmarkEnd w:id="64"/>
      <w:r>
        <w:t>KM=Kaplan</w:t>
      </w:r>
      <w:r w:rsidR="00FF1914">
        <w:noBreakHyphen/>
      </w:r>
      <w:r>
        <w:t>Meier, PR=partial response</w:t>
      </w:r>
    </w:p>
    <w:bookmarkEnd w:id="63"/>
    <w:p w14:paraId="065177BE" w14:textId="77777777" w:rsidR="006F0D5C" w:rsidRDefault="006F0D5C" w:rsidP="006F0D5C">
      <w:pPr>
        <w:pStyle w:val="TableFigureFooter"/>
      </w:pPr>
      <w:r>
        <w:t xml:space="preserve">Time 0 equal to time when response status was captured (24 months post </w:t>
      </w:r>
      <w:r w:rsidRPr="006E0CBB">
        <w:t>lupus nephritis</w:t>
      </w:r>
      <w:r>
        <w:t xml:space="preserve"> diagnosis in all studies), i.e., not Time 0 in the submission (</w:t>
      </w:r>
      <w:r w:rsidRPr="006E0CBB">
        <w:t>lupus nephritis</w:t>
      </w:r>
      <w:r>
        <w:t xml:space="preserve"> diagnosis)</w:t>
      </w:r>
    </w:p>
    <w:p w14:paraId="7AE41A5B" w14:textId="37BBD9D3" w:rsidR="006F0D5C" w:rsidRPr="0098262F" w:rsidRDefault="006F0D5C" w:rsidP="006F0D5C">
      <w:pPr>
        <w:pStyle w:val="TableFigureFooter"/>
        <w:ind w:left="165" w:hanging="165"/>
      </w:pPr>
      <w:r>
        <w:t>a</w:t>
      </w:r>
      <w:r>
        <w:tab/>
        <w:t xml:space="preserve">The submission estimated mortality separately, based on pooled REGENCY data. </w:t>
      </w:r>
      <w:r w:rsidR="00C47FF0">
        <w:t>Therefore, the</w:t>
      </w:r>
      <w:r>
        <w:t xml:space="preserve"> constant extrapolation curves are not equal to final modelled ESKD free survival in the submission.</w:t>
      </w:r>
    </w:p>
    <w:bookmarkEnd w:id="60"/>
    <w:p w14:paraId="1BD4162A" w14:textId="37224EC4" w:rsidR="006F0D5C" w:rsidRPr="00345210" w:rsidRDefault="006F0D5C" w:rsidP="006F0D5C">
      <w:pPr>
        <w:pStyle w:val="3-BodyText"/>
        <w:numPr>
          <w:ilvl w:val="1"/>
          <w:numId w:val="1"/>
        </w:numPr>
        <w:rPr>
          <w:color w:val="0066FF"/>
        </w:rPr>
      </w:pPr>
      <w:r w:rsidRPr="00A441BF">
        <w:t xml:space="preserve">The submission argued that patients in CR/PR receiving obinutuzumab should accrue additional benefit to those in CR/PR receiving SOC, but did not present evidence of a benefit for responders receiving obinutuzumab versus those receiving SOC beyond Month 18. The applied hazard ratio of 0.44 was derived from differences in time to flare between REGENCY trial arms from Weeks 24 to 76, was not limited to CR/PR patients, and was assumed to underestimate the true effect. </w:t>
      </w:r>
      <w:r w:rsidR="008C788D">
        <w:t xml:space="preserve">The evaluation considered that this assumption was without justification. </w:t>
      </w:r>
      <w:r w:rsidR="00D85F0D" w:rsidRPr="00345210">
        <w:t>The eval</w:t>
      </w:r>
      <w:r w:rsidR="002B5C30" w:rsidRPr="00345210">
        <w:t xml:space="preserve">uation considered that </w:t>
      </w:r>
      <w:r w:rsidRPr="00345210">
        <w:t>a hazard ratio for flares is unlikely to translate directly to a hazard ratio for dialysis risk</w:t>
      </w:r>
      <w:r w:rsidR="00543BDD" w:rsidRPr="00345210">
        <w:t xml:space="preserve"> and i</w:t>
      </w:r>
      <w:r w:rsidRPr="00345210">
        <w:t>t may therefore be more reasonable to assume no additional post</w:t>
      </w:r>
      <w:r w:rsidR="00FF1914">
        <w:noBreakHyphen/>
      </w:r>
      <w:r w:rsidRPr="00345210">
        <w:t>Month</w:t>
      </w:r>
      <w:r w:rsidR="00FF1914">
        <w:noBreakHyphen/>
      </w:r>
      <w:r w:rsidRPr="00345210">
        <w:t>18 benefit for responders receiving obinutuzumab compared to responders receiving SOC.</w:t>
      </w:r>
      <w:r w:rsidR="00160459">
        <w:t xml:space="preserve"> The PBAC noted that the relationship between the reduction in flares to reduction in dialysis risk is probable but imprecise, and that therefore the use of a HR of 1 in the model would be conservative.</w:t>
      </w:r>
      <w:r w:rsidR="00955299" w:rsidRPr="00345210">
        <w:t xml:space="preserve"> </w:t>
      </w:r>
    </w:p>
    <w:p w14:paraId="3262FB89" w14:textId="4E7C0C5D" w:rsidR="006F0D5C" w:rsidRPr="00A441BF" w:rsidRDefault="006F0D5C" w:rsidP="006F0D5C">
      <w:pPr>
        <w:pStyle w:val="3-BodyText"/>
        <w:numPr>
          <w:ilvl w:val="1"/>
          <w:numId w:val="1"/>
        </w:numPr>
        <w:rPr>
          <w:color w:val="0066FF"/>
        </w:rPr>
      </w:pPr>
      <w:r>
        <w:t>The per cycle probabilities of patients in dialysis moving to transplant, and from transplant to dialysis were estimated from the annual probability of transplants (6.3 transplants per 100 dialysis</w:t>
      </w:r>
      <w:r w:rsidR="00FF1914">
        <w:noBreakHyphen/>
      </w:r>
      <w:r>
        <w:t>years) and graft loss (</w:t>
      </w:r>
      <w:r w:rsidRPr="00BA5314">
        <w:t>2.7 per 100 graft</w:t>
      </w:r>
      <w:r w:rsidR="00FF1914">
        <w:noBreakHyphen/>
      </w:r>
      <w:r w:rsidRPr="00BA5314">
        <w:t>years</w:t>
      </w:r>
      <w:r>
        <w:t xml:space="preserve">) reported for Australia from ANZDATA 2024. </w:t>
      </w:r>
      <w:r w:rsidR="00B309A3" w:rsidRPr="00A441BF">
        <w:t xml:space="preserve">Lupus nephritis </w:t>
      </w:r>
      <w:r w:rsidRPr="00A441BF">
        <w:t>patients may have different long</w:t>
      </w:r>
      <w:r w:rsidR="00FF1914">
        <w:noBreakHyphen/>
      </w:r>
      <w:r w:rsidRPr="00A441BF">
        <w:t xml:space="preserve">term </w:t>
      </w:r>
      <w:r w:rsidRPr="00A441BF">
        <w:lastRenderedPageBreak/>
        <w:t xml:space="preserve">probabilities of graft loss and transplantation compared with other patients, who likely make up the majority of the ANZDATA data, particularly as </w:t>
      </w:r>
      <w:r w:rsidR="00B309A3" w:rsidRPr="00A441BF">
        <w:t xml:space="preserve">lupus nephritis patients have underlying </w:t>
      </w:r>
      <w:r w:rsidRPr="00A441BF">
        <w:t>SLE</w:t>
      </w:r>
      <w:r w:rsidR="00B309A3" w:rsidRPr="00A441BF">
        <w:t>, which</w:t>
      </w:r>
      <w:r w:rsidRPr="00A441BF">
        <w:t xml:space="preserve"> is a complex, multi</w:t>
      </w:r>
      <w:r w:rsidR="00FF1914">
        <w:noBreakHyphen/>
      </w:r>
      <w:r w:rsidRPr="00A441BF">
        <w:t>organ disease.</w:t>
      </w:r>
    </w:p>
    <w:p w14:paraId="1A588C0A" w14:textId="16D772B6" w:rsidR="006F0D5C" w:rsidRPr="00A441BF" w:rsidRDefault="006F0D5C" w:rsidP="006F0D5C">
      <w:pPr>
        <w:pStyle w:val="3-BodyText"/>
        <w:numPr>
          <w:ilvl w:val="1"/>
          <w:numId w:val="1"/>
        </w:numPr>
        <w:rPr>
          <w:color w:val="0066FF"/>
        </w:rPr>
      </w:pPr>
      <w:bookmarkStart w:id="65" w:name="_Ref222151832"/>
      <w:r w:rsidRPr="00A441BF">
        <w:t>The probability of death from dialysis per cycle was reported as 2.8% in the submission, but the source of this value could not be verified</w:t>
      </w:r>
      <w:r w:rsidR="007A1035">
        <w:t xml:space="preserve"> by the evaluation</w:t>
      </w:r>
      <w:r w:rsidRPr="00A441BF">
        <w:t>. Based on the reported source in Tables 4.3 and 5.10, ANZDATA 2024, and weighting by the number of haemodialysis and peritoneal dialysis deaths, the error</w:t>
      </w:r>
      <w:r w:rsidR="00FF1914">
        <w:noBreakHyphen/>
      </w:r>
      <w:r w:rsidRPr="00A441BF">
        <w:t>corrected base case estimated a per cycle mortality from dialysis to be 5.07%. In practice, the probability of death from dialysis was more likely to increase with longer time spent in the health state, and therefore, this likely remained an underestimate of dialysis mortality. The</w:t>
      </w:r>
      <w:r>
        <w:t xml:space="preserve"> probability of death from the transplant state (1.01% per cycle) was based on annual survival reported in the ANZDATA 2024. </w:t>
      </w:r>
      <w:r w:rsidRPr="00A441BF">
        <w:t>As with death from dialysis, this probability is unlikely to be constant over time.</w:t>
      </w:r>
      <w:bookmarkEnd w:id="65"/>
    </w:p>
    <w:p w14:paraId="59FEE089" w14:textId="3F455891" w:rsidR="006D4B49" w:rsidRPr="007C316F" w:rsidRDefault="006D4B49" w:rsidP="006F0D5C">
      <w:pPr>
        <w:pStyle w:val="3-BodyText"/>
        <w:numPr>
          <w:ilvl w:val="1"/>
          <w:numId w:val="1"/>
        </w:numPr>
        <w:rPr>
          <w:color w:val="0066FF"/>
        </w:rPr>
      </w:pPr>
      <w:bookmarkStart w:id="66" w:name="_Ref222151866"/>
      <w:r w:rsidRPr="00A441BF">
        <w:t xml:space="preserve">The </w:t>
      </w:r>
      <w:r w:rsidRPr="007C316F">
        <w:t xml:space="preserve">submission stated that </w:t>
      </w:r>
      <w:r w:rsidR="00B63403" w:rsidRPr="007C316F">
        <w:t xml:space="preserve">the </w:t>
      </w:r>
      <w:r w:rsidR="007F426E" w:rsidRPr="007C316F">
        <w:t xml:space="preserve">assumed </w:t>
      </w:r>
      <w:r w:rsidR="00B63403" w:rsidRPr="007C316F">
        <w:t>maximum treatment duration</w:t>
      </w:r>
      <w:r w:rsidRPr="007C316F">
        <w:t xml:space="preserve"> of 3 years was based on clinical practice guidelines</w:t>
      </w:r>
      <w:r w:rsidR="00E44C97" w:rsidRPr="007C316F">
        <w:t xml:space="preserve"> (Practice Point 10.2.3.2.4, KDIGO 2024)</w:t>
      </w:r>
      <w:r w:rsidRPr="007C316F">
        <w:t xml:space="preserve">, </w:t>
      </w:r>
      <w:r w:rsidR="00E44C97" w:rsidRPr="007C316F">
        <w:t>al</w:t>
      </w:r>
      <w:r w:rsidRPr="007C316F">
        <w:t>though the quoted guidelines state</w:t>
      </w:r>
      <w:r w:rsidR="00B309A3" w:rsidRPr="007C316F">
        <w:t>d that</w:t>
      </w:r>
      <w:r w:rsidRPr="007C316F">
        <w:t xml:space="preserve"> treatment should be at least 36 </w:t>
      </w:r>
      <w:r w:rsidR="00C47FF0" w:rsidRPr="007C316F">
        <w:t>months.</w:t>
      </w:r>
      <w:r w:rsidRPr="007C316F">
        <w:t xml:space="preserve"> Furthermore, the submission assumed non</w:t>
      </w:r>
      <w:r w:rsidR="00FF1914">
        <w:noBreakHyphen/>
      </w:r>
      <w:r w:rsidRPr="007C316F">
        <w:t xml:space="preserve">responders (those in AD) at Month 18 would </w:t>
      </w:r>
      <w:r w:rsidR="001762A5" w:rsidRPr="007C316F">
        <w:t>receive no further obinutuzumab</w:t>
      </w:r>
      <w:r w:rsidRPr="007C316F">
        <w:t>. The Delegate’s Overview noted  that given the significant number of non</w:t>
      </w:r>
      <w:r w:rsidR="00FF1914">
        <w:noBreakHyphen/>
      </w:r>
      <w:r w:rsidRPr="007C316F">
        <w:t>responders in REGENCY and NOBILITY, it was unclear if or when obinutuzumab should be discontinued</w:t>
      </w:r>
      <w:r w:rsidR="001762A5" w:rsidRPr="007C316F">
        <w:t xml:space="preserve"> for these patients</w:t>
      </w:r>
      <w:r w:rsidRPr="007C316F">
        <w:t>.</w:t>
      </w:r>
      <w:r w:rsidR="00E06B1C" w:rsidRPr="007C316F">
        <w:t xml:space="preserve"> </w:t>
      </w:r>
      <w:r w:rsidR="00015ECE" w:rsidRPr="007C316F">
        <w:t xml:space="preserve">The </w:t>
      </w:r>
      <w:r w:rsidR="00F81BAE" w:rsidRPr="007C316F">
        <w:t>S</w:t>
      </w:r>
      <w:r w:rsidR="00015ECE" w:rsidRPr="007C316F">
        <w:t>ub</w:t>
      </w:r>
      <w:r w:rsidR="00FF1914">
        <w:noBreakHyphen/>
      </w:r>
      <w:r w:rsidR="00F81BAE" w:rsidRPr="007C316F">
        <w:t>C</w:t>
      </w:r>
      <w:r w:rsidR="00015ECE" w:rsidRPr="007C316F">
        <w:t>ommittee</w:t>
      </w:r>
      <w:r w:rsidR="00F81BAE" w:rsidRPr="007C316F">
        <w:t>s</w:t>
      </w:r>
      <w:r w:rsidR="00015ECE" w:rsidRPr="007C316F">
        <w:t xml:space="preserve"> considered</w:t>
      </w:r>
      <w:r w:rsidR="009E55EC" w:rsidRPr="007C316F">
        <w:t xml:space="preserve"> that 18 months </w:t>
      </w:r>
      <w:r w:rsidR="00084239" w:rsidRPr="007C316F">
        <w:t>was a possible average</w:t>
      </w:r>
      <w:r w:rsidR="009E55EC" w:rsidRPr="007C316F">
        <w:t xml:space="preserve"> treatment duration</w:t>
      </w:r>
      <w:r w:rsidR="00A2676D" w:rsidRPr="007C316F">
        <w:t>, although some</w:t>
      </w:r>
      <w:r w:rsidR="009E55EC" w:rsidRPr="007C316F">
        <w:t xml:space="preserve"> </w:t>
      </w:r>
      <w:r w:rsidR="00A2676D" w:rsidRPr="007C316F">
        <w:t>patients with more severe disease will likely require</w:t>
      </w:r>
      <w:r w:rsidR="009E55EC" w:rsidRPr="007C316F">
        <w:t xml:space="preserve"> a longer treatment duration</w:t>
      </w:r>
      <w:r w:rsidR="00394845" w:rsidRPr="007C316F">
        <w:t>.</w:t>
      </w:r>
      <w:r w:rsidR="00EB3020" w:rsidRPr="007C316F">
        <w:t xml:space="preserve"> </w:t>
      </w:r>
      <w:r w:rsidR="005C1F63" w:rsidRPr="007C316F">
        <w:t>The Sub</w:t>
      </w:r>
      <w:r w:rsidR="00FF1914">
        <w:noBreakHyphen/>
      </w:r>
      <w:r w:rsidR="005C1F63" w:rsidRPr="007C316F">
        <w:t>Committee</w:t>
      </w:r>
      <w:r w:rsidR="00A2676D" w:rsidRPr="007C316F">
        <w:t>s</w:t>
      </w:r>
      <w:r w:rsidR="005C1F63" w:rsidRPr="007C316F">
        <w:t xml:space="preserve"> noted that </w:t>
      </w:r>
      <w:r w:rsidR="004F3907" w:rsidRPr="007C316F">
        <w:t xml:space="preserve">the model </w:t>
      </w:r>
      <w:r w:rsidR="008B62BC">
        <w:t>estimated</w:t>
      </w:r>
      <w:r w:rsidR="004F3907" w:rsidRPr="007C316F">
        <w:t xml:space="preserve"> that</w:t>
      </w:r>
      <w:r w:rsidR="00806D21" w:rsidRPr="007C316F">
        <w:t xml:space="preserve"> more than </w:t>
      </w:r>
      <w:r w:rsidR="004F3907" w:rsidRPr="007C316F">
        <w:t xml:space="preserve">65% of patients </w:t>
      </w:r>
      <w:r w:rsidR="00625047">
        <w:t>were still receiving</w:t>
      </w:r>
      <w:r w:rsidR="006B6AF6" w:rsidRPr="007C316F">
        <w:t xml:space="preserve"> </w:t>
      </w:r>
      <w:r w:rsidR="00625047">
        <w:t xml:space="preserve">obinutuzumab </w:t>
      </w:r>
      <w:r w:rsidR="006B6AF6" w:rsidRPr="007C316F">
        <w:t xml:space="preserve">treatment at 3 years </w:t>
      </w:r>
      <w:r w:rsidR="008B62BC">
        <w:t>(then cease</w:t>
      </w:r>
      <w:r w:rsidR="00DF58D7">
        <w:t xml:space="preserve"> due to the maximum treatment duration assumed in the economic model) </w:t>
      </w:r>
      <w:r w:rsidR="008B5655" w:rsidRPr="007C316F">
        <w:t xml:space="preserve">which </w:t>
      </w:r>
      <w:r w:rsidR="00A2676D" w:rsidRPr="007C316F">
        <w:t xml:space="preserve">was </w:t>
      </w:r>
      <w:r w:rsidR="00C7033D" w:rsidRPr="007C316F">
        <w:t>considered to be</w:t>
      </w:r>
      <w:r w:rsidR="008B5655" w:rsidRPr="007C316F">
        <w:t xml:space="preserve"> high</w:t>
      </w:r>
      <w:r w:rsidR="006B6AF6" w:rsidRPr="007C316F">
        <w:t xml:space="preserve">. </w:t>
      </w:r>
      <w:r w:rsidR="008B5655" w:rsidRPr="007C316F">
        <w:t>However</w:t>
      </w:r>
      <w:r w:rsidR="00E54D8F" w:rsidRPr="007C316F">
        <w:t>,</w:t>
      </w:r>
      <w:r w:rsidR="008B5655" w:rsidRPr="007C316F">
        <w:t xml:space="preserve"> t</w:t>
      </w:r>
      <w:r w:rsidR="00E06B1C" w:rsidRPr="007C316F">
        <w:t xml:space="preserve">he </w:t>
      </w:r>
      <w:r w:rsidR="00F81BAE" w:rsidRPr="007C316F">
        <w:t>S</w:t>
      </w:r>
      <w:r w:rsidR="00E06B1C" w:rsidRPr="007C316F">
        <w:t>ub</w:t>
      </w:r>
      <w:r w:rsidR="00FF1914">
        <w:noBreakHyphen/>
      </w:r>
      <w:r w:rsidR="00F81BAE" w:rsidRPr="007C316F">
        <w:t>C</w:t>
      </w:r>
      <w:r w:rsidR="00E06B1C" w:rsidRPr="007C316F">
        <w:t>ommittees</w:t>
      </w:r>
      <w:r w:rsidR="006B6AF6" w:rsidRPr="007C316F">
        <w:t xml:space="preserve"> </w:t>
      </w:r>
      <w:r w:rsidR="00047C7E" w:rsidRPr="007C316F">
        <w:t>considered that</w:t>
      </w:r>
      <w:r w:rsidR="00D2534D" w:rsidRPr="007C316F">
        <w:t xml:space="preserve"> </w:t>
      </w:r>
      <w:r w:rsidR="00560B9F" w:rsidRPr="007C316F">
        <w:t>a 3</w:t>
      </w:r>
      <w:r w:rsidR="00FF1914">
        <w:noBreakHyphen/>
      </w:r>
      <w:r w:rsidR="00560B9F" w:rsidRPr="007C316F">
        <w:t>year treatment cap for responders in the model</w:t>
      </w:r>
      <w:r w:rsidR="00806D21" w:rsidRPr="007C316F">
        <w:t xml:space="preserve"> could be retained as </w:t>
      </w:r>
      <w:r w:rsidR="00560B9F" w:rsidRPr="007C316F">
        <w:t xml:space="preserve">a </w:t>
      </w:r>
      <w:r w:rsidR="00047C7E" w:rsidRPr="007C316F">
        <w:t xml:space="preserve">potentially conservative </w:t>
      </w:r>
      <w:r w:rsidR="00383DF4" w:rsidRPr="007C316F">
        <w:t>assumption for the base case.</w:t>
      </w:r>
      <w:r w:rsidR="00B4335F" w:rsidRPr="007C316F">
        <w:t xml:space="preserve"> The </w:t>
      </w:r>
      <w:r w:rsidR="00F81BAE" w:rsidRPr="007C316F">
        <w:t>S</w:t>
      </w:r>
      <w:r w:rsidR="00B4335F" w:rsidRPr="007C316F">
        <w:t>ub</w:t>
      </w:r>
      <w:r w:rsidR="00FF1914">
        <w:noBreakHyphen/>
      </w:r>
      <w:r w:rsidR="00F81BAE" w:rsidRPr="007C316F">
        <w:t>C</w:t>
      </w:r>
      <w:r w:rsidR="00B4335F" w:rsidRPr="007C316F">
        <w:t>ommittees</w:t>
      </w:r>
      <w:r w:rsidR="00560B9F" w:rsidRPr="007C316F">
        <w:t xml:space="preserve"> also considered that this </w:t>
      </w:r>
      <w:r w:rsidR="00B4335F" w:rsidRPr="007C316F">
        <w:t>3</w:t>
      </w:r>
      <w:r w:rsidR="00FF1914">
        <w:noBreakHyphen/>
      </w:r>
      <w:r w:rsidR="00B4335F" w:rsidRPr="007C316F">
        <w:t xml:space="preserve">year treatment cap for </w:t>
      </w:r>
      <w:r w:rsidR="00A27139">
        <w:t xml:space="preserve">obinutuzumab </w:t>
      </w:r>
      <w:r w:rsidR="00560B9F" w:rsidRPr="007C316F">
        <w:t xml:space="preserve">should be reflected in </w:t>
      </w:r>
      <w:r w:rsidR="00B4335F" w:rsidRPr="007C316F">
        <w:t xml:space="preserve">the restriction </w:t>
      </w:r>
      <w:r w:rsidR="00B47657" w:rsidRPr="007C316F">
        <w:t>and/</w:t>
      </w:r>
      <w:r w:rsidR="00B4335F" w:rsidRPr="007C316F">
        <w:t xml:space="preserve">or </w:t>
      </w:r>
      <w:r w:rsidR="00135F23" w:rsidRPr="007C316F">
        <w:t xml:space="preserve">a </w:t>
      </w:r>
      <w:r w:rsidR="000D4283" w:rsidRPr="000D4283">
        <w:t>risk sharing arrangement</w:t>
      </w:r>
      <w:r w:rsidR="000D4283" w:rsidRPr="000D4283" w:rsidDel="000D4283">
        <w:t xml:space="preserve"> </w:t>
      </w:r>
      <w:r w:rsidR="000D4283">
        <w:t>(RSA)</w:t>
      </w:r>
      <w:r w:rsidR="00135F23" w:rsidRPr="007C316F">
        <w:t>.</w:t>
      </w:r>
      <w:bookmarkEnd w:id="66"/>
      <w:r w:rsidR="00A610C7">
        <w:t xml:space="preserve"> The PBAC agreed that the </w:t>
      </w:r>
      <w:r w:rsidR="00A610C7" w:rsidRPr="007C316F">
        <w:t>maximum treatment duration of 3 years</w:t>
      </w:r>
      <w:r w:rsidR="00A610C7">
        <w:t xml:space="preserve"> should be reflected in the </w:t>
      </w:r>
      <w:r w:rsidR="000D4283">
        <w:t xml:space="preserve">RSA </w:t>
      </w:r>
      <w:r w:rsidR="00C279FF">
        <w:t xml:space="preserve">(to align with the economic model), </w:t>
      </w:r>
      <w:r w:rsidR="000D4283">
        <w:t xml:space="preserve">but </w:t>
      </w:r>
      <w:r w:rsidR="00C279FF">
        <w:t xml:space="preserve">that </w:t>
      </w:r>
      <w:r w:rsidR="00E727E0">
        <w:t xml:space="preserve">the restriction should allow </w:t>
      </w:r>
      <w:r w:rsidR="00C279FF">
        <w:t xml:space="preserve">clinicians flexibility </w:t>
      </w:r>
      <w:r w:rsidR="00E727E0">
        <w:t>regarding</w:t>
      </w:r>
      <w:r w:rsidR="00C279FF">
        <w:t xml:space="preserve"> treatment duration</w:t>
      </w:r>
      <w:r w:rsidR="00150D27">
        <w:t xml:space="preserve"> in patients who have not exhibited </w:t>
      </w:r>
      <w:r w:rsidR="00A61B38">
        <w:t>a failure of treatment response</w:t>
      </w:r>
      <w:r w:rsidR="000D4283">
        <w:t>.</w:t>
      </w:r>
    </w:p>
    <w:p w14:paraId="52012A3B" w14:textId="11AC5FE7" w:rsidR="006F0D5C" w:rsidRPr="00A441BF" w:rsidRDefault="006F0D5C" w:rsidP="006F0D5C">
      <w:pPr>
        <w:pStyle w:val="3-BodyText"/>
        <w:numPr>
          <w:ilvl w:val="1"/>
          <w:numId w:val="1"/>
        </w:numPr>
      </w:pPr>
      <w:r>
        <w:t>REGENCY reported quality of life data for patients, but the submission considered them clinically implausible, as utility was higher in AD than in CR. The submission</w:t>
      </w:r>
      <w:r w:rsidR="00C2394C">
        <w:t>,</w:t>
      </w:r>
      <w:r>
        <w:t xml:space="preserve"> therefore</w:t>
      </w:r>
      <w:r w:rsidR="00C2394C">
        <w:t>,</w:t>
      </w:r>
      <w:r>
        <w:t xml:space="preserve"> used health state utilities for AD, PR and CR from Mandrik 2022, and dialysis and transplant utilities from Lee 2005</w:t>
      </w:r>
      <w:r>
        <w:rPr>
          <w:rStyle w:val="FootnoteReference"/>
        </w:rPr>
        <w:footnoteReference w:id="25"/>
      </w:r>
      <w:r>
        <w:t xml:space="preserve">. In </w:t>
      </w:r>
      <w:r w:rsidRPr="00E15811">
        <w:t>Mandrik 2022</w:t>
      </w:r>
      <w:r>
        <w:t xml:space="preserve">, the </w:t>
      </w:r>
      <w:r w:rsidRPr="00E15811">
        <w:t xml:space="preserve">CR </w:t>
      </w:r>
      <w:r>
        <w:t xml:space="preserve">utility was taken </w:t>
      </w:r>
      <w:r w:rsidRPr="00E15811">
        <w:t xml:space="preserve">from </w:t>
      </w:r>
      <w:r w:rsidRPr="00E15811">
        <w:lastRenderedPageBreak/>
        <w:t>Bexelius 2013</w:t>
      </w:r>
      <w:r w:rsidRPr="00E15811">
        <w:rPr>
          <w:vertAlign w:val="superscript"/>
        </w:rPr>
        <w:footnoteReference w:id="26"/>
      </w:r>
      <w:r>
        <w:t>, which reported EQ</w:t>
      </w:r>
      <w:r w:rsidR="00FF1914">
        <w:noBreakHyphen/>
      </w:r>
      <w:r>
        <w:t xml:space="preserve">5D values </w:t>
      </w:r>
      <w:r w:rsidRPr="00E15811">
        <w:t>(version and valuation not reported)</w:t>
      </w:r>
      <w:r>
        <w:t xml:space="preserve"> for Swedish </w:t>
      </w:r>
      <w:r w:rsidRPr="00E15811">
        <w:t>SLE patients with low disease activity (Systemic Lupus Activity Questionnaire score 0</w:t>
      </w:r>
      <w:r w:rsidR="00FF1914">
        <w:noBreakHyphen/>
      </w:r>
      <w:r w:rsidRPr="00E15811">
        <w:t xml:space="preserve">9). </w:t>
      </w:r>
      <w:r w:rsidRPr="00A441BF">
        <w:t>Although relatively high, this CR utility was still lower than utility values in other sources, including NICE TA882 (0.830, based on SF</w:t>
      </w:r>
      <w:r w:rsidR="00FF1914">
        <w:noBreakHyphen/>
      </w:r>
      <w:r w:rsidRPr="00A441BF">
        <w:t>36 collected in AURORA trial cross</w:t>
      </w:r>
      <w:r w:rsidR="00FF1914">
        <w:noBreakHyphen/>
      </w:r>
      <w:r w:rsidRPr="00A441BF">
        <w:t>walked to EQ</w:t>
      </w:r>
      <w:r w:rsidR="00FF1914">
        <w:noBreakHyphen/>
      </w:r>
      <w:r w:rsidRPr="00A441BF">
        <w:t>5D</w:t>
      </w:r>
      <w:r w:rsidR="00FF1914">
        <w:noBreakHyphen/>
      </w:r>
      <w:r w:rsidRPr="00A441BF">
        <w:t>3L), REGENCY (0.884, EQ</w:t>
      </w:r>
      <w:r w:rsidR="00FF1914">
        <w:noBreakHyphen/>
      </w:r>
      <w:r w:rsidRPr="00A441BF">
        <w:t>5D</w:t>
      </w:r>
      <w:r w:rsidR="00FF1914">
        <w:noBreakHyphen/>
      </w:r>
      <w:r w:rsidRPr="00A441BF">
        <w:t>5L), and Mohara 2014 (0.94, EQ</w:t>
      </w:r>
      <w:r w:rsidR="00FF1914">
        <w:noBreakHyphen/>
      </w:r>
      <w:r w:rsidRPr="00A441BF">
        <w:t xml:space="preserve">5D). </w:t>
      </w:r>
    </w:p>
    <w:p w14:paraId="11BE0808" w14:textId="51689E7E" w:rsidR="006F0D5C" w:rsidRPr="00A441BF" w:rsidRDefault="006F0D5C" w:rsidP="006F0D5C">
      <w:pPr>
        <w:pStyle w:val="3-BodyText"/>
        <w:numPr>
          <w:ilvl w:val="1"/>
          <w:numId w:val="1"/>
        </w:numPr>
        <w:rPr>
          <w:color w:val="0066FF"/>
        </w:rPr>
      </w:pPr>
      <w:r>
        <w:t>Utilities for PR and AD were estimated by applying the Mohara 2014 health</w:t>
      </w:r>
      <w:r w:rsidR="00FF1914">
        <w:noBreakHyphen/>
      </w:r>
      <w:r>
        <w:t xml:space="preserve">state differences to the CR utility. </w:t>
      </w:r>
      <w:r w:rsidRPr="00A441BF">
        <w:t>A multiplicative application of the Mohara 2014 decrements may be more appropriate. Under this approach, PR utility would equal 0.723</w:t>
      </w:r>
      <w:r w:rsidR="00C2394C" w:rsidRPr="00A441BF">
        <w:t>,</w:t>
      </w:r>
      <w:r w:rsidRPr="00A441BF">
        <w:t xml:space="preserve"> and AD utility would equal 0.650, compared with 0.710 and 0.624 in the submission. Incorporating these multiplicative utilities increased the ICER to </w:t>
      </w:r>
      <w:r w:rsidR="00253A8A" w:rsidRPr="00253A8A">
        <w:t>$35,000 to &lt; $45,000</w:t>
      </w:r>
      <w:r w:rsidRPr="00A441BF">
        <w:t xml:space="preserve"> per QALY gained compared with </w:t>
      </w:r>
      <w:r w:rsidR="00253A8A" w:rsidRPr="00253A8A">
        <w:t>$35,000 to &lt; $45,000</w:t>
      </w:r>
      <w:r w:rsidRPr="00A441BF">
        <w:t xml:space="preserve"> in the error</w:t>
      </w:r>
      <w:r w:rsidR="00FF1914">
        <w:noBreakHyphen/>
      </w:r>
      <w:r w:rsidRPr="00A441BF">
        <w:t>corrected base case, demonstrating the sensitivity of the ICER to the utility assumptions.</w:t>
      </w:r>
    </w:p>
    <w:p w14:paraId="4246D247" w14:textId="146A97D6" w:rsidR="006F0D5C" w:rsidRPr="006F5321" w:rsidRDefault="006F0D5C" w:rsidP="006F0D5C">
      <w:pPr>
        <w:pStyle w:val="3-BodyText"/>
        <w:numPr>
          <w:ilvl w:val="1"/>
          <w:numId w:val="1"/>
        </w:numPr>
        <w:rPr>
          <w:color w:val="0066FF"/>
        </w:rPr>
      </w:pPr>
      <w:r>
        <w:t>Utilities for dialysis and transplant were sourced from Lee 2005, a single centre study of dialysis and renal transplant patients in Wales. Participants completed a postal survey using the EQ</w:t>
      </w:r>
      <w:r w:rsidR="00FF1914">
        <w:noBreakHyphen/>
      </w:r>
      <w:r>
        <w:t>5D</w:t>
      </w:r>
      <w:r w:rsidR="00FF1914">
        <w:noBreakHyphen/>
      </w:r>
      <w:r>
        <w:t xml:space="preserve">3L, and utilities were valued using a UK tariff. </w:t>
      </w:r>
      <w:r w:rsidRPr="006F5321">
        <w:t>Lee 2005 utility values may be slightly conservative: a meta</w:t>
      </w:r>
      <w:r w:rsidR="00FF1914">
        <w:noBreakHyphen/>
      </w:r>
      <w:r w:rsidRPr="006F5321">
        <w:t>analysis of EQ</w:t>
      </w:r>
      <w:r w:rsidR="00FF1914">
        <w:noBreakHyphen/>
      </w:r>
      <w:r w:rsidRPr="006F5321">
        <w:t>5D studies by Liem 2008</w:t>
      </w:r>
      <w:r w:rsidRPr="006F5321">
        <w:rPr>
          <w:rStyle w:val="FootnoteReference"/>
        </w:rPr>
        <w:footnoteReference w:id="27"/>
      </w:r>
      <w:r w:rsidRPr="00CA66CC">
        <w:rPr>
          <w:i/>
          <w:iCs/>
        </w:rPr>
        <w:t xml:space="preserve"> </w:t>
      </w:r>
      <w:r w:rsidRPr="006F5321">
        <w:t>reported higher average utilities for haemodialysis</w:t>
      </w:r>
      <w:r w:rsidRPr="006F5321" w:rsidDel="00EC56D8">
        <w:t xml:space="preserve"> </w:t>
      </w:r>
      <w:r w:rsidRPr="006F5321">
        <w:t>(0.56), peritoneal dialysis (0.58), and transplant (0.81) across studies published 2001 to 2005. Mandrik 2022 also derived a dialysis utility of 0.55 by applying the Mohara 2014 utility decrements to their CR value, broadly consistent with the findings from the Liem 2018 meta</w:t>
      </w:r>
      <w:r w:rsidR="00FF1914">
        <w:noBreakHyphen/>
      </w:r>
      <w:r w:rsidRPr="006F5321">
        <w:t>analysis.</w:t>
      </w:r>
    </w:p>
    <w:p w14:paraId="31FDD08D" w14:textId="146C094F" w:rsidR="006F0D5C" w:rsidRPr="006F5321" w:rsidRDefault="006F0D5C" w:rsidP="006F0D5C">
      <w:pPr>
        <w:pStyle w:val="3-BodyText"/>
        <w:numPr>
          <w:ilvl w:val="1"/>
          <w:numId w:val="1"/>
        </w:numPr>
        <w:rPr>
          <w:color w:val="0066FF"/>
        </w:rPr>
      </w:pPr>
      <w:r w:rsidRPr="006F5321">
        <w:t xml:space="preserve">No disutilities associated with treatments or SLE </w:t>
      </w:r>
      <w:r w:rsidR="00CA50D5" w:rsidRPr="006F5321">
        <w:t xml:space="preserve">or lupus nephritis </w:t>
      </w:r>
      <w:r w:rsidRPr="006F5321">
        <w:t>disease progression, such as adverse events, flares, or prednisolone use, were included in the submission.</w:t>
      </w:r>
    </w:p>
    <w:p w14:paraId="71367422" w14:textId="77777777" w:rsidR="006F0D5C" w:rsidRPr="0071638A" w:rsidRDefault="006F0D5C" w:rsidP="006F0D5C">
      <w:pPr>
        <w:pStyle w:val="3-BodyText"/>
        <w:numPr>
          <w:ilvl w:val="1"/>
          <w:numId w:val="1"/>
        </w:numPr>
        <w:rPr>
          <w:color w:val="0066FF"/>
        </w:rPr>
      </w:pPr>
      <w:r>
        <w:t xml:space="preserve">The model included costs (reported in 2025 prices unless otherwise stated) for drugs, dialysis, kidney transplants, healthcare resource use, and adverse events. </w:t>
      </w:r>
    </w:p>
    <w:p w14:paraId="51121E0F" w14:textId="1D33A0E1" w:rsidR="006F0D5C" w:rsidRPr="0071638A" w:rsidRDefault="006F0D5C" w:rsidP="006F0D5C">
      <w:pPr>
        <w:pStyle w:val="3-BodyText"/>
        <w:numPr>
          <w:ilvl w:val="1"/>
          <w:numId w:val="1"/>
        </w:numPr>
        <w:rPr>
          <w:color w:val="0066FF"/>
        </w:rPr>
      </w:pPr>
      <w:r>
        <w:t>Obinutuzumab was costed as $</w:t>
      </w:r>
      <w:r w:rsidR="00102373" w:rsidRPr="00102373">
        <w:rPr>
          <w:sz w:val="2"/>
          <w:highlight w:val="black"/>
        </w:rPr>
        <w:t>redacted content</w:t>
      </w:r>
      <w:r>
        <w:t xml:space="preserve"> per 1000mg vial, based on the proposed AEMP of $</w:t>
      </w:r>
      <w:r w:rsidR="00102373" w:rsidRPr="00102373">
        <w:rPr>
          <w:sz w:val="2"/>
          <w:highlight w:val="black"/>
        </w:rPr>
        <w:t>redacted content</w:t>
      </w:r>
      <w:r>
        <w:t xml:space="preserve"> and weighted for a 76% public hospital use and 24% private hospital use (which incurred a $40 markup fee). In Cycle 1, patients were expected to have 3 x 1000mg infusions ($</w:t>
      </w:r>
      <w:r w:rsidR="00102373" w:rsidRPr="00102373">
        <w:rPr>
          <w:sz w:val="2"/>
          <w:highlight w:val="black"/>
        </w:rPr>
        <w:t>redacted content</w:t>
      </w:r>
      <w:r>
        <w:t xml:space="preserve">) to align with dosing in Weeks 0, 2 and 24 of REGENCY. </w:t>
      </w:r>
      <w:r w:rsidRPr="006F5321">
        <w:t>From Cycle 2 onwards, the error</w:t>
      </w:r>
      <w:r w:rsidR="00FF1914">
        <w:noBreakHyphen/>
      </w:r>
      <w:r w:rsidRPr="006F5321">
        <w:t>corrected base case applied one 1000mg dose per 6</w:t>
      </w:r>
      <w:r w:rsidR="00FF1914">
        <w:noBreakHyphen/>
      </w:r>
      <w:r w:rsidRPr="006F5321">
        <w:t xml:space="preserve">month cycle, in line with REGENCY and the proposed restriction. Patients who received obinutuzumab were also costed to receive methylprednisolone (80mg per dose with full pack wastage equal to $28.43, PBS item 1928L) prior to each obinutuzumab </w:t>
      </w:r>
      <w:r w:rsidRPr="006F5321">
        <w:lastRenderedPageBreak/>
        <w:t>infusion, plus an additional initial 1000mg dose of methylprednisolone.</w:t>
      </w:r>
      <w:r>
        <w:rPr>
          <w:i/>
          <w:iCs/>
        </w:rPr>
        <w:t xml:space="preserve"> </w:t>
      </w:r>
      <w:r>
        <w:t>The cost of IV drug administration (MBS item 13950) was applied to the administrations of obinutuzumab and methylprednisolone. Where these drugs were administered in the same session, a single administration cost was applied for both drugs.</w:t>
      </w:r>
    </w:p>
    <w:p w14:paraId="3F17F9E5" w14:textId="77777777" w:rsidR="006F0D5C" w:rsidRPr="006F5321" w:rsidRDefault="006F0D5C" w:rsidP="006F0D5C">
      <w:pPr>
        <w:pStyle w:val="3-BodyText"/>
        <w:numPr>
          <w:ilvl w:val="1"/>
          <w:numId w:val="1"/>
        </w:numPr>
        <w:rPr>
          <w:color w:val="0066FF"/>
        </w:rPr>
      </w:pPr>
      <w:r>
        <w:t xml:space="preserve">All patients in AD, CR or PR in both the obinutuzumab and SOC arms were expected to receive MMF and prednisone (PBS items 14000W and 13944X), with dosing informed by REGENCY. </w:t>
      </w:r>
      <w:r w:rsidRPr="006F5321">
        <w:t>The model did not incorporate the prednisone taper observed in REGENCY, however, prednisone costs had very little impact on the ICER. The submission did not include other SLE drug costs (assuming they would be similar across arms), which was reasonable.</w:t>
      </w:r>
    </w:p>
    <w:p w14:paraId="15DA94DE" w14:textId="5CF72663" w:rsidR="006F0D5C" w:rsidRPr="006F5321" w:rsidRDefault="006F0D5C" w:rsidP="006F0D5C">
      <w:pPr>
        <w:pStyle w:val="3-BodyText"/>
        <w:numPr>
          <w:ilvl w:val="1"/>
          <w:numId w:val="1"/>
        </w:numPr>
        <w:rPr>
          <w:color w:val="0066FF"/>
        </w:rPr>
      </w:pPr>
      <w:r>
        <w:t>A one</w:t>
      </w:r>
      <w:r w:rsidR="00FF1914">
        <w:noBreakHyphen/>
      </w:r>
      <w:r>
        <w:t>off subsequent treatment cost was applied to patients who transitioned to dialysis from AD, PR or CR: $10,248.03 in the SOC arm (rituximab, cyclophosphamide, and tacrolimus)</w:t>
      </w:r>
      <w:r w:rsidR="00C2394C">
        <w:t xml:space="preserve"> and</w:t>
      </w:r>
      <w:r>
        <w:t xml:space="preserve"> $9,119.11 in the obinutuzumab arm (cyclophosphamide and tacrolimus). </w:t>
      </w:r>
      <w:r w:rsidRPr="006F5321">
        <w:t>Although there was some uncertainty in the choice of downstream therapies, particularly the use of rituximab for SOC patients, the ICER was not sensitive to subsequent treatment costs.</w:t>
      </w:r>
      <w:r w:rsidRPr="006F5321">
        <w:rPr>
          <w:color w:val="0066FF"/>
        </w:rPr>
        <w:t xml:space="preserve"> </w:t>
      </w:r>
    </w:p>
    <w:p w14:paraId="7D8DD7D8" w14:textId="11612F3A" w:rsidR="006F0D5C" w:rsidRPr="006F5321" w:rsidRDefault="006F0D5C" w:rsidP="006F0D5C">
      <w:pPr>
        <w:pStyle w:val="3-BodyText"/>
        <w:numPr>
          <w:ilvl w:val="1"/>
          <w:numId w:val="1"/>
        </w:numPr>
      </w:pPr>
      <w:r>
        <w:t>The per</w:t>
      </w:r>
      <w:r w:rsidR="00FF1914">
        <w:noBreakHyphen/>
      </w:r>
      <w:r>
        <w:t xml:space="preserve">cycle health state costs for AD ($2,501.10), PR ($1,549.93), and CR ($598.75) were derived from NICE TA882 (voclosporin with MMF for </w:t>
      </w:r>
      <w:r w:rsidRPr="006E0CBB">
        <w:t>lupus nephritis</w:t>
      </w:r>
      <w:r>
        <w:t>), using 6 months resource use for patients with AD, PR and CR in CKD stage 1</w:t>
      </w:r>
      <w:r w:rsidR="00FF1914">
        <w:noBreakHyphen/>
      </w:r>
      <w:r>
        <w:t xml:space="preserve">3a, with relevant MBS costs applied. </w:t>
      </w:r>
      <w:r w:rsidRPr="006F5321">
        <w:t>While this approach was generally appropriate, the small number of patients transitioning from CR or PR to dialysis meant that the cost differences between AD and the PR, CR health states became a significant driver of the incremental costs.</w:t>
      </w:r>
    </w:p>
    <w:p w14:paraId="459E7972" w14:textId="14E285FB" w:rsidR="006F0D5C" w:rsidRPr="00DF4DD9" w:rsidRDefault="006F0D5C" w:rsidP="006F0D5C">
      <w:pPr>
        <w:pStyle w:val="3-BodyText"/>
        <w:numPr>
          <w:ilvl w:val="1"/>
          <w:numId w:val="1"/>
        </w:numPr>
      </w:pPr>
      <w:r>
        <w:t xml:space="preserve">Patients in the dialysis state accrued an average per cycle cost of $33,035, calculated using the annual costs of </w:t>
      </w:r>
      <w:r w:rsidRPr="00DE2A2F">
        <w:t>peritoneal dialysis</w:t>
      </w:r>
      <w:r>
        <w:t xml:space="preserve"> ($29,967)</w:t>
      </w:r>
      <w:r w:rsidRPr="00DE2A2F">
        <w:t>, home haemodialysis</w:t>
      </w:r>
      <w:r>
        <w:t xml:space="preserve"> ($30,001)</w:t>
      </w:r>
      <w:r w:rsidRPr="00DE2A2F">
        <w:t>, satellite</w:t>
      </w:r>
      <w:r>
        <w:t xml:space="preserve"> ($44,626)</w:t>
      </w:r>
      <w:r w:rsidRPr="00DE2A2F">
        <w:t>, hospital haemodialysis</w:t>
      </w:r>
      <w:r>
        <w:t xml:space="preserve"> ($106,372) from Deloitte 2023, weighted by modality proportions from</w:t>
      </w:r>
      <w:r w:rsidRPr="00DE2A2F">
        <w:t xml:space="preserve"> ANZDATA 2024 </w:t>
      </w:r>
      <w:r>
        <w:t>(</w:t>
      </w:r>
      <w:r w:rsidRPr="00DE2A2F">
        <w:t>7% peritoneal, 7% home haemodialysis, 54% satellite, 22% hospital haemodialysis</w:t>
      </w:r>
      <w:r>
        <w:t>) inflated to 2025 dollars and converted to a 6</w:t>
      </w:r>
      <w:r w:rsidR="00FF1914">
        <w:noBreakHyphen/>
      </w:r>
      <w:r>
        <w:t xml:space="preserve">month cost. </w:t>
      </w:r>
      <w:r w:rsidRPr="00DF4DD9">
        <w:t xml:space="preserve">Dialysis costs were a significant cost offset in the submission and a key driver of the incremental costs, despite health state allocation to dialysis being low. </w:t>
      </w:r>
    </w:p>
    <w:p w14:paraId="6BA5ED8B" w14:textId="01A1947F" w:rsidR="006F0D5C" w:rsidRPr="00DF4DD9" w:rsidRDefault="006F0D5C" w:rsidP="006F0D5C">
      <w:pPr>
        <w:pStyle w:val="3-BodyText"/>
        <w:numPr>
          <w:ilvl w:val="1"/>
          <w:numId w:val="1"/>
        </w:numPr>
      </w:pPr>
      <w:r>
        <w:t>Patients entering the transplant state accrued a one</w:t>
      </w:r>
      <w:r w:rsidR="00FF1914">
        <w:noBreakHyphen/>
      </w:r>
      <w:r>
        <w:t xml:space="preserve">off cost of $98,522.32 based on Deloitte 2023, inflated to 2025 prices and weighted by the percentage of living and deceased donor transplants reported in ANZDATA 2024. </w:t>
      </w:r>
      <w:r w:rsidRPr="00A47A32">
        <w:t xml:space="preserve">Patients were also assumed to </w:t>
      </w:r>
      <w:r>
        <w:t>incur</w:t>
      </w:r>
      <w:r w:rsidRPr="00A47A32">
        <w:t xml:space="preserve"> an ongoing per cycle cost in the transplant state of $8,907 based on the annual cost </w:t>
      </w:r>
      <w:r>
        <w:t>for</w:t>
      </w:r>
      <w:r w:rsidRPr="00A47A32">
        <w:t xml:space="preserve"> subsequent post</w:t>
      </w:r>
      <w:r w:rsidR="00FF1914">
        <w:noBreakHyphen/>
      </w:r>
      <w:r w:rsidRPr="00A47A32">
        <w:t xml:space="preserve">transplant </w:t>
      </w:r>
      <w:r>
        <w:t xml:space="preserve">years </w:t>
      </w:r>
      <w:r w:rsidRPr="00A47A32">
        <w:t xml:space="preserve">from Table 17, dapagliflozin, CKD, Public Summary Document July 2021 ($14,722), inflated to 2025 costs and converted to a 6 monthly cost. </w:t>
      </w:r>
      <w:r w:rsidRPr="00DF4DD9">
        <w:t xml:space="preserve">The costs in the transplant state were reasonable. </w:t>
      </w:r>
    </w:p>
    <w:p w14:paraId="5796D33F" w14:textId="12761789" w:rsidR="006F0D5C" w:rsidRPr="00DF4DD9" w:rsidRDefault="006F0D5C" w:rsidP="006F0D5C">
      <w:pPr>
        <w:pStyle w:val="3-BodyText"/>
        <w:numPr>
          <w:ilvl w:val="1"/>
          <w:numId w:val="1"/>
        </w:numPr>
      </w:pPr>
      <w:r>
        <w:t>The submission included per</w:t>
      </w:r>
      <w:r w:rsidR="00FF1914">
        <w:noBreakHyphen/>
      </w:r>
      <w:r>
        <w:t>cycle adverse event costs for COVID</w:t>
      </w:r>
      <w:r w:rsidR="00FF1914">
        <w:noBreakHyphen/>
      </w:r>
      <w:r>
        <w:t>19, urinary tract infection, gastroenteritis, pneumonia, COVID</w:t>
      </w:r>
      <w:r w:rsidR="00FF1914">
        <w:noBreakHyphen/>
      </w:r>
      <w:r>
        <w:t>19 pneumonia, and neutropenia (Grade 3</w:t>
      </w:r>
      <w:r w:rsidR="00FF1914">
        <w:noBreakHyphen/>
      </w:r>
      <w:r>
        <w:t xml:space="preserve">5 adverse events affecting </w:t>
      </w:r>
      <w:r>
        <w:rPr>
          <w:rFonts w:cs="Calibri"/>
        </w:rPr>
        <w:t>≥</w:t>
      </w:r>
      <w:r>
        <w:t>5% of patients in either arm of REGENCY), with REGENCY incidence converted to per</w:t>
      </w:r>
      <w:r w:rsidR="00FF1914">
        <w:noBreakHyphen/>
      </w:r>
      <w:r>
        <w:t xml:space="preserve">cycle probabilities for patients receiving obinutuzumab or SOC. </w:t>
      </w:r>
      <w:r w:rsidRPr="00DF4DD9">
        <w:t>Unit costs were based on AR</w:t>
      </w:r>
      <w:r w:rsidR="00FF1914">
        <w:noBreakHyphen/>
      </w:r>
      <w:r w:rsidRPr="00DF4DD9">
        <w:t xml:space="preserve">DRG codes with minor complexity, as reported in </w:t>
      </w:r>
      <w:r w:rsidRPr="00DF4DD9">
        <w:lastRenderedPageBreak/>
        <w:t>2019</w:t>
      </w:r>
      <w:r w:rsidR="00FF1914">
        <w:noBreakHyphen/>
      </w:r>
      <w:r w:rsidRPr="00DF4DD9">
        <w:t>2020 and were not updated to 2025 costs. The ICER was not sensitive to changes in adverse event costs.</w:t>
      </w:r>
    </w:p>
    <w:p w14:paraId="50330B80" w14:textId="0022BF17" w:rsidR="006F0D5C" w:rsidRPr="00DF4DD9" w:rsidRDefault="006F0D5C" w:rsidP="006F0D5C">
      <w:pPr>
        <w:pStyle w:val="3-BodyText"/>
        <w:numPr>
          <w:ilvl w:val="1"/>
          <w:numId w:val="1"/>
        </w:numPr>
      </w:pPr>
      <w:r w:rsidRPr="00DF4DD9">
        <w:t xml:space="preserve">Health state allocation plots were compiled during the evaluation and are presented in </w:t>
      </w:r>
      <w:fldSimple w:instr="REF _Ref218861111  \* MERGEFORMAT">
        <w:r w:rsidR="002255D9">
          <w:t xml:space="preserve">Figure </w:t>
        </w:r>
        <w:r w:rsidR="002255D9">
          <w:rPr>
            <w:noProof/>
          </w:rPr>
          <w:t>4</w:t>
        </w:r>
      </w:fldSimple>
      <w:r w:rsidRPr="00DF4DD9">
        <w:t>. Overall, the health state allocation plots demonstrate that a significant driver of the model was the difference in occupancy between the AD and CR health states.</w:t>
      </w:r>
    </w:p>
    <w:p w14:paraId="514D11C1" w14:textId="2F9389BE" w:rsidR="006F0D5C" w:rsidRDefault="006F0D5C" w:rsidP="006F0D5C">
      <w:pPr>
        <w:pStyle w:val="TableFigureHeading"/>
      </w:pPr>
      <w:bookmarkStart w:id="67" w:name="_Ref218861111"/>
      <w:r>
        <w:t xml:space="preserve">Figure </w:t>
      </w:r>
      <w:fldSimple w:instr=" SEQ Figure \* ARABIC ">
        <w:r w:rsidR="002255D9">
          <w:rPr>
            <w:noProof/>
          </w:rPr>
          <w:t>4</w:t>
        </w:r>
      </w:fldSimple>
      <w:bookmarkEnd w:id="67"/>
      <w:r>
        <w:t>: Health state allocation</w:t>
      </w:r>
    </w:p>
    <w:tbl>
      <w:tblPr>
        <w:tblStyle w:val="PBAClayout"/>
        <w:tblW w:w="0" w:type="auto"/>
        <w:tblLook w:val="04A0" w:firstRow="1" w:lastRow="0" w:firstColumn="1" w:lastColumn="0" w:noHBand="0" w:noVBand="1"/>
      </w:tblPr>
      <w:tblGrid>
        <w:gridCol w:w="4508"/>
        <w:gridCol w:w="4509"/>
      </w:tblGrid>
      <w:tr w:rsidR="006F0D5C" w14:paraId="058EE47D" w14:textId="77777777" w:rsidTr="0072568D">
        <w:tc>
          <w:tcPr>
            <w:tcW w:w="4508" w:type="dxa"/>
            <w:tcBorders>
              <w:bottom w:val="nil"/>
            </w:tcBorders>
          </w:tcPr>
          <w:p w14:paraId="14AEF44E" w14:textId="70AF7E83" w:rsidR="006F0D5C" w:rsidRDefault="006F0D5C" w:rsidP="0072568D">
            <w:pPr>
              <w:pStyle w:val="In-tableHeading"/>
              <w:jc w:val="center"/>
            </w:pPr>
            <w:r>
              <w:t>Submission</w:t>
            </w:r>
          </w:p>
        </w:tc>
        <w:tc>
          <w:tcPr>
            <w:tcW w:w="4509" w:type="dxa"/>
            <w:tcBorders>
              <w:bottom w:val="nil"/>
            </w:tcBorders>
          </w:tcPr>
          <w:p w14:paraId="16DF09FD" w14:textId="3E0AA4A0" w:rsidR="006F0D5C" w:rsidRDefault="006F0D5C" w:rsidP="0072568D">
            <w:pPr>
              <w:pStyle w:val="In-tableHeading"/>
              <w:jc w:val="center"/>
            </w:pPr>
            <w:r>
              <w:t>Error</w:t>
            </w:r>
            <w:r w:rsidR="00FF1914">
              <w:noBreakHyphen/>
            </w:r>
            <w:r>
              <w:t>corrected base case</w:t>
            </w:r>
          </w:p>
        </w:tc>
      </w:tr>
      <w:tr w:rsidR="006F0D5C" w14:paraId="2AC6C536" w14:textId="77777777" w:rsidTr="0072568D">
        <w:tc>
          <w:tcPr>
            <w:tcW w:w="4508" w:type="dxa"/>
            <w:tcBorders>
              <w:top w:val="nil"/>
            </w:tcBorders>
          </w:tcPr>
          <w:p w14:paraId="55E03E04" w14:textId="15750ADF" w:rsidR="006F0D5C" w:rsidRDefault="006F0D5C" w:rsidP="0072568D">
            <w:pPr>
              <w:pStyle w:val="In-tableHeading"/>
              <w:jc w:val="center"/>
            </w:pPr>
            <w:r>
              <w:rPr>
                <w:noProof/>
              </w:rPr>
              <w:drawing>
                <wp:inline distT="0" distB="0" distL="0" distR="0" wp14:anchorId="53806253" wp14:editId="2F84D654">
                  <wp:extent cx="2790000" cy="1817259"/>
                  <wp:effectExtent l="0" t="0" r="0" b="0"/>
                  <wp:docPr id="20" name="Picture 20" descr="Figure 4: Health state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4: Health state alloc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0000" cy="1817259"/>
                          </a:xfrm>
                          <a:prstGeom prst="rect">
                            <a:avLst/>
                          </a:prstGeom>
                          <a:noFill/>
                        </pic:spPr>
                      </pic:pic>
                    </a:graphicData>
                  </a:graphic>
                </wp:inline>
              </w:drawing>
            </w:r>
          </w:p>
        </w:tc>
        <w:tc>
          <w:tcPr>
            <w:tcW w:w="4509" w:type="dxa"/>
            <w:tcBorders>
              <w:top w:val="nil"/>
            </w:tcBorders>
          </w:tcPr>
          <w:p w14:paraId="16B7F88C" w14:textId="78D6ABE4" w:rsidR="006F0D5C" w:rsidRDefault="006F0D5C" w:rsidP="0072568D">
            <w:pPr>
              <w:pStyle w:val="In-tableHeading"/>
              <w:jc w:val="center"/>
            </w:pPr>
            <w:r>
              <w:rPr>
                <w:noProof/>
              </w:rPr>
              <w:drawing>
                <wp:inline distT="0" distB="0" distL="0" distR="0" wp14:anchorId="2D16F9A6" wp14:editId="419E3928">
                  <wp:extent cx="2790000" cy="1817259"/>
                  <wp:effectExtent l="0" t="0" r="0" b="0"/>
                  <wp:docPr id="21" name="Picture 21" descr="Figure 4: Health state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4: Health state alloc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0000" cy="1817259"/>
                          </a:xfrm>
                          <a:prstGeom prst="rect">
                            <a:avLst/>
                          </a:prstGeom>
                          <a:noFill/>
                        </pic:spPr>
                      </pic:pic>
                    </a:graphicData>
                  </a:graphic>
                </wp:inline>
              </w:drawing>
            </w:r>
          </w:p>
        </w:tc>
      </w:tr>
    </w:tbl>
    <w:p w14:paraId="268884DB" w14:textId="739A4FC6" w:rsidR="006F0D5C" w:rsidRDefault="006F0D5C" w:rsidP="006F0D5C">
      <w:pPr>
        <w:pStyle w:val="TableFigureFooter"/>
      </w:pPr>
      <w:r>
        <w:t>Source: compiled from Sheets ‘Obinutuzumab + ST Markov Model’ and ‘ST Markov Model’ of Excel workbook ‘Economic Evaluation.xlsb’ Patients who transition to dialysis from complete or partial response were assumed to spend 1.206 years in active disease and therefore allocation to active disease is underestimated</w:t>
      </w:r>
    </w:p>
    <w:p w14:paraId="5E5D9009" w14:textId="1AC48CCE" w:rsidR="006F0D5C" w:rsidRPr="0098262F" w:rsidRDefault="006F0D5C" w:rsidP="006F0D5C">
      <w:pPr>
        <w:pStyle w:val="3-BodyText"/>
        <w:numPr>
          <w:ilvl w:val="1"/>
          <w:numId w:val="1"/>
        </w:numPr>
      </w:pPr>
      <w:r>
        <w:t>A</w:t>
      </w:r>
      <w:r w:rsidRPr="0098262F">
        <w:t xml:space="preserve"> summary of the key drivers of the model </w:t>
      </w:r>
      <w:r>
        <w:t>is presented in</w:t>
      </w:r>
      <w:r w:rsidRPr="0098262F">
        <w:t xml:space="preserve"> </w:t>
      </w:r>
      <w:r w:rsidRPr="0098262F">
        <w:fldChar w:fldCharType="begin"/>
      </w:r>
      <w:r w:rsidRPr="0098262F">
        <w:instrText xml:space="preserve"> REF _Ref104805122 \h  \* MERGEFORMAT </w:instrText>
      </w:r>
      <w:r w:rsidRPr="0098262F">
        <w:fldChar w:fldCharType="separate"/>
      </w:r>
      <w:r w:rsidR="002255D9" w:rsidRPr="0098262F">
        <w:t xml:space="preserve">Table </w:t>
      </w:r>
      <w:r w:rsidR="002255D9">
        <w:t>9</w:t>
      </w:r>
      <w:r w:rsidRPr="0098262F">
        <w:fldChar w:fldCharType="end"/>
      </w:r>
      <w:r w:rsidRPr="0098262F">
        <w:t xml:space="preserve">. </w:t>
      </w:r>
    </w:p>
    <w:p w14:paraId="466B983D" w14:textId="283EEFA2" w:rsidR="006F0D5C" w:rsidRPr="0098262F" w:rsidRDefault="006F0D5C" w:rsidP="002B0F1D">
      <w:pPr>
        <w:pStyle w:val="Caption"/>
        <w:jc w:val="left"/>
        <w:rPr>
          <w:rStyle w:val="CommentReference"/>
          <w:b/>
          <w:szCs w:val="24"/>
        </w:rPr>
      </w:pPr>
      <w:bookmarkStart w:id="68" w:name="_Ref104805122"/>
      <w:r w:rsidRPr="0098262F">
        <w:lastRenderedPageBreak/>
        <w:t xml:space="preserve">Table </w:t>
      </w:r>
      <w:fldSimple w:instr=" SEQ Table \* ARABIC ">
        <w:r w:rsidR="002255D9">
          <w:rPr>
            <w:noProof/>
          </w:rPr>
          <w:t>9</w:t>
        </w:r>
      </w:fldSimple>
      <w:bookmarkEnd w:id="68"/>
      <w:r w:rsidRPr="0098262F">
        <w:t>:</w:t>
      </w:r>
      <w:r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129"/>
        <w:gridCol w:w="4252"/>
        <w:gridCol w:w="3636"/>
      </w:tblGrid>
      <w:tr w:rsidR="006F0D5C" w:rsidRPr="0098262F" w14:paraId="7CDA998A" w14:textId="77777777" w:rsidTr="0072568D">
        <w:trPr>
          <w:tblHeader/>
        </w:trPr>
        <w:tc>
          <w:tcPr>
            <w:tcW w:w="626" w:type="pct"/>
            <w:vAlign w:val="center"/>
          </w:tcPr>
          <w:p w14:paraId="28BC3660" w14:textId="77777777" w:rsidR="006F0D5C" w:rsidRPr="0098262F" w:rsidRDefault="006F0D5C" w:rsidP="002B0F1D">
            <w:pPr>
              <w:pStyle w:val="In-tableHeading"/>
              <w:jc w:val="center"/>
              <w:rPr>
                <w:lang w:val="en-AU"/>
              </w:rPr>
            </w:pPr>
            <w:r w:rsidRPr="0098262F">
              <w:rPr>
                <w:lang w:val="en-AU"/>
              </w:rPr>
              <w:t>Description</w:t>
            </w:r>
          </w:p>
        </w:tc>
        <w:tc>
          <w:tcPr>
            <w:tcW w:w="2358" w:type="pct"/>
            <w:vAlign w:val="center"/>
          </w:tcPr>
          <w:p w14:paraId="577ECF06" w14:textId="77777777" w:rsidR="006F0D5C" w:rsidRPr="0098262F" w:rsidRDefault="006F0D5C" w:rsidP="002B0F1D">
            <w:pPr>
              <w:pStyle w:val="In-tableHeading"/>
              <w:jc w:val="center"/>
              <w:rPr>
                <w:lang w:val="en-AU"/>
              </w:rPr>
            </w:pPr>
            <w:r w:rsidRPr="0098262F">
              <w:rPr>
                <w:lang w:val="en-AU"/>
              </w:rPr>
              <w:t>Method/Value</w:t>
            </w:r>
          </w:p>
        </w:tc>
        <w:tc>
          <w:tcPr>
            <w:tcW w:w="2016" w:type="pct"/>
            <w:vAlign w:val="center"/>
          </w:tcPr>
          <w:p w14:paraId="36D90454" w14:textId="77777777" w:rsidR="006F0D5C" w:rsidRDefault="006F0D5C" w:rsidP="002B0F1D">
            <w:pPr>
              <w:pStyle w:val="In-tableHeading"/>
              <w:jc w:val="center"/>
              <w:rPr>
                <w:rFonts w:cs="Arial"/>
                <w:szCs w:val="20"/>
                <w:lang w:val="en-AU"/>
              </w:rPr>
            </w:pPr>
            <w:r w:rsidRPr="0098262F">
              <w:rPr>
                <w:lang w:val="en-AU"/>
              </w:rPr>
              <w:t>Impact</w:t>
            </w:r>
          </w:p>
          <w:p w14:paraId="3E87DA9D" w14:textId="4CB58989" w:rsidR="006F0D5C" w:rsidRPr="0098262F" w:rsidRDefault="006F0D5C" w:rsidP="002B0F1D">
            <w:pPr>
              <w:pStyle w:val="In-tableHeading"/>
              <w:jc w:val="center"/>
              <w:rPr>
                <w:lang w:val="en-AU"/>
              </w:rPr>
            </w:pPr>
            <w:r>
              <w:rPr>
                <w:rFonts w:cs="Arial"/>
                <w:szCs w:val="20"/>
                <w:lang w:val="en-AU"/>
              </w:rPr>
              <w:t>Error</w:t>
            </w:r>
            <w:r w:rsidR="00FF1914">
              <w:rPr>
                <w:rFonts w:cs="Arial"/>
                <w:szCs w:val="20"/>
                <w:lang w:val="en-AU"/>
              </w:rPr>
              <w:noBreakHyphen/>
            </w:r>
            <w:r>
              <w:rPr>
                <w:rFonts w:cs="Arial"/>
                <w:szCs w:val="20"/>
                <w:lang w:val="en-AU"/>
              </w:rPr>
              <w:t>corrected b</w:t>
            </w:r>
            <w:r w:rsidRPr="0098262F">
              <w:rPr>
                <w:rFonts w:cs="Arial"/>
                <w:szCs w:val="20"/>
                <w:lang w:val="en-AU"/>
              </w:rPr>
              <w:t>ase case: $</w:t>
            </w:r>
            <w:r w:rsidR="00102373" w:rsidRPr="00102373">
              <w:rPr>
                <w:rFonts w:cs="Arial"/>
                <w:sz w:val="2"/>
                <w:szCs w:val="20"/>
                <w:highlight w:val="black"/>
                <w:lang w:val="en-AU"/>
              </w:rPr>
              <w:t>redacted content</w:t>
            </w:r>
            <w:r w:rsidR="005826F1">
              <w:rPr>
                <w:rFonts w:cs="Arial"/>
                <w:szCs w:val="20"/>
                <w:vertAlign w:val="superscript"/>
                <w:lang w:val="en-AU"/>
              </w:rPr>
              <w:t>1</w:t>
            </w:r>
            <w:r w:rsidRPr="0098262F">
              <w:rPr>
                <w:rFonts w:cs="Arial"/>
                <w:szCs w:val="20"/>
                <w:lang w:val="en-AU"/>
              </w:rPr>
              <w:t>/QALY gained</w:t>
            </w:r>
            <w:r w:rsidRPr="0098262F">
              <w:rPr>
                <w:rFonts w:cs="Arial"/>
                <w:color w:val="3366FF"/>
                <w:szCs w:val="20"/>
                <w:lang w:val="en-AU"/>
              </w:rPr>
              <w:t>.</w:t>
            </w:r>
          </w:p>
        </w:tc>
      </w:tr>
      <w:tr w:rsidR="006F0D5C" w:rsidRPr="0098262F" w14:paraId="080FA14F" w14:textId="77777777" w:rsidTr="0072568D">
        <w:tc>
          <w:tcPr>
            <w:tcW w:w="626" w:type="pct"/>
            <w:vAlign w:val="center"/>
          </w:tcPr>
          <w:p w14:paraId="69414189" w14:textId="77777777" w:rsidR="006F0D5C" w:rsidRPr="0098262F" w:rsidRDefault="006F0D5C" w:rsidP="002B0F1D">
            <w:pPr>
              <w:pStyle w:val="TableText0"/>
            </w:pPr>
            <w:r>
              <w:t>Time horizon</w:t>
            </w:r>
          </w:p>
        </w:tc>
        <w:tc>
          <w:tcPr>
            <w:tcW w:w="2358" w:type="pct"/>
            <w:vAlign w:val="center"/>
          </w:tcPr>
          <w:p w14:paraId="077C0F19" w14:textId="77777777" w:rsidR="006F0D5C" w:rsidRPr="00B84190" w:rsidRDefault="006F0D5C" w:rsidP="002B0F1D">
            <w:pPr>
              <w:pStyle w:val="TableText0"/>
            </w:pPr>
            <w:r w:rsidRPr="00B84190">
              <w:t xml:space="preserve">20 years compared to 76 weeks in REGENCY. </w:t>
            </w:r>
            <w:r w:rsidRPr="00B84190">
              <w:rPr>
                <w:lang w:eastAsia="en-US"/>
              </w:rPr>
              <w:t>PBAC previously accepted a time horizon of 15 years for anifrolumab in SLE (para 7.10 anifrolumab PSD March 2024)</w:t>
            </w:r>
          </w:p>
        </w:tc>
        <w:tc>
          <w:tcPr>
            <w:tcW w:w="2016" w:type="pct"/>
            <w:vAlign w:val="center"/>
          </w:tcPr>
          <w:p w14:paraId="3D5BDBE4" w14:textId="6340D5DE" w:rsidR="006F0D5C" w:rsidRPr="00B84190" w:rsidRDefault="006F0D5C" w:rsidP="002B0F1D">
            <w:pPr>
              <w:pStyle w:val="TableText0"/>
            </w:pPr>
            <w:r w:rsidRPr="00B84190">
              <w:t xml:space="preserve">High, favoured obinutuzumab. </w:t>
            </w:r>
            <w:r w:rsidRPr="00B84190">
              <w:rPr>
                <w:lang w:eastAsia="en-US"/>
              </w:rPr>
              <w:t>If the time horizon was reduced to 15 years, the ICER increased to $</w:t>
            </w:r>
            <w:r w:rsidR="00102373" w:rsidRPr="00102373">
              <w:rPr>
                <w:sz w:val="2"/>
                <w:highlight w:val="black"/>
                <w:lang w:eastAsia="en-US"/>
              </w:rPr>
              <w:t>redacted content</w:t>
            </w:r>
            <w:r w:rsidR="00A55750">
              <w:rPr>
                <w:vertAlign w:val="superscript"/>
                <w:lang w:eastAsia="en-US"/>
              </w:rPr>
              <w:t>2</w:t>
            </w:r>
            <w:r w:rsidRPr="00B84190">
              <w:rPr>
                <w:lang w:eastAsia="en-US"/>
              </w:rPr>
              <w:t>/QALY gained.</w:t>
            </w:r>
            <w:r w:rsidR="00C77872">
              <w:t xml:space="preserve"> </w:t>
            </w:r>
          </w:p>
        </w:tc>
      </w:tr>
      <w:tr w:rsidR="006F0D5C" w:rsidRPr="0098262F" w14:paraId="19EB0010" w14:textId="77777777" w:rsidTr="0072568D">
        <w:tc>
          <w:tcPr>
            <w:tcW w:w="626" w:type="pct"/>
            <w:vAlign w:val="center"/>
          </w:tcPr>
          <w:p w14:paraId="5AAC0141" w14:textId="77777777" w:rsidR="006F0D5C" w:rsidRDefault="006F0D5C" w:rsidP="002B0F1D">
            <w:pPr>
              <w:pStyle w:val="TableText0"/>
            </w:pPr>
            <w:r>
              <w:t>Benefits for responders</w:t>
            </w:r>
          </w:p>
        </w:tc>
        <w:tc>
          <w:tcPr>
            <w:tcW w:w="2358" w:type="pct"/>
            <w:vAlign w:val="center"/>
          </w:tcPr>
          <w:p w14:paraId="13B9053D" w14:textId="77777777" w:rsidR="006F0D5C" w:rsidRPr="00B84190" w:rsidRDefault="006F0D5C" w:rsidP="002B0F1D">
            <w:pPr>
              <w:pStyle w:val="TableText0"/>
            </w:pPr>
            <w:r w:rsidRPr="00B84190">
              <w:t xml:space="preserve">Responders (patients in CR or PR) at Month 18 had lower rates of dialysis and death, lower health state costs and higher utilities, applied across the time horizon. </w:t>
            </w:r>
          </w:p>
          <w:p w14:paraId="3C0ABAD8" w14:textId="77777777" w:rsidR="006F0D5C" w:rsidRPr="00B84190" w:rsidRDefault="006F0D5C" w:rsidP="002B0F1D">
            <w:pPr>
              <w:pStyle w:val="TableText0"/>
            </w:pPr>
          </w:p>
          <w:p w14:paraId="02AEC777" w14:textId="79E1FD8C" w:rsidR="006F0D5C" w:rsidRPr="00B84190" w:rsidRDefault="006F0D5C" w:rsidP="002B0F1D">
            <w:pPr>
              <w:pStyle w:val="TableText0"/>
            </w:pPr>
            <w:r w:rsidRPr="00B84190">
              <w:t>Response has not yet been validated as a surrogate for time to dialysis</w:t>
            </w:r>
            <w:r w:rsidR="000A1704" w:rsidRPr="00B84190">
              <w:t>;</w:t>
            </w:r>
            <w:r w:rsidRPr="00B84190">
              <w:t xml:space="preserve"> there was also limited evidence that response at 18 months can accurately predict differences in costs and utilities across AD, PR and CR states over 20 years.</w:t>
            </w:r>
          </w:p>
        </w:tc>
        <w:tc>
          <w:tcPr>
            <w:tcW w:w="2016" w:type="pct"/>
            <w:vAlign w:val="center"/>
          </w:tcPr>
          <w:p w14:paraId="0626CF4A" w14:textId="08ABBF0E" w:rsidR="006F0D5C" w:rsidRPr="00B84190" w:rsidRDefault="006F0D5C" w:rsidP="002B0F1D">
            <w:pPr>
              <w:pStyle w:val="TableText0"/>
            </w:pPr>
            <w:r w:rsidRPr="00B84190">
              <w:t>High, favoured obinutuzumab. If health state costs in CR and PR were set equal to AD from Year 10, the ICER increased to $</w:t>
            </w:r>
            <w:r w:rsidR="00102373" w:rsidRPr="00102373">
              <w:rPr>
                <w:sz w:val="2"/>
                <w:highlight w:val="black"/>
              </w:rPr>
              <w:t>redacted content</w:t>
            </w:r>
            <w:r w:rsidR="001410AC">
              <w:rPr>
                <w:vertAlign w:val="superscript"/>
              </w:rPr>
              <w:t>3</w:t>
            </w:r>
            <w:r w:rsidRPr="00B84190">
              <w:t>/QALY gained, and if health state utilities in CR and PR were set equal to AD from Year 10 the ICER increased to $</w:t>
            </w:r>
            <w:r w:rsidR="00102373" w:rsidRPr="00102373">
              <w:rPr>
                <w:sz w:val="2"/>
                <w:highlight w:val="black"/>
              </w:rPr>
              <w:t>redacted content</w:t>
            </w:r>
            <w:r w:rsidR="00A55750">
              <w:rPr>
                <w:vertAlign w:val="superscript"/>
              </w:rPr>
              <w:t>2</w:t>
            </w:r>
            <w:r w:rsidRPr="00B84190">
              <w:t>/QALY gained.</w:t>
            </w:r>
          </w:p>
        </w:tc>
      </w:tr>
      <w:tr w:rsidR="006F0D5C" w:rsidRPr="0098262F" w14:paraId="467C6624" w14:textId="77777777" w:rsidTr="0072568D">
        <w:tc>
          <w:tcPr>
            <w:tcW w:w="626" w:type="pct"/>
            <w:vAlign w:val="center"/>
          </w:tcPr>
          <w:p w14:paraId="676E166E" w14:textId="77777777" w:rsidR="006F0D5C" w:rsidRDefault="006F0D5C" w:rsidP="002B0F1D">
            <w:pPr>
              <w:pStyle w:val="TableText0"/>
            </w:pPr>
            <w:r>
              <w:t>Progression to dialysis</w:t>
            </w:r>
          </w:p>
        </w:tc>
        <w:tc>
          <w:tcPr>
            <w:tcW w:w="2358" w:type="pct"/>
            <w:vAlign w:val="center"/>
          </w:tcPr>
          <w:p w14:paraId="055F6680" w14:textId="77777777" w:rsidR="006F0D5C" w:rsidRPr="00B84190" w:rsidRDefault="006F0D5C" w:rsidP="002B0F1D">
            <w:pPr>
              <w:pStyle w:val="TableText0"/>
            </w:pPr>
            <w:r w:rsidRPr="00B84190">
              <w:t>Time to dialysis by response was constant, based on Davidson 2018.</w:t>
            </w:r>
          </w:p>
          <w:p w14:paraId="37EBE0EA" w14:textId="6FF4C51E" w:rsidR="006F0D5C" w:rsidRPr="00B84190" w:rsidRDefault="006F0D5C" w:rsidP="002B0F1D">
            <w:pPr>
              <w:pStyle w:val="TableText0"/>
            </w:pPr>
            <w:r w:rsidRPr="00B84190">
              <w:t>Davidson 2018 appeared to have the most conservative difference in time to ESKD between responders and non</w:t>
            </w:r>
            <w:r w:rsidR="00FF1914">
              <w:noBreakHyphen/>
            </w:r>
            <w:r w:rsidRPr="00B84190">
              <w:t xml:space="preserve">responders compared to other studies considered by the submission; and a more optimistic time to ESKD for AD patients, but the use of constant probabilities and hazard ratio also led to extrapolation of time to dialysis (excluding mortality) that diverged across the time horizon for the model arms. </w:t>
            </w:r>
          </w:p>
        </w:tc>
        <w:tc>
          <w:tcPr>
            <w:tcW w:w="2016" w:type="pct"/>
            <w:vAlign w:val="center"/>
          </w:tcPr>
          <w:p w14:paraId="1C3F6962" w14:textId="252F2E48" w:rsidR="002C1B2B" w:rsidRDefault="006F0D5C" w:rsidP="002B0F1D">
            <w:pPr>
              <w:pStyle w:val="TableText0"/>
            </w:pPr>
            <w:r w:rsidRPr="00B84190">
              <w:t xml:space="preserve">High. </w:t>
            </w:r>
            <w:r w:rsidR="00A636C0">
              <w:t>The commentary considered that u</w:t>
            </w:r>
            <w:r w:rsidRPr="00B84190">
              <w:t>se of a constant probability likely favoured obinutuzumab</w:t>
            </w:r>
            <w:r w:rsidR="004F34FC">
              <w:t>. I</w:t>
            </w:r>
            <w:r w:rsidRPr="00B84190">
              <w:t>f the probability of CR/PR to dialysis was equal to AD from Year 10 the ICER increased to $</w:t>
            </w:r>
            <w:r w:rsidR="00102373" w:rsidRPr="00102373">
              <w:rPr>
                <w:sz w:val="2"/>
                <w:highlight w:val="black"/>
              </w:rPr>
              <w:t>redacted content</w:t>
            </w:r>
            <w:r w:rsidR="001410AC">
              <w:rPr>
                <w:vertAlign w:val="superscript"/>
              </w:rPr>
              <w:t>3</w:t>
            </w:r>
            <w:r w:rsidRPr="00B84190">
              <w:t>/QALY gained. Use of Davidson 2018 favoured SOC. If Luo 2022 was used as the source of the transitions to dialysis by response, the ICER decreased to $</w:t>
            </w:r>
            <w:r w:rsidR="00102373" w:rsidRPr="00102373">
              <w:rPr>
                <w:sz w:val="2"/>
                <w:highlight w:val="black"/>
              </w:rPr>
              <w:t>redacted content</w:t>
            </w:r>
            <w:r w:rsidR="00157418">
              <w:rPr>
                <w:vertAlign w:val="superscript"/>
              </w:rPr>
              <w:t>4</w:t>
            </w:r>
            <w:r w:rsidRPr="00B84190">
              <w:t xml:space="preserve"> per QALY gained.</w:t>
            </w:r>
            <w:r w:rsidR="00A636C0">
              <w:t xml:space="preserve"> </w:t>
            </w:r>
          </w:p>
          <w:p w14:paraId="6F20557C" w14:textId="6B09BB5A" w:rsidR="006F0D5C" w:rsidRPr="00B84190" w:rsidRDefault="00A636C0" w:rsidP="002B0F1D">
            <w:pPr>
              <w:pStyle w:val="TableText0"/>
            </w:pPr>
            <w:r>
              <w:t>However the pre</w:t>
            </w:r>
            <w:r w:rsidR="00FF1914">
              <w:noBreakHyphen/>
            </w:r>
            <w:r>
              <w:t xml:space="preserve">PBAC response </w:t>
            </w:r>
            <w:r w:rsidR="00CB2C4A">
              <w:t>ar</w:t>
            </w:r>
            <w:r w:rsidR="003505F0">
              <w:t xml:space="preserve">gued </w:t>
            </w:r>
            <w:r>
              <w:t xml:space="preserve">that </w:t>
            </w:r>
            <w:r w:rsidR="001C51DD" w:rsidRPr="001C51DD">
              <w:t>us</w:t>
            </w:r>
            <w:r w:rsidR="00E565C3">
              <w:t>ing</w:t>
            </w:r>
            <w:r w:rsidR="001C51DD" w:rsidRPr="001C51DD">
              <w:t xml:space="preserve"> constant probabilities for the risk of ESKD or death as a function of response introduce</w:t>
            </w:r>
            <w:r w:rsidR="00640ED3">
              <w:t>d</w:t>
            </w:r>
            <w:r w:rsidR="001C51DD" w:rsidRPr="001C51DD">
              <w:t xml:space="preserve"> a conservative bias against obinutuzumab within </w:t>
            </w:r>
            <w:r w:rsidR="001C51DD">
              <w:t>a</w:t>
            </w:r>
            <w:r w:rsidR="001C51DD" w:rsidRPr="001C51DD">
              <w:t xml:space="preserve"> 15</w:t>
            </w:r>
            <w:r w:rsidR="00FF1914">
              <w:noBreakHyphen/>
            </w:r>
            <w:r w:rsidR="001C51DD" w:rsidRPr="001C51DD">
              <w:t>year time horizo</w:t>
            </w:r>
            <w:r w:rsidR="001C51DD">
              <w:t>n</w:t>
            </w:r>
            <w:r w:rsidR="000D622F">
              <w:t xml:space="preserve"> when compared against the </w:t>
            </w:r>
            <w:r w:rsidR="000D622F" w:rsidRPr="00D70D86">
              <w:t xml:space="preserve">Mandrik </w:t>
            </w:r>
            <w:r w:rsidR="00B367E6">
              <w:t xml:space="preserve">2022 </w:t>
            </w:r>
            <w:r w:rsidR="000D622F" w:rsidRPr="00D70D86">
              <w:t>model</w:t>
            </w:r>
            <w:r w:rsidR="001E02E4">
              <w:t xml:space="preserve"> which used </w:t>
            </w:r>
            <w:r w:rsidR="00A942D4">
              <w:t>time</w:t>
            </w:r>
            <w:r w:rsidR="00FF1914">
              <w:noBreakHyphen/>
            </w:r>
            <w:r w:rsidR="00A942D4">
              <w:t>varying probabilities</w:t>
            </w:r>
            <w:r w:rsidR="001C51DD">
              <w:t xml:space="preserve">. </w:t>
            </w:r>
          </w:p>
        </w:tc>
      </w:tr>
      <w:tr w:rsidR="006F0D5C" w:rsidRPr="0098262F" w14:paraId="166FB8B1" w14:textId="77777777" w:rsidTr="0072568D">
        <w:tc>
          <w:tcPr>
            <w:tcW w:w="626" w:type="pct"/>
            <w:vAlign w:val="center"/>
          </w:tcPr>
          <w:p w14:paraId="2D6742BA" w14:textId="77777777" w:rsidR="006F0D5C" w:rsidRDefault="006F0D5C" w:rsidP="002B0F1D">
            <w:pPr>
              <w:pStyle w:val="TableText0"/>
            </w:pPr>
            <w:r>
              <w:t>Mortality in dialysis</w:t>
            </w:r>
          </w:p>
        </w:tc>
        <w:tc>
          <w:tcPr>
            <w:tcW w:w="2358" w:type="pct"/>
            <w:vAlign w:val="center"/>
          </w:tcPr>
          <w:p w14:paraId="6D77B6A1" w14:textId="20620E4F" w:rsidR="006F0D5C" w:rsidRPr="00B84190" w:rsidRDefault="006F0D5C" w:rsidP="002B0F1D">
            <w:pPr>
              <w:pStyle w:val="TableText0"/>
            </w:pPr>
            <w:r w:rsidRPr="00B84190">
              <w:t>5.07% per cycle</w:t>
            </w:r>
            <w:r w:rsidRPr="00B84190">
              <w:tab/>
              <w:t>based on Tables 4.3 and 5.10 ANZDATA 47th Annual report 6</w:t>
            </w:r>
            <w:r w:rsidR="00FF1914">
              <w:noBreakHyphen/>
            </w:r>
            <w:r w:rsidRPr="00B84190">
              <w:t>month mortality weighted by number of haemodialysis and peritoneal dialysis deaths (submission 2.8% per cycle could not be verified).</w:t>
            </w:r>
          </w:p>
        </w:tc>
        <w:tc>
          <w:tcPr>
            <w:tcW w:w="2016" w:type="pct"/>
            <w:vAlign w:val="center"/>
          </w:tcPr>
          <w:p w14:paraId="24A62F42" w14:textId="4AB50312" w:rsidR="006F0D5C" w:rsidRPr="00B84190" w:rsidRDefault="006F0D5C" w:rsidP="002B0F1D">
            <w:pPr>
              <w:pStyle w:val="TableText0"/>
            </w:pPr>
            <w:r w:rsidRPr="00B84190">
              <w:t>High favoured SOC: as the dialysis health state was expensive, an increase in mortality in dialysis increased the ICER, due to more costs avoided in the SOC arm for a small LY loss compared to the obinutuzumab arm. If the probability of mortality from dialysis was decreased 50% to 2.54% per cycle, the ICER decreased to $</w:t>
            </w:r>
            <w:r w:rsidR="00102373" w:rsidRPr="00102373">
              <w:rPr>
                <w:sz w:val="2"/>
                <w:highlight w:val="black"/>
              </w:rPr>
              <w:t>redacted content</w:t>
            </w:r>
            <w:r w:rsidR="00F1454E">
              <w:rPr>
                <w:vertAlign w:val="superscript"/>
              </w:rPr>
              <w:t>5</w:t>
            </w:r>
            <w:r w:rsidRPr="00B84190">
              <w:t xml:space="preserve"> per QALY gained</w:t>
            </w:r>
          </w:p>
        </w:tc>
      </w:tr>
      <w:tr w:rsidR="006F0D5C" w:rsidRPr="0098262F" w14:paraId="32F2FB83" w14:textId="77777777" w:rsidTr="0072568D">
        <w:tc>
          <w:tcPr>
            <w:tcW w:w="626" w:type="pct"/>
            <w:vAlign w:val="center"/>
          </w:tcPr>
          <w:p w14:paraId="570D1D3D" w14:textId="77777777" w:rsidR="006F0D5C" w:rsidRDefault="006F0D5C" w:rsidP="002B0F1D">
            <w:pPr>
              <w:pStyle w:val="TableText0"/>
              <w:keepNext w:val="0"/>
              <w:keepLines w:val="0"/>
            </w:pPr>
            <w:r>
              <w:t>Utilities in AD, PR, CR</w:t>
            </w:r>
          </w:p>
        </w:tc>
        <w:tc>
          <w:tcPr>
            <w:tcW w:w="2358" w:type="pct"/>
            <w:vAlign w:val="center"/>
          </w:tcPr>
          <w:p w14:paraId="2D279D2E" w14:textId="77777777" w:rsidR="006F0D5C" w:rsidRPr="00B84190" w:rsidRDefault="006F0D5C" w:rsidP="002B0F1D">
            <w:pPr>
              <w:pStyle w:val="TableText0"/>
              <w:keepNext w:val="0"/>
              <w:keepLines w:val="0"/>
            </w:pPr>
            <w:r w:rsidRPr="00B84190">
              <w:rPr>
                <w:lang w:eastAsia="en-US"/>
              </w:rPr>
              <w:t>Utility by response consistent with Mandrik 2022 AD 0.624, PR 0.710, CR 0.800.</w:t>
            </w:r>
          </w:p>
        </w:tc>
        <w:tc>
          <w:tcPr>
            <w:tcW w:w="2016" w:type="pct"/>
            <w:vAlign w:val="center"/>
          </w:tcPr>
          <w:p w14:paraId="63C5B664" w14:textId="48EABA5F" w:rsidR="006F0D5C" w:rsidRPr="00B84190" w:rsidRDefault="006F0D5C" w:rsidP="002B0F1D">
            <w:pPr>
              <w:pStyle w:val="TableText0"/>
              <w:keepNext w:val="0"/>
              <w:keepLines w:val="0"/>
            </w:pPr>
            <w:r w:rsidRPr="00B84190">
              <w:t>High, favoured obinutuzumab. If AD utility increased 10% to 0.686 (base 0.624) the ICER increased to $</w:t>
            </w:r>
            <w:r w:rsidR="00102373" w:rsidRPr="00102373">
              <w:rPr>
                <w:sz w:val="2"/>
                <w:highlight w:val="black"/>
              </w:rPr>
              <w:t>redacted content</w:t>
            </w:r>
            <w:r w:rsidR="001410AC">
              <w:rPr>
                <w:vertAlign w:val="superscript"/>
              </w:rPr>
              <w:t>3</w:t>
            </w:r>
            <w:r w:rsidRPr="00B84190">
              <w:t>/QALY gained</w:t>
            </w:r>
          </w:p>
        </w:tc>
      </w:tr>
      <w:tr w:rsidR="006F0D5C" w:rsidRPr="0098262F" w14:paraId="255D651E" w14:textId="77777777" w:rsidTr="0072568D">
        <w:tc>
          <w:tcPr>
            <w:tcW w:w="626" w:type="pct"/>
            <w:vAlign w:val="center"/>
          </w:tcPr>
          <w:p w14:paraId="2EA79A9F" w14:textId="77777777" w:rsidR="006F0D5C" w:rsidRPr="0098262F" w:rsidRDefault="006F0D5C" w:rsidP="002B0F1D">
            <w:pPr>
              <w:pStyle w:val="TableText0"/>
              <w:keepNext w:val="0"/>
              <w:keepLines w:val="0"/>
            </w:pPr>
            <w:r>
              <w:t>Time on obinutuzumab</w:t>
            </w:r>
          </w:p>
        </w:tc>
        <w:tc>
          <w:tcPr>
            <w:tcW w:w="2358" w:type="pct"/>
            <w:vAlign w:val="center"/>
          </w:tcPr>
          <w:p w14:paraId="6EE38AEB" w14:textId="626CC156" w:rsidR="006F0D5C" w:rsidRPr="00B84190" w:rsidRDefault="006F0D5C" w:rsidP="002B0F1D">
            <w:pPr>
              <w:pStyle w:val="TableText0"/>
              <w:keepNext w:val="0"/>
              <w:keepLines w:val="0"/>
            </w:pPr>
            <w:r w:rsidRPr="00B84190">
              <w:t>Discontinuation was 6.8% per cycle until Month 18 for patients in AD, Month 36 for patients in CR/PR; then 100% discontinued from Month 18 in AD, Month 36 in CR/PR. No maximum time on treatment was required by the proposed restriction</w:t>
            </w:r>
            <w:r w:rsidR="000A1704" w:rsidRPr="00B84190">
              <w:t>.</w:t>
            </w:r>
          </w:p>
        </w:tc>
        <w:tc>
          <w:tcPr>
            <w:tcW w:w="2016" w:type="pct"/>
            <w:vAlign w:val="center"/>
          </w:tcPr>
          <w:p w14:paraId="2A554C50" w14:textId="4D573966" w:rsidR="006F0D5C" w:rsidRPr="00B84190" w:rsidRDefault="006F0D5C" w:rsidP="002B0F1D">
            <w:pPr>
              <w:pStyle w:val="TableText0"/>
              <w:keepNext w:val="0"/>
              <w:keepLines w:val="0"/>
            </w:pPr>
            <w:r w:rsidRPr="00B84190">
              <w:t>High, favoured obinutuzumab. If no maximum time on obinutuzumab was assumed for responders (AD patients still stopped at Month 18), and the per</w:t>
            </w:r>
            <w:r w:rsidR="00FF1914">
              <w:noBreakHyphen/>
            </w:r>
            <w:r w:rsidRPr="00B84190">
              <w:t>cycle discontinuation was kept at 6.8%, the ICER increased to $</w:t>
            </w:r>
            <w:r w:rsidR="00102373" w:rsidRPr="00102373">
              <w:rPr>
                <w:sz w:val="2"/>
                <w:highlight w:val="black"/>
              </w:rPr>
              <w:t>redacted content</w:t>
            </w:r>
            <w:r w:rsidR="00404BE9">
              <w:rPr>
                <w:vertAlign w:val="superscript"/>
              </w:rPr>
              <w:t>2</w:t>
            </w:r>
            <w:r w:rsidRPr="00B84190">
              <w:t>/QALY gained.</w:t>
            </w:r>
          </w:p>
        </w:tc>
      </w:tr>
    </w:tbl>
    <w:p w14:paraId="67B62C0E" w14:textId="77777777" w:rsidR="00BD697E" w:rsidRDefault="006F0D5C" w:rsidP="00BD697E">
      <w:pPr>
        <w:pStyle w:val="FooterTableFigure"/>
        <w:rPr>
          <w:i/>
          <w:szCs w:val="18"/>
        </w:rPr>
      </w:pPr>
      <w:r w:rsidRPr="0098262F">
        <w:t xml:space="preserve">Source: </w:t>
      </w:r>
      <w:r>
        <w:t>c</w:t>
      </w:r>
      <w:r w:rsidRPr="00E269AE">
        <w:t>ompiled during the evaluation.</w:t>
      </w:r>
    </w:p>
    <w:p w14:paraId="5979BB16" w14:textId="27DD1688" w:rsidR="00BD697E" w:rsidRPr="00BD697E" w:rsidRDefault="00BD697E" w:rsidP="00BD697E">
      <w:pPr>
        <w:pStyle w:val="FooterTableFigure"/>
        <w:rPr>
          <w:i/>
        </w:rPr>
      </w:pPr>
      <w:r w:rsidRPr="00BD697E">
        <w:rPr>
          <w:i/>
        </w:rPr>
        <w:t xml:space="preserve">The redacted values correspond to the following ranges: </w:t>
      </w:r>
    </w:p>
    <w:p w14:paraId="2E0B2F5B" w14:textId="5FBF280E" w:rsidR="00BD697E" w:rsidRPr="00BD697E" w:rsidRDefault="00BD697E" w:rsidP="00BD697E">
      <w:pPr>
        <w:pStyle w:val="FooterTableFigure"/>
        <w:rPr>
          <w:i/>
        </w:rPr>
      </w:pPr>
      <w:r w:rsidRPr="00BD697E">
        <w:rPr>
          <w:i/>
          <w:vertAlign w:val="superscript"/>
        </w:rPr>
        <w:t>1</w:t>
      </w:r>
      <w:r w:rsidRPr="00BD697E">
        <w:rPr>
          <w:i/>
        </w:rPr>
        <w:t xml:space="preserve"> </w:t>
      </w:r>
      <w:r w:rsidR="005826F1" w:rsidRPr="005826F1">
        <w:rPr>
          <w:i/>
        </w:rPr>
        <w:t>35,000 to &lt; $45,000</w:t>
      </w:r>
    </w:p>
    <w:p w14:paraId="7E249344" w14:textId="73E1EF9A" w:rsidR="00BD697E" w:rsidRPr="00BD697E" w:rsidRDefault="00BD697E" w:rsidP="00BD697E">
      <w:pPr>
        <w:pStyle w:val="FooterTableFigure"/>
        <w:rPr>
          <w:i/>
        </w:rPr>
      </w:pPr>
      <w:r w:rsidRPr="00BD697E">
        <w:rPr>
          <w:i/>
          <w:vertAlign w:val="superscript"/>
        </w:rPr>
        <w:t>2</w:t>
      </w:r>
      <w:r w:rsidRPr="00BD697E">
        <w:rPr>
          <w:i/>
        </w:rPr>
        <w:t xml:space="preserve"> </w:t>
      </w:r>
      <w:r w:rsidR="00A55750" w:rsidRPr="00A55750">
        <w:rPr>
          <w:i/>
        </w:rPr>
        <w:t>$55,000 to &lt; $75,000</w:t>
      </w:r>
    </w:p>
    <w:p w14:paraId="5C329668" w14:textId="76AD7CDE" w:rsidR="00BD697E" w:rsidRPr="00BD697E" w:rsidRDefault="00BD697E" w:rsidP="00BD697E">
      <w:pPr>
        <w:pStyle w:val="FooterTableFigure"/>
        <w:rPr>
          <w:i/>
        </w:rPr>
      </w:pPr>
      <w:r w:rsidRPr="00BD697E">
        <w:rPr>
          <w:i/>
          <w:vertAlign w:val="superscript"/>
        </w:rPr>
        <w:t>3</w:t>
      </w:r>
      <w:r w:rsidRPr="00BD697E">
        <w:rPr>
          <w:i/>
        </w:rPr>
        <w:t xml:space="preserve"> </w:t>
      </w:r>
      <w:r w:rsidR="001410AC" w:rsidRPr="001410AC">
        <w:rPr>
          <w:i/>
        </w:rPr>
        <w:t>$45,000 to &lt; $55,000</w:t>
      </w:r>
    </w:p>
    <w:p w14:paraId="1BC0F39E" w14:textId="6913345A" w:rsidR="00BD697E" w:rsidRPr="00BD697E" w:rsidRDefault="00BD697E" w:rsidP="00BD697E">
      <w:pPr>
        <w:pStyle w:val="FooterTableFigure"/>
        <w:rPr>
          <w:i/>
        </w:rPr>
      </w:pPr>
      <w:r w:rsidRPr="00BD697E">
        <w:rPr>
          <w:i/>
          <w:vertAlign w:val="superscript"/>
        </w:rPr>
        <w:t>4</w:t>
      </w:r>
      <w:r w:rsidRPr="00BD697E">
        <w:rPr>
          <w:i/>
        </w:rPr>
        <w:t xml:space="preserve"> </w:t>
      </w:r>
      <w:r w:rsidR="00157418" w:rsidRPr="00157418">
        <w:rPr>
          <w:i/>
        </w:rPr>
        <w:t>$15,000 to &lt; $25,000</w:t>
      </w:r>
    </w:p>
    <w:p w14:paraId="6A5F98F7" w14:textId="67E5414D" w:rsidR="00BD697E" w:rsidRPr="00BD697E" w:rsidRDefault="00BD697E" w:rsidP="00BD697E">
      <w:pPr>
        <w:pStyle w:val="FooterTableFigure"/>
        <w:rPr>
          <w:i/>
        </w:rPr>
      </w:pPr>
      <w:r w:rsidRPr="00BD697E">
        <w:rPr>
          <w:i/>
          <w:vertAlign w:val="superscript"/>
        </w:rPr>
        <w:t>5</w:t>
      </w:r>
      <w:r w:rsidRPr="00BD697E">
        <w:rPr>
          <w:i/>
        </w:rPr>
        <w:t xml:space="preserve"> </w:t>
      </w:r>
      <w:r w:rsidR="00F1454E" w:rsidRPr="00F1454E">
        <w:rPr>
          <w:i/>
        </w:rPr>
        <w:t>$25,000 to &lt; $35,000</w:t>
      </w:r>
    </w:p>
    <w:p w14:paraId="0AFCF164" w14:textId="707C27ED" w:rsidR="006F0D5C" w:rsidRPr="0098262F" w:rsidRDefault="006F0D5C" w:rsidP="002B0F1D">
      <w:pPr>
        <w:pStyle w:val="FooterTableFigure"/>
      </w:pPr>
    </w:p>
    <w:p w14:paraId="24C5335D" w14:textId="38AE4155" w:rsidR="006F0D5C" w:rsidRPr="003B63DE" w:rsidRDefault="006F0D5C" w:rsidP="006F0D5C">
      <w:pPr>
        <w:pStyle w:val="3-BodyText"/>
        <w:numPr>
          <w:ilvl w:val="1"/>
          <w:numId w:val="1"/>
        </w:numPr>
      </w:pPr>
      <w:r w:rsidRPr="003B63DE">
        <w:t xml:space="preserve">A summary of </w:t>
      </w:r>
      <w:r w:rsidR="000A1704" w:rsidRPr="003B63DE">
        <w:t xml:space="preserve">the </w:t>
      </w:r>
      <w:r w:rsidRPr="003B63DE">
        <w:t xml:space="preserve">results is presented in </w:t>
      </w:r>
      <w:r w:rsidRPr="003B63DE">
        <w:fldChar w:fldCharType="begin"/>
      </w:r>
      <w:r w:rsidRPr="003B63DE">
        <w:instrText xml:space="preserve"> REF _Ref104805160 \h  \* MERGEFORMAT </w:instrText>
      </w:r>
      <w:r w:rsidRPr="003B63DE">
        <w:fldChar w:fldCharType="separate"/>
      </w:r>
      <w:r w:rsidR="002255D9" w:rsidRPr="0098262F">
        <w:t xml:space="preserve">Table </w:t>
      </w:r>
      <w:r w:rsidR="002255D9">
        <w:t>10</w:t>
      </w:r>
      <w:r w:rsidRPr="003B63DE">
        <w:fldChar w:fldCharType="end"/>
      </w:r>
      <w:r w:rsidRPr="003B63DE">
        <w:t>. The majority of the QALY gains and cost</w:t>
      </w:r>
      <w:r w:rsidR="00FF1914">
        <w:noBreakHyphen/>
      </w:r>
      <w:r w:rsidRPr="003B63DE">
        <w:t xml:space="preserve">offsets occurred beyond Month 18. Obinutuzumab was associated with an ICER of </w:t>
      </w:r>
      <w:r w:rsidR="00D34F8C" w:rsidRPr="00D34F8C">
        <w:t>$35,000 to &lt; $45,000</w:t>
      </w:r>
      <w:r w:rsidRPr="003B63DE">
        <w:t xml:space="preserve"> per QALY gained (</w:t>
      </w:r>
      <w:r w:rsidR="0007141D" w:rsidRPr="0007141D">
        <w:t>$115,000 to &lt; $135,000</w:t>
      </w:r>
      <w:r w:rsidRPr="003B63DE">
        <w:t xml:space="preserve"> per LY gained, </w:t>
      </w:r>
      <w:r w:rsidR="00E47D7F" w:rsidRPr="00E47D7F">
        <w:t xml:space="preserve">$55,000 to &lt; $75,000 </w:t>
      </w:r>
      <w:r w:rsidRPr="003B63DE">
        <w:t xml:space="preserve"> per ESKD LY avoided) in the </w:t>
      </w:r>
      <w:r w:rsidR="00B827ED">
        <w:t>error corrected</w:t>
      </w:r>
      <w:r w:rsidR="00B827ED" w:rsidRPr="003B63DE">
        <w:t xml:space="preserve"> </w:t>
      </w:r>
      <w:r w:rsidRPr="003B63DE">
        <w:t>base case. The results highlight the difference between the total incremental LYs and QALYs in the model. For example, with a time horizon of 18 months, patients in the obinutuzumab arm were expected to accrue fewer LYs (</w:t>
      </w:r>
      <w:r w:rsidR="00FF1914">
        <w:noBreakHyphen/>
      </w:r>
      <w:r w:rsidRPr="003B63DE">
        <w:t>0.004</w:t>
      </w:r>
      <w:r w:rsidRPr="00961A1C">
        <w:rPr>
          <w:i/>
          <w:iCs/>
        </w:rPr>
        <w:t xml:space="preserve"> </w:t>
      </w:r>
      <w:r w:rsidRPr="003B63DE">
        <w:t>LYs discounted), in line with the high proportion of deaths at the end of REGENCY, but had a greater number of QALYs (0.010 discounted), reflecting the higher rates of CR in the obinutuzumab arm of REGENCY compared to the SOC arm. Over the 20</w:t>
      </w:r>
      <w:r w:rsidR="00FF1914">
        <w:noBreakHyphen/>
      </w:r>
      <w:r w:rsidRPr="003B63DE">
        <w:t>year time horizon, the obinutuzumab arm accrued more LYs and QALYs than the SOC arm, but the incremental QALYs (0.370) far exceeded the incremental LYs (0.116). Incremental LYs were significantly larger in the error</w:t>
      </w:r>
      <w:r w:rsidR="00FF1914">
        <w:noBreakHyphen/>
      </w:r>
      <w:r w:rsidRPr="003B63DE">
        <w:t>corrected base (0.116) than in the submission’s base case (0.070), attributable to the higher dialysis</w:t>
      </w:r>
      <w:r w:rsidR="00FF1914">
        <w:noBreakHyphen/>
      </w:r>
      <w:r w:rsidRPr="003B63DE">
        <w:t>related mortality in the error</w:t>
      </w:r>
      <w:r w:rsidR="00FF1914">
        <w:noBreakHyphen/>
      </w:r>
      <w:r w:rsidRPr="003B63DE">
        <w:t>corrected base case.</w:t>
      </w:r>
    </w:p>
    <w:p w14:paraId="3C504CCE" w14:textId="28774E41" w:rsidR="006F0D5C" w:rsidRDefault="006F0D5C" w:rsidP="00B34D38">
      <w:pPr>
        <w:pStyle w:val="Caption"/>
      </w:pPr>
      <w:bookmarkStart w:id="69" w:name="_Ref104805160"/>
      <w:r w:rsidRPr="0098262F">
        <w:lastRenderedPageBreak/>
        <w:t xml:space="preserve">Table </w:t>
      </w:r>
      <w:fldSimple w:instr=" SEQ Table \* ARABIC ">
        <w:r w:rsidR="002255D9">
          <w:rPr>
            <w:noProof/>
          </w:rPr>
          <w:t>10</w:t>
        </w:r>
      </w:fldSimple>
      <w:bookmarkEnd w:id="69"/>
      <w:r w:rsidRPr="0098262F">
        <w:t>:</w:t>
      </w:r>
      <w:r w:rsidRPr="0098262F">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stepped economic evaluation"/>
      </w:tblPr>
      <w:tblGrid>
        <w:gridCol w:w="1804"/>
        <w:gridCol w:w="1205"/>
        <w:gridCol w:w="1098"/>
        <w:gridCol w:w="1417"/>
        <w:gridCol w:w="1560"/>
        <w:gridCol w:w="970"/>
        <w:gridCol w:w="963"/>
      </w:tblGrid>
      <w:tr w:rsidR="006F0D5C" w14:paraId="4051593F" w14:textId="77777777" w:rsidTr="0072568D">
        <w:trPr>
          <w:tblHeader/>
        </w:trPr>
        <w:tc>
          <w:tcPr>
            <w:tcW w:w="1000" w:type="pct"/>
            <w:tcBorders>
              <w:top w:val="single" w:sz="4" w:space="0" w:color="auto"/>
              <w:left w:val="single" w:sz="4" w:space="0" w:color="auto"/>
              <w:bottom w:val="single" w:sz="4" w:space="0" w:color="auto"/>
              <w:right w:val="single" w:sz="4" w:space="0" w:color="auto"/>
            </w:tcBorders>
            <w:vAlign w:val="center"/>
          </w:tcPr>
          <w:p w14:paraId="6F9F4264" w14:textId="77777777" w:rsidR="006F0D5C" w:rsidRDefault="006F0D5C" w:rsidP="00B34D38">
            <w:pPr>
              <w:pStyle w:val="In-tableHeading"/>
              <w:spacing w:line="256" w:lineRule="auto"/>
              <w:rPr>
                <w:lang w:val="en-AU" w:eastAsia="en-US"/>
              </w:rPr>
            </w:pPr>
          </w:p>
        </w:tc>
        <w:tc>
          <w:tcPr>
            <w:tcW w:w="2063" w:type="pct"/>
            <w:gridSpan w:val="3"/>
            <w:tcBorders>
              <w:top w:val="single" w:sz="4" w:space="0" w:color="auto"/>
              <w:left w:val="single" w:sz="4" w:space="0" w:color="auto"/>
              <w:bottom w:val="single" w:sz="4" w:space="0" w:color="auto"/>
              <w:right w:val="single" w:sz="4" w:space="0" w:color="auto"/>
            </w:tcBorders>
            <w:vAlign w:val="center"/>
          </w:tcPr>
          <w:p w14:paraId="4BC2E213" w14:textId="77777777" w:rsidR="006F0D5C" w:rsidRDefault="006F0D5C" w:rsidP="00B34D38">
            <w:pPr>
              <w:pStyle w:val="In-tableHeading"/>
              <w:spacing w:line="256" w:lineRule="auto"/>
              <w:jc w:val="center"/>
              <w:rPr>
                <w:lang w:val="en-AU" w:eastAsia="en-US"/>
              </w:rPr>
            </w:pPr>
            <w:r>
              <w:rPr>
                <w:lang w:val="en-AU" w:eastAsia="en-US"/>
              </w:rPr>
              <w:t>Submission</w:t>
            </w:r>
          </w:p>
        </w:tc>
        <w:tc>
          <w:tcPr>
            <w:tcW w:w="1937" w:type="pct"/>
            <w:gridSpan w:val="3"/>
            <w:tcBorders>
              <w:top w:val="single" w:sz="4" w:space="0" w:color="auto"/>
              <w:left w:val="single" w:sz="4" w:space="0" w:color="auto"/>
              <w:bottom w:val="single" w:sz="4" w:space="0" w:color="auto"/>
              <w:right w:val="single" w:sz="4" w:space="0" w:color="auto"/>
            </w:tcBorders>
          </w:tcPr>
          <w:p w14:paraId="0E67D48A" w14:textId="1DD2723C" w:rsidR="006F0D5C" w:rsidRDefault="006F0D5C" w:rsidP="00B34D38">
            <w:pPr>
              <w:pStyle w:val="In-tableHeading"/>
              <w:spacing w:line="256" w:lineRule="auto"/>
              <w:jc w:val="center"/>
              <w:rPr>
                <w:lang w:val="en-AU" w:eastAsia="en-US"/>
              </w:rPr>
            </w:pPr>
            <w:r>
              <w:rPr>
                <w:lang w:val="en-AU" w:eastAsia="en-US"/>
              </w:rPr>
              <w:t>Error</w:t>
            </w:r>
            <w:r w:rsidR="00FF1914">
              <w:rPr>
                <w:lang w:val="en-AU" w:eastAsia="en-US"/>
              </w:rPr>
              <w:noBreakHyphen/>
            </w:r>
            <w:r>
              <w:rPr>
                <w:lang w:val="en-AU" w:eastAsia="en-US"/>
              </w:rPr>
              <w:t>corrected base case</w:t>
            </w:r>
          </w:p>
        </w:tc>
      </w:tr>
      <w:tr w:rsidR="006F0D5C" w14:paraId="12532EE5" w14:textId="77777777" w:rsidTr="0072568D">
        <w:trPr>
          <w:tblHeader/>
        </w:trPr>
        <w:tc>
          <w:tcPr>
            <w:tcW w:w="1000" w:type="pct"/>
            <w:tcBorders>
              <w:top w:val="single" w:sz="4" w:space="0" w:color="auto"/>
              <w:left w:val="single" w:sz="4" w:space="0" w:color="auto"/>
              <w:bottom w:val="single" w:sz="4" w:space="0" w:color="auto"/>
              <w:right w:val="single" w:sz="4" w:space="0" w:color="auto"/>
            </w:tcBorders>
            <w:vAlign w:val="center"/>
            <w:hideMark/>
          </w:tcPr>
          <w:p w14:paraId="0BD998B0" w14:textId="77777777" w:rsidR="006F0D5C" w:rsidRDefault="006F0D5C" w:rsidP="00B34D38">
            <w:pPr>
              <w:pStyle w:val="In-tableHeading"/>
              <w:spacing w:line="256" w:lineRule="auto"/>
              <w:rPr>
                <w:lang w:val="en-AU" w:eastAsia="en-US"/>
              </w:rPr>
            </w:pPr>
            <w:r>
              <w:rPr>
                <w:lang w:val="en-AU" w:eastAsia="en-US"/>
              </w:rPr>
              <w:t>Step and component</w:t>
            </w:r>
          </w:p>
        </w:tc>
        <w:tc>
          <w:tcPr>
            <w:tcW w:w="668" w:type="pct"/>
            <w:tcBorders>
              <w:top w:val="single" w:sz="4" w:space="0" w:color="auto"/>
              <w:left w:val="single" w:sz="4" w:space="0" w:color="auto"/>
              <w:bottom w:val="single" w:sz="4" w:space="0" w:color="auto"/>
              <w:right w:val="single" w:sz="4" w:space="0" w:color="auto"/>
            </w:tcBorders>
            <w:vAlign w:val="center"/>
            <w:hideMark/>
          </w:tcPr>
          <w:p w14:paraId="35C34066" w14:textId="77777777" w:rsidR="006F0D5C" w:rsidRDefault="006F0D5C" w:rsidP="00B34D38">
            <w:pPr>
              <w:pStyle w:val="In-tableHeading"/>
              <w:spacing w:line="256" w:lineRule="auto"/>
              <w:jc w:val="center"/>
              <w:rPr>
                <w:lang w:val="en-AU" w:eastAsia="en-US"/>
              </w:rPr>
            </w:pPr>
            <w:r>
              <w:rPr>
                <w:lang w:val="en-AU" w:eastAsia="en-US"/>
              </w:rPr>
              <w:t>Obinutuzumab</w:t>
            </w:r>
          </w:p>
        </w:tc>
        <w:tc>
          <w:tcPr>
            <w:tcW w:w="609" w:type="pct"/>
            <w:tcBorders>
              <w:top w:val="single" w:sz="4" w:space="0" w:color="auto"/>
              <w:left w:val="single" w:sz="4" w:space="0" w:color="auto"/>
              <w:bottom w:val="single" w:sz="4" w:space="0" w:color="auto"/>
              <w:right w:val="single" w:sz="4" w:space="0" w:color="auto"/>
            </w:tcBorders>
            <w:vAlign w:val="center"/>
            <w:hideMark/>
          </w:tcPr>
          <w:p w14:paraId="1E8A6631" w14:textId="77777777" w:rsidR="006F0D5C" w:rsidRDefault="006F0D5C" w:rsidP="00B34D38">
            <w:pPr>
              <w:pStyle w:val="In-tableHeading"/>
              <w:spacing w:line="256" w:lineRule="auto"/>
              <w:jc w:val="center"/>
              <w:rPr>
                <w:lang w:val="en-AU" w:eastAsia="en-US"/>
              </w:rPr>
            </w:pPr>
            <w:r>
              <w:rPr>
                <w:lang w:val="en-AU" w:eastAsia="en-US"/>
              </w:rPr>
              <w:t>SOC</w:t>
            </w:r>
          </w:p>
        </w:tc>
        <w:tc>
          <w:tcPr>
            <w:tcW w:w="786" w:type="pct"/>
            <w:tcBorders>
              <w:top w:val="single" w:sz="4" w:space="0" w:color="auto"/>
              <w:left w:val="single" w:sz="4" w:space="0" w:color="auto"/>
              <w:bottom w:val="single" w:sz="4" w:space="0" w:color="auto"/>
              <w:right w:val="single" w:sz="4" w:space="0" w:color="auto"/>
            </w:tcBorders>
            <w:vAlign w:val="center"/>
            <w:hideMark/>
          </w:tcPr>
          <w:p w14:paraId="3E7F372C" w14:textId="77777777" w:rsidR="006F0D5C" w:rsidRDefault="006F0D5C" w:rsidP="00B34D38">
            <w:pPr>
              <w:pStyle w:val="In-tableHeading"/>
              <w:spacing w:line="256" w:lineRule="auto"/>
              <w:jc w:val="center"/>
              <w:rPr>
                <w:lang w:val="en-AU" w:eastAsia="en-US"/>
              </w:rPr>
            </w:pPr>
            <w:r>
              <w:rPr>
                <w:lang w:val="en-AU" w:eastAsia="en-US"/>
              </w:rPr>
              <w:t>Increment</w:t>
            </w:r>
          </w:p>
        </w:tc>
        <w:tc>
          <w:tcPr>
            <w:tcW w:w="865" w:type="pct"/>
            <w:tcBorders>
              <w:top w:val="single" w:sz="4" w:space="0" w:color="auto"/>
              <w:left w:val="single" w:sz="4" w:space="0" w:color="auto"/>
              <w:bottom w:val="single" w:sz="4" w:space="0" w:color="auto"/>
              <w:right w:val="single" w:sz="4" w:space="0" w:color="auto"/>
            </w:tcBorders>
            <w:vAlign w:val="center"/>
          </w:tcPr>
          <w:p w14:paraId="317476DD" w14:textId="77777777" w:rsidR="006F0D5C" w:rsidRDefault="006F0D5C" w:rsidP="00B34D38">
            <w:pPr>
              <w:pStyle w:val="In-tableHeading"/>
              <w:spacing w:line="256" w:lineRule="auto"/>
              <w:jc w:val="center"/>
              <w:rPr>
                <w:lang w:val="en-AU" w:eastAsia="en-US"/>
              </w:rPr>
            </w:pPr>
            <w:r>
              <w:rPr>
                <w:lang w:val="en-AU" w:eastAsia="en-US"/>
              </w:rPr>
              <w:t>Obinutuzumab</w:t>
            </w:r>
          </w:p>
        </w:tc>
        <w:tc>
          <w:tcPr>
            <w:tcW w:w="538" w:type="pct"/>
            <w:tcBorders>
              <w:top w:val="single" w:sz="4" w:space="0" w:color="auto"/>
              <w:left w:val="single" w:sz="4" w:space="0" w:color="auto"/>
              <w:bottom w:val="single" w:sz="4" w:space="0" w:color="auto"/>
              <w:right w:val="single" w:sz="4" w:space="0" w:color="auto"/>
            </w:tcBorders>
            <w:vAlign w:val="center"/>
          </w:tcPr>
          <w:p w14:paraId="5C00DAFE" w14:textId="77777777" w:rsidR="006F0D5C" w:rsidRDefault="006F0D5C" w:rsidP="00B34D38">
            <w:pPr>
              <w:pStyle w:val="In-tableHeading"/>
              <w:spacing w:line="256" w:lineRule="auto"/>
              <w:jc w:val="center"/>
              <w:rPr>
                <w:lang w:val="en-AU" w:eastAsia="en-US"/>
              </w:rPr>
            </w:pPr>
            <w:r>
              <w:rPr>
                <w:lang w:val="en-AU" w:eastAsia="en-US"/>
              </w:rPr>
              <w:t>SOC</w:t>
            </w:r>
          </w:p>
        </w:tc>
        <w:tc>
          <w:tcPr>
            <w:tcW w:w="534" w:type="pct"/>
            <w:tcBorders>
              <w:top w:val="single" w:sz="4" w:space="0" w:color="auto"/>
              <w:left w:val="single" w:sz="4" w:space="0" w:color="auto"/>
              <w:bottom w:val="single" w:sz="4" w:space="0" w:color="auto"/>
              <w:right w:val="single" w:sz="4" w:space="0" w:color="auto"/>
            </w:tcBorders>
            <w:vAlign w:val="center"/>
          </w:tcPr>
          <w:p w14:paraId="27DE32E4" w14:textId="77777777" w:rsidR="006F0D5C" w:rsidRDefault="006F0D5C" w:rsidP="00B34D38">
            <w:pPr>
              <w:pStyle w:val="In-tableHeading"/>
              <w:spacing w:line="256" w:lineRule="auto"/>
              <w:jc w:val="center"/>
              <w:rPr>
                <w:lang w:val="en-AU" w:eastAsia="en-US"/>
              </w:rPr>
            </w:pPr>
            <w:r>
              <w:rPr>
                <w:lang w:val="en-AU" w:eastAsia="en-US"/>
              </w:rPr>
              <w:t>Increment</w:t>
            </w:r>
          </w:p>
        </w:tc>
      </w:tr>
      <w:tr w:rsidR="006F0D5C" w:rsidRPr="00435A71" w14:paraId="1600ADCF" w14:textId="77777777" w:rsidTr="0072568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C3AC768" w14:textId="77777777" w:rsidR="006F0D5C" w:rsidRPr="00810DBD" w:rsidRDefault="006F0D5C" w:rsidP="00B34D38">
            <w:pPr>
              <w:pStyle w:val="TableText0"/>
              <w:spacing w:line="256" w:lineRule="auto"/>
              <w:rPr>
                <w:b/>
                <w:bCs w:val="0"/>
                <w:lang w:eastAsia="en-US"/>
              </w:rPr>
            </w:pPr>
            <w:r w:rsidRPr="00810DBD">
              <w:rPr>
                <w:b/>
                <w:bCs w:val="0"/>
                <w:lang w:eastAsia="en-US"/>
              </w:rPr>
              <w:t>Step 1: time horizon 18 months, treatment costs only: drug, administration, adverse event and subsequent treatment; LYs in ESKD, discounting 5% per year</w:t>
            </w:r>
          </w:p>
        </w:tc>
      </w:tr>
      <w:tr w:rsidR="006F0D5C" w14:paraId="2C7634E2"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3318AD8D" w14:textId="77777777" w:rsidR="006F0D5C" w:rsidRPr="00810DBD" w:rsidRDefault="006F0D5C" w:rsidP="00B34D38">
            <w:pPr>
              <w:pStyle w:val="TableText0"/>
              <w:spacing w:line="256" w:lineRule="auto"/>
              <w:rPr>
                <w:rFonts w:ascii="Times" w:hAnsi="Times"/>
                <w:lang w:eastAsia="en-US"/>
              </w:rPr>
            </w:pPr>
            <w:r w:rsidRPr="00810DBD">
              <w:rPr>
                <w:lang w:eastAsia="en-US"/>
              </w:rPr>
              <w:t>Costs</w:t>
            </w:r>
          </w:p>
        </w:tc>
        <w:tc>
          <w:tcPr>
            <w:tcW w:w="668" w:type="pct"/>
            <w:tcBorders>
              <w:top w:val="single" w:sz="4" w:space="0" w:color="auto"/>
              <w:left w:val="single" w:sz="4" w:space="0" w:color="auto"/>
              <w:bottom w:val="single" w:sz="4" w:space="0" w:color="auto"/>
              <w:right w:val="single" w:sz="4" w:space="0" w:color="auto"/>
            </w:tcBorders>
            <w:hideMark/>
          </w:tcPr>
          <w:p w14:paraId="54C6BB69" w14:textId="469CC285" w:rsidR="006F0D5C" w:rsidRPr="00810DBD" w:rsidRDefault="006F0D5C" w:rsidP="00B34D38">
            <w:pPr>
              <w:pStyle w:val="TableText0"/>
              <w:spacing w:line="256" w:lineRule="auto"/>
              <w:jc w:val="center"/>
              <w:rPr>
                <w:rFonts w:ascii="Times" w:hAnsi="Times"/>
                <w:lang w:eastAsia="en-US"/>
              </w:rPr>
            </w:pPr>
            <w:r w:rsidRPr="00810DBD">
              <w:rPr>
                <w:lang w:eastAsia="en-US"/>
              </w:rPr>
              <w:t>$</w:t>
            </w:r>
            <w:r w:rsidR="00102373" w:rsidRPr="00102373">
              <w:rPr>
                <w:sz w:val="2"/>
                <w:highlight w:val="black"/>
                <w:lang w:eastAsia="en-US"/>
              </w:rPr>
              <w:t>redacted content</w:t>
            </w:r>
          </w:p>
        </w:tc>
        <w:tc>
          <w:tcPr>
            <w:tcW w:w="609" w:type="pct"/>
            <w:tcBorders>
              <w:top w:val="single" w:sz="4" w:space="0" w:color="auto"/>
              <w:left w:val="single" w:sz="4" w:space="0" w:color="auto"/>
              <w:bottom w:val="single" w:sz="4" w:space="0" w:color="auto"/>
              <w:right w:val="single" w:sz="4" w:space="0" w:color="auto"/>
            </w:tcBorders>
            <w:hideMark/>
          </w:tcPr>
          <w:p w14:paraId="67108608"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$2,869</w:t>
            </w:r>
          </w:p>
        </w:tc>
        <w:tc>
          <w:tcPr>
            <w:tcW w:w="786" w:type="pct"/>
            <w:tcBorders>
              <w:top w:val="single" w:sz="4" w:space="0" w:color="auto"/>
              <w:left w:val="single" w:sz="4" w:space="0" w:color="auto"/>
              <w:bottom w:val="single" w:sz="4" w:space="0" w:color="auto"/>
              <w:right w:val="single" w:sz="4" w:space="0" w:color="auto"/>
            </w:tcBorders>
            <w:hideMark/>
          </w:tcPr>
          <w:p w14:paraId="7FF2C768" w14:textId="3D2513C6" w:rsidR="006F0D5C" w:rsidRPr="00810DBD" w:rsidRDefault="006F0D5C" w:rsidP="00B34D38">
            <w:pPr>
              <w:pStyle w:val="TableText0"/>
              <w:spacing w:line="256" w:lineRule="auto"/>
              <w:jc w:val="center"/>
              <w:rPr>
                <w:rFonts w:ascii="Times" w:hAnsi="Times"/>
                <w:lang w:eastAsia="en-US"/>
              </w:rPr>
            </w:pPr>
            <w:r w:rsidRPr="00810DBD">
              <w:rPr>
                <w:lang w:eastAsia="en-US"/>
              </w:rPr>
              <w:t>$</w:t>
            </w:r>
            <w:r w:rsidR="00102373" w:rsidRPr="00102373">
              <w:rPr>
                <w:sz w:val="2"/>
                <w:highlight w:val="black"/>
                <w:lang w:eastAsia="en-US"/>
              </w:rPr>
              <w:t>redacted content</w:t>
            </w:r>
          </w:p>
        </w:tc>
        <w:tc>
          <w:tcPr>
            <w:tcW w:w="865" w:type="pct"/>
            <w:tcBorders>
              <w:top w:val="single" w:sz="4" w:space="0" w:color="auto"/>
              <w:left w:val="single" w:sz="4" w:space="0" w:color="auto"/>
              <w:bottom w:val="single" w:sz="4" w:space="0" w:color="auto"/>
              <w:right w:val="single" w:sz="4" w:space="0" w:color="auto"/>
            </w:tcBorders>
          </w:tcPr>
          <w:p w14:paraId="1FD8CD34" w14:textId="57219760"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c>
          <w:tcPr>
            <w:tcW w:w="538" w:type="pct"/>
            <w:tcBorders>
              <w:top w:val="single" w:sz="4" w:space="0" w:color="auto"/>
              <w:left w:val="single" w:sz="4" w:space="0" w:color="auto"/>
              <w:bottom w:val="single" w:sz="4" w:space="0" w:color="auto"/>
              <w:right w:val="single" w:sz="4" w:space="0" w:color="auto"/>
            </w:tcBorders>
          </w:tcPr>
          <w:p w14:paraId="5B45176F" w14:textId="77777777" w:rsidR="006F0D5C" w:rsidRPr="00810DBD" w:rsidRDefault="006F0D5C" w:rsidP="00B34D38">
            <w:pPr>
              <w:pStyle w:val="TableText0"/>
              <w:spacing w:line="256" w:lineRule="auto"/>
              <w:jc w:val="center"/>
              <w:rPr>
                <w:lang w:eastAsia="en-US"/>
              </w:rPr>
            </w:pPr>
            <w:r w:rsidRPr="00810DBD">
              <w:t>$1,589</w:t>
            </w:r>
          </w:p>
        </w:tc>
        <w:tc>
          <w:tcPr>
            <w:tcW w:w="534" w:type="pct"/>
            <w:tcBorders>
              <w:top w:val="single" w:sz="4" w:space="0" w:color="auto"/>
              <w:left w:val="single" w:sz="4" w:space="0" w:color="auto"/>
              <w:bottom w:val="single" w:sz="4" w:space="0" w:color="auto"/>
              <w:right w:val="single" w:sz="4" w:space="0" w:color="auto"/>
            </w:tcBorders>
          </w:tcPr>
          <w:p w14:paraId="04A0EB79" w14:textId="60423CF5"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r>
      <w:tr w:rsidR="006F0D5C" w14:paraId="5E63C905"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4DD79738" w14:textId="77777777" w:rsidR="006F0D5C" w:rsidRPr="00810DBD" w:rsidRDefault="006F0D5C" w:rsidP="00B34D38">
            <w:pPr>
              <w:pStyle w:val="TableText0"/>
              <w:spacing w:line="256" w:lineRule="auto"/>
              <w:rPr>
                <w:rFonts w:ascii="Times" w:hAnsi="Times"/>
                <w:lang w:eastAsia="en-US"/>
              </w:rPr>
            </w:pPr>
            <w:r w:rsidRPr="00810DBD">
              <w:rPr>
                <w:lang w:eastAsia="en-US"/>
              </w:rPr>
              <w:t>LY (ESKD)</w:t>
            </w:r>
          </w:p>
        </w:tc>
        <w:tc>
          <w:tcPr>
            <w:tcW w:w="668" w:type="pct"/>
            <w:tcBorders>
              <w:top w:val="single" w:sz="4" w:space="0" w:color="auto"/>
              <w:left w:val="single" w:sz="4" w:space="0" w:color="auto"/>
              <w:bottom w:val="single" w:sz="4" w:space="0" w:color="auto"/>
              <w:right w:val="single" w:sz="4" w:space="0" w:color="auto"/>
            </w:tcBorders>
            <w:hideMark/>
          </w:tcPr>
          <w:p w14:paraId="62D1265E"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0.000</w:t>
            </w:r>
          </w:p>
        </w:tc>
        <w:tc>
          <w:tcPr>
            <w:tcW w:w="609" w:type="pct"/>
            <w:tcBorders>
              <w:top w:val="single" w:sz="4" w:space="0" w:color="auto"/>
              <w:left w:val="single" w:sz="4" w:space="0" w:color="auto"/>
              <w:bottom w:val="single" w:sz="4" w:space="0" w:color="auto"/>
              <w:right w:val="single" w:sz="4" w:space="0" w:color="auto"/>
            </w:tcBorders>
            <w:hideMark/>
          </w:tcPr>
          <w:p w14:paraId="0CB9DAFD"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0.004</w:t>
            </w:r>
          </w:p>
        </w:tc>
        <w:tc>
          <w:tcPr>
            <w:tcW w:w="786" w:type="pct"/>
            <w:tcBorders>
              <w:top w:val="single" w:sz="4" w:space="0" w:color="auto"/>
              <w:left w:val="single" w:sz="4" w:space="0" w:color="auto"/>
              <w:bottom w:val="single" w:sz="4" w:space="0" w:color="auto"/>
              <w:right w:val="single" w:sz="4" w:space="0" w:color="auto"/>
            </w:tcBorders>
            <w:hideMark/>
          </w:tcPr>
          <w:p w14:paraId="5112D288" w14:textId="0319A1C9" w:rsidR="006F0D5C" w:rsidRPr="00810DBD" w:rsidRDefault="00FF1914" w:rsidP="00B34D38">
            <w:pPr>
              <w:pStyle w:val="TableText0"/>
              <w:spacing w:line="256" w:lineRule="auto"/>
              <w:jc w:val="center"/>
              <w:rPr>
                <w:lang w:eastAsia="en-US"/>
              </w:rPr>
            </w:pPr>
            <w:r>
              <w:rPr>
                <w:lang w:eastAsia="en-US"/>
              </w:rPr>
              <w:noBreakHyphen/>
            </w:r>
            <w:r w:rsidR="006F0D5C" w:rsidRPr="00810DBD">
              <w:rPr>
                <w:lang w:eastAsia="en-US"/>
              </w:rPr>
              <w:t>0.004</w:t>
            </w:r>
          </w:p>
        </w:tc>
        <w:tc>
          <w:tcPr>
            <w:tcW w:w="865" w:type="pct"/>
            <w:tcBorders>
              <w:top w:val="single" w:sz="4" w:space="0" w:color="auto"/>
              <w:left w:val="single" w:sz="4" w:space="0" w:color="auto"/>
              <w:bottom w:val="single" w:sz="4" w:space="0" w:color="auto"/>
              <w:right w:val="single" w:sz="4" w:space="0" w:color="auto"/>
            </w:tcBorders>
          </w:tcPr>
          <w:p w14:paraId="5A239534" w14:textId="77777777" w:rsidR="006F0D5C" w:rsidRPr="00810DBD" w:rsidRDefault="006F0D5C" w:rsidP="00B34D38">
            <w:pPr>
              <w:pStyle w:val="TableText0"/>
              <w:spacing w:line="256" w:lineRule="auto"/>
              <w:jc w:val="center"/>
              <w:rPr>
                <w:lang w:eastAsia="en-US"/>
              </w:rPr>
            </w:pPr>
            <w:r w:rsidRPr="00810DBD">
              <w:t>0.000</w:t>
            </w:r>
          </w:p>
        </w:tc>
        <w:tc>
          <w:tcPr>
            <w:tcW w:w="538" w:type="pct"/>
            <w:tcBorders>
              <w:top w:val="single" w:sz="4" w:space="0" w:color="auto"/>
              <w:left w:val="single" w:sz="4" w:space="0" w:color="auto"/>
              <w:bottom w:val="single" w:sz="4" w:space="0" w:color="auto"/>
              <w:right w:val="single" w:sz="4" w:space="0" w:color="auto"/>
            </w:tcBorders>
          </w:tcPr>
          <w:p w14:paraId="221FD804" w14:textId="77777777" w:rsidR="006F0D5C" w:rsidRPr="00810DBD" w:rsidRDefault="006F0D5C" w:rsidP="00B34D38">
            <w:pPr>
              <w:pStyle w:val="TableText0"/>
              <w:spacing w:line="256" w:lineRule="auto"/>
              <w:jc w:val="center"/>
              <w:rPr>
                <w:lang w:eastAsia="en-US"/>
              </w:rPr>
            </w:pPr>
            <w:r w:rsidRPr="00810DBD">
              <w:t>0.004</w:t>
            </w:r>
          </w:p>
        </w:tc>
        <w:tc>
          <w:tcPr>
            <w:tcW w:w="534" w:type="pct"/>
            <w:tcBorders>
              <w:top w:val="single" w:sz="4" w:space="0" w:color="auto"/>
              <w:left w:val="single" w:sz="4" w:space="0" w:color="auto"/>
              <w:bottom w:val="single" w:sz="4" w:space="0" w:color="auto"/>
              <w:right w:val="single" w:sz="4" w:space="0" w:color="auto"/>
            </w:tcBorders>
          </w:tcPr>
          <w:p w14:paraId="3AAEC90D" w14:textId="4BC01060" w:rsidR="006F0D5C" w:rsidRPr="00810DBD" w:rsidRDefault="00FF1914" w:rsidP="00B34D38">
            <w:pPr>
              <w:pStyle w:val="TableText0"/>
              <w:spacing w:line="256" w:lineRule="auto"/>
              <w:jc w:val="center"/>
              <w:rPr>
                <w:lang w:eastAsia="en-US"/>
              </w:rPr>
            </w:pPr>
            <w:r>
              <w:noBreakHyphen/>
            </w:r>
            <w:r w:rsidR="006F0D5C" w:rsidRPr="00810DBD">
              <w:t>0.004</w:t>
            </w:r>
          </w:p>
        </w:tc>
      </w:tr>
      <w:tr w:rsidR="006F0D5C" w14:paraId="4E69EDB3" w14:textId="77777777" w:rsidTr="0072568D">
        <w:tc>
          <w:tcPr>
            <w:tcW w:w="2277" w:type="pct"/>
            <w:gridSpan w:val="3"/>
            <w:tcBorders>
              <w:top w:val="single" w:sz="4" w:space="0" w:color="auto"/>
              <w:left w:val="single" w:sz="4" w:space="0" w:color="auto"/>
              <w:bottom w:val="single" w:sz="4" w:space="0" w:color="auto"/>
              <w:right w:val="single" w:sz="4" w:space="0" w:color="auto"/>
            </w:tcBorders>
            <w:vAlign w:val="center"/>
            <w:hideMark/>
          </w:tcPr>
          <w:p w14:paraId="3523A1BA" w14:textId="77777777" w:rsidR="006F0D5C" w:rsidRPr="00810DBD" w:rsidRDefault="006F0D5C" w:rsidP="00B34D38">
            <w:pPr>
              <w:pStyle w:val="TableText0"/>
              <w:spacing w:line="256" w:lineRule="auto"/>
              <w:rPr>
                <w:rFonts w:ascii="Times" w:hAnsi="Times"/>
                <w:lang w:eastAsia="en-US"/>
              </w:rPr>
            </w:pPr>
            <w:r w:rsidRPr="00810DBD">
              <w:rPr>
                <w:lang w:eastAsia="en-US"/>
              </w:rPr>
              <w:t>Incremental cost/extra LY in ESKD avoided</w:t>
            </w:r>
          </w:p>
        </w:tc>
        <w:tc>
          <w:tcPr>
            <w:tcW w:w="786" w:type="pct"/>
            <w:tcBorders>
              <w:top w:val="single" w:sz="4" w:space="0" w:color="auto"/>
              <w:left w:val="single" w:sz="4" w:space="0" w:color="auto"/>
              <w:bottom w:val="single" w:sz="4" w:space="0" w:color="auto"/>
              <w:right w:val="single" w:sz="4" w:space="0" w:color="auto"/>
            </w:tcBorders>
            <w:vAlign w:val="center"/>
            <w:hideMark/>
          </w:tcPr>
          <w:p w14:paraId="33003F67" w14:textId="1922F661" w:rsidR="006F0D5C" w:rsidRPr="00BE3E67" w:rsidRDefault="006F0D5C" w:rsidP="00B34D38">
            <w:pPr>
              <w:pStyle w:val="TableText0"/>
              <w:spacing w:line="256" w:lineRule="auto"/>
              <w:jc w:val="center"/>
              <w:rPr>
                <w:rFonts w:ascii="Times" w:hAnsi="Times"/>
                <w:vertAlign w:val="superscript"/>
                <w:lang w:eastAsia="en-US"/>
              </w:rPr>
            </w:pPr>
            <w:r w:rsidRPr="00810DBD">
              <w:rPr>
                <w:lang w:eastAsia="en-US"/>
              </w:rPr>
              <w:t>$</w:t>
            </w:r>
            <w:r w:rsidR="00102373" w:rsidRPr="00102373">
              <w:rPr>
                <w:sz w:val="2"/>
                <w:highlight w:val="black"/>
                <w:lang w:eastAsia="en-US"/>
              </w:rPr>
              <w:t>redacted content</w:t>
            </w:r>
            <w:r w:rsidR="00BE3E67">
              <w:rPr>
                <w:vertAlign w:val="superscript"/>
                <w:lang w:eastAsia="en-US"/>
              </w:rPr>
              <w:t>1</w:t>
            </w:r>
          </w:p>
        </w:tc>
        <w:tc>
          <w:tcPr>
            <w:tcW w:w="865" w:type="pct"/>
            <w:tcBorders>
              <w:top w:val="single" w:sz="4" w:space="0" w:color="auto"/>
              <w:left w:val="single" w:sz="4" w:space="0" w:color="auto"/>
              <w:bottom w:val="single" w:sz="4" w:space="0" w:color="auto"/>
              <w:right w:val="single" w:sz="4" w:space="0" w:color="auto"/>
            </w:tcBorders>
          </w:tcPr>
          <w:p w14:paraId="2B8D1C4D" w14:textId="77777777" w:rsidR="006F0D5C" w:rsidRPr="00810DBD" w:rsidRDefault="006F0D5C" w:rsidP="00B34D38">
            <w:pPr>
              <w:pStyle w:val="TableText0"/>
              <w:spacing w:line="256" w:lineRule="auto"/>
              <w:jc w:val="center"/>
              <w:rPr>
                <w:lang w:eastAsia="en-US"/>
              </w:rPr>
            </w:pPr>
          </w:p>
        </w:tc>
        <w:tc>
          <w:tcPr>
            <w:tcW w:w="538" w:type="pct"/>
            <w:tcBorders>
              <w:top w:val="single" w:sz="4" w:space="0" w:color="auto"/>
              <w:left w:val="single" w:sz="4" w:space="0" w:color="auto"/>
              <w:bottom w:val="single" w:sz="4" w:space="0" w:color="auto"/>
              <w:right w:val="single" w:sz="4" w:space="0" w:color="auto"/>
            </w:tcBorders>
          </w:tcPr>
          <w:p w14:paraId="5F836D31" w14:textId="77777777" w:rsidR="006F0D5C" w:rsidRPr="00810DBD" w:rsidRDefault="006F0D5C" w:rsidP="00B34D38">
            <w:pPr>
              <w:pStyle w:val="TableText0"/>
              <w:spacing w:line="256" w:lineRule="auto"/>
              <w:jc w:val="center"/>
              <w:rPr>
                <w:lang w:eastAsia="en-US"/>
              </w:rPr>
            </w:pPr>
          </w:p>
        </w:tc>
        <w:tc>
          <w:tcPr>
            <w:tcW w:w="534" w:type="pct"/>
            <w:tcBorders>
              <w:top w:val="single" w:sz="4" w:space="0" w:color="auto"/>
              <w:left w:val="single" w:sz="4" w:space="0" w:color="auto"/>
              <w:bottom w:val="single" w:sz="4" w:space="0" w:color="auto"/>
              <w:right w:val="single" w:sz="4" w:space="0" w:color="auto"/>
            </w:tcBorders>
          </w:tcPr>
          <w:p w14:paraId="5000EBFB" w14:textId="18984708" w:rsidR="006F0D5C" w:rsidRPr="00BE3E67" w:rsidRDefault="006F0D5C" w:rsidP="00B34D38">
            <w:pPr>
              <w:pStyle w:val="TableText0"/>
              <w:spacing w:line="256" w:lineRule="auto"/>
              <w:jc w:val="center"/>
              <w:rPr>
                <w:vertAlign w:val="superscript"/>
                <w:lang w:eastAsia="en-US"/>
              </w:rPr>
            </w:pPr>
            <w:r w:rsidRPr="00810DBD">
              <w:rPr>
                <w:lang w:eastAsia="en-US"/>
              </w:rPr>
              <w:t>$</w:t>
            </w:r>
            <w:r w:rsidR="00102373" w:rsidRPr="00102373">
              <w:rPr>
                <w:sz w:val="2"/>
                <w:highlight w:val="black"/>
                <w:lang w:eastAsia="en-US"/>
              </w:rPr>
              <w:t>redacted content</w:t>
            </w:r>
            <w:r w:rsidR="00BE3E67">
              <w:rPr>
                <w:vertAlign w:val="superscript"/>
                <w:lang w:eastAsia="en-US"/>
              </w:rPr>
              <w:t>1</w:t>
            </w:r>
          </w:p>
        </w:tc>
      </w:tr>
      <w:tr w:rsidR="006F0D5C" w:rsidRPr="002F177A" w14:paraId="7554BB08" w14:textId="77777777" w:rsidTr="0072568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0D0CCFC" w14:textId="77777777" w:rsidR="006F0D5C" w:rsidRPr="00810DBD" w:rsidRDefault="006F0D5C" w:rsidP="00B34D38">
            <w:pPr>
              <w:pStyle w:val="In-tableHeading"/>
              <w:spacing w:line="256" w:lineRule="auto"/>
              <w:rPr>
                <w:lang w:val="en-AU" w:eastAsia="en-US"/>
              </w:rPr>
            </w:pPr>
            <w:r w:rsidRPr="00810DBD">
              <w:rPr>
                <w:lang w:val="en-AU" w:eastAsia="en-US"/>
              </w:rPr>
              <w:t xml:space="preserve">Step 2: </w:t>
            </w:r>
            <w:r w:rsidRPr="00810DBD">
              <w:rPr>
                <w:lang w:eastAsia="en-US"/>
              </w:rPr>
              <w:t>time horizon 18 months, all costs, LYs in ESKD, discounting 5% per year</w:t>
            </w:r>
          </w:p>
        </w:tc>
      </w:tr>
      <w:tr w:rsidR="006F0D5C" w14:paraId="3D25A33D"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4E9819CA" w14:textId="77777777" w:rsidR="006F0D5C" w:rsidRPr="00810DBD" w:rsidRDefault="006F0D5C" w:rsidP="00B34D38">
            <w:pPr>
              <w:pStyle w:val="TableText0"/>
              <w:spacing w:line="256" w:lineRule="auto"/>
              <w:rPr>
                <w:rFonts w:ascii="Times" w:hAnsi="Times"/>
                <w:lang w:eastAsia="en-US"/>
              </w:rPr>
            </w:pPr>
            <w:r w:rsidRPr="00810DBD">
              <w:rPr>
                <w:lang w:eastAsia="en-US"/>
              </w:rPr>
              <w:t>Costs</w:t>
            </w:r>
          </w:p>
        </w:tc>
        <w:tc>
          <w:tcPr>
            <w:tcW w:w="668" w:type="pct"/>
            <w:tcBorders>
              <w:top w:val="single" w:sz="4" w:space="0" w:color="auto"/>
              <w:left w:val="single" w:sz="4" w:space="0" w:color="auto"/>
              <w:bottom w:val="single" w:sz="4" w:space="0" w:color="auto"/>
              <w:right w:val="single" w:sz="4" w:space="0" w:color="auto"/>
            </w:tcBorders>
            <w:hideMark/>
          </w:tcPr>
          <w:p w14:paraId="3C224C33" w14:textId="3349D9A8" w:rsidR="006F0D5C" w:rsidRPr="00810DBD" w:rsidRDefault="006F0D5C" w:rsidP="00B34D38">
            <w:pPr>
              <w:pStyle w:val="TableText0"/>
              <w:spacing w:line="256" w:lineRule="auto"/>
              <w:jc w:val="center"/>
              <w:rPr>
                <w:rFonts w:ascii="Times" w:hAnsi="Times"/>
                <w:lang w:eastAsia="en-US"/>
              </w:rPr>
            </w:pPr>
            <w:r w:rsidRPr="00810DBD">
              <w:t>$</w:t>
            </w:r>
            <w:r w:rsidR="00102373" w:rsidRPr="00102373">
              <w:rPr>
                <w:sz w:val="2"/>
                <w:highlight w:val="black"/>
              </w:rPr>
              <w:t>redacted content</w:t>
            </w:r>
          </w:p>
        </w:tc>
        <w:tc>
          <w:tcPr>
            <w:tcW w:w="609" w:type="pct"/>
            <w:tcBorders>
              <w:top w:val="single" w:sz="4" w:space="0" w:color="auto"/>
              <w:left w:val="single" w:sz="4" w:space="0" w:color="auto"/>
              <w:bottom w:val="single" w:sz="4" w:space="0" w:color="auto"/>
              <w:right w:val="single" w:sz="4" w:space="0" w:color="auto"/>
            </w:tcBorders>
            <w:hideMark/>
          </w:tcPr>
          <w:p w14:paraId="0AD21700" w14:textId="77777777" w:rsidR="006F0D5C" w:rsidRPr="00810DBD" w:rsidRDefault="006F0D5C" w:rsidP="00B34D38">
            <w:pPr>
              <w:pStyle w:val="TableText0"/>
              <w:spacing w:line="256" w:lineRule="auto"/>
              <w:jc w:val="center"/>
              <w:rPr>
                <w:rFonts w:ascii="Times" w:hAnsi="Times"/>
                <w:lang w:eastAsia="en-US"/>
              </w:rPr>
            </w:pPr>
            <w:r w:rsidRPr="00810DBD">
              <w:t>$8,704</w:t>
            </w:r>
          </w:p>
        </w:tc>
        <w:tc>
          <w:tcPr>
            <w:tcW w:w="786" w:type="pct"/>
            <w:tcBorders>
              <w:top w:val="single" w:sz="4" w:space="0" w:color="auto"/>
              <w:left w:val="single" w:sz="4" w:space="0" w:color="auto"/>
              <w:bottom w:val="single" w:sz="4" w:space="0" w:color="auto"/>
              <w:right w:val="single" w:sz="4" w:space="0" w:color="auto"/>
            </w:tcBorders>
            <w:hideMark/>
          </w:tcPr>
          <w:p w14:paraId="38C8FFA4" w14:textId="4ADCB0AC" w:rsidR="006F0D5C" w:rsidRPr="00810DBD" w:rsidRDefault="006F0D5C" w:rsidP="00B34D38">
            <w:pPr>
              <w:pStyle w:val="TableText0"/>
              <w:spacing w:line="256" w:lineRule="auto"/>
              <w:jc w:val="center"/>
              <w:rPr>
                <w:rFonts w:ascii="Times" w:hAnsi="Times"/>
                <w:lang w:eastAsia="en-US"/>
              </w:rPr>
            </w:pPr>
            <w:r w:rsidRPr="00810DBD">
              <w:t>$</w:t>
            </w:r>
            <w:r w:rsidR="00102373" w:rsidRPr="00102373">
              <w:rPr>
                <w:sz w:val="2"/>
                <w:highlight w:val="black"/>
              </w:rPr>
              <w:t>redacted content</w:t>
            </w:r>
          </w:p>
        </w:tc>
        <w:tc>
          <w:tcPr>
            <w:tcW w:w="865" w:type="pct"/>
            <w:tcBorders>
              <w:top w:val="single" w:sz="4" w:space="0" w:color="auto"/>
              <w:left w:val="single" w:sz="4" w:space="0" w:color="auto"/>
              <w:bottom w:val="single" w:sz="4" w:space="0" w:color="auto"/>
              <w:right w:val="single" w:sz="4" w:space="0" w:color="auto"/>
            </w:tcBorders>
          </w:tcPr>
          <w:p w14:paraId="1204099A" w14:textId="376E24F7"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c>
          <w:tcPr>
            <w:tcW w:w="538" w:type="pct"/>
            <w:tcBorders>
              <w:top w:val="single" w:sz="4" w:space="0" w:color="auto"/>
              <w:left w:val="single" w:sz="4" w:space="0" w:color="auto"/>
              <w:bottom w:val="single" w:sz="4" w:space="0" w:color="auto"/>
              <w:right w:val="single" w:sz="4" w:space="0" w:color="auto"/>
            </w:tcBorders>
          </w:tcPr>
          <w:p w14:paraId="3FF11650" w14:textId="77777777" w:rsidR="006F0D5C" w:rsidRPr="00810DBD" w:rsidRDefault="006F0D5C" w:rsidP="00B34D38">
            <w:pPr>
              <w:pStyle w:val="TableText0"/>
              <w:spacing w:line="256" w:lineRule="auto"/>
              <w:jc w:val="center"/>
              <w:rPr>
                <w:lang w:eastAsia="en-US"/>
              </w:rPr>
            </w:pPr>
            <w:r w:rsidRPr="00810DBD">
              <w:t>$7,424</w:t>
            </w:r>
          </w:p>
        </w:tc>
        <w:tc>
          <w:tcPr>
            <w:tcW w:w="534" w:type="pct"/>
            <w:tcBorders>
              <w:top w:val="single" w:sz="4" w:space="0" w:color="auto"/>
              <w:left w:val="single" w:sz="4" w:space="0" w:color="auto"/>
              <w:bottom w:val="single" w:sz="4" w:space="0" w:color="auto"/>
              <w:right w:val="single" w:sz="4" w:space="0" w:color="auto"/>
            </w:tcBorders>
          </w:tcPr>
          <w:p w14:paraId="1EF1CBD6" w14:textId="14758737"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r>
      <w:tr w:rsidR="006F0D5C" w14:paraId="2FE5CC18"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67F43479" w14:textId="77777777" w:rsidR="006F0D5C" w:rsidRPr="00810DBD" w:rsidRDefault="006F0D5C" w:rsidP="00B34D38">
            <w:pPr>
              <w:pStyle w:val="TableText0"/>
              <w:spacing w:line="256" w:lineRule="auto"/>
              <w:rPr>
                <w:rFonts w:ascii="Times" w:hAnsi="Times"/>
                <w:lang w:eastAsia="en-US"/>
              </w:rPr>
            </w:pPr>
            <w:r w:rsidRPr="00810DBD">
              <w:rPr>
                <w:lang w:eastAsia="en-US"/>
              </w:rPr>
              <w:t>LY (ESKD)</w:t>
            </w:r>
          </w:p>
        </w:tc>
        <w:tc>
          <w:tcPr>
            <w:tcW w:w="668" w:type="pct"/>
            <w:tcBorders>
              <w:top w:val="single" w:sz="4" w:space="0" w:color="auto"/>
              <w:left w:val="single" w:sz="4" w:space="0" w:color="auto"/>
              <w:bottom w:val="single" w:sz="4" w:space="0" w:color="auto"/>
              <w:right w:val="single" w:sz="4" w:space="0" w:color="auto"/>
            </w:tcBorders>
            <w:hideMark/>
          </w:tcPr>
          <w:p w14:paraId="1E8DF394" w14:textId="77777777" w:rsidR="006F0D5C" w:rsidRPr="00810DBD" w:rsidRDefault="006F0D5C" w:rsidP="00B34D38">
            <w:pPr>
              <w:pStyle w:val="TableText0"/>
              <w:spacing w:line="256" w:lineRule="auto"/>
              <w:jc w:val="center"/>
              <w:rPr>
                <w:rFonts w:ascii="Times" w:hAnsi="Times"/>
                <w:lang w:eastAsia="en-US"/>
              </w:rPr>
            </w:pPr>
            <w:r w:rsidRPr="00810DBD">
              <w:t>0.000</w:t>
            </w:r>
          </w:p>
        </w:tc>
        <w:tc>
          <w:tcPr>
            <w:tcW w:w="609" w:type="pct"/>
            <w:tcBorders>
              <w:top w:val="single" w:sz="4" w:space="0" w:color="auto"/>
              <w:left w:val="single" w:sz="4" w:space="0" w:color="auto"/>
              <w:bottom w:val="single" w:sz="4" w:space="0" w:color="auto"/>
              <w:right w:val="single" w:sz="4" w:space="0" w:color="auto"/>
            </w:tcBorders>
            <w:hideMark/>
          </w:tcPr>
          <w:p w14:paraId="46C644A4" w14:textId="77777777" w:rsidR="006F0D5C" w:rsidRPr="00810DBD" w:rsidRDefault="006F0D5C" w:rsidP="00B34D38">
            <w:pPr>
              <w:pStyle w:val="TableText0"/>
              <w:spacing w:line="256" w:lineRule="auto"/>
              <w:jc w:val="center"/>
              <w:rPr>
                <w:rFonts w:ascii="Times" w:hAnsi="Times"/>
                <w:lang w:eastAsia="en-US"/>
              </w:rPr>
            </w:pPr>
            <w:r w:rsidRPr="00810DBD">
              <w:t>0.004</w:t>
            </w:r>
          </w:p>
        </w:tc>
        <w:tc>
          <w:tcPr>
            <w:tcW w:w="786" w:type="pct"/>
            <w:tcBorders>
              <w:top w:val="single" w:sz="4" w:space="0" w:color="auto"/>
              <w:left w:val="single" w:sz="4" w:space="0" w:color="auto"/>
              <w:bottom w:val="single" w:sz="4" w:space="0" w:color="auto"/>
              <w:right w:val="single" w:sz="4" w:space="0" w:color="auto"/>
            </w:tcBorders>
            <w:hideMark/>
          </w:tcPr>
          <w:p w14:paraId="3F44132E" w14:textId="354EF59B" w:rsidR="006F0D5C" w:rsidRPr="00810DBD" w:rsidRDefault="00FF1914" w:rsidP="00B34D38">
            <w:pPr>
              <w:pStyle w:val="TableText0"/>
              <w:spacing w:line="256" w:lineRule="auto"/>
              <w:jc w:val="center"/>
              <w:rPr>
                <w:lang w:eastAsia="en-US"/>
              </w:rPr>
            </w:pPr>
            <w:r>
              <w:noBreakHyphen/>
            </w:r>
            <w:r w:rsidR="006F0D5C" w:rsidRPr="00810DBD">
              <w:t>0.004</w:t>
            </w:r>
          </w:p>
        </w:tc>
        <w:tc>
          <w:tcPr>
            <w:tcW w:w="865" w:type="pct"/>
            <w:tcBorders>
              <w:top w:val="single" w:sz="4" w:space="0" w:color="auto"/>
              <w:left w:val="single" w:sz="4" w:space="0" w:color="auto"/>
              <w:bottom w:val="single" w:sz="4" w:space="0" w:color="auto"/>
              <w:right w:val="single" w:sz="4" w:space="0" w:color="auto"/>
            </w:tcBorders>
          </w:tcPr>
          <w:p w14:paraId="31A0B01E" w14:textId="77777777" w:rsidR="006F0D5C" w:rsidRPr="00810DBD" w:rsidRDefault="006F0D5C" w:rsidP="00B34D38">
            <w:pPr>
              <w:pStyle w:val="TableText0"/>
              <w:spacing w:line="256" w:lineRule="auto"/>
              <w:jc w:val="center"/>
              <w:rPr>
                <w:lang w:eastAsia="en-US"/>
              </w:rPr>
            </w:pPr>
            <w:r w:rsidRPr="00810DBD">
              <w:t>0.000</w:t>
            </w:r>
          </w:p>
        </w:tc>
        <w:tc>
          <w:tcPr>
            <w:tcW w:w="538" w:type="pct"/>
            <w:tcBorders>
              <w:top w:val="single" w:sz="4" w:space="0" w:color="auto"/>
              <w:left w:val="single" w:sz="4" w:space="0" w:color="auto"/>
              <w:bottom w:val="single" w:sz="4" w:space="0" w:color="auto"/>
              <w:right w:val="single" w:sz="4" w:space="0" w:color="auto"/>
            </w:tcBorders>
          </w:tcPr>
          <w:p w14:paraId="7C9131A8" w14:textId="77777777" w:rsidR="006F0D5C" w:rsidRPr="00810DBD" w:rsidRDefault="006F0D5C" w:rsidP="00B34D38">
            <w:pPr>
              <w:pStyle w:val="TableText0"/>
              <w:spacing w:line="256" w:lineRule="auto"/>
              <w:jc w:val="center"/>
              <w:rPr>
                <w:lang w:eastAsia="en-US"/>
              </w:rPr>
            </w:pPr>
            <w:r w:rsidRPr="00810DBD">
              <w:t>0.004</w:t>
            </w:r>
          </w:p>
        </w:tc>
        <w:tc>
          <w:tcPr>
            <w:tcW w:w="534" w:type="pct"/>
            <w:tcBorders>
              <w:top w:val="single" w:sz="4" w:space="0" w:color="auto"/>
              <w:left w:val="single" w:sz="4" w:space="0" w:color="auto"/>
              <w:bottom w:val="single" w:sz="4" w:space="0" w:color="auto"/>
              <w:right w:val="single" w:sz="4" w:space="0" w:color="auto"/>
            </w:tcBorders>
          </w:tcPr>
          <w:p w14:paraId="692AF42A" w14:textId="421F2ED3" w:rsidR="006F0D5C" w:rsidRPr="00810DBD" w:rsidRDefault="00FF1914" w:rsidP="00B34D38">
            <w:pPr>
              <w:pStyle w:val="TableText0"/>
              <w:spacing w:line="256" w:lineRule="auto"/>
              <w:jc w:val="center"/>
              <w:rPr>
                <w:lang w:eastAsia="en-US"/>
              </w:rPr>
            </w:pPr>
            <w:r>
              <w:noBreakHyphen/>
            </w:r>
            <w:r w:rsidR="006F0D5C" w:rsidRPr="00810DBD">
              <w:t>0.004</w:t>
            </w:r>
          </w:p>
        </w:tc>
      </w:tr>
      <w:tr w:rsidR="006F0D5C" w14:paraId="2DE301DE" w14:textId="77777777" w:rsidTr="0072568D">
        <w:tc>
          <w:tcPr>
            <w:tcW w:w="2277" w:type="pct"/>
            <w:gridSpan w:val="3"/>
            <w:tcBorders>
              <w:top w:val="single" w:sz="4" w:space="0" w:color="auto"/>
              <w:left w:val="single" w:sz="4" w:space="0" w:color="auto"/>
              <w:bottom w:val="single" w:sz="4" w:space="0" w:color="auto"/>
              <w:right w:val="single" w:sz="4" w:space="0" w:color="auto"/>
            </w:tcBorders>
            <w:vAlign w:val="center"/>
            <w:hideMark/>
          </w:tcPr>
          <w:p w14:paraId="1DD39095" w14:textId="77777777" w:rsidR="006F0D5C" w:rsidRPr="00810DBD" w:rsidRDefault="006F0D5C" w:rsidP="00B34D38">
            <w:pPr>
              <w:pStyle w:val="TableText0"/>
              <w:spacing w:line="256" w:lineRule="auto"/>
              <w:rPr>
                <w:rFonts w:ascii="Times" w:hAnsi="Times"/>
                <w:lang w:eastAsia="en-US"/>
              </w:rPr>
            </w:pPr>
            <w:r w:rsidRPr="00810DBD">
              <w:rPr>
                <w:lang w:eastAsia="en-US"/>
              </w:rPr>
              <w:t>Incremental cost/ extra LY in ESKD avoided</w:t>
            </w:r>
          </w:p>
        </w:tc>
        <w:tc>
          <w:tcPr>
            <w:tcW w:w="786" w:type="pct"/>
            <w:tcBorders>
              <w:top w:val="single" w:sz="4" w:space="0" w:color="auto"/>
              <w:left w:val="single" w:sz="4" w:space="0" w:color="auto"/>
              <w:bottom w:val="single" w:sz="4" w:space="0" w:color="auto"/>
              <w:right w:val="single" w:sz="4" w:space="0" w:color="auto"/>
            </w:tcBorders>
            <w:vAlign w:val="center"/>
            <w:hideMark/>
          </w:tcPr>
          <w:p w14:paraId="585E7221" w14:textId="1CB3D7B2" w:rsidR="006F0D5C" w:rsidRPr="00BE3E67" w:rsidRDefault="006F0D5C" w:rsidP="00B34D38">
            <w:pPr>
              <w:pStyle w:val="TableText0"/>
              <w:spacing w:line="256" w:lineRule="auto"/>
              <w:jc w:val="center"/>
              <w:rPr>
                <w:rFonts w:ascii="Times" w:hAnsi="Times"/>
                <w:vertAlign w:val="superscript"/>
                <w:lang w:eastAsia="en-US"/>
              </w:rPr>
            </w:pPr>
            <w:r w:rsidRPr="00810DBD">
              <w:rPr>
                <w:lang w:eastAsia="en-US"/>
              </w:rPr>
              <w:t>$</w:t>
            </w:r>
            <w:r w:rsidR="00102373" w:rsidRPr="00102373">
              <w:rPr>
                <w:sz w:val="2"/>
                <w:highlight w:val="black"/>
                <w:lang w:eastAsia="en-US"/>
              </w:rPr>
              <w:t>redacted content</w:t>
            </w:r>
            <w:r w:rsidR="00BE3E67">
              <w:rPr>
                <w:vertAlign w:val="superscript"/>
                <w:lang w:eastAsia="en-US"/>
              </w:rPr>
              <w:t>1</w:t>
            </w:r>
          </w:p>
        </w:tc>
        <w:tc>
          <w:tcPr>
            <w:tcW w:w="865" w:type="pct"/>
            <w:tcBorders>
              <w:top w:val="single" w:sz="4" w:space="0" w:color="auto"/>
              <w:left w:val="single" w:sz="4" w:space="0" w:color="auto"/>
              <w:bottom w:val="single" w:sz="4" w:space="0" w:color="auto"/>
              <w:right w:val="single" w:sz="4" w:space="0" w:color="auto"/>
            </w:tcBorders>
          </w:tcPr>
          <w:p w14:paraId="3A4D3933" w14:textId="77777777" w:rsidR="006F0D5C" w:rsidRPr="00810DBD" w:rsidRDefault="006F0D5C" w:rsidP="00B34D38">
            <w:pPr>
              <w:pStyle w:val="TableText0"/>
              <w:spacing w:line="256" w:lineRule="auto"/>
              <w:jc w:val="center"/>
              <w:rPr>
                <w:lang w:eastAsia="en-US"/>
              </w:rPr>
            </w:pPr>
          </w:p>
        </w:tc>
        <w:tc>
          <w:tcPr>
            <w:tcW w:w="538" w:type="pct"/>
            <w:tcBorders>
              <w:top w:val="single" w:sz="4" w:space="0" w:color="auto"/>
              <w:left w:val="single" w:sz="4" w:space="0" w:color="auto"/>
              <w:bottom w:val="single" w:sz="4" w:space="0" w:color="auto"/>
              <w:right w:val="single" w:sz="4" w:space="0" w:color="auto"/>
            </w:tcBorders>
          </w:tcPr>
          <w:p w14:paraId="3F9831DE" w14:textId="77777777" w:rsidR="006F0D5C" w:rsidRPr="00810DBD" w:rsidRDefault="006F0D5C" w:rsidP="00B34D38">
            <w:pPr>
              <w:pStyle w:val="TableText0"/>
              <w:spacing w:line="256" w:lineRule="auto"/>
              <w:jc w:val="center"/>
              <w:rPr>
                <w:lang w:eastAsia="en-US"/>
              </w:rPr>
            </w:pPr>
          </w:p>
        </w:tc>
        <w:tc>
          <w:tcPr>
            <w:tcW w:w="534" w:type="pct"/>
            <w:tcBorders>
              <w:top w:val="single" w:sz="4" w:space="0" w:color="auto"/>
              <w:left w:val="single" w:sz="4" w:space="0" w:color="auto"/>
              <w:bottom w:val="single" w:sz="4" w:space="0" w:color="auto"/>
              <w:right w:val="single" w:sz="4" w:space="0" w:color="auto"/>
            </w:tcBorders>
          </w:tcPr>
          <w:p w14:paraId="4CBDF168" w14:textId="08556857" w:rsidR="006F0D5C" w:rsidRPr="00BE3E67" w:rsidRDefault="006F0D5C" w:rsidP="00B34D38">
            <w:pPr>
              <w:pStyle w:val="TableText0"/>
              <w:spacing w:line="256" w:lineRule="auto"/>
              <w:jc w:val="center"/>
              <w:rPr>
                <w:vertAlign w:val="superscript"/>
                <w:lang w:eastAsia="en-US"/>
              </w:rPr>
            </w:pPr>
            <w:r w:rsidRPr="00810DBD">
              <w:rPr>
                <w:lang w:eastAsia="en-US"/>
              </w:rPr>
              <w:t>$</w:t>
            </w:r>
            <w:r w:rsidR="00102373" w:rsidRPr="00102373">
              <w:rPr>
                <w:sz w:val="2"/>
                <w:highlight w:val="black"/>
                <w:lang w:eastAsia="en-US"/>
              </w:rPr>
              <w:t>redacted content</w:t>
            </w:r>
            <w:r w:rsidR="00BE3E67">
              <w:rPr>
                <w:vertAlign w:val="superscript"/>
                <w:lang w:eastAsia="en-US"/>
              </w:rPr>
              <w:t>1</w:t>
            </w:r>
          </w:p>
        </w:tc>
      </w:tr>
      <w:tr w:rsidR="006F0D5C" w:rsidRPr="002F177A" w14:paraId="2E703D10" w14:textId="77777777" w:rsidTr="0072568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8CB6861" w14:textId="77777777" w:rsidR="006F0D5C" w:rsidRPr="00810DBD" w:rsidRDefault="006F0D5C" w:rsidP="00B34D38">
            <w:pPr>
              <w:pStyle w:val="In-tableHeading"/>
              <w:spacing w:line="256" w:lineRule="auto"/>
              <w:rPr>
                <w:lang w:val="en-AU" w:eastAsia="en-US"/>
              </w:rPr>
            </w:pPr>
            <w:r w:rsidRPr="00810DBD">
              <w:rPr>
                <w:lang w:val="en-AU" w:eastAsia="en-US"/>
              </w:rPr>
              <w:t xml:space="preserve">Step 3: </w:t>
            </w:r>
            <w:r w:rsidRPr="00810DBD">
              <w:rPr>
                <w:lang w:eastAsia="en-US"/>
              </w:rPr>
              <w:t>time horizon 18 months, all costs, utilities, QALYs, discounting 5% per year</w:t>
            </w:r>
          </w:p>
        </w:tc>
      </w:tr>
      <w:tr w:rsidR="006F0D5C" w14:paraId="4F0F9825"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22E350FA" w14:textId="77777777" w:rsidR="006F0D5C" w:rsidRPr="00810DBD" w:rsidRDefault="006F0D5C" w:rsidP="00B34D38">
            <w:pPr>
              <w:pStyle w:val="TableText0"/>
              <w:spacing w:line="256" w:lineRule="auto"/>
              <w:rPr>
                <w:rFonts w:ascii="Times" w:hAnsi="Times"/>
                <w:lang w:eastAsia="en-US"/>
              </w:rPr>
            </w:pPr>
            <w:r w:rsidRPr="00810DBD">
              <w:rPr>
                <w:lang w:eastAsia="en-US"/>
              </w:rPr>
              <w:t>Costs</w:t>
            </w:r>
          </w:p>
        </w:tc>
        <w:tc>
          <w:tcPr>
            <w:tcW w:w="668" w:type="pct"/>
            <w:tcBorders>
              <w:top w:val="single" w:sz="4" w:space="0" w:color="auto"/>
              <w:left w:val="single" w:sz="4" w:space="0" w:color="auto"/>
              <w:bottom w:val="single" w:sz="4" w:space="0" w:color="auto"/>
              <w:right w:val="single" w:sz="4" w:space="0" w:color="auto"/>
            </w:tcBorders>
            <w:hideMark/>
          </w:tcPr>
          <w:p w14:paraId="05A64936" w14:textId="77177F3F" w:rsidR="006F0D5C" w:rsidRPr="00810DBD" w:rsidRDefault="006F0D5C" w:rsidP="00B34D38">
            <w:pPr>
              <w:pStyle w:val="TableText0"/>
              <w:spacing w:line="256" w:lineRule="auto"/>
              <w:jc w:val="center"/>
              <w:rPr>
                <w:rFonts w:ascii="Times" w:hAnsi="Times"/>
                <w:lang w:eastAsia="en-US"/>
              </w:rPr>
            </w:pPr>
            <w:r w:rsidRPr="00810DBD">
              <w:t>$</w:t>
            </w:r>
            <w:r w:rsidR="00102373" w:rsidRPr="00102373">
              <w:rPr>
                <w:sz w:val="2"/>
                <w:highlight w:val="black"/>
              </w:rPr>
              <w:t>redacted content</w:t>
            </w:r>
          </w:p>
        </w:tc>
        <w:tc>
          <w:tcPr>
            <w:tcW w:w="609" w:type="pct"/>
            <w:tcBorders>
              <w:top w:val="single" w:sz="4" w:space="0" w:color="auto"/>
              <w:left w:val="single" w:sz="4" w:space="0" w:color="auto"/>
              <w:bottom w:val="single" w:sz="4" w:space="0" w:color="auto"/>
              <w:right w:val="single" w:sz="4" w:space="0" w:color="auto"/>
            </w:tcBorders>
            <w:hideMark/>
          </w:tcPr>
          <w:p w14:paraId="57534D8B" w14:textId="77777777" w:rsidR="006F0D5C" w:rsidRPr="00810DBD" w:rsidRDefault="006F0D5C" w:rsidP="00B34D38">
            <w:pPr>
              <w:pStyle w:val="TableText0"/>
              <w:spacing w:line="256" w:lineRule="auto"/>
              <w:jc w:val="center"/>
              <w:rPr>
                <w:rFonts w:ascii="Times" w:hAnsi="Times"/>
                <w:lang w:eastAsia="en-US"/>
              </w:rPr>
            </w:pPr>
            <w:r w:rsidRPr="00810DBD">
              <w:t>$8,704</w:t>
            </w:r>
          </w:p>
        </w:tc>
        <w:tc>
          <w:tcPr>
            <w:tcW w:w="786" w:type="pct"/>
            <w:tcBorders>
              <w:top w:val="single" w:sz="4" w:space="0" w:color="auto"/>
              <w:left w:val="single" w:sz="4" w:space="0" w:color="auto"/>
              <w:bottom w:val="single" w:sz="4" w:space="0" w:color="auto"/>
              <w:right w:val="single" w:sz="4" w:space="0" w:color="auto"/>
            </w:tcBorders>
            <w:hideMark/>
          </w:tcPr>
          <w:p w14:paraId="31D2BECA" w14:textId="5F252B47" w:rsidR="006F0D5C" w:rsidRPr="00810DBD" w:rsidRDefault="006F0D5C" w:rsidP="00B34D38">
            <w:pPr>
              <w:pStyle w:val="TableText0"/>
              <w:spacing w:line="256" w:lineRule="auto"/>
              <w:jc w:val="center"/>
              <w:rPr>
                <w:rFonts w:ascii="Times" w:hAnsi="Times"/>
                <w:lang w:eastAsia="en-US"/>
              </w:rPr>
            </w:pPr>
            <w:r w:rsidRPr="00810DBD">
              <w:t>$</w:t>
            </w:r>
            <w:r w:rsidR="00102373" w:rsidRPr="00102373">
              <w:rPr>
                <w:sz w:val="2"/>
                <w:highlight w:val="black"/>
              </w:rPr>
              <w:t>redacted content</w:t>
            </w:r>
          </w:p>
        </w:tc>
        <w:tc>
          <w:tcPr>
            <w:tcW w:w="865" w:type="pct"/>
            <w:tcBorders>
              <w:top w:val="single" w:sz="4" w:space="0" w:color="auto"/>
              <w:left w:val="single" w:sz="4" w:space="0" w:color="auto"/>
              <w:bottom w:val="single" w:sz="4" w:space="0" w:color="auto"/>
              <w:right w:val="single" w:sz="4" w:space="0" w:color="auto"/>
            </w:tcBorders>
          </w:tcPr>
          <w:p w14:paraId="7CEE176E" w14:textId="2B654ACA"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c>
          <w:tcPr>
            <w:tcW w:w="538" w:type="pct"/>
            <w:tcBorders>
              <w:top w:val="single" w:sz="4" w:space="0" w:color="auto"/>
              <w:left w:val="single" w:sz="4" w:space="0" w:color="auto"/>
              <w:bottom w:val="single" w:sz="4" w:space="0" w:color="auto"/>
              <w:right w:val="single" w:sz="4" w:space="0" w:color="auto"/>
            </w:tcBorders>
          </w:tcPr>
          <w:p w14:paraId="5505E52D" w14:textId="77777777" w:rsidR="006F0D5C" w:rsidRPr="00810DBD" w:rsidRDefault="006F0D5C" w:rsidP="00B34D38">
            <w:pPr>
              <w:pStyle w:val="TableText0"/>
              <w:spacing w:line="256" w:lineRule="auto"/>
              <w:jc w:val="center"/>
              <w:rPr>
                <w:lang w:eastAsia="en-US"/>
              </w:rPr>
            </w:pPr>
            <w:r w:rsidRPr="00810DBD">
              <w:t>$7,424</w:t>
            </w:r>
          </w:p>
        </w:tc>
        <w:tc>
          <w:tcPr>
            <w:tcW w:w="534" w:type="pct"/>
            <w:tcBorders>
              <w:top w:val="single" w:sz="4" w:space="0" w:color="auto"/>
              <w:left w:val="single" w:sz="4" w:space="0" w:color="auto"/>
              <w:bottom w:val="single" w:sz="4" w:space="0" w:color="auto"/>
              <w:right w:val="single" w:sz="4" w:space="0" w:color="auto"/>
            </w:tcBorders>
          </w:tcPr>
          <w:p w14:paraId="5E35BFE5" w14:textId="6E46B31D"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r>
      <w:tr w:rsidR="006F0D5C" w14:paraId="66B5700D" w14:textId="77777777" w:rsidTr="0072568D">
        <w:tc>
          <w:tcPr>
            <w:tcW w:w="1000" w:type="pct"/>
            <w:tcBorders>
              <w:top w:val="single" w:sz="4" w:space="0" w:color="auto"/>
              <w:left w:val="single" w:sz="4" w:space="0" w:color="auto"/>
              <w:bottom w:val="single" w:sz="4" w:space="0" w:color="auto"/>
              <w:right w:val="single" w:sz="4" w:space="0" w:color="auto"/>
            </w:tcBorders>
            <w:vAlign w:val="center"/>
          </w:tcPr>
          <w:p w14:paraId="244CA91F" w14:textId="77777777" w:rsidR="006F0D5C" w:rsidRPr="00810DBD" w:rsidRDefault="006F0D5C" w:rsidP="00B34D38">
            <w:pPr>
              <w:pStyle w:val="TableText0"/>
              <w:spacing w:line="256" w:lineRule="auto"/>
              <w:rPr>
                <w:lang w:eastAsia="en-US"/>
              </w:rPr>
            </w:pPr>
            <w:r w:rsidRPr="00810DBD">
              <w:rPr>
                <w:lang w:eastAsia="en-US"/>
              </w:rPr>
              <w:t>LY (ESKD)</w:t>
            </w:r>
          </w:p>
        </w:tc>
        <w:tc>
          <w:tcPr>
            <w:tcW w:w="668" w:type="pct"/>
            <w:tcBorders>
              <w:top w:val="single" w:sz="4" w:space="0" w:color="auto"/>
              <w:left w:val="single" w:sz="4" w:space="0" w:color="auto"/>
              <w:bottom w:val="single" w:sz="4" w:space="0" w:color="auto"/>
              <w:right w:val="single" w:sz="4" w:space="0" w:color="auto"/>
            </w:tcBorders>
          </w:tcPr>
          <w:p w14:paraId="2C00D065" w14:textId="77777777" w:rsidR="006F0D5C" w:rsidRPr="00810DBD" w:rsidRDefault="006F0D5C" w:rsidP="00B34D38">
            <w:pPr>
              <w:pStyle w:val="TableText0"/>
              <w:spacing w:line="256" w:lineRule="auto"/>
              <w:jc w:val="center"/>
              <w:rPr>
                <w:lang w:eastAsia="en-US"/>
              </w:rPr>
            </w:pPr>
            <w:r w:rsidRPr="00810DBD">
              <w:t>0.000</w:t>
            </w:r>
          </w:p>
        </w:tc>
        <w:tc>
          <w:tcPr>
            <w:tcW w:w="609" w:type="pct"/>
            <w:tcBorders>
              <w:top w:val="single" w:sz="4" w:space="0" w:color="auto"/>
              <w:left w:val="single" w:sz="4" w:space="0" w:color="auto"/>
              <w:bottom w:val="single" w:sz="4" w:space="0" w:color="auto"/>
              <w:right w:val="single" w:sz="4" w:space="0" w:color="auto"/>
            </w:tcBorders>
          </w:tcPr>
          <w:p w14:paraId="36478D21" w14:textId="77777777" w:rsidR="006F0D5C" w:rsidRPr="00810DBD" w:rsidRDefault="006F0D5C" w:rsidP="00B34D38">
            <w:pPr>
              <w:pStyle w:val="TableText0"/>
              <w:spacing w:line="256" w:lineRule="auto"/>
              <w:jc w:val="center"/>
              <w:rPr>
                <w:lang w:eastAsia="en-US"/>
              </w:rPr>
            </w:pPr>
            <w:r w:rsidRPr="00810DBD">
              <w:t>0.004</w:t>
            </w:r>
          </w:p>
        </w:tc>
        <w:tc>
          <w:tcPr>
            <w:tcW w:w="786" w:type="pct"/>
            <w:tcBorders>
              <w:top w:val="single" w:sz="4" w:space="0" w:color="auto"/>
              <w:left w:val="single" w:sz="4" w:space="0" w:color="auto"/>
              <w:bottom w:val="single" w:sz="4" w:space="0" w:color="auto"/>
              <w:right w:val="single" w:sz="4" w:space="0" w:color="auto"/>
            </w:tcBorders>
          </w:tcPr>
          <w:p w14:paraId="71FE0E0A" w14:textId="5321451F" w:rsidR="006F0D5C" w:rsidRPr="00810DBD" w:rsidRDefault="00FF1914" w:rsidP="00B34D38">
            <w:pPr>
              <w:pStyle w:val="TableText0"/>
              <w:spacing w:line="256" w:lineRule="auto"/>
              <w:jc w:val="center"/>
              <w:rPr>
                <w:lang w:eastAsia="en-US"/>
              </w:rPr>
            </w:pPr>
            <w:r>
              <w:noBreakHyphen/>
            </w:r>
            <w:r w:rsidR="006F0D5C" w:rsidRPr="00810DBD">
              <w:t>0.004</w:t>
            </w:r>
          </w:p>
        </w:tc>
        <w:tc>
          <w:tcPr>
            <w:tcW w:w="865" w:type="pct"/>
            <w:tcBorders>
              <w:top w:val="single" w:sz="4" w:space="0" w:color="auto"/>
              <w:left w:val="single" w:sz="4" w:space="0" w:color="auto"/>
              <w:bottom w:val="single" w:sz="4" w:space="0" w:color="auto"/>
              <w:right w:val="single" w:sz="4" w:space="0" w:color="auto"/>
            </w:tcBorders>
          </w:tcPr>
          <w:p w14:paraId="3A6D9AC8" w14:textId="77777777" w:rsidR="006F0D5C" w:rsidRPr="00810DBD" w:rsidRDefault="006F0D5C" w:rsidP="00B34D38">
            <w:pPr>
              <w:pStyle w:val="TableText0"/>
              <w:spacing w:line="256" w:lineRule="auto"/>
              <w:jc w:val="center"/>
              <w:rPr>
                <w:lang w:eastAsia="en-US"/>
              </w:rPr>
            </w:pPr>
            <w:r w:rsidRPr="00810DBD">
              <w:t>0.000</w:t>
            </w:r>
          </w:p>
        </w:tc>
        <w:tc>
          <w:tcPr>
            <w:tcW w:w="538" w:type="pct"/>
            <w:tcBorders>
              <w:top w:val="single" w:sz="4" w:space="0" w:color="auto"/>
              <w:left w:val="single" w:sz="4" w:space="0" w:color="auto"/>
              <w:bottom w:val="single" w:sz="4" w:space="0" w:color="auto"/>
              <w:right w:val="single" w:sz="4" w:space="0" w:color="auto"/>
            </w:tcBorders>
          </w:tcPr>
          <w:p w14:paraId="19D7BBF5" w14:textId="77777777" w:rsidR="006F0D5C" w:rsidRPr="00810DBD" w:rsidRDefault="006F0D5C" w:rsidP="00B34D38">
            <w:pPr>
              <w:pStyle w:val="TableText0"/>
              <w:spacing w:line="256" w:lineRule="auto"/>
              <w:jc w:val="center"/>
              <w:rPr>
                <w:lang w:eastAsia="en-US"/>
              </w:rPr>
            </w:pPr>
            <w:r w:rsidRPr="00810DBD">
              <w:t>0.004</w:t>
            </w:r>
          </w:p>
        </w:tc>
        <w:tc>
          <w:tcPr>
            <w:tcW w:w="534" w:type="pct"/>
            <w:tcBorders>
              <w:top w:val="single" w:sz="4" w:space="0" w:color="auto"/>
              <w:left w:val="single" w:sz="4" w:space="0" w:color="auto"/>
              <w:bottom w:val="single" w:sz="4" w:space="0" w:color="auto"/>
              <w:right w:val="single" w:sz="4" w:space="0" w:color="auto"/>
            </w:tcBorders>
          </w:tcPr>
          <w:p w14:paraId="04525C8E" w14:textId="593388AB" w:rsidR="006F0D5C" w:rsidRPr="00810DBD" w:rsidRDefault="00FF1914" w:rsidP="00B34D38">
            <w:pPr>
              <w:pStyle w:val="TableText0"/>
              <w:spacing w:line="256" w:lineRule="auto"/>
              <w:jc w:val="center"/>
              <w:rPr>
                <w:lang w:eastAsia="en-US"/>
              </w:rPr>
            </w:pPr>
            <w:r>
              <w:noBreakHyphen/>
            </w:r>
            <w:r w:rsidR="006F0D5C" w:rsidRPr="00810DBD">
              <w:t>0.004</w:t>
            </w:r>
          </w:p>
        </w:tc>
      </w:tr>
      <w:tr w:rsidR="006F0D5C" w14:paraId="21BEA102" w14:textId="77777777" w:rsidTr="0072568D">
        <w:tc>
          <w:tcPr>
            <w:tcW w:w="1000" w:type="pct"/>
            <w:tcBorders>
              <w:top w:val="single" w:sz="4" w:space="0" w:color="auto"/>
              <w:left w:val="single" w:sz="4" w:space="0" w:color="auto"/>
              <w:bottom w:val="single" w:sz="4" w:space="0" w:color="auto"/>
              <w:right w:val="single" w:sz="4" w:space="0" w:color="auto"/>
            </w:tcBorders>
            <w:vAlign w:val="center"/>
          </w:tcPr>
          <w:p w14:paraId="599892F7" w14:textId="77777777" w:rsidR="006F0D5C" w:rsidRPr="00810DBD" w:rsidRDefault="006F0D5C" w:rsidP="00B34D38">
            <w:pPr>
              <w:pStyle w:val="TableText0"/>
              <w:spacing w:line="256" w:lineRule="auto"/>
              <w:rPr>
                <w:lang w:eastAsia="en-US"/>
              </w:rPr>
            </w:pPr>
            <w:r w:rsidRPr="00810DBD">
              <w:rPr>
                <w:lang w:eastAsia="en-US"/>
              </w:rPr>
              <w:t>LY total</w:t>
            </w:r>
          </w:p>
        </w:tc>
        <w:tc>
          <w:tcPr>
            <w:tcW w:w="668" w:type="pct"/>
            <w:tcBorders>
              <w:top w:val="single" w:sz="4" w:space="0" w:color="auto"/>
              <w:left w:val="single" w:sz="4" w:space="0" w:color="auto"/>
              <w:bottom w:val="single" w:sz="4" w:space="0" w:color="auto"/>
              <w:right w:val="single" w:sz="4" w:space="0" w:color="auto"/>
            </w:tcBorders>
          </w:tcPr>
          <w:p w14:paraId="4D4AEB51" w14:textId="77777777" w:rsidR="006F0D5C" w:rsidRPr="00810DBD" w:rsidRDefault="006F0D5C" w:rsidP="00B34D38">
            <w:pPr>
              <w:pStyle w:val="TableText0"/>
              <w:spacing w:line="256" w:lineRule="auto"/>
              <w:jc w:val="center"/>
              <w:rPr>
                <w:lang w:eastAsia="en-US"/>
              </w:rPr>
            </w:pPr>
            <w:r w:rsidRPr="00810DBD">
              <w:rPr>
                <w:lang w:eastAsia="en-US"/>
              </w:rPr>
              <w:t>1.459</w:t>
            </w:r>
          </w:p>
        </w:tc>
        <w:tc>
          <w:tcPr>
            <w:tcW w:w="609" w:type="pct"/>
            <w:tcBorders>
              <w:top w:val="single" w:sz="4" w:space="0" w:color="auto"/>
              <w:left w:val="single" w:sz="4" w:space="0" w:color="auto"/>
              <w:bottom w:val="single" w:sz="4" w:space="0" w:color="auto"/>
              <w:right w:val="single" w:sz="4" w:space="0" w:color="auto"/>
            </w:tcBorders>
          </w:tcPr>
          <w:p w14:paraId="4E32573E" w14:textId="77777777" w:rsidR="006F0D5C" w:rsidRPr="00810DBD" w:rsidRDefault="006F0D5C" w:rsidP="00B34D38">
            <w:pPr>
              <w:pStyle w:val="TableText0"/>
              <w:spacing w:line="256" w:lineRule="auto"/>
              <w:jc w:val="center"/>
              <w:rPr>
                <w:lang w:eastAsia="en-US"/>
              </w:rPr>
            </w:pPr>
            <w:r w:rsidRPr="00810DBD">
              <w:rPr>
                <w:lang w:eastAsia="en-US"/>
              </w:rPr>
              <w:t>1.462</w:t>
            </w:r>
          </w:p>
        </w:tc>
        <w:tc>
          <w:tcPr>
            <w:tcW w:w="786" w:type="pct"/>
            <w:tcBorders>
              <w:top w:val="single" w:sz="4" w:space="0" w:color="auto"/>
              <w:left w:val="single" w:sz="4" w:space="0" w:color="auto"/>
              <w:bottom w:val="single" w:sz="4" w:space="0" w:color="auto"/>
              <w:right w:val="single" w:sz="4" w:space="0" w:color="auto"/>
            </w:tcBorders>
          </w:tcPr>
          <w:p w14:paraId="7C49D709" w14:textId="3C9799AD" w:rsidR="006F0D5C" w:rsidRPr="00810DBD" w:rsidRDefault="00FF1914" w:rsidP="00B34D38">
            <w:pPr>
              <w:pStyle w:val="TableText0"/>
              <w:spacing w:line="256" w:lineRule="auto"/>
              <w:jc w:val="center"/>
              <w:rPr>
                <w:lang w:eastAsia="en-US"/>
              </w:rPr>
            </w:pPr>
            <w:r>
              <w:rPr>
                <w:lang w:eastAsia="en-US"/>
              </w:rPr>
              <w:noBreakHyphen/>
            </w:r>
            <w:r w:rsidR="006F0D5C" w:rsidRPr="00810DBD">
              <w:rPr>
                <w:lang w:eastAsia="en-US"/>
              </w:rPr>
              <w:t>0.004</w:t>
            </w:r>
          </w:p>
        </w:tc>
        <w:tc>
          <w:tcPr>
            <w:tcW w:w="865" w:type="pct"/>
            <w:tcBorders>
              <w:top w:val="single" w:sz="4" w:space="0" w:color="auto"/>
              <w:left w:val="single" w:sz="4" w:space="0" w:color="auto"/>
              <w:bottom w:val="single" w:sz="4" w:space="0" w:color="auto"/>
              <w:right w:val="single" w:sz="4" w:space="0" w:color="auto"/>
            </w:tcBorders>
          </w:tcPr>
          <w:p w14:paraId="37CB7B97" w14:textId="77777777" w:rsidR="006F0D5C" w:rsidRPr="00810DBD" w:rsidRDefault="006F0D5C" w:rsidP="00B34D38">
            <w:pPr>
              <w:pStyle w:val="TableText0"/>
              <w:spacing w:line="256" w:lineRule="auto"/>
              <w:jc w:val="center"/>
              <w:rPr>
                <w:lang w:eastAsia="en-US"/>
              </w:rPr>
            </w:pPr>
            <w:r w:rsidRPr="00810DBD">
              <w:rPr>
                <w:lang w:eastAsia="en-US"/>
              </w:rPr>
              <w:t>1.459</w:t>
            </w:r>
          </w:p>
        </w:tc>
        <w:tc>
          <w:tcPr>
            <w:tcW w:w="538" w:type="pct"/>
            <w:tcBorders>
              <w:top w:val="single" w:sz="4" w:space="0" w:color="auto"/>
              <w:left w:val="single" w:sz="4" w:space="0" w:color="auto"/>
              <w:bottom w:val="single" w:sz="4" w:space="0" w:color="auto"/>
              <w:right w:val="single" w:sz="4" w:space="0" w:color="auto"/>
            </w:tcBorders>
          </w:tcPr>
          <w:p w14:paraId="14512B7F" w14:textId="77777777" w:rsidR="006F0D5C" w:rsidRPr="00810DBD" w:rsidRDefault="006F0D5C" w:rsidP="00B34D38">
            <w:pPr>
              <w:pStyle w:val="TableText0"/>
              <w:spacing w:line="256" w:lineRule="auto"/>
              <w:jc w:val="center"/>
              <w:rPr>
                <w:lang w:eastAsia="en-US"/>
              </w:rPr>
            </w:pPr>
            <w:r w:rsidRPr="00810DBD">
              <w:rPr>
                <w:lang w:eastAsia="en-US"/>
              </w:rPr>
              <w:t>1.462</w:t>
            </w:r>
          </w:p>
        </w:tc>
        <w:tc>
          <w:tcPr>
            <w:tcW w:w="534" w:type="pct"/>
            <w:tcBorders>
              <w:top w:val="single" w:sz="4" w:space="0" w:color="auto"/>
              <w:left w:val="single" w:sz="4" w:space="0" w:color="auto"/>
              <w:bottom w:val="single" w:sz="4" w:space="0" w:color="auto"/>
              <w:right w:val="single" w:sz="4" w:space="0" w:color="auto"/>
            </w:tcBorders>
          </w:tcPr>
          <w:p w14:paraId="08FE603C" w14:textId="5E165232" w:rsidR="006F0D5C" w:rsidRPr="00810DBD" w:rsidRDefault="00FF1914" w:rsidP="00B34D38">
            <w:pPr>
              <w:pStyle w:val="TableText0"/>
              <w:spacing w:line="256" w:lineRule="auto"/>
              <w:jc w:val="center"/>
              <w:rPr>
                <w:lang w:eastAsia="en-US"/>
              </w:rPr>
            </w:pPr>
            <w:r>
              <w:rPr>
                <w:lang w:eastAsia="en-US"/>
              </w:rPr>
              <w:noBreakHyphen/>
            </w:r>
            <w:r w:rsidR="006F0D5C" w:rsidRPr="00810DBD">
              <w:rPr>
                <w:lang w:eastAsia="en-US"/>
              </w:rPr>
              <w:t>0.004</w:t>
            </w:r>
          </w:p>
        </w:tc>
      </w:tr>
      <w:tr w:rsidR="006F0D5C" w14:paraId="690492DC"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2933A0F2" w14:textId="77777777" w:rsidR="006F0D5C" w:rsidRPr="00810DBD" w:rsidRDefault="006F0D5C" w:rsidP="00B34D38">
            <w:pPr>
              <w:pStyle w:val="TableText0"/>
              <w:spacing w:line="256" w:lineRule="auto"/>
              <w:rPr>
                <w:rFonts w:ascii="Times" w:hAnsi="Times"/>
                <w:lang w:eastAsia="en-US"/>
              </w:rPr>
            </w:pPr>
            <w:r w:rsidRPr="00810DBD">
              <w:rPr>
                <w:lang w:eastAsia="en-US"/>
              </w:rPr>
              <w:t>QALYs</w:t>
            </w:r>
          </w:p>
        </w:tc>
        <w:tc>
          <w:tcPr>
            <w:tcW w:w="668" w:type="pct"/>
            <w:tcBorders>
              <w:top w:val="single" w:sz="4" w:space="0" w:color="auto"/>
              <w:left w:val="single" w:sz="4" w:space="0" w:color="auto"/>
              <w:bottom w:val="single" w:sz="4" w:space="0" w:color="auto"/>
              <w:right w:val="single" w:sz="4" w:space="0" w:color="auto"/>
            </w:tcBorders>
            <w:hideMark/>
          </w:tcPr>
          <w:p w14:paraId="3CB227E0" w14:textId="77777777" w:rsidR="006F0D5C" w:rsidRPr="00810DBD" w:rsidRDefault="006F0D5C" w:rsidP="00B34D38">
            <w:pPr>
              <w:pStyle w:val="TableText0"/>
              <w:spacing w:line="256" w:lineRule="auto"/>
              <w:jc w:val="center"/>
              <w:rPr>
                <w:rFonts w:ascii="Times" w:hAnsi="Times"/>
                <w:lang w:eastAsia="en-US"/>
              </w:rPr>
            </w:pPr>
            <w:r w:rsidRPr="00810DBD">
              <w:t>1.000</w:t>
            </w:r>
          </w:p>
        </w:tc>
        <w:tc>
          <w:tcPr>
            <w:tcW w:w="609" w:type="pct"/>
            <w:tcBorders>
              <w:top w:val="single" w:sz="4" w:space="0" w:color="auto"/>
              <w:left w:val="single" w:sz="4" w:space="0" w:color="auto"/>
              <w:bottom w:val="single" w:sz="4" w:space="0" w:color="auto"/>
              <w:right w:val="single" w:sz="4" w:space="0" w:color="auto"/>
            </w:tcBorders>
            <w:hideMark/>
          </w:tcPr>
          <w:p w14:paraId="19B08C8D" w14:textId="77777777" w:rsidR="006F0D5C" w:rsidRPr="00810DBD" w:rsidRDefault="006F0D5C" w:rsidP="00B34D38">
            <w:pPr>
              <w:pStyle w:val="TableText0"/>
              <w:spacing w:line="256" w:lineRule="auto"/>
              <w:jc w:val="center"/>
              <w:rPr>
                <w:rFonts w:ascii="Times" w:hAnsi="Times"/>
                <w:lang w:eastAsia="en-US"/>
              </w:rPr>
            </w:pPr>
            <w:r w:rsidRPr="00810DBD">
              <w:t>0.990</w:t>
            </w:r>
          </w:p>
        </w:tc>
        <w:tc>
          <w:tcPr>
            <w:tcW w:w="786" w:type="pct"/>
            <w:tcBorders>
              <w:top w:val="single" w:sz="4" w:space="0" w:color="auto"/>
              <w:left w:val="single" w:sz="4" w:space="0" w:color="auto"/>
              <w:bottom w:val="single" w:sz="4" w:space="0" w:color="auto"/>
              <w:right w:val="single" w:sz="4" w:space="0" w:color="auto"/>
            </w:tcBorders>
            <w:hideMark/>
          </w:tcPr>
          <w:p w14:paraId="250CBE56" w14:textId="77777777" w:rsidR="006F0D5C" w:rsidRPr="00810DBD" w:rsidRDefault="006F0D5C" w:rsidP="00B34D38">
            <w:pPr>
              <w:pStyle w:val="TableText0"/>
              <w:spacing w:line="256" w:lineRule="auto"/>
              <w:jc w:val="center"/>
              <w:rPr>
                <w:lang w:eastAsia="en-US"/>
              </w:rPr>
            </w:pPr>
            <w:r w:rsidRPr="00810DBD">
              <w:t>0.010</w:t>
            </w:r>
          </w:p>
        </w:tc>
        <w:tc>
          <w:tcPr>
            <w:tcW w:w="865" w:type="pct"/>
            <w:tcBorders>
              <w:top w:val="single" w:sz="4" w:space="0" w:color="auto"/>
              <w:left w:val="single" w:sz="4" w:space="0" w:color="auto"/>
              <w:bottom w:val="single" w:sz="4" w:space="0" w:color="auto"/>
              <w:right w:val="single" w:sz="4" w:space="0" w:color="auto"/>
            </w:tcBorders>
          </w:tcPr>
          <w:p w14:paraId="74EEBD29" w14:textId="77777777" w:rsidR="006F0D5C" w:rsidRPr="00810DBD" w:rsidRDefault="006F0D5C" w:rsidP="00B34D38">
            <w:pPr>
              <w:pStyle w:val="TableText0"/>
              <w:spacing w:line="256" w:lineRule="auto"/>
              <w:jc w:val="center"/>
              <w:rPr>
                <w:lang w:eastAsia="en-US"/>
              </w:rPr>
            </w:pPr>
            <w:r w:rsidRPr="00810DBD">
              <w:t>1.000</w:t>
            </w:r>
          </w:p>
        </w:tc>
        <w:tc>
          <w:tcPr>
            <w:tcW w:w="538" w:type="pct"/>
            <w:tcBorders>
              <w:top w:val="single" w:sz="4" w:space="0" w:color="auto"/>
              <w:left w:val="single" w:sz="4" w:space="0" w:color="auto"/>
              <w:bottom w:val="single" w:sz="4" w:space="0" w:color="auto"/>
              <w:right w:val="single" w:sz="4" w:space="0" w:color="auto"/>
            </w:tcBorders>
          </w:tcPr>
          <w:p w14:paraId="05DBB885" w14:textId="77777777" w:rsidR="006F0D5C" w:rsidRPr="00810DBD" w:rsidRDefault="006F0D5C" w:rsidP="00B34D38">
            <w:pPr>
              <w:pStyle w:val="TableText0"/>
              <w:spacing w:line="256" w:lineRule="auto"/>
              <w:jc w:val="center"/>
              <w:rPr>
                <w:lang w:eastAsia="en-US"/>
              </w:rPr>
            </w:pPr>
            <w:r w:rsidRPr="00810DBD">
              <w:t>0.990</w:t>
            </w:r>
          </w:p>
        </w:tc>
        <w:tc>
          <w:tcPr>
            <w:tcW w:w="534" w:type="pct"/>
            <w:tcBorders>
              <w:top w:val="single" w:sz="4" w:space="0" w:color="auto"/>
              <w:left w:val="single" w:sz="4" w:space="0" w:color="auto"/>
              <w:bottom w:val="single" w:sz="4" w:space="0" w:color="auto"/>
              <w:right w:val="single" w:sz="4" w:space="0" w:color="auto"/>
            </w:tcBorders>
          </w:tcPr>
          <w:p w14:paraId="59428C13" w14:textId="77777777" w:rsidR="006F0D5C" w:rsidRPr="00810DBD" w:rsidRDefault="006F0D5C" w:rsidP="00B34D38">
            <w:pPr>
              <w:pStyle w:val="TableText0"/>
              <w:spacing w:line="256" w:lineRule="auto"/>
              <w:jc w:val="center"/>
              <w:rPr>
                <w:lang w:eastAsia="en-US"/>
              </w:rPr>
            </w:pPr>
            <w:r w:rsidRPr="00810DBD">
              <w:t>0.010</w:t>
            </w:r>
          </w:p>
        </w:tc>
      </w:tr>
      <w:tr w:rsidR="006F0D5C" w14:paraId="236AA14C" w14:textId="77777777" w:rsidTr="0072568D">
        <w:tc>
          <w:tcPr>
            <w:tcW w:w="2277" w:type="pct"/>
            <w:gridSpan w:val="3"/>
            <w:tcBorders>
              <w:top w:val="single" w:sz="4" w:space="0" w:color="auto"/>
              <w:left w:val="single" w:sz="4" w:space="0" w:color="auto"/>
              <w:bottom w:val="single" w:sz="4" w:space="0" w:color="auto"/>
              <w:right w:val="single" w:sz="4" w:space="0" w:color="auto"/>
            </w:tcBorders>
            <w:vAlign w:val="center"/>
            <w:hideMark/>
          </w:tcPr>
          <w:p w14:paraId="6F82F994" w14:textId="77777777" w:rsidR="006F0D5C" w:rsidRPr="00810DBD" w:rsidRDefault="006F0D5C" w:rsidP="00B34D38">
            <w:pPr>
              <w:pStyle w:val="TableText0"/>
              <w:spacing w:line="256" w:lineRule="auto"/>
              <w:rPr>
                <w:rFonts w:ascii="Times" w:hAnsi="Times"/>
                <w:lang w:eastAsia="en-US"/>
              </w:rPr>
            </w:pPr>
            <w:r w:rsidRPr="00810DBD">
              <w:rPr>
                <w:lang w:eastAsia="en-US"/>
              </w:rPr>
              <w:t>Incremental cost/extra QALY gained</w:t>
            </w:r>
          </w:p>
        </w:tc>
        <w:tc>
          <w:tcPr>
            <w:tcW w:w="786" w:type="pct"/>
            <w:tcBorders>
              <w:top w:val="single" w:sz="4" w:space="0" w:color="auto"/>
              <w:left w:val="single" w:sz="4" w:space="0" w:color="auto"/>
              <w:bottom w:val="single" w:sz="4" w:space="0" w:color="auto"/>
              <w:right w:val="single" w:sz="4" w:space="0" w:color="auto"/>
            </w:tcBorders>
            <w:vAlign w:val="center"/>
            <w:hideMark/>
          </w:tcPr>
          <w:p w14:paraId="0EADA60B" w14:textId="54897183" w:rsidR="006F0D5C" w:rsidRPr="00BE3E67" w:rsidRDefault="006F0D5C" w:rsidP="00B34D38">
            <w:pPr>
              <w:pStyle w:val="TableText0"/>
              <w:spacing w:line="256" w:lineRule="auto"/>
              <w:jc w:val="center"/>
              <w:rPr>
                <w:rFonts w:ascii="Times" w:hAnsi="Times"/>
                <w:vertAlign w:val="superscript"/>
                <w:lang w:eastAsia="en-US"/>
              </w:rPr>
            </w:pPr>
            <w:r w:rsidRPr="00810DBD">
              <w:rPr>
                <w:lang w:eastAsia="en-US"/>
              </w:rPr>
              <w:t>$</w:t>
            </w:r>
            <w:r w:rsidR="00102373" w:rsidRPr="00102373">
              <w:rPr>
                <w:sz w:val="2"/>
                <w:highlight w:val="black"/>
                <w:lang w:eastAsia="en-US"/>
              </w:rPr>
              <w:t>redacted content</w:t>
            </w:r>
            <w:r w:rsidR="00BE3E67">
              <w:rPr>
                <w:vertAlign w:val="superscript"/>
                <w:lang w:eastAsia="en-US"/>
              </w:rPr>
              <w:t>1</w:t>
            </w:r>
          </w:p>
        </w:tc>
        <w:tc>
          <w:tcPr>
            <w:tcW w:w="865" w:type="pct"/>
            <w:tcBorders>
              <w:top w:val="single" w:sz="4" w:space="0" w:color="auto"/>
              <w:left w:val="single" w:sz="4" w:space="0" w:color="auto"/>
              <w:bottom w:val="single" w:sz="4" w:space="0" w:color="auto"/>
              <w:right w:val="single" w:sz="4" w:space="0" w:color="auto"/>
            </w:tcBorders>
          </w:tcPr>
          <w:p w14:paraId="36C7B077" w14:textId="77777777" w:rsidR="006F0D5C" w:rsidRPr="00810DBD" w:rsidRDefault="006F0D5C" w:rsidP="00B34D38">
            <w:pPr>
              <w:pStyle w:val="TableText0"/>
              <w:spacing w:line="256" w:lineRule="auto"/>
              <w:jc w:val="center"/>
              <w:rPr>
                <w:lang w:eastAsia="en-US"/>
              </w:rPr>
            </w:pPr>
          </w:p>
        </w:tc>
        <w:tc>
          <w:tcPr>
            <w:tcW w:w="538" w:type="pct"/>
            <w:tcBorders>
              <w:top w:val="single" w:sz="4" w:space="0" w:color="auto"/>
              <w:left w:val="single" w:sz="4" w:space="0" w:color="auto"/>
              <w:bottom w:val="single" w:sz="4" w:space="0" w:color="auto"/>
              <w:right w:val="single" w:sz="4" w:space="0" w:color="auto"/>
            </w:tcBorders>
          </w:tcPr>
          <w:p w14:paraId="25C98F1D" w14:textId="77777777" w:rsidR="006F0D5C" w:rsidRPr="00810DBD" w:rsidRDefault="006F0D5C" w:rsidP="00B34D38">
            <w:pPr>
              <w:pStyle w:val="TableText0"/>
              <w:spacing w:line="256" w:lineRule="auto"/>
              <w:jc w:val="center"/>
              <w:rPr>
                <w:lang w:eastAsia="en-US"/>
              </w:rPr>
            </w:pPr>
          </w:p>
        </w:tc>
        <w:tc>
          <w:tcPr>
            <w:tcW w:w="534" w:type="pct"/>
            <w:tcBorders>
              <w:top w:val="single" w:sz="4" w:space="0" w:color="auto"/>
              <w:left w:val="single" w:sz="4" w:space="0" w:color="auto"/>
              <w:bottom w:val="single" w:sz="4" w:space="0" w:color="auto"/>
              <w:right w:val="single" w:sz="4" w:space="0" w:color="auto"/>
            </w:tcBorders>
          </w:tcPr>
          <w:p w14:paraId="408402C2" w14:textId="7106C42C" w:rsidR="006F0D5C" w:rsidRPr="00BE3E67" w:rsidRDefault="006F0D5C" w:rsidP="00B34D38">
            <w:pPr>
              <w:pStyle w:val="TableText0"/>
              <w:spacing w:line="256" w:lineRule="auto"/>
              <w:jc w:val="center"/>
              <w:rPr>
                <w:vertAlign w:val="superscript"/>
                <w:lang w:eastAsia="en-US"/>
              </w:rPr>
            </w:pPr>
            <w:r w:rsidRPr="00810DBD">
              <w:rPr>
                <w:lang w:eastAsia="en-US"/>
              </w:rPr>
              <w:t>$</w:t>
            </w:r>
            <w:r w:rsidR="00102373" w:rsidRPr="00102373">
              <w:rPr>
                <w:sz w:val="2"/>
                <w:highlight w:val="black"/>
                <w:lang w:eastAsia="en-US"/>
              </w:rPr>
              <w:t>redacted content</w:t>
            </w:r>
            <w:r w:rsidR="00BE3E67">
              <w:rPr>
                <w:vertAlign w:val="superscript"/>
                <w:lang w:eastAsia="en-US"/>
              </w:rPr>
              <w:t>1</w:t>
            </w:r>
          </w:p>
        </w:tc>
      </w:tr>
      <w:tr w:rsidR="006F0D5C" w14:paraId="305C38CC" w14:textId="77777777" w:rsidTr="0072568D">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CBAABC3" w14:textId="0200EA77" w:rsidR="006F0D5C" w:rsidRPr="00810DBD" w:rsidRDefault="006F0D5C" w:rsidP="00B34D38">
            <w:pPr>
              <w:pStyle w:val="In-tableHeading"/>
              <w:spacing w:line="256" w:lineRule="auto"/>
              <w:rPr>
                <w:lang w:val="en-AU" w:eastAsia="en-US"/>
              </w:rPr>
            </w:pPr>
            <w:r w:rsidRPr="00810DBD">
              <w:rPr>
                <w:lang w:val="en-AU" w:eastAsia="en-US"/>
              </w:rPr>
              <w:t>Step 4: 20</w:t>
            </w:r>
            <w:r w:rsidR="00FF1914">
              <w:rPr>
                <w:lang w:val="en-AU" w:eastAsia="en-US"/>
              </w:rPr>
              <w:noBreakHyphen/>
            </w:r>
            <w:r w:rsidRPr="00810DBD">
              <w:rPr>
                <w:lang w:val="en-AU" w:eastAsia="en-US"/>
              </w:rPr>
              <w:t>year time horizon, all costs and utilities, discounting 5% per year (base case)</w:t>
            </w:r>
          </w:p>
        </w:tc>
      </w:tr>
      <w:tr w:rsidR="006F0D5C" w14:paraId="03E819BA"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5CFBC598" w14:textId="77777777" w:rsidR="006F0D5C" w:rsidRPr="00810DBD" w:rsidRDefault="006F0D5C" w:rsidP="00B34D38">
            <w:pPr>
              <w:pStyle w:val="TableText0"/>
              <w:spacing w:line="256" w:lineRule="auto"/>
              <w:rPr>
                <w:rFonts w:ascii="Times" w:hAnsi="Times"/>
                <w:lang w:eastAsia="en-US"/>
              </w:rPr>
            </w:pPr>
            <w:r w:rsidRPr="00810DBD">
              <w:rPr>
                <w:lang w:eastAsia="en-US"/>
              </w:rPr>
              <w:t>Costs</w:t>
            </w:r>
          </w:p>
        </w:tc>
        <w:tc>
          <w:tcPr>
            <w:tcW w:w="668" w:type="pct"/>
            <w:tcBorders>
              <w:top w:val="single" w:sz="4" w:space="0" w:color="auto"/>
              <w:left w:val="single" w:sz="4" w:space="0" w:color="auto"/>
              <w:bottom w:val="single" w:sz="4" w:space="0" w:color="auto"/>
              <w:right w:val="single" w:sz="4" w:space="0" w:color="auto"/>
            </w:tcBorders>
            <w:hideMark/>
          </w:tcPr>
          <w:p w14:paraId="41D8501B" w14:textId="4FD2211F" w:rsidR="006F0D5C" w:rsidRPr="00810DBD" w:rsidRDefault="006F0D5C" w:rsidP="00B34D38">
            <w:pPr>
              <w:pStyle w:val="TableText0"/>
              <w:spacing w:line="256" w:lineRule="auto"/>
              <w:jc w:val="center"/>
              <w:rPr>
                <w:rFonts w:ascii="Times" w:hAnsi="Times"/>
                <w:lang w:eastAsia="en-US"/>
              </w:rPr>
            </w:pPr>
            <w:r w:rsidRPr="00810DBD">
              <w:rPr>
                <w:lang w:eastAsia="en-US"/>
              </w:rPr>
              <w:t>$</w:t>
            </w:r>
            <w:r w:rsidR="00102373" w:rsidRPr="00102373">
              <w:rPr>
                <w:sz w:val="2"/>
                <w:highlight w:val="black"/>
                <w:lang w:eastAsia="en-US"/>
              </w:rPr>
              <w:t>redacted content</w:t>
            </w:r>
          </w:p>
        </w:tc>
        <w:tc>
          <w:tcPr>
            <w:tcW w:w="609" w:type="pct"/>
            <w:tcBorders>
              <w:top w:val="single" w:sz="4" w:space="0" w:color="auto"/>
              <w:left w:val="single" w:sz="4" w:space="0" w:color="auto"/>
              <w:bottom w:val="single" w:sz="4" w:space="0" w:color="auto"/>
              <w:right w:val="single" w:sz="4" w:space="0" w:color="auto"/>
            </w:tcBorders>
            <w:hideMark/>
          </w:tcPr>
          <w:p w14:paraId="2285E743"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$110,788</w:t>
            </w:r>
          </w:p>
        </w:tc>
        <w:tc>
          <w:tcPr>
            <w:tcW w:w="786" w:type="pct"/>
            <w:tcBorders>
              <w:top w:val="single" w:sz="4" w:space="0" w:color="auto"/>
              <w:left w:val="single" w:sz="4" w:space="0" w:color="auto"/>
              <w:bottom w:val="single" w:sz="4" w:space="0" w:color="auto"/>
              <w:right w:val="single" w:sz="4" w:space="0" w:color="auto"/>
            </w:tcBorders>
            <w:hideMark/>
          </w:tcPr>
          <w:p w14:paraId="0605CBD0" w14:textId="78005335" w:rsidR="006F0D5C" w:rsidRPr="00810DBD" w:rsidRDefault="006F0D5C" w:rsidP="00B34D38">
            <w:pPr>
              <w:pStyle w:val="TableText0"/>
              <w:spacing w:line="256" w:lineRule="auto"/>
              <w:jc w:val="center"/>
              <w:rPr>
                <w:rFonts w:ascii="Times" w:hAnsi="Times"/>
                <w:lang w:eastAsia="en-US"/>
              </w:rPr>
            </w:pPr>
            <w:r w:rsidRPr="00810DBD">
              <w:rPr>
                <w:lang w:eastAsia="en-US"/>
              </w:rPr>
              <w:t>$</w:t>
            </w:r>
            <w:r w:rsidR="00102373" w:rsidRPr="00102373">
              <w:rPr>
                <w:sz w:val="2"/>
                <w:highlight w:val="black"/>
                <w:lang w:eastAsia="en-US"/>
              </w:rPr>
              <w:t>redacted content</w:t>
            </w:r>
          </w:p>
        </w:tc>
        <w:tc>
          <w:tcPr>
            <w:tcW w:w="865" w:type="pct"/>
            <w:tcBorders>
              <w:top w:val="single" w:sz="4" w:space="0" w:color="auto"/>
              <w:left w:val="single" w:sz="4" w:space="0" w:color="auto"/>
              <w:bottom w:val="single" w:sz="4" w:space="0" w:color="auto"/>
              <w:right w:val="single" w:sz="4" w:space="0" w:color="auto"/>
            </w:tcBorders>
          </w:tcPr>
          <w:p w14:paraId="27688F34" w14:textId="6EBD810C"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c>
          <w:tcPr>
            <w:tcW w:w="538" w:type="pct"/>
            <w:tcBorders>
              <w:top w:val="single" w:sz="4" w:space="0" w:color="auto"/>
              <w:left w:val="single" w:sz="4" w:space="0" w:color="auto"/>
              <w:bottom w:val="single" w:sz="4" w:space="0" w:color="auto"/>
              <w:right w:val="single" w:sz="4" w:space="0" w:color="auto"/>
            </w:tcBorders>
          </w:tcPr>
          <w:p w14:paraId="714A90E9" w14:textId="77777777" w:rsidR="006F0D5C" w:rsidRPr="00810DBD" w:rsidRDefault="006F0D5C" w:rsidP="00B34D38">
            <w:pPr>
              <w:pStyle w:val="TableText0"/>
              <w:spacing w:line="256" w:lineRule="auto"/>
              <w:jc w:val="center"/>
              <w:rPr>
                <w:lang w:eastAsia="en-US"/>
              </w:rPr>
            </w:pPr>
            <w:r w:rsidRPr="00810DBD">
              <w:t>$93,911</w:t>
            </w:r>
          </w:p>
        </w:tc>
        <w:tc>
          <w:tcPr>
            <w:tcW w:w="534" w:type="pct"/>
            <w:tcBorders>
              <w:top w:val="single" w:sz="4" w:space="0" w:color="auto"/>
              <w:left w:val="single" w:sz="4" w:space="0" w:color="auto"/>
              <w:bottom w:val="single" w:sz="4" w:space="0" w:color="auto"/>
              <w:right w:val="single" w:sz="4" w:space="0" w:color="auto"/>
            </w:tcBorders>
          </w:tcPr>
          <w:p w14:paraId="54A61E60" w14:textId="380916B8" w:rsidR="006F0D5C" w:rsidRPr="00810DBD" w:rsidRDefault="006F0D5C" w:rsidP="00B34D38">
            <w:pPr>
              <w:pStyle w:val="TableText0"/>
              <w:spacing w:line="256" w:lineRule="auto"/>
              <w:jc w:val="center"/>
              <w:rPr>
                <w:lang w:eastAsia="en-US"/>
              </w:rPr>
            </w:pPr>
            <w:r w:rsidRPr="00810DBD">
              <w:t>$</w:t>
            </w:r>
            <w:r w:rsidR="00102373" w:rsidRPr="00102373">
              <w:rPr>
                <w:sz w:val="2"/>
                <w:highlight w:val="black"/>
              </w:rPr>
              <w:t>redacted content</w:t>
            </w:r>
          </w:p>
        </w:tc>
      </w:tr>
      <w:tr w:rsidR="006F0D5C" w14:paraId="46130D93"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7A2FA7AB" w14:textId="77777777" w:rsidR="006F0D5C" w:rsidRPr="00810DBD" w:rsidRDefault="006F0D5C" w:rsidP="00B34D38">
            <w:pPr>
              <w:pStyle w:val="TableText0"/>
              <w:spacing w:line="256" w:lineRule="auto"/>
              <w:rPr>
                <w:rFonts w:ascii="Times" w:hAnsi="Times"/>
                <w:lang w:eastAsia="en-US"/>
              </w:rPr>
            </w:pPr>
            <w:r w:rsidRPr="00810DBD">
              <w:rPr>
                <w:lang w:eastAsia="en-US"/>
              </w:rPr>
              <w:t>LY (ESKD)</w:t>
            </w:r>
          </w:p>
        </w:tc>
        <w:tc>
          <w:tcPr>
            <w:tcW w:w="668" w:type="pct"/>
            <w:tcBorders>
              <w:top w:val="single" w:sz="4" w:space="0" w:color="auto"/>
              <w:left w:val="single" w:sz="4" w:space="0" w:color="auto"/>
              <w:bottom w:val="single" w:sz="4" w:space="0" w:color="auto"/>
              <w:right w:val="single" w:sz="4" w:space="0" w:color="auto"/>
            </w:tcBorders>
            <w:hideMark/>
          </w:tcPr>
          <w:p w14:paraId="114046AE"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0.679</w:t>
            </w:r>
          </w:p>
        </w:tc>
        <w:tc>
          <w:tcPr>
            <w:tcW w:w="609" w:type="pct"/>
            <w:tcBorders>
              <w:top w:val="single" w:sz="4" w:space="0" w:color="auto"/>
              <w:left w:val="single" w:sz="4" w:space="0" w:color="auto"/>
              <w:bottom w:val="single" w:sz="4" w:space="0" w:color="auto"/>
              <w:right w:val="single" w:sz="4" w:space="0" w:color="auto"/>
            </w:tcBorders>
            <w:hideMark/>
          </w:tcPr>
          <w:p w14:paraId="69E448EA"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0.954</w:t>
            </w:r>
          </w:p>
        </w:tc>
        <w:tc>
          <w:tcPr>
            <w:tcW w:w="786" w:type="pct"/>
            <w:tcBorders>
              <w:top w:val="single" w:sz="4" w:space="0" w:color="auto"/>
              <w:left w:val="single" w:sz="4" w:space="0" w:color="auto"/>
              <w:bottom w:val="single" w:sz="4" w:space="0" w:color="auto"/>
              <w:right w:val="single" w:sz="4" w:space="0" w:color="auto"/>
            </w:tcBorders>
            <w:hideMark/>
          </w:tcPr>
          <w:p w14:paraId="75CE32B0" w14:textId="53958BAB" w:rsidR="006F0D5C" w:rsidRPr="00810DBD" w:rsidRDefault="00FF1914" w:rsidP="00B34D38">
            <w:pPr>
              <w:pStyle w:val="TableText0"/>
              <w:spacing w:line="256" w:lineRule="auto"/>
              <w:jc w:val="center"/>
              <w:rPr>
                <w:lang w:eastAsia="en-US"/>
              </w:rPr>
            </w:pPr>
            <w:r>
              <w:rPr>
                <w:lang w:eastAsia="en-US"/>
              </w:rPr>
              <w:noBreakHyphen/>
            </w:r>
            <w:r w:rsidR="006F0D5C" w:rsidRPr="00810DBD">
              <w:rPr>
                <w:lang w:eastAsia="en-US"/>
              </w:rPr>
              <w:t>0.275</w:t>
            </w:r>
          </w:p>
        </w:tc>
        <w:tc>
          <w:tcPr>
            <w:tcW w:w="865" w:type="pct"/>
            <w:tcBorders>
              <w:top w:val="single" w:sz="4" w:space="0" w:color="auto"/>
              <w:left w:val="single" w:sz="4" w:space="0" w:color="auto"/>
              <w:bottom w:val="single" w:sz="4" w:space="0" w:color="auto"/>
              <w:right w:val="single" w:sz="4" w:space="0" w:color="auto"/>
            </w:tcBorders>
          </w:tcPr>
          <w:p w14:paraId="027B898B" w14:textId="77777777" w:rsidR="006F0D5C" w:rsidRPr="00810DBD" w:rsidRDefault="006F0D5C" w:rsidP="00B34D38">
            <w:pPr>
              <w:pStyle w:val="TableText0"/>
              <w:spacing w:line="256" w:lineRule="auto"/>
              <w:jc w:val="center"/>
              <w:rPr>
                <w:lang w:eastAsia="en-US"/>
              </w:rPr>
            </w:pPr>
            <w:r w:rsidRPr="00810DBD">
              <w:t>0.576</w:t>
            </w:r>
          </w:p>
        </w:tc>
        <w:tc>
          <w:tcPr>
            <w:tcW w:w="538" w:type="pct"/>
            <w:tcBorders>
              <w:top w:val="single" w:sz="4" w:space="0" w:color="auto"/>
              <w:left w:val="single" w:sz="4" w:space="0" w:color="auto"/>
              <w:bottom w:val="single" w:sz="4" w:space="0" w:color="auto"/>
              <w:right w:val="single" w:sz="4" w:space="0" w:color="auto"/>
            </w:tcBorders>
          </w:tcPr>
          <w:p w14:paraId="585859DC" w14:textId="77777777" w:rsidR="006F0D5C" w:rsidRPr="00810DBD" w:rsidRDefault="006F0D5C" w:rsidP="00B34D38">
            <w:pPr>
              <w:pStyle w:val="TableText0"/>
              <w:spacing w:line="256" w:lineRule="auto"/>
              <w:jc w:val="center"/>
              <w:rPr>
                <w:lang w:eastAsia="en-US"/>
              </w:rPr>
            </w:pPr>
            <w:r w:rsidRPr="00810DBD">
              <w:t>0.805</w:t>
            </w:r>
          </w:p>
        </w:tc>
        <w:tc>
          <w:tcPr>
            <w:tcW w:w="534" w:type="pct"/>
            <w:tcBorders>
              <w:top w:val="single" w:sz="4" w:space="0" w:color="auto"/>
              <w:left w:val="single" w:sz="4" w:space="0" w:color="auto"/>
              <w:bottom w:val="single" w:sz="4" w:space="0" w:color="auto"/>
              <w:right w:val="single" w:sz="4" w:space="0" w:color="auto"/>
            </w:tcBorders>
          </w:tcPr>
          <w:p w14:paraId="507C27E3" w14:textId="6BFF7D77" w:rsidR="006F0D5C" w:rsidRPr="00810DBD" w:rsidRDefault="00FF1914" w:rsidP="00B34D38">
            <w:pPr>
              <w:pStyle w:val="TableText0"/>
              <w:spacing w:line="256" w:lineRule="auto"/>
              <w:jc w:val="center"/>
              <w:rPr>
                <w:lang w:eastAsia="en-US"/>
              </w:rPr>
            </w:pPr>
            <w:r>
              <w:noBreakHyphen/>
            </w:r>
            <w:r w:rsidR="006F0D5C" w:rsidRPr="00810DBD">
              <w:t>0.228</w:t>
            </w:r>
          </w:p>
        </w:tc>
      </w:tr>
      <w:tr w:rsidR="006F0D5C" w14:paraId="314E5032"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63FC9FA2" w14:textId="77777777" w:rsidR="006F0D5C" w:rsidRPr="00810DBD" w:rsidRDefault="006F0D5C" w:rsidP="00B34D38">
            <w:pPr>
              <w:pStyle w:val="TableText0"/>
              <w:spacing w:line="256" w:lineRule="auto"/>
              <w:rPr>
                <w:lang w:eastAsia="en-US"/>
              </w:rPr>
            </w:pPr>
            <w:r w:rsidRPr="00810DBD">
              <w:rPr>
                <w:lang w:eastAsia="en-US"/>
              </w:rPr>
              <w:t>LY Total</w:t>
            </w:r>
          </w:p>
        </w:tc>
        <w:tc>
          <w:tcPr>
            <w:tcW w:w="668" w:type="pct"/>
            <w:tcBorders>
              <w:top w:val="single" w:sz="4" w:space="0" w:color="auto"/>
              <w:left w:val="single" w:sz="4" w:space="0" w:color="auto"/>
              <w:bottom w:val="single" w:sz="4" w:space="0" w:color="auto"/>
              <w:right w:val="single" w:sz="4" w:space="0" w:color="auto"/>
            </w:tcBorders>
            <w:hideMark/>
          </w:tcPr>
          <w:p w14:paraId="6D8504E2" w14:textId="77777777" w:rsidR="006F0D5C" w:rsidRPr="00810DBD" w:rsidRDefault="006F0D5C" w:rsidP="00B34D38">
            <w:pPr>
              <w:pStyle w:val="TableText0"/>
              <w:spacing w:line="256" w:lineRule="auto"/>
              <w:jc w:val="center"/>
              <w:rPr>
                <w:lang w:eastAsia="en-US"/>
              </w:rPr>
            </w:pPr>
            <w:r w:rsidRPr="00810DBD">
              <w:rPr>
                <w:lang w:eastAsia="en-US"/>
              </w:rPr>
              <w:t>11.874</w:t>
            </w:r>
          </w:p>
        </w:tc>
        <w:tc>
          <w:tcPr>
            <w:tcW w:w="609" w:type="pct"/>
            <w:tcBorders>
              <w:top w:val="single" w:sz="4" w:space="0" w:color="auto"/>
              <w:left w:val="single" w:sz="4" w:space="0" w:color="auto"/>
              <w:bottom w:val="single" w:sz="4" w:space="0" w:color="auto"/>
              <w:right w:val="single" w:sz="4" w:space="0" w:color="auto"/>
            </w:tcBorders>
            <w:hideMark/>
          </w:tcPr>
          <w:p w14:paraId="231935AF" w14:textId="77777777" w:rsidR="006F0D5C" w:rsidRPr="00810DBD" w:rsidRDefault="006F0D5C" w:rsidP="00B34D38">
            <w:pPr>
              <w:pStyle w:val="TableText0"/>
              <w:spacing w:line="256" w:lineRule="auto"/>
              <w:jc w:val="center"/>
              <w:rPr>
                <w:lang w:eastAsia="en-US"/>
              </w:rPr>
            </w:pPr>
            <w:r w:rsidRPr="00810DBD">
              <w:rPr>
                <w:lang w:eastAsia="en-US"/>
              </w:rPr>
              <w:t>11.804</w:t>
            </w:r>
          </w:p>
        </w:tc>
        <w:tc>
          <w:tcPr>
            <w:tcW w:w="786" w:type="pct"/>
            <w:tcBorders>
              <w:top w:val="single" w:sz="4" w:space="0" w:color="auto"/>
              <w:left w:val="single" w:sz="4" w:space="0" w:color="auto"/>
              <w:bottom w:val="single" w:sz="4" w:space="0" w:color="auto"/>
              <w:right w:val="single" w:sz="4" w:space="0" w:color="auto"/>
            </w:tcBorders>
            <w:hideMark/>
          </w:tcPr>
          <w:p w14:paraId="192D3D7D" w14:textId="77777777" w:rsidR="006F0D5C" w:rsidRPr="00810DBD" w:rsidRDefault="006F0D5C" w:rsidP="00B34D38">
            <w:pPr>
              <w:pStyle w:val="TableText0"/>
              <w:spacing w:line="256" w:lineRule="auto"/>
              <w:jc w:val="center"/>
              <w:rPr>
                <w:lang w:eastAsia="en-US"/>
              </w:rPr>
            </w:pPr>
            <w:r w:rsidRPr="00810DBD">
              <w:rPr>
                <w:lang w:eastAsia="en-US"/>
              </w:rPr>
              <w:t>0.070</w:t>
            </w:r>
          </w:p>
        </w:tc>
        <w:tc>
          <w:tcPr>
            <w:tcW w:w="865" w:type="pct"/>
            <w:tcBorders>
              <w:top w:val="single" w:sz="4" w:space="0" w:color="auto"/>
              <w:left w:val="single" w:sz="4" w:space="0" w:color="auto"/>
              <w:bottom w:val="single" w:sz="4" w:space="0" w:color="auto"/>
              <w:right w:val="single" w:sz="4" w:space="0" w:color="auto"/>
            </w:tcBorders>
          </w:tcPr>
          <w:p w14:paraId="779C9FC0" w14:textId="77777777" w:rsidR="006F0D5C" w:rsidRPr="00810DBD" w:rsidRDefault="006F0D5C" w:rsidP="00B34D38">
            <w:pPr>
              <w:pStyle w:val="TableText0"/>
              <w:spacing w:line="256" w:lineRule="auto"/>
              <w:jc w:val="center"/>
              <w:rPr>
                <w:lang w:eastAsia="en-US"/>
              </w:rPr>
            </w:pPr>
            <w:r w:rsidRPr="00810DBD">
              <w:rPr>
                <w:lang w:eastAsia="en-US"/>
              </w:rPr>
              <w:t>11.771</w:t>
            </w:r>
          </w:p>
        </w:tc>
        <w:tc>
          <w:tcPr>
            <w:tcW w:w="538" w:type="pct"/>
            <w:tcBorders>
              <w:top w:val="single" w:sz="4" w:space="0" w:color="auto"/>
              <w:left w:val="single" w:sz="4" w:space="0" w:color="auto"/>
              <w:bottom w:val="single" w:sz="4" w:space="0" w:color="auto"/>
              <w:right w:val="single" w:sz="4" w:space="0" w:color="auto"/>
            </w:tcBorders>
          </w:tcPr>
          <w:p w14:paraId="4EA9838F" w14:textId="77777777" w:rsidR="006F0D5C" w:rsidRPr="00810DBD" w:rsidRDefault="006F0D5C" w:rsidP="00B34D38">
            <w:pPr>
              <w:pStyle w:val="TableText0"/>
              <w:spacing w:line="256" w:lineRule="auto"/>
              <w:jc w:val="center"/>
              <w:rPr>
                <w:lang w:eastAsia="en-US"/>
              </w:rPr>
            </w:pPr>
            <w:r w:rsidRPr="00810DBD">
              <w:rPr>
                <w:lang w:eastAsia="en-US"/>
              </w:rPr>
              <w:t>11.655</w:t>
            </w:r>
          </w:p>
        </w:tc>
        <w:tc>
          <w:tcPr>
            <w:tcW w:w="534" w:type="pct"/>
            <w:tcBorders>
              <w:top w:val="single" w:sz="4" w:space="0" w:color="auto"/>
              <w:left w:val="single" w:sz="4" w:space="0" w:color="auto"/>
              <w:bottom w:val="single" w:sz="4" w:space="0" w:color="auto"/>
              <w:right w:val="single" w:sz="4" w:space="0" w:color="auto"/>
            </w:tcBorders>
          </w:tcPr>
          <w:p w14:paraId="5828D3B3" w14:textId="77777777" w:rsidR="006F0D5C" w:rsidRPr="00810DBD" w:rsidRDefault="006F0D5C" w:rsidP="00B34D38">
            <w:pPr>
              <w:pStyle w:val="TableText0"/>
              <w:spacing w:line="256" w:lineRule="auto"/>
              <w:jc w:val="center"/>
              <w:rPr>
                <w:lang w:eastAsia="en-US"/>
              </w:rPr>
            </w:pPr>
            <w:r w:rsidRPr="00810DBD">
              <w:rPr>
                <w:lang w:eastAsia="en-US"/>
              </w:rPr>
              <w:t>0.116</w:t>
            </w:r>
          </w:p>
        </w:tc>
      </w:tr>
      <w:tr w:rsidR="006F0D5C" w14:paraId="6776D6F2" w14:textId="77777777" w:rsidTr="0072568D">
        <w:tc>
          <w:tcPr>
            <w:tcW w:w="1000" w:type="pct"/>
            <w:tcBorders>
              <w:top w:val="single" w:sz="4" w:space="0" w:color="auto"/>
              <w:left w:val="single" w:sz="4" w:space="0" w:color="auto"/>
              <w:bottom w:val="single" w:sz="4" w:space="0" w:color="auto"/>
              <w:right w:val="single" w:sz="4" w:space="0" w:color="auto"/>
            </w:tcBorders>
            <w:vAlign w:val="center"/>
            <w:hideMark/>
          </w:tcPr>
          <w:p w14:paraId="246763A9" w14:textId="77777777" w:rsidR="006F0D5C" w:rsidRPr="00810DBD" w:rsidRDefault="006F0D5C" w:rsidP="00B34D38">
            <w:pPr>
              <w:pStyle w:val="TableText0"/>
              <w:spacing w:line="256" w:lineRule="auto"/>
              <w:rPr>
                <w:rFonts w:ascii="Times" w:hAnsi="Times"/>
                <w:lang w:eastAsia="en-US"/>
              </w:rPr>
            </w:pPr>
            <w:r w:rsidRPr="00810DBD">
              <w:rPr>
                <w:lang w:eastAsia="en-US"/>
              </w:rPr>
              <w:t>QALYs</w:t>
            </w:r>
          </w:p>
        </w:tc>
        <w:tc>
          <w:tcPr>
            <w:tcW w:w="668" w:type="pct"/>
            <w:tcBorders>
              <w:top w:val="single" w:sz="4" w:space="0" w:color="auto"/>
              <w:left w:val="single" w:sz="4" w:space="0" w:color="auto"/>
              <w:bottom w:val="single" w:sz="4" w:space="0" w:color="auto"/>
              <w:right w:val="single" w:sz="4" w:space="0" w:color="auto"/>
            </w:tcBorders>
            <w:hideMark/>
          </w:tcPr>
          <w:p w14:paraId="2D67078A"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8.445</w:t>
            </w:r>
          </w:p>
        </w:tc>
        <w:tc>
          <w:tcPr>
            <w:tcW w:w="609" w:type="pct"/>
            <w:tcBorders>
              <w:top w:val="single" w:sz="4" w:space="0" w:color="auto"/>
              <w:left w:val="single" w:sz="4" w:space="0" w:color="auto"/>
              <w:bottom w:val="single" w:sz="4" w:space="0" w:color="auto"/>
              <w:right w:val="single" w:sz="4" w:space="0" w:color="auto"/>
            </w:tcBorders>
            <w:hideMark/>
          </w:tcPr>
          <w:p w14:paraId="6498F500" w14:textId="77777777" w:rsidR="006F0D5C" w:rsidRPr="00810DBD" w:rsidRDefault="006F0D5C" w:rsidP="00B34D38">
            <w:pPr>
              <w:pStyle w:val="TableText0"/>
              <w:spacing w:line="256" w:lineRule="auto"/>
              <w:jc w:val="center"/>
              <w:rPr>
                <w:rFonts w:ascii="Times" w:hAnsi="Times"/>
                <w:lang w:eastAsia="en-US"/>
              </w:rPr>
            </w:pPr>
            <w:r w:rsidRPr="00810DBD">
              <w:rPr>
                <w:lang w:eastAsia="en-US"/>
              </w:rPr>
              <w:t>8.110</w:t>
            </w:r>
          </w:p>
        </w:tc>
        <w:tc>
          <w:tcPr>
            <w:tcW w:w="786" w:type="pct"/>
            <w:tcBorders>
              <w:top w:val="single" w:sz="4" w:space="0" w:color="auto"/>
              <w:left w:val="single" w:sz="4" w:space="0" w:color="auto"/>
              <w:bottom w:val="single" w:sz="4" w:space="0" w:color="auto"/>
              <w:right w:val="single" w:sz="4" w:space="0" w:color="auto"/>
            </w:tcBorders>
            <w:hideMark/>
          </w:tcPr>
          <w:p w14:paraId="5AFBDFDC" w14:textId="77777777" w:rsidR="006F0D5C" w:rsidRPr="00810DBD" w:rsidRDefault="006F0D5C" w:rsidP="00B34D38">
            <w:pPr>
              <w:pStyle w:val="TableText0"/>
              <w:spacing w:line="256" w:lineRule="auto"/>
              <w:jc w:val="center"/>
              <w:rPr>
                <w:lang w:eastAsia="en-US"/>
              </w:rPr>
            </w:pPr>
            <w:r w:rsidRPr="00810DBD">
              <w:rPr>
                <w:lang w:eastAsia="en-US"/>
              </w:rPr>
              <w:t>0.336</w:t>
            </w:r>
          </w:p>
        </w:tc>
        <w:tc>
          <w:tcPr>
            <w:tcW w:w="865" w:type="pct"/>
            <w:tcBorders>
              <w:top w:val="single" w:sz="4" w:space="0" w:color="auto"/>
              <w:left w:val="single" w:sz="4" w:space="0" w:color="auto"/>
              <w:bottom w:val="single" w:sz="4" w:space="0" w:color="auto"/>
              <w:right w:val="single" w:sz="4" w:space="0" w:color="auto"/>
            </w:tcBorders>
          </w:tcPr>
          <w:p w14:paraId="0BC7D31E" w14:textId="77777777" w:rsidR="006F0D5C" w:rsidRPr="00810DBD" w:rsidRDefault="006F0D5C" w:rsidP="00B34D38">
            <w:pPr>
              <w:pStyle w:val="TableText0"/>
              <w:spacing w:line="256" w:lineRule="auto"/>
              <w:jc w:val="center"/>
              <w:rPr>
                <w:lang w:eastAsia="en-US"/>
              </w:rPr>
            </w:pPr>
            <w:r w:rsidRPr="00810DBD">
              <w:t>8.366</w:t>
            </w:r>
          </w:p>
        </w:tc>
        <w:tc>
          <w:tcPr>
            <w:tcW w:w="538" w:type="pct"/>
            <w:tcBorders>
              <w:top w:val="single" w:sz="4" w:space="0" w:color="auto"/>
              <w:left w:val="single" w:sz="4" w:space="0" w:color="auto"/>
              <w:bottom w:val="single" w:sz="4" w:space="0" w:color="auto"/>
              <w:right w:val="single" w:sz="4" w:space="0" w:color="auto"/>
            </w:tcBorders>
          </w:tcPr>
          <w:p w14:paraId="0BFAD15C" w14:textId="77777777" w:rsidR="006F0D5C" w:rsidRPr="00810DBD" w:rsidRDefault="006F0D5C" w:rsidP="00B34D38">
            <w:pPr>
              <w:pStyle w:val="TableText0"/>
              <w:spacing w:line="256" w:lineRule="auto"/>
              <w:jc w:val="center"/>
              <w:rPr>
                <w:lang w:eastAsia="en-US"/>
              </w:rPr>
            </w:pPr>
            <w:r w:rsidRPr="00810DBD">
              <w:t>7.996</w:t>
            </w:r>
          </w:p>
        </w:tc>
        <w:tc>
          <w:tcPr>
            <w:tcW w:w="534" w:type="pct"/>
            <w:tcBorders>
              <w:top w:val="single" w:sz="4" w:space="0" w:color="auto"/>
              <w:left w:val="single" w:sz="4" w:space="0" w:color="auto"/>
              <w:bottom w:val="single" w:sz="4" w:space="0" w:color="auto"/>
              <w:right w:val="single" w:sz="4" w:space="0" w:color="auto"/>
            </w:tcBorders>
          </w:tcPr>
          <w:p w14:paraId="303E7763" w14:textId="77777777" w:rsidR="006F0D5C" w:rsidRPr="00810DBD" w:rsidRDefault="006F0D5C" w:rsidP="00B34D38">
            <w:pPr>
              <w:pStyle w:val="TableText0"/>
              <w:spacing w:line="256" w:lineRule="auto"/>
              <w:jc w:val="center"/>
              <w:rPr>
                <w:lang w:eastAsia="en-US"/>
              </w:rPr>
            </w:pPr>
            <w:r w:rsidRPr="00810DBD">
              <w:t>0.370</w:t>
            </w:r>
          </w:p>
        </w:tc>
      </w:tr>
      <w:tr w:rsidR="006F0D5C" w14:paraId="1008D753" w14:textId="77777777" w:rsidTr="0072568D">
        <w:tc>
          <w:tcPr>
            <w:tcW w:w="2277" w:type="pct"/>
            <w:gridSpan w:val="3"/>
            <w:tcBorders>
              <w:top w:val="single" w:sz="4" w:space="0" w:color="auto"/>
              <w:left w:val="single" w:sz="4" w:space="0" w:color="auto"/>
              <w:bottom w:val="single" w:sz="4" w:space="0" w:color="auto"/>
              <w:right w:val="single" w:sz="4" w:space="0" w:color="auto"/>
            </w:tcBorders>
            <w:vAlign w:val="center"/>
            <w:hideMark/>
          </w:tcPr>
          <w:p w14:paraId="5520F4C7" w14:textId="77777777" w:rsidR="006F0D5C" w:rsidRPr="00810DBD" w:rsidRDefault="006F0D5C" w:rsidP="00B34D38">
            <w:pPr>
              <w:pStyle w:val="TableText0"/>
              <w:spacing w:line="256" w:lineRule="auto"/>
              <w:rPr>
                <w:lang w:eastAsia="en-US"/>
              </w:rPr>
            </w:pPr>
            <w:r w:rsidRPr="00810DBD">
              <w:rPr>
                <w:lang w:eastAsia="en-US"/>
              </w:rPr>
              <w:t>Incremental cost/ extra LY in ESKD avoided</w:t>
            </w:r>
          </w:p>
        </w:tc>
        <w:tc>
          <w:tcPr>
            <w:tcW w:w="786" w:type="pct"/>
            <w:tcBorders>
              <w:top w:val="single" w:sz="4" w:space="0" w:color="auto"/>
              <w:left w:val="single" w:sz="4" w:space="0" w:color="auto"/>
              <w:bottom w:val="single" w:sz="4" w:space="0" w:color="auto"/>
              <w:right w:val="single" w:sz="4" w:space="0" w:color="auto"/>
            </w:tcBorders>
            <w:vAlign w:val="center"/>
            <w:hideMark/>
          </w:tcPr>
          <w:p w14:paraId="6C5B6197" w14:textId="14AF2ABC" w:rsidR="006F0D5C" w:rsidRPr="005A1817" w:rsidRDefault="006F0D5C" w:rsidP="00B34D38">
            <w:pPr>
              <w:pStyle w:val="TableText0"/>
              <w:spacing w:line="256" w:lineRule="auto"/>
              <w:jc w:val="center"/>
              <w:rPr>
                <w:vertAlign w:val="superscript"/>
                <w:lang w:eastAsia="en-US"/>
              </w:rPr>
            </w:pPr>
            <w:r w:rsidRPr="00810DBD">
              <w:rPr>
                <w:lang w:eastAsia="en-US"/>
              </w:rPr>
              <w:t>$</w:t>
            </w:r>
            <w:r w:rsidR="00102373" w:rsidRPr="00102373">
              <w:rPr>
                <w:sz w:val="2"/>
                <w:highlight w:val="black"/>
                <w:lang w:eastAsia="en-US"/>
              </w:rPr>
              <w:t>redacted content</w:t>
            </w:r>
            <w:r w:rsidR="005A1817">
              <w:rPr>
                <w:vertAlign w:val="superscript"/>
                <w:lang w:eastAsia="en-US"/>
              </w:rPr>
              <w:t>2</w:t>
            </w:r>
          </w:p>
        </w:tc>
        <w:tc>
          <w:tcPr>
            <w:tcW w:w="865" w:type="pct"/>
            <w:tcBorders>
              <w:top w:val="single" w:sz="4" w:space="0" w:color="auto"/>
              <w:left w:val="single" w:sz="4" w:space="0" w:color="auto"/>
              <w:bottom w:val="single" w:sz="4" w:space="0" w:color="auto"/>
              <w:right w:val="single" w:sz="4" w:space="0" w:color="auto"/>
            </w:tcBorders>
          </w:tcPr>
          <w:p w14:paraId="08BBBBE5" w14:textId="77777777" w:rsidR="006F0D5C" w:rsidRPr="00810DBD" w:rsidRDefault="006F0D5C" w:rsidP="00B34D38">
            <w:pPr>
              <w:pStyle w:val="TableText0"/>
              <w:spacing w:line="256" w:lineRule="auto"/>
              <w:jc w:val="center"/>
              <w:rPr>
                <w:lang w:eastAsia="en-US"/>
              </w:rPr>
            </w:pPr>
          </w:p>
        </w:tc>
        <w:tc>
          <w:tcPr>
            <w:tcW w:w="538" w:type="pct"/>
            <w:tcBorders>
              <w:top w:val="single" w:sz="4" w:space="0" w:color="auto"/>
              <w:left w:val="single" w:sz="4" w:space="0" w:color="auto"/>
              <w:bottom w:val="single" w:sz="4" w:space="0" w:color="auto"/>
              <w:right w:val="single" w:sz="4" w:space="0" w:color="auto"/>
            </w:tcBorders>
          </w:tcPr>
          <w:p w14:paraId="2523F22C" w14:textId="77777777" w:rsidR="006F0D5C" w:rsidRPr="00810DBD" w:rsidRDefault="006F0D5C" w:rsidP="00B34D38">
            <w:pPr>
              <w:pStyle w:val="TableText0"/>
              <w:spacing w:line="256" w:lineRule="auto"/>
              <w:jc w:val="center"/>
              <w:rPr>
                <w:lang w:eastAsia="en-US"/>
              </w:rPr>
            </w:pPr>
          </w:p>
        </w:tc>
        <w:tc>
          <w:tcPr>
            <w:tcW w:w="534" w:type="pct"/>
            <w:tcBorders>
              <w:top w:val="single" w:sz="4" w:space="0" w:color="auto"/>
              <w:left w:val="single" w:sz="4" w:space="0" w:color="auto"/>
              <w:bottom w:val="single" w:sz="4" w:space="0" w:color="auto"/>
              <w:right w:val="single" w:sz="4" w:space="0" w:color="auto"/>
            </w:tcBorders>
          </w:tcPr>
          <w:p w14:paraId="6F0E3B60" w14:textId="726A9AC9" w:rsidR="006F0D5C" w:rsidRPr="00A14D66" w:rsidRDefault="006F0D5C" w:rsidP="00B34D38">
            <w:pPr>
              <w:pStyle w:val="TableText0"/>
              <w:spacing w:line="256" w:lineRule="auto"/>
              <w:jc w:val="center"/>
              <w:rPr>
                <w:vertAlign w:val="superscript"/>
                <w:lang w:eastAsia="en-US"/>
              </w:rPr>
            </w:pPr>
            <w:r w:rsidRPr="00810DBD">
              <w:rPr>
                <w:lang w:eastAsia="en-US"/>
              </w:rPr>
              <w:t>$</w:t>
            </w:r>
            <w:r w:rsidR="00102373" w:rsidRPr="00102373">
              <w:rPr>
                <w:sz w:val="2"/>
                <w:highlight w:val="black"/>
                <w:lang w:eastAsia="en-US"/>
              </w:rPr>
              <w:t>redacted content</w:t>
            </w:r>
            <w:r w:rsidR="00A14D66">
              <w:rPr>
                <w:vertAlign w:val="superscript"/>
                <w:lang w:eastAsia="en-US"/>
              </w:rPr>
              <w:t>3</w:t>
            </w:r>
          </w:p>
        </w:tc>
      </w:tr>
      <w:tr w:rsidR="006F0D5C" w14:paraId="6BDC59A8" w14:textId="77777777" w:rsidTr="0072568D">
        <w:tc>
          <w:tcPr>
            <w:tcW w:w="2277" w:type="pct"/>
            <w:gridSpan w:val="3"/>
            <w:tcBorders>
              <w:top w:val="single" w:sz="4" w:space="0" w:color="auto"/>
              <w:left w:val="single" w:sz="4" w:space="0" w:color="auto"/>
              <w:bottom w:val="single" w:sz="4" w:space="0" w:color="auto"/>
              <w:right w:val="single" w:sz="4" w:space="0" w:color="auto"/>
            </w:tcBorders>
            <w:vAlign w:val="center"/>
            <w:hideMark/>
          </w:tcPr>
          <w:p w14:paraId="3E3951F6" w14:textId="77777777" w:rsidR="006F0D5C" w:rsidRPr="00810DBD" w:rsidRDefault="006F0D5C" w:rsidP="00B34D38">
            <w:pPr>
              <w:pStyle w:val="TableText0"/>
              <w:spacing w:line="256" w:lineRule="auto"/>
              <w:rPr>
                <w:lang w:eastAsia="en-US"/>
              </w:rPr>
            </w:pPr>
            <w:r w:rsidRPr="00810DBD">
              <w:rPr>
                <w:lang w:eastAsia="en-US"/>
              </w:rPr>
              <w:t>Incremental cost/LYG</w:t>
            </w:r>
          </w:p>
        </w:tc>
        <w:tc>
          <w:tcPr>
            <w:tcW w:w="786" w:type="pct"/>
            <w:tcBorders>
              <w:top w:val="single" w:sz="4" w:space="0" w:color="auto"/>
              <w:left w:val="single" w:sz="4" w:space="0" w:color="auto"/>
              <w:bottom w:val="single" w:sz="4" w:space="0" w:color="auto"/>
              <w:right w:val="single" w:sz="4" w:space="0" w:color="auto"/>
            </w:tcBorders>
            <w:vAlign w:val="center"/>
            <w:hideMark/>
          </w:tcPr>
          <w:p w14:paraId="380A16CB" w14:textId="4D3AA66C" w:rsidR="006F0D5C" w:rsidRPr="00FB06E5" w:rsidRDefault="006F0D5C" w:rsidP="00B34D38">
            <w:pPr>
              <w:pStyle w:val="TableText0"/>
              <w:spacing w:line="256" w:lineRule="auto"/>
              <w:jc w:val="center"/>
              <w:rPr>
                <w:vertAlign w:val="superscript"/>
                <w:lang w:eastAsia="en-US"/>
              </w:rPr>
            </w:pPr>
            <w:r w:rsidRPr="00810DBD">
              <w:rPr>
                <w:lang w:eastAsia="en-US"/>
              </w:rPr>
              <w:t>$</w:t>
            </w:r>
            <w:r w:rsidR="00102373" w:rsidRPr="00102373">
              <w:rPr>
                <w:sz w:val="2"/>
                <w:highlight w:val="black"/>
                <w:lang w:eastAsia="en-US"/>
              </w:rPr>
              <w:t>redacted content</w:t>
            </w:r>
            <w:r w:rsidR="00FB06E5">
              <w:rPr>
                <w:vertAlign w:val="superscript"/>
                <w:lang w:eastAsia="en-US"/>
              </w:rPr>
              <w:t>4</w:t>
            </w:r>
          </w:p>
        </w:tc>
        <w:tc>
          <w:tcPr>
            <w:tcW w:w="865" w:type="pct"/>
            <w:tcBorders>
              <w:top w:val="single" w:sz="4" w:space="0" w:color="auto"/>
              <w:left w:val="single" w:sz="4" w:space="0" w:color="auto"/>
              <w:bottom w:val="single" w:sz="4" w:space="0" w:color="auto"/>
              <w:right w:val="single" w:sz="4" w:space="0" w:color="auto"/>
            </w:tcBorders>
          </w:tcPr>
          <w:p w14:paraId="76194E12" w14:textId="77777777" w:rsidR="006F0D5C" w:rsidRPr="00810DBD" w:rsidRDefault="006F0D5C" w:rsidP="00B34D38">
            <w:pPr>
              <w:pStyle w:val="TableText0"/>
              <w:spacing w:line="256" w:lineRule="auto"/>
              <w:jc w:val="center"/>
              <w:rPr>
                <w:lang w:eastAsia="en-US"/>
              </w:rPr>
            </w:pPr>
          </w:p>
        </w:tc>
        <w:tc>
          <w:tcPr>
            <w:tcW w:w="538" w:type="pct"/>
            <w:tcBorders>
              <w:top w:val="single" w:sz="4" w:space="0" w:color="auto"/>
              <w:left w:val="single" w:sz="4" w:space="0" w:color="auto"/>
              <w:bottom w:val="single" w:sz="4" w:space="0" w:color="auto"/>
              <w:right w:val="single" w:sz="4" w:space="0" w:color="auto"/>
            </w:tcBorders>
          </w:tcPr>
          <w:p w14:paraId="43D5110F" w14:textId="77777777" w:rsidR="006F0D5C" w:rsidRPr="00810DBD" w:rsidRDefault="006F0D5C" w:rsidP="00B34D38">
            <w:pPr>
              <w:pStyle w:val="TableText0"/>
              <w:spacing w:line="256" w:lineRule="auto"/>
              <w:jc w:val="center"/>
              <w:rPr>
                <w:lang w:eastAsia="en-US"/>
              </w:rPr>
            </w:pPr>
          </w:p>
        </w:tc>
        <w:tc>
          <w:tcPr>
            <w:tcW w:w="534" w:type="pct"/>
            <w:tcBorders>
              <w:top w:val="single" w:sz="4" w:space="0" w:color="auto"/>
              <w:left w:val="single" w:sz="4" w:space="0" w:color="auto"/>
              <w:bottom w:val="single" w:sz="4" w:space="0" w:color="auto"/>
              <w:right w:val="single" w:sz="4" w:space="0" w:color="auto"/>
            </w:tcBorders>
          </w:tcPr>
          <w:p w14:paraId="5FFC447D" w14:textId="0EE5360F" w:rsidR="006F0D5C" w:rsidRPr="00B63F8E" w:rsidRDefault="006F0D5C" w:rsidP="00B34D38">
            <w:pPr>
              <w:pStyle w:val="TableText0"/>
              <w:spacing w:line="256" w:lineRule="auto"/>
              <w:jc w:val="center"/>
              <w:rPr>
                <w:vertAlign w:val="superscript"/>
                <w:lang w:eastAsia="en-US"/>
              </w:rPr>
            </w:pPr>
            <w:r w:rsidRPr="00810DBD">
              <w:rPr>
                <w:lang w:eastAsia="en-US"/>
              </w:rPr>
              <w:t>$</w:t>
            </w:r>
            <w:r w:rsidR="00102373" w:rsidRPr="00102373">
              <w:rPr>
                <w:sz w:val="2"/>
                <w:highlight w:val="black"/>
                <w:lang w:eastAsia="en-US"/>
              </w:rPr>
              <w:t>redacted content</w:t>
            </w:r>
            <w:r w:rsidR="00B63F8E">
              <w:rPr>
                <w:vertAlign w:val="superscript"/>
                <w:lang w:eastAsia="en-US"/>
              </w:rPr>
              <w:t>5</w:t>
            </w:r>
          </w:p>
        </w:tc>
      </w:tr>
      <w:tr w:rsidR="006F0D5C" w14:paraId="12C7B8E6" w14:textId="77777777" w:rsidTr="0072568D">
        <w:tc>
          <w:tcPr>
            <w:tcW w:w="2277" w:type="pct"/>
            <w:gridSpan w:val="3"/>
            <w:tcBorders>
              <w:top w:val="single" w:sz="4" w:space="0" w:color="auto"/>
              <w:left w:val="single" w:sz="4" w:space="0" w:color="auto"/>
              <w:bottom w:val="single" w:sz="4" w:space="0" w:color="auto"/>
              <w:right w:val="single" w:sz="4" w:space="0" w:color="auto"/>
            </w:tcBorders>
            <w:vAlign w:val="center"/>
            <w:hideMark/>
          </w:tcPr>
          <w:p w14:paraId="7F687199" w14:textId="77777777" w:rsidR="006F0D5C" w:rsidRPr="00810DBD" w:rsidRDefault="006F0D5C" w:rsidP="00B34D38">
            <w:pPr>
              <w:pStyle w:val="TableText0"/>
              <w:spacing w:line="256" w:lineRule="auto"/>
              <w:rPr>
                <w:rFonts w:ascii="Times" w:hAnsi="Times"/>
                <w:b/>
                <w:lang w:eastAsia="en-US"/>
              </w:rPr>
            </w:pPr>
            <w:r w:rsidRPr="00810DBD">
              <w:rPr>
                <w:b/>
                <w:lang w:eastAsia="en-US"/>
              </w:rPr>
              <w:t>Incremental cost/extra QALY gained (base case)</w:t>
            </w:r>
          </w:p>
        </w:tc>
        <w:tc>
          <w:tcPr>
            <w:tcW w:w="786" w:type="pct"/>
            <w:tcBorders>
              <w:top w:val="single" w:sz="4" w:space="0" w:color="auto"/>
              <w:left w:val="single" w:sz="4" w:space="0" w:color="auto"/>
              <w:bottom w:val="single" w:sz="4" w:space="0" w:color="auto"/>
              <w:right w:val="single" w:sz="4" w:space="0" w:color="auto"/>
            </w:tcBorders>
            <w:vAlign w:val="center"/>
            <w:hideMark/>
          </w:tcPr>
          <w:p w14:paraId="64DAE641" w14:textId="5CEF5F4D" w:rsidR="006F0D5C" w:rsidRPr="00B104DB" w:rsidRDefault="006F0D5C" w:rsidP="00B34D38">
            <w:pPr>
              <w:pStyle w:val="TableText0"/>
              <w:spacing w:line="256" w:lineRule="auto"/>
              <w:jc w:val="center"/>
              <w:rPr>
                <w:rFonts w:ascii="Times" w:hAnsi="Times"/>
                <w:b/>
                <w:vertAlign w:val="superscript"/>
                <w:lang w:eastAsia="en-US"/>
              </w:rPr>
            </w:pPr>
            <w:r w:rsidRPr="00810DBD">
              <w:rPr>
                <w:b/>
                <w:lang w:eastAsia="en-US"/>
              </w:rPr>
              <w:t>$</w:t>
            </w:r>
            <w:r w:rsidR="00102373" w:rsidRPr="00102373">
              <w:rPr>
                <w:b/>
                <w:sz w:val="2"/>
                <w:highlight w:val="black"/>
                <w:lang w:eastAsia="en-US"/>
              </w:rPr>
              <w:t>redacted content</w:t>
            </w:r>
            <w:r w:rsidR="00B104DB">
              <w:rPr>
                <w:b/>
                <w:vertAlign w:val="superscript"/>
                <w:lang w:eastAsia="en-US"/>
              </w:rPr>
              <w:t>6</w:t>
            </w:r>
          </w:p>
        </w:tc>
        <w:tc>
          <w:tcPr>
            <w:tcW w:w="865" w:type="pct"/>
            <w:tcBorders>
              <w:top w:val="single" w:sz="4" w:space="0" w:color="auto"/>
              <w:left w:val="single" w:sz="4" w:space="0" w:color="auto"/>
              <w:bottom w:val="single" w:sz="4" w:space="0" w:color="auto"/>
              <w:right w:val="single" w:sz="4" w:space="0" w:color="auto"/>
            </w:tcBorders>
          </w:tcPr>
          <w:p w14:paraId="3CC02634" w14:textId="77777777" w:rsidR="006F0D5C" w:rsidRPr="00810DBD" w:rsidRDefault="006F0D5C" w:rsidP="00B34D38">
            <w:pPr>
              <w:pStyle w:val="TableText0"/>
              <w:spacing w:line="256" w:lineRule="auto"/>
              <w:jc w:val="center"/>
              <w:rPr>
                <w:b/>
                <w:lang w:eastAsia="en-US"/>
              </w:rPr>
            </w:pPr>
          </w:p>
        </w:tc>
        <w:tc>
          <w:tcPr>
            <w:tcW w:w="538" w:type="pct"/>
            <w:tcBorders>
              <w:top w:val="single" w:sz="4" w:space="0" w:color="auto"/>
              <w:left w:val="single" w:sz="4" w:space="0" w:color="auto"/>
              <w:bottom w:val="single" w:sz="4" w:space="0" w:color="auto"/>
              <w:right w:val="single" w:sz="4" w:space="0" w:color="auto"/>
            </w:tcBorders>
          </w:tcPr>
          <w:p w14:paraId="32866385" w14:textId="77777777" w:rsidR="006F0D5C" w:rsidRPr="00810DBD" w:rsidRDefault="006F0D5C" w:rsidP="00B34D38">
            <w:pPr>
              <w:pStyle w:val="TableText0"/>
              <w:spacing w:line="256" w:lineRule="auto"/>
              <w:jc w:val="center"/>
              <w:rPr>
                <w:b/>
                <w:lang w:eastAsia="en-US"/>
              </w:rPr>
            </w:pPr>
          </w:p>
        </w:tc>
        <w:tc>
          <w:tcPr>
            <w:tcW w:w="534" w:type="pct"/>
            <w:tcBorders>
              <w:top w:val="single" w:sz="4" w:space="0" w:color="auto"/>
              <w:left w:val="single" w:sz="4" w:space="0" w:color="auto"/>
              <w:bottom w:val="single" w:sz="4" w:space="0" w:color="auto"/>
              <w:right w:val="single" w:sz="4" w:space="0" w:color="auto"/>
            </w:tcBorders>
          </w:tcPr>
          <w:p w14:paraId="68A4BBDB" w14:textId="275AE25F" w:rsidR="006F0D5C" w:rsidRPr="00D0204B" w:rsidRDefault="006F0D5C" w:rsidP="00B34D38">
            <w:pPr>
              <w:pStyle w:val="TableText0"/>
              <w:spacing w:line="256" w:lineRule="auto"/>
              <w:jc w:val="center"/>
              <w:rPr>
                <w:b/>
                <w:vertAlign w:val="superscript"/>
                <w:lang w:eastAsia="en-US"/>
              </w:rPr>
            </w:pPr>
            <w:r w:rsidRPr="00810DBD">
              <w:rPr>
                <w:b/>
                <w:lang w:eastAsia="en-US"/>
              </w:rPr>
              <w:t>$</w:t>
            </w:r>
            <w:r w:rsidR="00102373" w:rsidRPr="00102373">
              <w:rPr>
                <w:b/>
                <w:sz w:val="2"/>
                <w:highlight w:val="black"/>
                <w:lang w:eastAsia="en-US"/>
              </w:rPr>
              <w:t>redacted content</w:t>
            </w:r>
            <w:r w:rsidR="00D0204B">
              <w:rPr>
                <w:b/>
                <w:vertAlign w:val="superscript"/>
                <w:lang w:eastAsia="en-US"/>
              </w:rPr>
              <w:t>6</w:t>
            </w:r>
          </w:p>
        </w:tc>
      </w:tr>
    </w:tbl>
    <w:p w14:paraId="130CF818" w14:textId="370A777C" w:rsidR="006F0D5C" w:rsidRPr="001247E5" w:rsidRDefault="006F0D5C" w:rsidP="00B34D38">
      <w:pPr>
        <w:pStyle w:val="FooterTableFigure"/>
        <w:keepNext/>
      </w:pPr>
      <w:r>
        <w:t xml:space="preserve">Source: Table 3.30, p145; Table 3.31, p146 of the submission and </w:t>
      </w:r>
      <w:r w:rsidRPr="001247E5">
        <w:t>compiled during the evaluation.</w:t>
      </w:r>
      <w:r>
        <w:rPr>
          <w:i/>
          <w:iCs/>
        </w:rPr>
        <w:t xml:space="preserve"> </w:t>
      </w:r>
      <w:r w:rsidRPr="001247E5">
        <w:t>The results for the 18</w:t>
      </w:r>
      <w:r w:rsidR="00FF1914">
        <w:noBreakHyphen/>
      </w:r>
      <w:r w:rsidRPr="001247E5">
        <w:t>month time horizon were corrected, as the submission incorrectly presented results for 24 months.</w:t>
      </w:r>
    </w:p>
    <w:p w14:paraId="45579C2F" w14:textId="77777777" w:rsidR="00CB6AE6" w:rsidRDefault="006F0D5C" w:rsidP="00B34D38">
      <w:pPr>
        <w:pStyle w:val="FooterTableFigure"/>
        <w:keepNext/>
        <w:rPr>
          <w:i/>
          <w:szCs w:val="18"/>
        </w:rPr>
      </w:pPr>
      <w:r>
        <w:t>ESKD=end stage kidney disease, LY=life year, LYG= life year gained QALY=quality adjusted life year, SOC=standard of care</w:t>
      </w:r>
    </w:p>
    <w:p w14:paraId="6F4E57E0" w14:textId="0D02F402" w:rsidR="00CB6AE6" w:rsidRPr="00CB6AE6" w:rsidRDefault="00CB6AE6" w:rsidP="00B34D38">
      <w:pPr>
        <w:pStyle w:val="FooterTableFigure"/>
        <w:keepNext/>
        <w:rPr>
          <w:i/>
        </w:rPr>
      </w:pPr>
      <w:r w:rsidRPr="00CB6AE6">
        <w:rPr>
          <w:i/>
        </w:rPr>
        <w:t xml:space="preserve">The redacted values correspond to the following ranges: </w:t>
      </w:r>
    </w:p>
    <w:p w14:paraId="2B8E1F17" w14:textId="28FF9423" w:rsidR="00CB6AE6" w:rsidRPr="00CB6AE6" w:rsidRDefault="00CB6AE6" w:rsidP="00B34D38">
      <w:pPr>
        <w:pStyle w:val="FooterTableFigure"/>
        <w:keepNext/>
        <w:rPr>
          <w:i/>
        </w:rPr>
      </w:pPr>
      <w:r w:rsidRPr="00CB6AE6">
        <w:rPr>
          <w:i/>
          <w:vertAlign w:val="superscript"/>
        </w:rPr>
        <w:t>1</w:t>
      </w:r>
      <w:r w:rsidRPr="00CB6AE6">
        <w:rPr>
          <w:i/>
        </w:rPr>
        <w:t xml:space="preserve"> </w:t>
      </w:r>
      <w:r w:rsidR="00BE3E67" w:rsidRPr="00BE3E67">
        <w:rPr>
          <w:i/>
        </w:rPr>
        <w:t>&gt; $1,055,000</w:t>
      </w:r>
    </w:p>
    <w:p w14:paraId="064B92CB" w14:textId="44D540E2" w:rsidR="00CB6AE6" w:rsidRPr="00CB6AE6" w:rsidRDefault="00CB6AE6" w:rsidP="00B34D38">
      <w:pPr>
        <w:pStyle w:val="FooterTableFigure"/>
        <w:keepNext/>
        <w:rPr>
          <w:i/>
        </w:rPr>
      </w:pPr>
      <w:r w:rsidRPr="00CB6AE6">
        <w:rPr>
          <w:i/>
          <w:vertAlign w:val="superscript"/>
        </w:rPr>
        <w:t>2</w:t>
      </w:r>
      <w:r w:rsidRPr="00CB6AE6">
        <w:rPr>
          <w:i/>
        </w:rPr>
        <w:t xml:space="preserve"> </w:t>
      </w:r>
      <w:r w:rsidR="005A1817" w:rsidRPr="005A1817">
        <w:rPr>
          <w:i/>
        </w:rPr>
        <w:t>$25,000 to &lt; $35,000</w:t>
      </w:r>
    </w:p>
    <w:p w14:paraId="1C4B3CA1" w14:textId="142A5ED8" w:rsidR="00CB6AE6" w:rsidRPr="00CB6AE6" w:rsidRDefault="00CB6AE6" w:rsidP="00B34D38">
      <w:pPr>
        <w:pStyle w:val="FooterTableFigure"/>
        <w:keepNext/>
        <w:rPr>
          <w:i/>
        </w:rPr>
      </w:pPr>
      <w:r w:rsidRPr="00CB6AE6">
        <w:rPr>
          <w:i/>
          <w:vertAlign w:val="superscript"/>
        </w:rPr>
        <w:t>3</w:t>
      </w:r>
      <w:r w:rsidRPr="00CB6AE6">
        <w:rPr>
          <w:i/>
        </w:rPr>
        <w:t xml:space="preserve"> </w:t>
      </w:r>
      <w:r w:rsidR="00A14D66" w:rsidRPr="00A14D66">
        <w:rPr>
          <w:i/>
        </w:rPr>
        <w:t>$55,000 to &lt; $75,000</w:t>
      </w:r>
    </w:p>
    <w:p w14:paraId="0D61BFE3" w14:textId="05D6D956" w:rsidR="00CB6AE6" w:rsidRPr="00CB6AE6" w:rsidRDefault="00CB6AE6" w:rsidP="00B34D38">
      <w:pPr>
        <w:pStyle w:val="FooterTableFigure"/>
        <w:keepNext/>
        <w:rPr>
          <w:i/>
        </w:rPr>
      </w:pPr>
      <w:r w:rsidRPr="00CB6AE6">
        <w:rPr>
          <w:i/>
          <w:vertAlign w:val="superscript"/>
        </w:rPr>
        <w:t>4</w:t>
      </w:r>
      <w:r w:rsidRPr="00CB6AE6">
        <w:rPr>
          <w:i/>
        </w:rPr>
        <w:t xml:space="preserve"> </w:t>
      </w:r>
      <w:r w:rsidR="00FB06E5" w:rsidRPr="00FB06E5">
        <w:rPr>
          <w:i/>
        </w:rPr>
        <w:t>$95,000 to &lt; $115,000</w:t>
      </w:r>
    </w:p>
    <w:p w14:paraId="7A0B214E" w14:textId="709B8E1B" w:rsidR="00CB6AE6" w:rsidRPr="00CB6AE6" w:rsidRDefault="00CB6AE6" w:rsidP="00B34D38">
      <w:pPr>
        <w:pStyle w:val="FooterTableFigure"/>
        <w:keepNext/>
        <w:rPr>
          <w:i/>
        </w:rPr>
      </w:pPr>
      <w:r w:rsidRPr="00CB6AE6">
        <w:rPr>
          <w:i/>
          <w:vertAlign w:val="superscript"/>
        </w:rPr>
        <w:t>5</w:t>
      </w:r>
      <w:r w:rsidRPr="00CB6AE6">
        <w:rPr>
          <w:i/>
        </w:rPr>
        <w:t xml:space="preserve"> </w:t>
      </w:r>
      <w:r w:rsidR="00B63F8E" w:rsidRPr="00B63F8E">
        <w:rPr>
          <w:i/>
        </w:rPr>
        <w:t>$115,000 to &lt; $135,000</w:t>
      </w:r>
    </w:p>
    <w:p w14:paraId="77F7D900" w14:textId="29C69346" w:rsidR="00B104DB" w:rsidRPr="00B104DB" w:rsidRDefault="00CB6AE6" w:rsidP="00B34D38">
      <w:pPr>
        <w:pStyle w:val="FooterTableFigure"/>
        <w:keepNext/>
        <w:rPr>
          <w:i/>
        </w:rPr>
      </w:pPr>
      <w:r w:rsidRPr="00CB6AE6">
        <w:rPr>
          <w:i/>
          <w:vertAlign w:val="superscript"/>
        </w:rPr>
        <w:t>6</w:t>
      </w:r>
      <w:r w:rsidR="00B104DB">
        <w:rPr>
          <w:i/>
          <w:vertAlign w:val="superscript"/>
        </w:rPr>
        <w:t xml:space="preserve"> </w:t>
      </w:r>
      <w:r w:rsidR="00B104DB" w:rsidRPr="00B104DB">
        <w:rPr>
          <w:i/>
        </w:rPr>
        <w:t>$15,000 to &lt; $25,000</w:t>
      </w:r>
    </w:p>
    <w:p w14:paraId="1809B63C" w14:textId="0426A689" w:rsidR="00CB6AE6" w:rsidRPr="00CB6AE6" w:rsidRDefault="00B104DB" w:rsidP="00CB6AE6">
      <w:pPr>
        <w:pStyle w:val="FooterTableFigure"/>
        <w:rPr>
          <w:i/>
        </w:rPr>
      </w:pPr>
      <w:r>
        <w:rPr>
          <w:i/>
          <w:vertAlign w:val="superscript"/>
        </w:rPr>
        <w:t>7</w:t>
      </w:r>
      <w:r w:rsidR="00CB6AE6" w:rsidRPr="00CB6AE6">
        <w:rPr>
          <w:i/>
        </w:rPr>
        <w:t xml:space="preserve"> </w:t>
      </w:r>
      <w:r w:rsidR="00D0204B" w:rsidRPr="00D0204B">
        <w:rPr>
          <w:i/>
        </w:rPr>
        <w:t>$35,000 to &lt; $45,000</w:t>
      </w:r>
    </w:p>
    <w:p w14:paraId="73966E75" w14:textId="47A0C9E1" w:rsidR="006F0D5C" w:rsidRDefault="006F0D5C" w:rsidP="006F0D5C">
      <w:pPr>
        <w:pStyle w:val="FooterTableFigure"/>
      </w:pPr>
    </w:p>
    <w:p w14:paraId="6D18721E" w14:textId="10EA3DBD" w:rsidR="006F0D5C" w:rsidRPr="00AE09CC" w:rsidRDefault="006F0D5C" w:rsidP="006F0D5C">
      <w:pPr>
        <w:pStyle w:val="3-BodyText"/>
        <w:numPr>
          <w:ilvl w:val="1"/>
          <w:numId w:val="1"/>
        </w:numPr>
      </w:pPr>
      <w:r w:rsidRPr="00AE09CC">
        <w:t>The main driver of the incremental costs was the drug cost of obinutuzumab (incremental cost of $</w:t>
      </w:r>
      <w:r w:rsidR="00102373" w:rsidRPr="00102373">
        <w:rPr>
          <w:sz w:val="2"/>
          <w:highlight w:val="black"/>
        </w:rPr>
        <w:t>redacted content</w:t>
      </w:r>
      <w:r w:rsidRPr="00AE09CC">
        <w:t xml:space="preserve">). The main cost offsets were health state costs in dialysis (incremental </w:t>
      </w:r>
      <w:r w:rsidRPr="006D4E31">
        <w:t xml:space="preserve">cost </w:t>
      </w:r>
      <w:r w:rsidR="00FF1914" w:rsidRPr="006D4E31">
        <w:noBreakHyphen/>
      </w:r>
      <w:r w:rsidRPr="006D4E31">
        <w:t>$16,657,) and AD (incremental</w:t>
      </w:r>
      <w:r w:rsidRPr="00AE09CC">
        <w:t xml:space="preserve"> cost </w:t>
      </w:r>
      <w:r w:rsidR="00FF1914">
        <w:noBreakHyphen/>
      </w:r>
      <w:r w:rsidRPr="00AE09CC">
        <w:t>$10,337), a result of the higher rates of AD and dialysis in the SOC arm and the higher per cycle costs in these states compared CR, PR or post</w:t>
      </w:r>
      <w:r w:rsidR="00FF1914">
        <w:noBreakHyphen/>
      </w:r>
      <w:r w:rsidRPr="00AE09CC">
        <w:t>transplant.</w:t>
      </w:r>
    </w:p>
    <w:p w14:paraId="5DDECD3A" w14:textId="0B9A48A7" w:rsidR="006F0D5C" w:rsidRPr="00AE09CC" w:rsidRDefault="006F0D5C" w:rsidP="006F0D5C">
      <w:pPr>
        <w:pStyle w:val="3-BodyText"/>
        <w:numPr>
          <w:ilvl w:val="1"/>
          <w:numId w:val="1"/>
        </w:numPr>
      </w:pPr>
      <w:r w:rsidRPr="00AE09CC">
        <w:t>With the small total incremental LYs (0.26), all health states were drivers of the incremental LYs between obinutuzumab and SOC, with incremental time in CR and PR contributing the majority (2.70 LYs).</w:t>
      </w:r>
      <w:r>
        <w:rPr>
          <w:i/>
          <w:iCs/>
        </w:rPr>
        <w:t xml:space="preserve"> </w:t>
      </w:r>
      <w:r w:rsidRPr="00AE09CC">
        <w:t>This was offset by relatively fewer life years spent in AD, dialysis and transplant in the obinutuzumab arm compared with SOC (</w:t>
      </w:r>
      <w:r w:rsidR="00FF1914">
        <w:noBreakHyphen/>
      </w:r>
      <w:r w:rsidRPr="00AE09CC">
        <w:t>2.44 LYs). The main drivers of the incremental QALYs were QALYs accrued in CR (incremental QALYs 1.80) and PR (incremental QALYs 0.32</w:t>
      </w:r>
      <w:r w:rsidR="00CA7A00">
        <w:t>)</w:t>
      </w:r>
      <w:r w:rsidRPr="00AE09CC">
        <w:t xml:space="preserve">. The main QALY offsets were QALYs accrued in AD (incremental QALYs </w:t>
      </w:r>
      <w:r w:rsidR="00FF1914">
        <w:noBreakHyphen/>
      </w:r>
      <w:r w:rsidRPr="00AE09CC">
        <w:t xml:space="preserve">1.29). The QALY decrement for CR/PR patients who </w:t>
      </w:r>
      <w:r w:rsidRPr="00AE09CC">
        <w:lastRenderedPageBreak/>
        <w:t>transitioned to dialysis after Month 18 resulted in a small reduction in incremental QALYs (</w:t>
      </w:r>
      <w:r w:rsidR="00FF1914">
        <w:noBreakHyphen/>
      </w:r>
      <w:r w:rsidRPr="00AE09CC">
        <w:t> 0.002), attributable to a few patients transitioning from CR or PR to dialysis over the time horizon.</w:t>
      </w:r>
    </w:p>
    <w:p w14:paraId="26028D87" w14:textId="73E45526" w:rsidR="00467425" w:rsidRPr="00F367B1" w:rsidRDefault="006F0D5C" w:rsidP="006F0D5C">
      <w:pPr>
        <w:pStyle w:val="3-BodyText"/>
        <w:numPr>
          <w:ilvl w:val="1"/>
          <w:numId w:val="1"/>
        </w:numPr>
      </w:pPr>
      <w:r w:rsidRPr="00F367B1">
        <w:t xml:space="preserve">The results of key sensitivity analyses are summarised in </w:t>
      </w:r>
      <w:r w:rsidRPr="00F367B1">
        <w:fldChar w:fldCharType="begin"/>
      </w:r>
      <w:r w:rsidRPr="00F367B1">
        <w:instrText xml:space="preserve"> REF _Ref104804865 \h </w:instrText>
      </w:r>
      <w:r w:rsidR="00AE09CC" w:rsidRPr="00F367B1">
        <w:instrText xml:space="preserve"> \* MERGEFORMAT </w:instrText>
      </w:r>
      <w:r w:rsidRPr="00F367B1">
        <w:fldChar w:fldCharType="separate"/>
      </w:r>
      <w:r w:rsidR="002255D9" w:rsidRPr="0098262F">
        <w:t xml:space="preserve">Table </w:t>
      </w:r>
      <w:r w:rsidR="002255D9">
        <w:rPr>
          <w:noProof/>
        </w:rPr>
        <w:t>11</w:t>
      </w:r>
      <w:r w:rsidRPr="00F367B1">
        <w:fldChar w:fldCharType="end"/>
      </w:r>
      <w:r w:rsidRPr="00F367B1">
        <w:t>. The ICER was most sensitive to inputs that affected the size and duration of response to treatment (e.g., time horizon, progression to dialysis, utility decrement in AD compared to CR and PR), additional benefit of obinutuzumab beyond Month 18, time on obinutuzumab, and mortality from dialysis.</w:t>
      </w:r>
      <w:r w:rsidR="0055205D" w:rsidRPr="00F367B1">
        <w:rPr>
          <w:rFonts w:ascii="Calibri" w:eastAsia="Times New Roman" w:hAnsi="Calibri" w:cs="Arial"/>
          <w:szCs w:val="24"/>
        </w:rPr>
        <w:t xml:space="preserve"> The </w:t>
      </w:r>
      <w:r w:rsidR="00F81BAE" w:rsidRPr="00F367B1">
        <w:t>S</w:t>
      </w:r>
      <w:r w:rsidR="00691114" w:rsidRPr="00F367B1">
        <w:t>ub</w:t>
      </w:r>
      <w:r w:rsidR="00FF1914">
        <w:noBreakHyphen/>
      </w:r>
      <w:r w:rsidR="00F81BAE" w:rsidRPr="00F367B1">
        <w:t>C</w:t>
      </w:r>
      <w:r w:rsidR="00691114" w:rsidRPr="00F367B1">
        <w:t>ommittees</w:t>
      </w:r>
      <w:r w:rsidR="0055205D" w:rsidRPr="00F367B1">
        <w:rPr>
          <w:rFonts w:ascii="Calibri" w:eastAsia="Times New Roman" w:hAnsi="Calibri" w:cs="Arial"/>
          <w:szCs w:val="24"/>
        </w:rPr>
        <w:t xml:space="preserve"> noted that the </w:t>
      </w:r>
      <w:r w:rsidR="00C24C3B" w:rsidRPr="00F367B1">
        <w:t>m</w:t>
      </w:r>
      <w:r w:rsidR="0055205D" w:rsidRPr="00F367B1">
        <w:t>ulti</w:t>
      </w:r>
      <w:r w:rsidR="00FF1914">
        <w:noBreakHyphen/>
      </w:r>
      <w:r w:rsidR="0055205D" w:rsidRPr="00F367B1">
        <w:t xml:space="preserve">variate </w:t>
      </w:r>
      <w:r w:rsidR="00893CB3" w:rsidRPr="00F367B1">
        <w:t>sen</w:t>
      </w:r>
      <w:r w:rsidR="00962111" w:rsidRPr="00F367B1">
        <w:t xml:space="preserve">sitivity </w:t>
      </w:r>
      <w:r w:rsidR="0055205D" w:rsidRPr="00F367B1">
        <w:t>analyses</w:t>
      </w:r>
      <w:r w:rsidR="00DE29A7" w:rsidRPr="00F367B1">
        <w:t xml:space="preserve"> </w:t>
      </w:r>
      <w:r w:rsidR="0055205D" w:rsidRPr="00F367B1">
        <w:t>includ</w:t>
      </w:r>
      <w:r w:rsidR="00DE29A7" w:rsidRPr="00F367B1">
        <w:t>ing a</w:t>
      </w:r>
      <w:r w:rsidR="0055205D" w:rsidRPr="00F367B1">
        <w:t xml:space="preserve"> 15 year time horizon result</w:t>
      </w:r>
      <w:r w:rsidR="00C24C3B" w:rsidRPr="00F367B1">
        <w:t>ed</w:t>
      </w:r>
      <w:r w:rsidR="0055205D" w:rsidRPr="00F367B1">
        <w:t xml:space="preserve"> in ICERs ranging from </w:t>
      </w:r>
      <w:r w:rsidR="00692B10" w:rsidRPr="00692B10">
        <w:t>$115,000 to &lt; $135,000</w:t>
      </w:r>
      <w:r w:rsidR="0055205D" w:rsidRPr="00F367B1">
        <w:t xml:space="preserve"> to </w:t>
      </w:r>
      <w:r w:rsidR="00846CB8" w:rsidRPr="00846CB8">
        <w:t>$155,000 to &lt; $255,000</w:t>
      </w:r>
      <w:r w:rsidR="00C24C3B" w:rsidRPr="00F367B1">
        <w:t>.</w:t>
      </w:r>
      <w:r w:rsidR="00EE7A5E" w:rsidRPr="00F367B1">
        <w:t xml:space="preserve"> </w:t>
      </w:r>
      <w:r w:rsidR="001C7DE2" w:rsidRPr="00F367B1">
        <w:t xml:space="preserve">The </w:t>
      </w:r>
      <w:r w:rsidR="00F81BAE" w:rsidRPr="00F367B1">
        <w:t>S</w:t>
      </w:r>
      <w:r w:rsidR="001C7DE2" w:rsidRPr="00F367B1">
        <w:t>ub</w:t>
      </w:r>
      <w:r w:rsidR="00FF1914">
        <w:noBreakHyphen/>
      </w:r>
      <w:r w:rsidR="00F81BAE" w:rsidRPr="00F367B1">
        <w:t>C</w:t>
      </w:r>
      <w:r w:rsidR="001C7DE2" w:rsidRPr="00F367B1">
        <w:t xml:space="preserve">ommittees advised that </w:t>
      </w:r>
      <w:r w:rsidR="00EC06C0" w:rsidRPr="00F367B1">
        <w:t>the</w:t>
      </w:r>
      <w:r w:rsidR="001C7DE2" w:rsidRPr="00F367B1">
        <w:t xml:space="preserve"> shorter 15 year time horizon was more appropriate, given the already considerabl</w:t>
      </w:r>
      <w:r w:rsidR="00AB6CE5" w:rsidRPr="00F367B1">
        <w:t>e</w:t>
      </w:r>
      <w:r w:rsidR="001C7DE2" w:rsidRPr="00F367B1">
        <w:t xml:space="preserve"> uncertainty of extrapolating from 76 week trial data</w:t>
      </w:r>
      <w:r w:rsidR="00F41480" w:rsidRPr="00F367B1">
        <w:t xml:space="preserve">. </w:t>
      </w:r>
    </w:p>
    <w:p w14:paraId="47740C4D" w14:textId="746DA9AC" w:rsidR="006F0D5C" w:rsidRDefault="00194045" w:rsidP="006F0D5C">
      <w:pPr>
        <w:pStyle w:val="3-BodyText"/>
        <w:numPr>
          <w:ilvl w:val="1"/>
          <w:numId w:val="1"/>
        </w:numPr>
      </w:pPr>
      <w:r w:rsidRPr="00F367B1">
        <w:t xml:space="preserve">The </w:t>
      </w:r>
      <w:r w:rsidR="00F81BAE" w:rsidRPr="00F367B1">
        <w:t>S</w:t>
      </w:r>
      <w:r w:rsidRPr="00F367B1">
        <w:t>ub</w:t>
      </w:r>
      <w:r w:rsidR="00FF1914">
        <w:noBreakHyphen/>
      </w:r>
      <w:r w:rsidR="00F81BAE" w:rsidRPr="00F367B1">
        <w:t>C</w:t>
      </w:r>
      <w:r w:rsidRPr="00F367B1">
        <w:t>ommittees considered that the multi</w:t>
      </w:r>
      <w:r w:rsidR="00FF1914">
        <w:noBreakHyphen/>
      </w:r>
      <w:r w:rsidRPr="00F367B1">
        <w:t xml:space="preserve">variate analyses which incorporated the removal of the assumption of a 3 year maximum treatment duration likely overestimated the costs of obinutuzumab treatment and therefore the ICER. </w:t>
      </w:r>
      <w:r w:rsidR="004179B4" w:rsidRPr="00F367B1">
        <w:t xml:space="preserve">The </w:t>
      </w:r>
      <w:r w:rsidR="00F81BAE" w:rsidRPr="00F367B1">
        <w:t>S</w:t>
      </w:r>
      <w:r w:rsidRPr="00F367B1">
        <w:t>ub</w:t>
      </w:r>
      <w:r w:rsidR="00FF1914">
        <w:noBreakHyphen/>
      </w:r>
      <w:r w:rsidR="00F81BAE" w:rsidRPr="00F367B1">
        <w:t>C</w:t>
      </w:r>
      <w:r w:rsidRPr="00F367B1">
        <w:t>ommittees therefore</w:t>
      </w:r>
      <w:r w:rsidR="004179B4" w:rsidRPr="00F367B1">
        <w:t xml:space="preserve"> </w:t>
      </w:r>
      <w:r w:rsidR="00707322" w:rsidRPr="00F367B1">
        <w:t xml:space="preserve">advised </w:t>
      </w:r>
      <w:r w:rsidR="00893CB3" w:rsidRPr="00F367B1">
        <w:t>that additional multi</w:t>
      </w:r>
      <w:r w:rsidR="00FF1914">
        <w:noBreakHyphen/>
      </w:r>
      <w:r w:rsidR="00962111" w:rsidRPr="00F367B1">
        <w:t>variate sensitivity analyses</w:t>
      </w:r>
      <w:r w:rsidR="007500CB" w:rsidRPr="00F367B1">
        <w:t xml:space="preserve"> (MA5 and MA6 in Table 11 below)</w:t>
      </w:r>
      <w:r w:rsidR="00962111" w:rsidRPr="00F367B1">
        <w:t xml:space="preserve"> be undertaken based on</w:t>
      </w:r>
      <w:r w:rsidR="00E9423F" w:rsidRPr="00F367B1">
        <w:t xml:space="preserve"> a 15</w:t>
      </w:r>
      <w:r w:rsidR="00FF1914">
        <w:noBreakHyphen/>
      </w:r>
      <w:r w:rsidR="00E9423F" w:rsidRPr="00F367B1">
        <w:t>year time horizon, removal of the added treatment benefit of obinutuzumab versus SOC for responders (i.e., CR/PR to dialysis HR=1 compared to HR=0.44 in the base case) and with or without CR/PR health state costs and utilities equal to AD from Year 10</w:t>
      </w:r>
      <w:r w:rsidR="00356ABB" w:rsidRPr="00F367B1">
        <w:t xml:space="preserve">. </w:t>
      </w:r>
      <w:r w:rsidR="00A71FBD" w:rsidRPr="00F367B1">
        <w:t>These additional analyses</w:t>
      </w:r>
      <w:r w:rsidR="00102218" w:rsidRPr="00F367B1">
        <w:t xml:space="preserve"> (reported in MA5 and MA6)</w:t>
      </w:r>
      <w:r w:rsidR="00A71FBD" w:rsidRPr="00F367B1">
        <w:t xml:space="preserve"> resulted in ICERs ranging from </w:t>
      </w:r>
      <w:r w:rsidR="00E97E98" w:rsidRPr="00E97E98">
        <w:t xml:space="preserve">$55,000 to &lt; $75,000 </w:t>
      </w:r>
      <w:r w:rsidR="00F44ECB" w:rsidRPr="00F367B1">
        <w:t xml:space="preserve"> to </w:t>
      </w:r>
      <w:r w:rsidR="003C3402" w:rsidRPr="003C3402">
        <w:t>$75,000 to &lt; $95,000</w:t>
      </w:r>
      <w:r w:rsidR="00F44ECB" w:rsidRPr="00F367B1">
        <w:t xml:space="preserve">. </w:t>
      </w:r>
    </w:p>
    <w:p w14:paraId="1B6A1918" w14:textId="46958A87" w:rsidR="00E254A9" w:rsidRPr="00F367B1" w:rsidRDefault="00E254A9" w:rsidP="006F0D5C">
      <w:pPr>
        <w:pStyle w:val="3-BodyText"/>
        <w:numPr>
          <w:ilvl w:val="1"/>
          <w:numId w:val="1"/>
        </w:numPr>
      </w:pPr>
      <w:r w:rsidRPr="005A102E">
        <w:rPr>
          <w:rFonts w:eastAsia="Times New Roman" w:cs="Arial"/>
          <w:snapToGrid w:val="0"/>
          <w:szCs w:val="24"/>
          <w:lang w:val="en-GB" w:eastAsia="en-US"/>
        </w:rPr>
        <w:t xml:space="preserve">To address remaining uncertainties, the PBAC </w:t>
      </w:r>
      <w:r>
        <w:rPr>
          <w:rFonts w:eastAsia="Times New Roman" w:cs="Arial"/>
          <w:snapToGrid w:val="0"/>
          <w:szCs w:val="24"/>
          <w:lang w:val="en-GB" w:eastAsia="en-US"/>
        </w:rPr>
        <w:t xml:space="preserve">recommended the economic model be amended to reduce </w:t>
      </w:r>
      <w:r w:rsidRPr="005A102E">
        <w:rPr>
          <w:rFonts w:eastAsia="Times New Roman" w:cs="Arial"/>
          <w:snapToGrid w:val="0"/>
          <w:szCs w:val="24"/>
          <w:lang w:val="en-GB" w:eastAsia="en-US"/>
        </w:rPr>
        <w:t xml:space="preserve">the time horizon from 20 years to 15 years, remove the assumption that patients with a complete or partial response </w:t>
      </w:r>
      <w:r>
        <w:rPr>
          <w:rFonts w:eastAsia="Times New Roman" w:cs="Arial"/>
          <w:snapToGrid w:val="0"/>
          <w:szCs w:val="24"/>
          <w:lang w:val="en-GB" w:eastAsia="en-US"/>
        </w:rPr>
        <w:t xml:space="preserve">on </w:t>
      </w:r>
      <w:r w:rsidRPr="005A102E">
        <w:rPr>
          <w:rFonts w:eastAsia="Times New Roman" w:cs="Arial"/>
          <w:snapToGrid w:val="0"/>
          <w:szCs w:val="24"/>
          <w:lang w:val="en-GB" w:eastAsia="en-US"/>
        </w:rPr>
        <w:t xml:space="preserve">obinutuzumab </w:t>
      </w:r>
      <w:r>
        <w:rPr>
          <w:rFonts w:eastAsia="Times New Roman" w:cs="Arial"/>
          <w:snapToGrid w:val="0"/>
          <w:szCs w:val="24"/>
          <w:lang w:val="en-GB" w:eastAsia="en-US"/>
        </w:rPr>
        <w:t xml:space="preserve">receive </w:t>
      </w:r>
      <w:r w:rsidRPr="005A102E">
        <w:rPr>
          <w:rFonts w:eastAsia="Times New Roman" w:cs="Arial"/>
          <w:snapToGrid w:val="0"/>
          <w:szCs w:val="24"/>
          <w:lang w:val="en-GB" w:eastAsia="en-US"/>
        </w:rPr>
        <w:t xml:space="preserve">an additional reduction in dialysis risk compared with responders receiving standard </w:t>
      </w:r>
      <w:r>
        <w:rPr>
          <w:rFonts w:eastAsia="Times New Roman" w:cs="Arial"/>
          <w:snapToGrid w:val="0"/>
          <w:szCs w:val="24"/>
          <w:lang w:val="en-GB" w:eastAsia="en-US"/>
        </w:rPr>
        <w:t>therapies</w:t>
      </w:r>
      <w:r w:rsidRPr="005A102E">
        <w:rPr>
          <w:rFonts w:eastAsia="Times New Roman" w:cs="Arial"/>
          <w:snapToGrid w:val="0"/>
          <w:szCs w:val="24"/>
          <w:lang w:val="en-GB" w:eastAsia="en-US"/>
        </w:rPr>
        <w:t xml:space="preserve">, and </w:t>
      </w:r>
      <w:r>
        <w:rPr>
          <w:rFonts w:eastAsia="Times New Roman" w:cs="Arial"/>
          <w:snapToGrid w:val="0"/>
          <w:szCs w:val="24"/>
          <w:lang w:val="en-GB" w:eastAsia="en-US"/>
        </w:rPr>
        <w:t xml:space="preserve">assume that </w:t>
      </w:r>
      <w:r w:rsidRPr="005A102E">
        <w:rPr>
          <w:rFonts w:eastAsia="Times New Roman" w:cs="Arial"/>
          <w:snapToGrid w:val="0"/>
          <w:szCs w:val="24"/>
          <w:lang w:val="en-GB" w:eastAsia="en-US"/>
        </w:rPr>
        <w:t>responder and non</w:t>
      </w:r>
      <w:r w:rsidRPr="005A102E">
        <w:rPr>
          <w:rFonts w:ascii="Cambria Math" w:eastAsia="Times New Roman" w:hAnsi="Cambria Math" w:cs="Cambria Math"/>
          <w:snapToGrid w:val="0"/>
          <w:szCs w:val="24"/>
          <w:lang w:val="en-GB" w:eastAsia="en-US"/>
        </w:rPr>
        <w:t>‑</w:t>
      </w:r>
      <w:r w:rsidRPr="005A102E">
        <w:rPr>
          <w:rFonts w:eastAsia="Times New Roman" w:cs="Arial"/>
          <w:snapToGrid w:val="0"/>
          <w:szCs w:val="24"/>
          <w:lang w:val="en-GB" w:eastAsia="en-US"/>
        </w:rPr>
        <w:t>responder health state costs and utilities were equal from Year 10 of the model</w:t>
      </w:r>
      <w:r>
        <w:rPr>
          <w:rFonts w:eastAsia="Times New Roman" w:cs="Arial"/>
          <w:snapToGrid w:val="0"/>
          <w:szCs w:val="24"/>
          <w:lang w:val="en-GB" w:eastAsia="en-US"/>
        </w:rPr>
        <w:t xml:space="preserve"> (as per multivariate analyses 5 and 6 proposed by the Joint Committees)</w:t>
      </w:r>
      <w:r w:rsidRPr="005A102E">
        <w:rPr>
          <w:rFonts w:eastAsia="Times New Roman" w:cs="Arial"/>
          <w:snapToGrid w:val="0"/>
          <w:szCs w:val="24"/>
          <w:lang w:val="en-GB" w:eastAsia="en-US"/>
        </w:rPr>
        <w:t>.</w:t>
      </w:r>
    </w:p>
    <w:p w14:paraId="4A08C4D5" w14:textId="52AA5FE6" w:rsidR="006F0D5C" w:rsidRDefault="006F0D5C" w:rsidP="006F0D5C">
      <w:pPr>
        <w:pStyle w:val="Caption"/>
        <w:rPr>
          <w:rStyle w:val="CommentReference"/>
          <w:b/>
          <w:szCs w:val="24"/>
        </w:rPr>
      </w:pPr>
      <w:bookmarkStart w:id="70" w:name="_Ref104804865"/>
      <w:r w:rsidRPr="0098262F">
        <w:t xml:space="preserve">Table </w:t>
      </w:r>
      <w:fldSimple w:instr=" SEQ Table \* ARABIC ">
        <w:r w:rsidR="002255D9">
          <w:rPr>
            <w:noProof/>
          </w:rPr>
          <w:t>11</w:t>
        </w:r>
      </w:fldSimple>
      <w:bookmarkEnd w:id="70"/>
      <w:r w:rsidRPr="0098262F">
        <w:t>:</w:t>
      </w:r>
      <w:r w:rsidRPr="0098262F">
        <w:rPr>
          <w:rStyle w:val="CommentReference"/>
          <w:b/>
          <w:szCs w:val="24"/>
        </w:rPr>
        <w:t xml:space="preserve"> Sensitivity analyses</w:t>
      </w:r>
    </w:p>
    <w:tbl>
      <w:tblPr>
        <w:tblStyle w:val="PBAClayout"/>
        <w:tblW w:w="5000" w:type="pct"/>
        <w:tblLook w:val="04A0" w:firstRow="1" w:lastRow="0" w:firstColumn="1" w:lastColumn="0" w:noHBand="0" w:noVBand="1"/>
        <w:tblCaption w:val="Table 11: Sensitivity analyses"/>
      </w:tblPr>
      <w:tblGrid>
        <w:gridCol w:w="4086"/>
        <w:gridCol w:w="1331"/>
        <w:gridCol w:w="1452"/>
        <w:gridCol w:w="1075"/>
        <w:gridCol w:w="1073"/>
      </w:tblGrid>
      <w:tr w:rsidR="006F0D5C" w:rsidRPr="00CF4CF1" w14:paraId="0E4B77CD" w14:textId="77777777" w:rsidTr="0072568D">
        <w:trPr>
          <w:tblHeader/>
        </w:trPr>
        <w:tc>
          <w:tcPr>
            <w:tcW w:w="2266" w:type="pct"/>
          </w:tcPr>
          <w:p w14:paraId="4D73F792" w14:textId="77777777" w:rsidR="006F0D5C" w:rsidRPr="00264D26" w:rsidRDefault="006F0D5C" w:rsidP="0072568D">
            <w:pPr>
              <w:pStyle w:val="In-tableHeading"/>
              <w:keepNext w:val="0"/>
              <w:keepLines w:val="0"/>
            </w:pPr>
            <w:r>
              <w:t>Analyses</w:t>
            </w:r>
          </w:p>
        </w:tc>
        <w:tc>
          <w:tcPr>
            <w:tcW w:w="738" w:type="pct"/>
          </w:tcPr>
          <w:p w14:paraId="74ED6DDC" w14:textId="77777777" w:rsidR="006F0D5C" w:rsidRPr="00CF4CF1" w:rsidRDefault="006F0D5C" w:rsidP="0072568D">
            <w:pPr>
              <w:pStyle w:val="In-tableHeading"/>
              <w:keepNext w:val="0"/>
              <w:keepLines w:val="0"/>
              <w:jc w:val="center"/>
            </w:pPr>
            <w:r w:rsidRPr="00CF4CF1">
              <w:t>Incremental cost</w:t>
            </w:r>
          </w:p>
        </w:tc>
        <w:tc>
          <w:tcPr>
            <w:tcW w:w="805" w:type="pct"/>
          </w:tcPr>
          <w:p w14:paraId="539C783F" w14:textId="77777777" w:rsidR="006F0D5C" w:rsidRPr="00CF4CF1" w:rsidRDefault="006F0D5C" w:rsidP="0072568D">
            <w:pPr>
              <w:pStyle w:val="In-tableHeading"/>
              <w:keepNext w:val="0"/>
              <w:keepLines w:val="0"/>
              <w:jc w:val="center"/>
            </w:pPr>
            <w:r w:rsidRPr="00CF4CF1">
              <w:t>Incremental QALY</w:t>
            </w:r>
          </w:p>
        </w:tc>
        <w:tc>
          <w:tcPr>
            <w:tcW w:w="596" w:type="pct"/>
          </w:tcPr>
          <w:p w14:paraId="34BDF54F" w14:textId="77777777" w:rsidR="006F0D5C" w:rsidRPr="00CF4CF1" w:rsidRDefault="006F0D5C" w:rsidP="0072568D">
            <w:pPr>
              <w:pStyle w:val="In-tableHeading"/>
              <w:keepNext w:val="0"/>
              <w:keepLines w:val="0"/>
              <w:jc w:val="center"/>
            </w:pPr>
            <w:r w:rsidRPr="00CF4CF1">
              <w:t>ICER</w:t>
            </w:r>
          </w:p>
        </w:tc>
        <w:tc>
          <w:tcPr>
            <w:tcW w:w="595" w:type="pct"/>
          </w:tcPr>
          <w:p w14:paraId="7678AB2B" w14:textId="77777777" w:rsidR="006F0D5C" w:rsidRPr="00CF4CF1" w:rsidRDefault="006F0D5C" w:rsidP="0072568D">
            <w:pPr>
              <w:pStyle w:val="In-tableHeading"/>
              <w:keepNext w:val="0"/>
              <w:keepLines w:val="0"/>
              <w:jc w:val="center"/>
            </w:pPr>
            <w:r w:rsidRPr="00CF4CF1">
              <w:t>% change</w:t>
            </w:r>
          </w:p>
        </w:tc>
      </w:tr>
      <w:tr w:rsidR="006F0D5C" w:rsidRPr="00CF4CF1" w14:paraId="40A1972D" w14:textId="77777777" w:rsidTr="0072568D">
        <w:trPr>
          <w:tblHeader/>
        </w:trPr>
        <w:tc>
          <w:tcPr>
            <w:tcW w:w="2266" w:type="pct"/>
            <w:tcBorders>
              <w:bottom w:val="single" w:sz="4" w:space="0" w:color="auto"/>
            </w:tcBorders>
          </w:tcPr>
          <w:p w14:paraId="003FAB99" w14:textId="18910DE8" w:rsidR="006F0D5C" w:rsidRPr="00656188" w:rsidRDefault="006F0D5C" w:rsidP="0072568D">
            <w:pPr>
              <w:pStyle w:val="TableText0"/>
              <w:keepNext w:val="0"/>
              <w:keepLines w:val="0"/>
              <w:rPr>
                <w:b/>
              </w:rPr>
            </w:pPr>
            <w:r>
              <w:rPr>
                <w:b/>
              </w:rPr>
              <w:t>Error</w:t>
            </w:r>
            <w:r w:rsidR="00FF1914">
              <w:rPr>
                <w:b/>
              </w:rPr>
              <w:noBreakHyphen/>
            </w:r>
            <w:r>
              <w:rPr>
                <w:b/>
              </w:rPr>
              <w:t>corrected b</w:t>
            </w:r>
            <w:r w:rsidRPr="00656188">
              <w:rPr>
                <w:b/>
              </w:rPr>
              <w:t>ase case</w:t>
            </w:r>
          </w:p>
        </w:tc>
        <w:tc>
          <w:tcPr>
            <w:tcW w:w="738" w:type="pct"/>
            <w:tcBorders>
              <w:bottom w:val="single" w:sz="4" w:space="0" w:color="auto"/>
            </w:tcBorders>
          </w:tcPr>
          <w:p w14:paraId="25A6C1EF" w14:textId="4D67FA00" w:rsidR="006F0D5C" w:rsidRPr="002F4437" w:rsidRDefault="006F0D5C" w:rsidP="0072568D">
            <w:pPr>
              <w:pStyle w:val="TableText0"/>
              <w:keepNext w:val="0"/>
              <w:keepLines w:val="0"/>
              <w:jc w:val="center"/>
              <w:rPr>
                <w:b/>
              </w:rPr>
            </w:pPr>
            <w:r w:rsidRPr="002F4437">
              <w:t>$</w:t>
            </w:r>
            <w:r w:rsidR="00102373" w:rsidRPr="00102373">
              <w:rPr>
                <w:sz w:val="2"/>
                <w:highlight w:val="black"/>
              </w:rPr>
              <w:t>redacted content</w:t>
            </w:r>
          </w:p>
        </w:tc>
        <w:tc>
          <w:tcPr>
            <w:tcW w:w="805" w:type="pct"/>
            <w:tcBorders>
              <w:bottom w:val="single" w:sz="4" w:space="0" w:color="auto"/>
            </w:tcBorders>
          </w:tcPr>
          <w:p w14:paraId="096AADE5" w14:textId="77777777" w:rsidR="006F0D5C" w:rsidRPr="002F4437" w:rsidRDefault="006F0D5C" w:rsidP="0072568D">
            <w:pPr>
              <w:pStyle w:val="TableText0"/>
              <w:keepNext w:val="0"/>
              <w:keepLines w:val="0"/>
              <w:jc w:val="center"/>
              <w:rPr>
                <w:b/>
              </w:rPr>
            </w:pPr>
            <w:r w:rsidRPr="002F4437">
              <w:t>0.370</w:t>
            </w:r>
          </w:p>
        </w:tc>
        <w:tc>
          <w:tcPr>
            <w:tcW w:w="596" w:type="pct"/>
            <w:tcBorders>
              <w:bottom w:val="single" w:sz="4" w:space="0" w:color="auto"/>
            </w:tcBorders>
          </w:tcPr>
          <w:p w14:paraId="5C9DD14D" w14:textId="6AC9C02B" w:rsidR="006F0D5C" w:rsidRPr="000D5713" w:rsidRDefault="006F0D5C" w:rsidP="0072568D">
            <w:pPr>
              <w:pStyle w:val="TableText0"/>
              <w:keepNext w:val="0"/>
              <w:keepLines w:val="0"/>
              <w:jc w:val="center"/>
              <w:rPr>
                <w:b/>
                <w:vertAlign w:val="superscript"/>
              </w:rPr>
            </w:pPr>
            <w:r w:rsidRPr="002F4437">
              <w:t>$</w:t>
            </w:r>
            <w:r w:rsidR="00102373" w:rsidRPr="00102373">
              <w:rPr>
                <w:sz w:val="2"/>
                <w:highlight w:val="black"/>
              </w:rPr>
              <w:t>redacted content</w:t>
            </w:r>
            <w:r w:rsidR="000D5713">
              <w:rPr>
                <w:vertAlign w:val="superscript"/>
              </w:rPr>
              <w:t>1</w:t>
            </w:r>
          </w:p>
        </w:tc>
        <w:tc>
          <w:tcPr>
            <w:tcW w:w="595" w:type="pct"/>
            <w:tcBorders>
              <w:bottom w:val="single" w:sz="4" w:space="0" w:color="auto"/>
            </w:tcBorders>
          </w:tcPr>
          <w:p w14:paraId="2D737022" w14:textId="77777777" w:rsidR="006F0D5C" w:rsidRPr="002F4437" w:rsidRDefault="006F0D5C" w:rsidP="0072568D">
            <w:pPr>
              <w:pStyle w:val="TableText0"/>
              <w:keepNext w:val="0"/>
              <w:keepLines w:val="0"/>
              <w:jc w:val="center"/>
              <w:rPr>
                <w:b/>
              </w:rPr>
            </w:pPr>
            <w:r w:rsidRPr="002F4437">
              <w:t>0.0%</w:t>
            </w:r>
          </w:p>
        </w:tc>
      </w:tr>
      <w:tr w:rsidR="006F0D5C" w:rsidRPr="00CF4CF1" w14:paraId="71EE5853" w14:textId="77777777" w:rsidTr="0072568D">
        <w:tc>
          <w:tcPr>
            <w:tcW w:w="2266" w:type="pct"/>
            <w:tcBorders>
              <w:bottom w:val="nil"/>
            </w:tcBorders>
          </w:tcPr>
          <w:p w14:paraId="1231767D" w14:textId="77777777" w:rsidR="006F0D5C" w:rsidRDefault="006F0D5C" w:rsidP="0072568D">
            <w:pPr>
              <w:pStyle w:val="TableText0"/>
              <w:keepNext w:val="0"/>
              <w:keepLines w:val="0"/>
            </w:pPr>
            <w:r>
              <w:t>Discount rate (base case 5% costs and outcomes)</w:t>
            </w:r>
          </w:p>
        </w:tc>
        <w:tc>
          <w:tcPr>
            <w:tcW w:w="738" w:type="pct"/>
            <w:tcBorders>
              <w:bottom w:val="nil"/>
            </w:tcBorders>
          </w:tcPr>
          <w:p w14:paraId="0E9B446C" w14:textId="77777777" w:rsidR="006F0D5C" w:rsidRPr="002F4437" w:rsidRDefault="006F0D5C" w:rsidP="0072568D">
            <w:pPr>
              <w:pStyle w:val="TableText0"/>
              <w:keepNext w:val="0"/>
              <w:keepLines w:val="0"/>
              <w:jc w:val="center"/>
            </w:pPr>
          </w:p>
        </w:tc>
        <w:tc>
          <w:tcPr>
            <w:tcW w:w="805" w:type="pct"/>
            <w:tcBorders>
              <w:bottom w:val="nil"/>
            </w:tcBorders>
          </w:tcPr>
          <w:p w14:paraId="759CA0BF" w14:textId="77777777" w:rsidR="006F0D5C" w:rsidRPr="002F4437" w:rsidRDefault="006F0D5C" w:rsidP="0072568D">
            <w:pPr>
              <w:pStyle w:val="TableText0"/>
              <w:keepNext w:val="0"/>
              <w:keepLines w:val="0"/>
              <w:jc w:val="center"/>
            </w:pPr>
          </w:p>
        </w:tc>
        <w:tc>
          <w:tcPr>
            <w:tcW w:w="596" w:type="pct"/>
            <w:tcBorders>
              <w:bottom w:val="nil"/>
            </w:tcBorders>
          </w:tcPr>
          <w:p w14:paraId="14CFC476" w14:textId="77777777" w:rsidR="006F0D5C" w:rsidRPr="002F4437" w:rsidRDefault="006F0D5C" w:rsidP="0072568D">
            <w:pPr>
              <w:pStyle w:val="TableText0"/>
              <w:keepNext w:val="0"/>
              <w:keepLines w:val="0"/>
              <w:jc w:val="center"/>
            </w:pPr>
          </w:p>
        </w:tc>
        <w:tc>
          <w:tcPr>
            <w:tcW w:w="595" w:type="pct"/>
            <w:tcBorders>
              <w:bottom w:val="nil"/>
            </w:tcBorders>
          </w:tcPr>
          <w:p w14:paraId="01B0AD20" w14:textId="77777777" w:rsidR="006F0D5C" w:rsidRPr="002F4437" w:rsidRDefault="006F0D5C" w:rsidP="0072568D">
            <w:pPr>
              <w:pStyle w:val="TableText0"/>
              <w:keepNext w:val="0"/>
              <w:keepLines w:val="0"/>
              <w:jc w:val="center"/>
            </w:pPr>
          </w:p>
        </w:tc>
      </w:tr>
      <w:tr w:rsidR="006F0D5C" w:rsidRPr="00CF4CF1" w14:paraId="55514987" w14:textId="77777777" w:rsidTr="0072568D">
        <w:tc>
          <w:tcPr>
            <w:tcW w:w="2266" w:type="pct"/>
            <w:tcBorders>
              <w:top w:val="nil"/>
              <w:bottom w:val="nil"/>
            </w:tcBorders>
          </w:tcPr>
          <w:p w14:paraId="5FBF4EBB" w14:textId="77777777" w:rsidR="006F0D5C" w:rsidRDefault="006F0D5C" w:rsidP="002B5C30">
            <w:pPr>
              <w:pStyle w:val="TableText0"/>
              <w:keepNext w:val="0"/>
              <w:keepLines w:val="0"/>
              <w:numPr>
                <w:ilvl w:val="0"/>
                <w:numId w:val="4"/>
              </w:numPr>
            </w:pPr>
            <w:r>
              <w:t>0% costs and outcomes</w:t>
            </w:r>
          </w:p>
        </w:tc>
        <w:tc>
          <w:tcPr>
            <w:tcW w:w="738" w:type="pct"/>
            <w:tcBorders>
              <w:top w:val="nil"/>
              <w:bottom w:val="nil"/>
            </w:tcBorders>
          </w:tcPr>
          <w:p w14:paraId="493C3FF6" w14:textId="5AE5EE8B"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276EAD04" w14:textId="77777777" w:rsidR="006F0D5C" w:rsidRPr="002F4437" w:rsidRDefault="006F0D5C" w:rsidP="0072568D">
            <w:pPr>
              <w:pStyle w:val="TableText0"/>
              <w:keepNext w:val="0"/>
              <w:keepLines w:val="0"/>
              <w:jc w:val="center"/>
            </w:pPr>
            <w:r w:rsidRPr="002F4437">
              <w:t>0.630</w:t>
            </w:r>
          </w:p>
        </w:tc>
        <w:tc>
          <w:tcPr>
            <w:tcW w:w="596" w:type="pct"/>
            <w:tcBorders>
              <w:top w:val="nil"/>
              <w:bottom w:val="nil"/>
            </w:tcBorders>
          </w:tcPr>
          <w:p w14:paraId="5BF03477" w14:textId="27596990" w:rsidR="006F0D5C" w:rsidRPr="0009167B"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9167B">
              <w:rPr>
                <w:vertAlign w:val="superscript"/>
              </w:rPr>
              <w:t>2</w:t>
            </w:r>
          </w:p>
        </w:tc>
        <w:tc>
          <w:tcPr>
            <w:tcW w:w="595" w:type="pct"/>
            <w:tcBorders>
              <w:top w:val="nil"/>
              <w:bottom w:val="nil"/>
            </w:tcBorders>
          </w:tcPr>
          <w:p w14:paraId="2919940C" w14:textId="4EE69044" w:rsidR="006F0D5C" w:rsidRPr="002F4437" w:rsidRDefault="00FF1914" w:rsidP="0072568D">
            <w:pPr>
              <w:pStyle w:val="TableText0"/>
              <w:keepNext w:val="0"/>
              <w:keepLines w:val="0"/>
              <w:jc w:val="center"/>
            </w:pPr>
            <w:r>
              <w:noBreakHyphen/>
            </w:r>
            <w:r w:rsidR="00102373" w:rsidRPr="00102373">
              <w:rPr>
                <w:sz w:val="2"/>
                <w:highlight w:val="black"/>
              </w:rPr>
              <w:t>redacted content</w:t>
            </w:r>
            <w:r w:rsidR="006F0D5C" w:rsidRPr="002F4437">
              <w:t>%</w:t>
            </w:r>
          </w:p>
        </w:tc>
      </w:tr>
      <w:tr w:rsidR="006F0D5C" w:rsidRPr="00CF4CF1" w14:paraId="583793E2" w14:textId="77777777" w:rsidTr="0072568D">
        <w:tc>
          <w:tcPr>
            <w:tcW w:w="2266" w:type="pct"/>
            <w:tcBorders>
              <w:top w:val="nil"/>
              <w:bottom w:val="single" w:sz="4" w:space="0" w:color="auto"/>
            </w:tcBorders>
          </w:tcPr>
          <w:p w14:paraId="2A7EB096" w14:textId="77777777" w:rsidR="006F0D5C" w:rsidRDefault="006F0D5C" w:rsidP="002B5C30">
            <w:pPr>
              <w:pStyle w:val="TableText0"/>
              <w:keepNext w:val="0"/>
              <w:keepLines w:val="0"/>
              <w:numPr>
                <w:ilvl w:val="0"/>
                <w:numId w:val="4"/>
              </w:numPr>
            </w:pPr>
            <w:r w:rsidRPr="00F96088">
              <w:t>3.5% costs and outcomes</w:t>
            </w:r>
          </w:p>
        </w:tc>
        <w:tc>
          <w:tcPr>
            <w:tcW w:w="738" w:type="pct"/>
            <w:tcBorders>
              <w:top w:val="nil"/>
              <w:bottom w:val="single" w:sz="4" w:space="0" w:color="auto"/>
            </w:tcBorders>
          </w:tcPr>
          <w:p w14:paraId="59493D96" w14:textId="79DA7216"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single" w:sz="4" w:space="0" w:color="auto"/>
            </w:tcBorders>
          </w:tcPr>
          <w:p w14:paraId="69CC8E30" w14:textId="77777777" w:rsidR="006F0D5C" w:rsidRPr="002F4437" w:rsidRDefault="006F0D5C" w:rsidP="0072568D">
            <w:pPr>
              <w:pStyle w:val="TableText0"/>
              <w:keepNext w:val="0"/>
              <w:keepLines w:val="0"/>
              <w:jc w:val="center"/>
            </w:pPr>
            <w:r w:rsidRPr="002F4437">
              <w:t>0.430</w:t>
            </w:r>
          </w:p>
        </w:tc>
        <w:tc>
          <w:tcPr>
            <w:tcW w:w="596" w:type="pct"/>
            <w:tcBorders>
              <w:top w:val="nil"/>
              <w:bottom w:val="single" w:sz="4" w:space="0" w:color="auto"/>
            </w:tcBorders>
          </w:tcPr>
          <w:p w14:paraId="6777BA73" w14:textId="5B9F31CA" w:rsidR="006F0D5C" w:rsidRPr="00A2521B"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A2521B">
              <w:rPr>
                <w:vertAlign w:val="superscript"/>
              </w:rPr>
              <w:t>3</w:t>
            </w:r>
          </w:p>
        </w:tc>
        <w:tc>
          <w:tcPr>
            <w:tcW w:w="595" w:type="pct"/>
            <w:tcBorders>
              <w:top w:val="nil"/>
              <w:bottom w:val="single" w:sz="4" w:space="0" w:color="auto"/>
            </w:tcBorders>
          </w:tcPr>
          <w:p w14:paraId="7738C702" w14:textId="68C5DE62" w:rsidR="006F0D5C" w:rsidRPr="002F4437" w:rsidRDefault="00FF1914" w:rsidP="0072568D">
            <w:pPr>
              <w:pStyle w:val="TableText0"/>
              <w:keepNext w:val="0"/>
              <w:keepLines w:val="0"/>
              <w:jc w:val="center"/>
            </w:pPr>
            <w:r>
              <w:noBreakHyphen/>
            </w:r>
            <w:r w:rsidR="00102373" w:rsidRPr="00102373">
              <w:rPr>
                <w:sz w:val="2"/>
                <w:highlight w:val="black"/>
              </w:rPr>
              <w:t>redacted content</w:t>
            </w:r>
            <w:r w:rsidR="006F0D5C" w:rsidRPr="002F4437">
              <w:t>%</w:t>
            </w:r>
          </w:p>
        </w:tc>
      </w:tr>
      <w:tr w:rsidR="006F0D5C" w:rsidRPr="00CF4CF1" w14:paraId="5D5DF90D" w14:textId="77777777" w:rsidTr="0072568D">
        <w:tc>
          <w:tcPr>
            <w:tcW w:w="2266" w:type="pct"/>
            <w:tcBorders>
              <w:bottom w:val="nil"/>
            </w:tcBorders>
          </w:tcPr>
          <w:p w14:paraId="67311E30" w14:textId="77777777" w:rsidR="006F0D5C" w:rsidRDefault="006F0D5C" w:rsidP="0072568D">
            <w:pPr>
              <w:pStyle w:val="TableText0"/>
              <w:keepNext w:val="0"/>
              <w:keepLines w:val="0"/>
            </w:pPr>
            <w:r>
              <w:t>Time horizon (base case 20 years)</w:t>
            </w:r>
          </w:p>
        </w:tc>
        <w:tc>
          <w:tcPr>
            <w:tcW w:w="738" w:type="pct"/>
            <w:tcBorders>
              <w:bottom w:val="nil"/>
            </w:tcBorders>
          </w:tcPr>
          <w:p w14:paraId="62601684" w14:textId="77777777" w:rsidR="006F0D5C" w:rsidRPr="002F4437" w:rsidRDefault="006F0D5C" w:rsidP="0072568D">
            <w:pPr>
              <w:pStyle w:val="TableText0"/>
              <w:keepNext w:val="0"/>
              <w:keepLines w:val="0"/>
              <w:jc w:val="center"/>
            </w:pPr>
          </w:p>
        </w:tc>
        <w:tc>
          <w:tcPr>
            <w:tcW w:w="805" w:type="pct"/>
            <w:tcBorders>
              <w:bottom w:val="nil"/>
            </w:tcBorders>
          </w:tcPr>
          <w:p w14:paraId="1B4CA231" w14:textId="77777777" w:rsidR="006F0D5C" w:rsidRPr="002F4437" w:rsidRDefault="006F0D5C" w:rsidP="0072568D">
            <w:pPr>
              <w:pStyle w:val="TableText0"/>
              <w:keepNext w:val="0"/>
              <w:keepLines w:val="0"/>
              <w:jc w:val="center"/>
            </w:pPr>
          </w:p>
        </w:tc>
        <w:tc>
          <w:tcPr>
            <w:tcW w:w="596" w:type="pct"/>
            <w:tcBorders>
              <w:bottom w:val="nil"/>
            </w:tcBorders>
          </w:tcPr>
          <w:p w14:paraId="65F6FC47" w14:textId="77777777" w:rsidR="006F0D5C" w:rsidRPr="002F4437" w:rsidRDefault="006F0D5C" w:rsidP="0072568D">
            <w:pPr>
              <w:pStyle w:val="TableText0"/>
              <w:keepNext w:val="0"/>
              <w:keepLines w:val="0"/>
              <w:jc w:val="center"/>
            </w:pPr>
          </w:p>
        </w:tc>
        <w:tc>
          <w:tcPr>
            <w:tcW w:w="595" w:type="pct"/>
            <w:tcBorders>
              <w:bottom w:val="nil"/>
            </w:tcBorders>
          </w:tcPr>
          <w:p w14:paraId="4F391EC3" w14:textId="77777777" w:rsidR="006F0D5C" w:rsidRPr="002F4437" w:rsidRDefault="006F0D5C" w:rsidP="0072568D">
            <w:pPr>
              <w:pStyle w:val="TableText0"/>
              <w:keepNext w:val="0"/>
              <w:keepLines w:val="0"/>
              <w:jc w:val="center"/>
            </w:pPr>
          </w:p>
        </w:tc>
      </w:tr>
      <w:tr w:rsidR="006F0D5C" w:rsidRPr="00CF4CF1" w14:paraId="6C74126A" w14:textId="77777777" w:rsidTr="0072568D">
        <w:tc>
          <w:tcPr>
            <w:tcW w:w="2266" w:type="pct"/>
            <w:tcBorders>
              <w:top w:val="nil"/>
              <w:bottom w:val="nil"/>
            </w:tcBorders>
          </w:tcPr>
          <w:p w14:paraId="79285C3C" w14:textId="77777777" w:rsidR="006F0D5C" w:rsidRDefault="006F0D5C" w:rsidP="002B5C30">
            <w:pPr>
              <w:pStyle w:val="TableText0"/>
              <w:keepNext w:val="0"/>
              <w:keepLines w:val="0"/>
              <w:numPr>
                <w:ilvl w:val="0"/>
                <w:numId w:val="4"/>
              </w:numPr>
            </w:pPr>
            <w:r>
              <w:t>15 years</w:t>
            </w:r>
          </w:p>
        </w:tc>
        <w:tc>
          <w:tcPr>
            <w:tcW w:w="738" w:type="pct"/>
            <w:tcBorders>
              <w:top w:val="nil"/>
              <w:bottom w:val="nil"/>
            </w:tcBorders>
          </w:tcPr>
          <w:p w14:paraId="1C6754F2" w14:textId="06FD5979"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4332982A" w14:textId="77777777" w:rsidR="006F0D5C" w:rsidRPr="002F4437" w:rsidRDefault="006F0D5C" w:rsidP="0072568D">
            <w:pPr>
              <w:pStyle w:val="TableText0"/>
              <w:keepNext w:val="0"/>
              <w:keepLines w:val="0"/>
              <w:jc w:val="center"/>
            </w:pPr>
            <w:r w:rsidRPr="002F4437">
              <w:t>0.277</w:t>
            </w:r>
          </w:p>
        </w:tc>
        <w:tc>
          <w:tcPr>
            <w:tcW w:w="596" w:type="pct"/>
            <w:tcBorders>
              <w:top w:val="nil"/>
              <w:bottom w:val="nil"/>
            </w:tcBorders>
          </w:tcPr>
          <w:p w14:paraId="07044B58" w14:textId="789A09F7" w:rsidR="006F0D5C" w:rsidRPr="006D1CDE"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6D1CDE">
              <w:rPr>
                <w:vertAlign w:val="superscript"/>
              </w:rPr>
              <w:t>4</w:t>
            </w:r>
          </w:p>
        </w:tc>
        <w:tc>
          <w:tcPr>
            <w:tcW w:w="595" w:type="pct"/>
            <w:tcBorders>
              <w:top w:val="nil"/>
              <w:bottom w:val="nil"/>
            </w:tcBorders>
          </w:tcPr>
          <w:p w14:paraId="4ACB1867" w14:textId="0960EAC7"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6560BE94" w14:textId="77777777" w:rsidTr="0072568D">
        <w:tc>
          <w:tcPr>
            <w:tcW w:w="2266" w:type="pct"/>
            <w:tcBorders>
              <w:top w:val="nil"/>
              <w:bottom w:val="single" w:sz="4" w:space="0" w:color="auto"/>
            </w:tcBorders>
          </w:tcPr>
          <w:p w14:paraId="3BF35509" w14:textId="77777777" w:rsidR="006F0D5C" w:rsidRDefault="006F0D5C" w:rsidP="002B5C30">
            <w:pPr>
              <w:pStyle w:val="TableText0"/>
              <w:keepNext w:val="0"/>
              <w:keepLines w:val="0"/>
              <w:numPr>
                <w:ilvl w:val="0"/>
                <w:numId w:val="4"/>
              </w:numPr>
            </w:pPr>
            <w:r>
              <w:t>Lifetime (to age 100)</w:t>
            </w:r>
          </w:p>
        </w:tc>
        <w:tc>
          <w:tcPr>
            <w:tcW w:w="738" w:type="pct"/>
            <w:tcBorders>
              <w:top w:val="nil"/>
              <w:bottom w:val="single" w:sz="4" w:space="0" w:color="auto"/>
            </w:tcBorders>
          </w:tcPr>
          <w:p w14:paraId="0111FCBC" w14:textId="4BD7E3D9"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single" w:sz="4" w:space="0" w:color="auto"/>
            </w:tcBorders>
          </w:tcPr>
          <w:p w14:paraId="2A197032" w14:textId="77777777" w:rsidR="006F0D5C" w:rsidRPr="002F4437" w:rsidRDefault="006F0D5C" w:rsidP="0072568D">
            <w:pPr>
              <w:pStyle w:val="TableText0"/>
              <w:keepNext w:val="0"/>
              <w:keepLines w:val="0"/>
              <w:jc w:val="center"/>
            </w:pPr>
            <w:r w:rsidRPr="002F4437">
              <w:t>0.698</w:t>
            </w:r>
          </w:p>
        </w:tc>
        <w:tc>
          <w:tcPr>
            <w:tcW w:w="596" w:type="pct"/>
            <w:tcBorders>
              <w:top w:val="nil"/>
              <w:bottom w:val="single" w:sz="4" w:space="0" w:color="auto"/>
            </w:tcBorders>
          </w:tcPr>
          <w:p w14:paraId="2CF1F4F9" w14:textId="01356A1A" w:rsidR="006F0D5C" w:rsidRPr="00B05D04"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B05D04">
              <w:rPr>
                <w:vertAlign w:val="superscript"/>
              </w:rPr>
              <w:t>5</w:t>
            </w:r>
          </w:p>
        </w:tc>
        <w:tc>
          <w:tcPr>
            <w:tcW w:w="595" w:type="pct"/>
            <w:tcBorders>
              <w:top w:val="nil"/>
              <w:bottom w:val="single" w:sz="4" w:space="0" w:color="auto"/>
            </w:tcBorders>
          </w:tcPr>
          <w:p w14:paraId="594FCC62" w14:textId="5F52BD66" w:rsidR="006F0D5C" w:rsidRPr="002F4437" w:rsidRDefault="00FF1914" w:rsidP="0072568D">
            <w:pPr>
              <w:pStyle w:val="TableText0"/>
              <w:keepNext w:val="0"/>
              <w:keepLines w:val="0"/>
              <w:jc w:val="center"/>
            </w:pPr>
            <w:r>
              <w:noBreakHyphen/>
            </w:r>
            <w:r w:rsidR="00102373" w:rsidRPr="00102373">
              <w:rPr>
                <w:sz w:val="2"/>
                <w:highlight w:val="black"/>
              </w:rPr>
              <w:t>redacted content</w:t>
            </w:r>
            <w:r w:rsidR="006F0D5C" w:rsidRPr="002F4437">
              <w:t>%</w:t>
            </w:r>
          </w:p>
        </w:tc>
      </w:tr>
      <w:tr w:rsidR="006F0D5C" w:rsidRPr="00CF4CF1" w14:paraId="727315D9" w14:textId="77777777" w:rsidTr="0072568D">
        <w:tc>
          <w:tcPr>
            <w:tcW w:w="5000" w:type="pct"/>
            <w:gridSpan w:val="5"/>
            <w:tcBorders>
              <w:bottom w:val="nil"/>
            </w:tcBorders>
          </w:tcPr>
          <w:p w14:paraId="4B7C165F" w14:textId="07F313E8" w:rsidR="006F0D5C" w:rsidRPr="002F4437" w:rsidRDefault="006F0D5C" w:rsidP="0072568D">
            <w:pPr>
              <w:pStyle w:val="TableText0"/>
              <w:keepNext w:val="0"/>
              <w:keepLines w:val="0"/>
            </w:pPr>
            <w:r>
              <w:t>Obinutuzumab treatment duration (base maximum duration CR/PR 36 months, AD 18 months, 6.8% discontinue per cycle)</w:t>
            </w:r>
          </w:p>
        </w:tc>
      </w:tr>
      <w:tr w:rsidR="006F0D5C" w:rsidRPr="00CF4CF1" w14:paraId="60781FEE" w14:textId="77777777" w:rsidTr="0072568D">
        <w:tc>
          <w:tcPr>
            <w:tcW w:w="2266" w:type="pct"/>
            <w:tcBorders>
              <w:top w:val="nil"/>
              <w:bottom w:val="nil"/>
            </w:tcBorders>
          </w:tcPr>
          <w:p w14:paraId="649BC3DD" w14:textId="77777777" w:rsidR="006F0D5C" w:rsidRPr="002F4437" w:rsidRDefault="006F0D5C" w:rsidP="002B5C30">
            <w:pPr>
              <w:pStyle w:val="TableText0"/>
              <w:keepNext w:val="0"/>
              <w:keepLines w:val="0"/>
              <w:numPr>
                <w:ilvl w:val="0"/>
                <w:numId w:val="4"/>
              </w:numPr>
            </w:pPr>
            <w:r w:rsidRPr="002F4437">
              <w:t>No maximum time in CR/PR, AD 18 months (6.8% discontinue per cycle)</w:t>
            </w:r>
          </w:p>
        </w:tc>
        <w:tc>
          <w:tcPr>
            <w:tcW w:w="738" w:type="pct"/>
            <w:tcBorders>
              <w:top w:val="nil"/>
              <w:bottom w:val="nil"/>
            </w:tcBorders>
          </w:tcPr>
          <w:p w14:paraId="46B5DD5C" w14:textId="11B96474"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49F9F7BA" w14:textId="77777777" w:rsidR="006F0D5C" w:rsidRPr="002F4437" w:rsidRDefault="006F0D5C" w:rsidP="0072568D">
            <w:pPr>
              <w:pStyle w:val="TableText0"/>
              <w:keepNext w:val="0"/>
              <w:keepLines w:val="0"/>
              <w:jc w:val="center"/>
            </w:pPr>
            <w:r w:rsidRPr="002F4437">
              <w:t>0.389</w:t>
            </w:r>
          </w:p>
        </w:tc>
        <w:tc>
          <w:tcPr>
            <w:tcW w:w="596" w:type="pct"/>
            <w:tcBorders>
              <w:top w:val="nil"/>
              <w:bottom w:val="nil"/>
            </w:tcBorders>
          </w:tcPr>
          <w:p w14:paraId="15A1643A" w14:textId="525CDB04" w:rsidR="006F0D5C" w:rsidRPr="006D1CDE"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6D1CDE">
              <w:rPr>
                <w:vertAlign w:val="superscript"/>
              </w:rPr>
              <w:t>4</w:t>
            </w:r>
          </w:p>
        </w:tc>
        <w:tc>
          <w:tcPr>
            <w:tcW w:w="595" w:type="pct"/>
            <w:tcBorders>
              <w:top w:val="nil"/>
              <w:bottom w:val="nil"/>
            </w:tcBorders>
          </w:tcPr>
          <w:p w14:paraId="6B8ECDC0" w14:textId="0E55A9E2"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2C52F109" w14:textId="77777777" w:rsidTr="0072568D">
        <w:tc>
          <w:tcPr>
            <w:tcW w:w="2266" w:type="pct"/>
            <w:tcBorders>
              <w:top w:val="nil"/>
              <w:bottom w:val="single" w:sz="4" w:space="0" w:color="auto"/>
            </w:tcBorders>
          </w:tcPr>
          <w:p w14:paraId="7B6DDDED" w14:textId="37149F0A" w:rsidR="006F0D5C" w:rsidRPr="002F4437" w:rsidRDefault="00B35582" w:rsidP="002B5C30">
            <w:pPr>
              <w:pStyle w:val="TableText0"/>
              <w:keepNext w:val="0"/>
              <w:keepLines w:val="0"/>
              <w:numPr>
                <w:ilvl w:val="0"/>
                <w:numId w:val="4"/>
              </w:numPr>
            </w:pPr>
            <w:r w:rsidRPr="002F4437">
              <w:t>No maximum time in CR/PR</w:t>
            </w:r>
            <w:r w:rsidR="006F0D5C" w:rsidRPr="002F4437">
              <w:t>, AD 18 months (no discontinuation per cycle)</w:t>
            </w:r>
          </w:p>
        </w:tc>
        <w:tc>
          <w:tcPr>
            <w:tcW w:w="738" w:type="pct"/>
            <w:tcBorders>
              <w:top w:val="nil"/>
              <w:bottom w:val="single" w:sz="4" w:space="0" w:color="auto"/>
            </w:tcBorders>
          </w:tcPr>
          <w:p w14:paraId="40E7BF97" w14:textId="7BCB0FBA"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single" w:sz="4" w:space="0" w:color="auto"/>
            </w:tcBorders>
          </w:tcPr>
          <w:p w14:paraId="15ADCC50" w14:textId="77777777" w:rsidR="006F0D5C" w:rsidRPr="002F4437" w:rsidRDefault="006F0D5C" w:rsidP="0072568D">
            <w:pPr>
              <w:pStyle w:val="TableText0"/>
              <w:keepNext w:val="0"/>
              <w:keepLines w:val="0"/>
              <w:jc w:val="center"/>
            </w:pPr>
            <w:r w:rsidRPr="002F4437">
              <w:t>0.429</w:t>
            </w:r>
          </w:p>
        </w:tc>
        <w:tc>
          <w:tcPr>
            <w:tcW w:w="596" w:type="pct"/>
            <w:tcBorders>
              <w:top w:val="nil"/>
              <w:bottom w:val="single" w:sz="4" w:space="0" w:color="auto"/>
            </w:tcBorders>
          </w:tcPr>
          <w:p w14:paraId="4783E557" w14:textId="5554E20F" w:rsidR="006F0D5C" w:rsidRPr="000272F9"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272F9">
              <w:rPr>
                <w:vertAlign w:val="superscript"/>
              </w:rPr>
              <w:t>6</w:t>
            </w:r>
          </w:p>
        </w:tc>
        <w:tc>
          <w:tcPr>
            <w:tcW w:w="595" w:type="pct"/>
            <w:tcBorders>
              <w:top w:val="nil"/>
              <w:bottom w:val="single" w:sz="4" w:space="0" w:color="auto"/>
            </w:tcBorders>
          </w:tcPr>
          <w:p w14:paraId="2A021100" w14:textId="764509FE"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6270487F" w14:textId="77777777" w:rsidTr="0072568D">
        <w:tc>
          <w:tcPr>
            <w:tcW w:w="5000" w:type="pct"/>
            <w:gridSpan w:val="5"/>
            <w:tcBorders>
              <w:bottom w:val="nil"/>
            </w:tcBorders>
          </w:tcPr>
          <w:p w14:paraId="04F5BD6A" w14:textId="77777777" w:rsidR="006F0D5C" w:rsidRPr="002F4437" w:rsidRDefault="006F0D5C" w:rsidP="0072568D">
            <w:pPr>
              <w:pStyle w:val="TableText0"/>
              <w:keepNext w:val="0"/>
              <w:keepLines w:val="0"/>
            </w:pPr>
            <w:r>
              <w:t>Source of SOC progression to dialysis (base constant probabilities from 5 year of Davidson 2018 data, assuming 50% of Davidson 2018 transitions were mortality events: AD to dialysis 1.10%, CR/PR to dialysis: 0.28%</w:t>
            </w:r>
          </w:p>
        </w:tc>
      </w:tr>
      <w:tr w:rsidR="006F0D5C" w:rsidRPr="00CF4CF1" w14:paraId="52686762" w14:textId="77777777" w:rsidTr="0072568D">
        <w:tc>
          <w:tcPr>
            <w:tcW w:w="2266" w:type="pct"/>
            <w:tcBorders>
              <w:top w:val="nil"/>
              <w:bottom w:val="nil"/>
            </w:tcBorders>
          </w:tcPr>
          <w:p w14:paraId="275EC52F" w14:textId="77777777" w:rsidR="006F0D5C" w:rsidRDefault="006F0D5C" w:rsidP="002B5C30">
            <w:pPr>
              <w:pStyle w:val="TableText0"/>
              <w:keepNext w:val="0"/>
              <w:keepLines w:val="0"/>
              <w:numPr>
                <w:ilvl w:val="0"/>
                <w:numId w:val="4"/>
              </w:numPr>
            </w:pPr>
            <w:r>
              <w:lastRenderedPageBreak/>
              <w:t>Rates from Luo 2022</w:t>
            </w:r>
          </w:p>
        </w:tc>
        <w:tc>
          <w:tcPr>
            <w:tcW w:w="738" w:type="pct"/>
            <w:tcBorders>
              <w:top w:val="nil"/>
              <w:bottom w:val="nil"/>
            </w:tcBorders>
          </w:tcPr>
          <w:p w14:paraId="79BF6B1F" w14:textId="184484C4"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3F7D764E" w14:textId="77777777" w:rsidR="006F0D5C" w:rsidRPr="002F4437" w:rsidRDefault="006F0D5C" w:rsidP="0072568D">
            <w:pPr>
              <w:pStyle w:val="TableText0"/>
              <w:keepNext w:val="0"/>
              <w:keepLines w:val="0"/>
              <w:jc w:val="center"/>
            </w:pPr>
            <w:r w:rsidRPr="002F4437">
              <w:t>0.411</w:t>
            </w:r>
          </w:p>
        </w:tc>
        <w:tc>
          <w:tcPr>
            <w:tcW w:w="596" w:type="pct"/>
            <w:tcBorders>
              <w:top w:val="nil"/>
              <w:bottom w:val="nil"/>
            </w:tcBorders>
          </w:tcPr>
          <w:p w14:paraId="4B30537F" w14:textId="5B4C057D" w:rsidR="006F0D5C" w:rsidRPr="00A2521B"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A2521B">
              <w:rPr>
                <w:vertAlign w:val="superscript"/>
              </w:rPr>
              <w:t>3</w:t>
            </w:r>
          </w:p>
        </w:tc>
        <w:tc>
          <w:tcPr>
            <w:tcW w:w="595" w:type="pct"/>
            <w:tcBorders>
              <w:top w:val="nil"/>
              <w:bottom w:val="nil"/>
            </w:tcBorders>
          </w:tcPr>
          <w:p w14:paraId="17FFFBB7" w14:textId="30AF442C" w:rsidR="006F0D5C" w:rsidRPr="002F4437" w:rsidRDefault="00FF1914" w:rsidP="0072568D">
            <w:pPr>
              <w:pStyle w:val="TableText0"/>
              <w:keepNext w:val="0"/>
              <w:keepLines w:val="0"/>
              <w:jc w:val="center"/>
            </w:pPr>
            <w:r>
              <w:noBreakHyphen/>
            </w:r>
            <w:r w:rsidR="00102373" w:rsidRPr="00102373">
              <w:rPr>
                <w:sz w:val="2"/>
                <w:highlight w:val="black"/>
              </w:rPr>
              <w:t>redacted content</w:t>
            </w:r>
            <w:r w:rsidR="006F0D5C" w:rsidRPr="002F4437">
              <w:t>%</w:t>
            </w:r>
          </w:p>
        </w:tc>
      </w:tr>
      <w:tr w:rsidR="006F0D5C" w:rsidRPr="00CF4CF1" w14:paraId="75DF8085" w14:textId="77777777" w:rsidTr="0072568D">
        <w:tc>
          <w:tcPr>
            <w:tcW w:w="2266" w:type="pct"/>
            <w:tcBorders>
              <w:top w:val="nil"/>
              <w:bottom w:val="nil"/>
            </w:tcBorders>
          </w:tcPr>
          <w:p w14:paraId="0A52F485" w14:textId="77777777" w:rsidR="006F0D5C" w:rsidRDefault="006F0D5C" w:rsidP="002B5C30">
            <w:pPr>
              <w:pStyle w:val="TableText0"/>
              <w:keepNext w:val="0"/>
              <w:keepLines w:val="0"/>
              <w:numPr>
                <w:ilvl w:val="0"/>
                <w:numId w:val="4"/>
              </w:numPr>
            </w:pPr>
            <w:r>
              <w:t>Variable extrapolation of Davidson 2018 from Mandrik 2022</w:t>
            </w:r>
          </w:p>
        </w:tc>
        <w:tc>
          <w:tcPr>
            <w:tcW w:w="738" w:type="pct"/>
            <w:tcBorders>
              <w:top w:val="nil"/>
              <w:bottom w:val="nil"/>
            </w:tcBorders>
          </w:tcPr>
          <w:p w14:paraId="2B7B4498" w14:textId="2B71A841"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3303507D" w14:textId="77777777" w:rsidR="006F0D5C" w:rsidRPr="002F4437" w:rsidRDefault="006F0D5C" w:rsidP="0072568D">
            <w:pPr>
              <w:pStyle w:val="TableText0"/>
              <w:keepNext w:val="0"/>
              <w:keepLines w:val="0"/>
              <w:jc w:val="center"/>
            </w:pPr>
            <w:r w:rsidRPr="002F4437">
              <w:t>0.360</w:t>
            </w:r>
          </w:p>
        </w:tc>
        <w:tc>
          <w:tcPr>
            <w:tcW w:w="596" w:type="pct"/>
            <w:tcBorders>
              <w:top w:val="nil"/>
              <w:bottom w:val="nil"/>
            </w:tcBorders>
          </w:tcPr>
          <w:p w14:paraId="21339A03" w14:textId="261C83B1" w:rsidR="006F0D5C" w:rsidRPr="000D5713"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D5713">
              <w:rPr>
                <w:vertAlign w:val="superscript"/>
              </w:rPr>
              <w:t>1</w:t>
            </w:r>
          </w:p>
        </w:tc>
        <w:tc>
          <w:tcPr>
            <w:tcW w:w="595" w:type="pct"/>
            <w:tcBorders>
              <w:top w:val="nil"/>
              <w:bottom w:val="nil"/>
            </w:tcBorders>
          </w:tcPr>
          <w:p w14:paraId="53A82D52" w14:textId="027E4283"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5CF5DD3F" w14:textId="77777777" w:rsidTr="0072568D">
        <w:tc>
          <w:tcPr>
            <w:tcW w:w="2266" w:type="pct"/>
            <w:tcBorders>
              <w:top w:val="nil"/>
              <w:bottom w:val="nil"/>
            </w:tcBorders>
          </w:tcPr>
          <w:p w14:paraId="6636BB80" w14:textId="77777777" w:rsidR="006F0D5C" w:rsidRPr="002F4437" w:rsidRDefault="006F0D5C" w:rsidP="002B5C30">
            <w:pPr>
              <w:pStyle w:val="TableText0"/>
              <w:keepNext w:val="0"/>
              <w:keepLines w:val="0"/>
              <w:numPr>
                <w:ilvl w:val="0"/>
                <w:numId w:val="4"/>
              </w:numPr>
            </w:pPr>
            <w:r w:rsidRPr="002F4437">
              <w:t>Assume CR/PR probabilities equal to AD probability from Year 10</w:t>
            </w:r>
          </w:p>
        </w:tc>
        <w:tc>
          <w:tcPr>
            <w:tcW w:w="738" w:type="pct"/>
            <w:tcBorders>
              <w:top w:val="nil"/>
              <w:bottom w:val="nil"/>
            </w:tcBorders>
          </w:tcPr>
          <w:p w14:paraId="5CC40B58" w14:textId="295412DD"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67F413BF" w14:textId="77777777" w:rsidR="006F0D5C" w:rsidRPr="002F4437" w:rsidRDefault="006F0D5C" w:rsidP="0072568D">
            <w:pPr>
              <w:pStyle w:val="TableText0"/>
              <w:keepNext w:val="0"/>
              <w:keepLines w:val="0"/>
              <w:jc w:val="center"/>
            </w:pPr>
            <w:r w:rsidRPr="002F4437">
              <w:t>0.351</w:t>
            </w:r>
          </w:p>
        </w:tc>
        <w:tc>
          <w:tcPr>
            <w:tcW w:w="596" w:type="pct"/>
            <w:tcBorders>
              <w:top w:val="nil"/>
              <w:bottom w:val="nil"/>
            </w:tcBorders>
          </w:tcPr>
          <w:p w14:paraId="19A66BFE" w14:textId="3EF521E7" w:rsidR="006F0D5C" w:rsidRPr="00783CFF"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783CFF">
              <w:rPr>
                <w:vertAlign w:val="superscript"/>
              </w:rPr>
              <w:t>7</w:t>
            </w:r>
          </w:p>
        </w:tc>
        <w:tc>
          <w:tcPr>
            <w:tcW w:w="595" w:type="pct"/>
            <w:tcBorders>
              <w:top w:val="nil"/>
              <w:bottom w:val="nil"/>
            </w:tcBorders>
          </w:tcPr>
          <w:p w14:paraId="2089AE71" w14:textId="0CBB159A"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6558AC0B" w14:textId="77777777" w:rsidTr="0072568D">
        <w:tc>
          <w:tcPr>
            <w:tcW w:w="5000" w:type="pct"/>
            <w:gridSpan w:val="5"/>
            <w:tcBorders>
              <w:top w:val="nil"/>
              <w:bottom w:val="nil"/>
            </w:tcBorders>
          </w:tcPr>
          <w:p w14:paraId="0733B2A2" w14:textId="134F667A" w:rsidR="006F0D5C" w:rsidRPr="002F4437" w:rsidRDefault="006F0D5C" w:rsidP="0072568D">
            <w:pPr>
              <w:pStyle w:val="TableText0"/>
              <w:keepNext w:val="0"/>
              <w:keepLines w:val="0"/>
            </w:pPr>
            <w:r>
              <w:t>Benefit of obinutuzumab CR/PR to dialysis (base HR 0.44)</w:t>
            </w:r>
          </w:p>
        </w:tc>
      </w:tr>
      <w:tr w:rsidR="006F0D5C" w:rsidRPr="00CF4CF1" w14:paraId="5A430E3F" w14:textId="77777777" w:rsidTr="0072568D">
        <w:tc>
          <w:tcPr>
            <w:tcW w:w="2266" w:type="pct"/>
            <w:tcBorders>
              <w:top w:val="nil"/>
              <w:bottom w:val="single" w:sz="4" w:space="0" w:color="auto"/>
            </w:tcBorders>
          </w:tcPr>
          <w:p w14:paraId="15CD0EDF" w14:textId="77777777" w:rsidR="006F0D5C" w:rsidRDefault="006F0D5C" w:rsidP="002B5C30">
            <w:pPr>
              <w:pStyle w:val="TableText0"/>
              <w:keepNext w:val="0"/>
              <w:keepLines w:val="0"/>
              <w:numPr>
                <w:ilvl w:val="0"/>
                <w:numId w:val="4"/>
              </w:numPr>
            </w:pPr>
            <w:r>
              <w:t>OBI HR=1</w:t>
            </w:r>
          </w:p>
        </w:tc>
        <w:tc>
          <w:tcPr>
            <w:tcW w:w="738" w:type="pct"/>
            <w:tcBorders>
              <w:top w:val="nil"/>
              <w:bottom w:val="single" w:sz="4" w:space="0" w:color="auto"/>
            </w:tcBorders>
          </w:tcPr>
          <w:p w14:paraId="76C03190" w14:textId="0FF67E4E"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single" w:sz="4" w:space="0" w:color="auto"/>
            </w:tcBorders>
          </w:tcPr>
          <w:p w14:paraId="463A5620" w14:textId="77777777" w:rsidR="006F0D5C" w:rsidRPr="002F4437" w:rsidRDefault="006F0D5C" w:rsidP="0072568D">
            <w:pPr>
              <w:pStyle w:val="TableText0"/>
              <w:keepNext w:val="0"/>
              <w:keepLines w:val="0"/>
              <w:jc w:val="center"/>
            </w:pPr>
            <w:r w:rsidRPr="002F4437">
              <w:t>0.357</w:t>
            </w:r>
          </w:p>
        </w:tc>
        <w:tc>
          <w:tcPr>
            <w:tcW w:w="596" w:type="pct"/>
            <w:tcBorders>
              <w:top w:val="nil"/>
              <w:bottom w:val="single" w:sz="4" w:space="0" w:color="auto"/>
            </w:tcBorders>
          </w:tcPr>
          <w:p w14:paraId="4706EA5B" w14:textId="185164B5" w:rsidR="006F0D5C" w:rsidRPr="000D5713"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D5713">
              <w:rPr>
                <w:vertAlign w:val="superscript"/>
              </w:rPr>
              <w:t>1</w:t>
            </w:r>
          </w:p>
        </w:tc>
        <w:tc>
          <w:tcPr>
            <w:tcW w:w="595" w:type="pct"/>
            <w:tcBorders>
              <w:top w:val="nil"/>
              <w:bottom w:val="single" w:sz="4" w:space="0" w:color="auto"/>
            </w:tcBorders>
          </w:tcPr>
          <w:p w14:paraId="6F599200" w14:textId="2DAEC7B1"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7079D262" w14:textId="77777777" w:rsidTr="0072568D">
        <w:tc>
          <w:tcPr>
            <w:tcW w:w="2266" w:type="pct"/>
            <w:tcBorders>
              <w:top w:val="single" w:sz="4" w:space="0" w:color="auto"/>
              <w:bottom w:val="nil"/>
            </w:tcBorders>
          </w:tcPr>
          <w:p w14:paraId="598677A7" w14:textId="77777777" w:rsidR="006F0D5C" w:rsidRDefault="006F0D5C" w:rsidP="0072568D">
            <w:pPr>
              <w:pStyle w:val="TableText0"/>
              <w:keepNext w:val="0"/>
              <w:keepLines w:val="0"/>
            </w:pPr>
            <w:r>
              <w:t>Per cycle probability dialysis to transplant (base 3.2%)</w:t>
            </w:r>
          </w:p>
        </w:tc>
        <w:tc>
          <w:tcPr>
            <w:tcW w:w="738" w:type="pct"/>
            <w:tcBorders>
              <w:top w:val="single" w:sz="4" w:space="0" w:color="auto"/>
              <w:bottom w:val="nil"/>
            </w:tcBorders>
          </w:tcPr>
          <w:p w14:paraId="16A929AC" w14:textId="77777777" w:rsidR="006F0D5C" w:rsidRPr="002F4437" w:rsidRDefault="006F0D5C" w:rsidP="0072568D">
            <w:pPr>
              <w:pStyle w:val="TableText0"/>
              <w:keepNext w:val="0"/>
              <w:keepLines w:val="0"/>
              <w:jc w:val="center"/>
            </w:pPr>
          </w:p>
        </w:tc>
        <w:tc>
          <w:tcPr>
            <w:tcW w:w="805" w:type="pct"/>
            <w:tcBorders>
              <w:top w:val="single" w:sz="4" w:space="0" w:color="auto"/>
              <w:bottom w:val="nil"/>
            </w:tcBorders>
          </w:tcPr>
          <w:p w14:paraId="72B06374" w14:textId="77777777" w:rsidR="006F0D5C" w:rsidRPr="002F4437" w:rsidRDefault="006F0D5C" w:rsidP="0072568D">
            <w:pPr>
              <w:pStyle w:val="TableText0"/>
              <w:keepNext w:val="0"/>
              <w:keepLines w:val="0"/>
              <w:jc w:val="center"/>
            </w:pPr>
          </w:p>
        </w:tc>
        <w:tc>
          <w:tcPr>
            <w:tcW w:w="596" w:type="pct"/>
            <w:tcBorders>
              <w:top w:val="single" w:sz="4" w:space="0" w:color="auto"/>
              <w:bottom w:val="nil"/>
            </w:tcBorders>
          </w:tcPr>
          <w:p w14:paraId="73E44D47" w14:textId="77777777" w:rsidR="006F0D5C" w:rsidRPr="002F4437" w:rsidRDefault="006F0D5C" w:rsidP="0072568D">
            <w:pPr>
              <w:pStyle w:val="TableText0"/>
              <w:keepNext w:val="0"/>
              <w:keepLines w:val="0"/>
              <w:jc w:val="center"/>
            </w:pPr>
          </w:p>
        </w:tc>
        <w:tc>
          <w:tcPr>
            <w:tcW w:w="595" w:type="pct"/>
            <w:tcBorders>
              <w:top w:val="single" w:sz="4" w:space="0" w:color="auto"/>
              <w:bottom w:val="nil"/>
            </w:tcBorders>
          </w:tcPr>
          <w:p w14:paraId="18758B9D" w14:textId="77777777" w:rsidR="006F0D5C" w:rsidRPr="002F4437" w:rsidRDefault="006F0D5C" w:rsidP="0072568D">
            <w:pPr>
              <w:pStyle w:val="TableText0"/>
              <w:keepNext w:val="0"/>
              <w:keepLines w:val="0"/>
              <w:jc w:val="center"/>
            </w:pPr>
          </w:p>
        </w:tc>
      </w:tr>
      <w:tr w:rsidR="006F0D5C" w:rsidRPr="00CF4CF1" w14:paraId="5C3A2BB5" w14:textId="77777777" w:rsidTr="0072568D">
        <w:tc>
          <w:tcPr>
            <w:tcW w:w="2266" w:type="pct"/>
            <w:tcBorders>
              <w:top w:val="nil"/>
              <w:bottom w:val="nil"/>
            </w:tcBorders>
          </w:tcPr>
          <w:p w14:paraId="0C88FD54" w14:textId="77777777" w:rsidR="006F0D5C" w:rsidRDefault="006F0D5C" w:rsidP="002B5C30">
            <w:pPr>
              <w:pStyle w:val="TableText0"/>
              <w:keepNext w:val="0"/>
              <w:keepLines w:val="0"/>
              <w:numPr>
                <w:ilvl w:val="0"/>
                <w:numId w:val="4"/>
              </w:numPr>
            </w:pPr>
            <w:r>
              <w:t>4.8% (increase 50%)</w:t>
            </w:r>
          </w:p>
        </w:tc>
        <w:tc>
          <w:tcPr>
            <w:tcW w:w="738" w:type="pct"/>
            <w:tcBorders>
              <w:top w:val="nil"/>
              <w:bottom w:val="nil"/>
            </w:tcBorders>
          </w:tcPr>
          <w:p w14:paraId="7E6B3F93" w14:textId="2EE82B38"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7372F637" w14:textId="77777777" w:rsidR="006F0D5C" w:rsidRPr="002F4437" w:rsidRDefault="006F0D5C" w:rsidP="0072568D">
            <w:pPr>
              <w:pStyle w:val="TableText0"/>
              <w:keepNext w:val="0"/>
              <w:keepLines w:val="0"/>
              <w:jc w:val="center"/>
            </w:pPr>
            <w:r w:rsidRPr="002F4437">
              <w:t>0.360</w:t>
            </w:r>
          </w:p>
        </w:tc>
        <w:tc>
          <w:tcPr>
            <w:tcW w:w="596" w:type="pct"/>
            <w:tcBorders>
              <w:top w:val="nil"/>
              <w:bottom w:val="nil"/>
            </w:tcBorders>
          </w:tcPr>
          <w:p w14:paraId="1C5C9A16" w14:textId="68FFB1A4" w:rsidR="006F0D5C" w:rsidRPr="000D5713"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D5713">
              <w:rPr>
                <w:vertAlign w:val="superscript"/>
              </w:rPr>
              <w:t>1</w:t>
            </w:r>
          </w:p>
        </w:tc>
        <w:tc>
          <w:tcPr>
            <w:tcW w:w="595" w:type="pct"/>
            <w:tcBorders>
              <w:top w:val="nil"/>
              <w:bottom w:val="nil"/>
            </w:tcBorders>
          </w:tcPr>
          <w:p w14:paraId="27900C72" w14:textId="505472DD"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064E3092" w14:textId="77777777" w:rsidTr="0072568D">
        <w:tc>
          <w:tcPr>
            <w:tcW w:w="2266" w:type="pct"/>
            <w:tcBorders>
              <w:top w:val="nil"/>
              <w:bottom w:val="nil"/>
            </w:tcBorders>
          </w:tcPr>
          <w:p w14:paraId="3EABA4BB" w14:textId="77777777" w:rsidR="006F0D5C" w:rsidRDefault="006F0D5C" w:rsidP="002B5C30">
            <w:pPr>
              <w:pStyle w:val="TableText0"/>
              <w:keepNext w:val="0"/>
              <w:keepLines w:val="0"/>
              <w:numPr>
                <w:ilvl w:val="0"/>
                <w:numId w:val="4"/>
              </w:numPr>
            </w:pPr>
            <w:r>
              <w:t>1.6% (decrease 50%)</w:t>
            </w:r>
          </w:p>
        </w:tc>
        <w:tc>
          <w:tcPr>
            <w:tcW w:w="738" w:type="pct"/>
            <w:tcBorders>
              <w:top w:val="nil"/>
              <w:bottom w:val="nil"/>
            </w:tcBorders>
          </w:tcPr>
          <w:p w14:paraId="59DB7BF0" w14:textId="467F3220"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tcPr>
          <w:p w14:paraId="542E9681" w14:textId="77777777" w:rsidR="006F0D5C" w:rsidRPr="002F4437" w:rsidRDefault="006F0D5C" w:rsidP="0072568D">
            <w:pPr>
              <w:pStyle w:val="TableText0"/>
              <w:keepNext w:val="0"/>
              <w:keepLines w:val="0"/>
              <w:jc w:val="center"/>
            </w:pPr>
            <w:r w:rsidRPr="002F4437">
              <w:t>0.382</w:t>
            </w:r>
          </w:p>
        </w:tc>
        <w:tc>
          <w:tcPr>
            <w:tcW w:w="596" w:type="pct"/>
            <w:tcBorders>
              <w:top w:val="nil"/>
              <w:bottom w:val="nil"/>
            </w:tcBorders>
          </w:tcPr>
          <w:p w14:paraId="1A50B76B" w14:textId="1D07AE57" w:rsidR="006F0D5C" w:rsidRPr="000D5713"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D5713">
              <w:rPr>
                <w:vertAlign w:val="superscript"/>
              </w:rPr>
              <w:t>1</w:t>
            </w:r>
          </w:p>
        </w:tc>
        <w:tc>
          <w:tcPr>
            <w:tcW w:w="595" w:type="pct"/>
            <w:tcBorders>
              <w:top w:val="nil"/>
              <w:bottom w:val="nil"/>
            </w:tcBorders>
          </w:tcPr>
          <w:p w14:paraId="25995492" w14:textId="0DBBC0E4" w:rsidR="006F0D5C" w:rsidRPr="002F4437" w:rsidRDefault="00FF1914" w:rsidP="0072568D">
            <w:pPr>
              <w:pStyle w:val="TableText0"/>
              <w:keepNext w:val="0"/>
              <w:keepLines w:val="0"/>
              <w:jc w:val="center"/>
            </w:pPr>
            <w:r>
              <w:noBreakHyphen/>
            </w:r>
            <w:r w:rsidR="00102373" w:rsidRPr="00102373">
              <w:rPr>
                <w:sz w:val="2"/>
                <w:highlight w:val="black"/>
              </w:rPr>
              <w:t>redacted content</w:t>
            </w:r>
            <w:r w:rsidR="006F0D5C" w:rsidRPr="002F4437">
              <w:t>%</w:t>
            </w:r>
          </w:p>
        </w:tc>
      </w:tr>
      <w:tr w:rsidR="006F0D5C" w:rsidRPr="00CF4CF1" w14:paraId="1E302B53" w14:textId="77777777" w:rsidTr="0072568D">
        <w:tc>
          <w:tcPr>
            <w:tcW w:w="2266" w:type="pct"/>
            <w:tcBorders>
              <w:top w:val="nil"/>
              <w:bottom w:val="single" w:sz="4" w:space="0" w:color="auto"/>
            </w:tcBorders>
          </w:tcPr>
          <w:p w14:paraId="00AA081E" w14:textId="073AD1F5" w:rsidR="006F0D5C" w:rsidRPr="002F4437" w:rsidRDefault="006F0D5C" w:rsidP="002B5C30">
            <w:pPr>
              <w:pStyle w:val="TableText0"/>
              <w:keepNext w:val="0"/>
              <w:keepLines w:val="0"/>
              <w:numPr>
                <w:ilvl w:val="0"/>
                <w:numId w:val="4"/>
              </w:numPr>
            </w:pPr>
            <w:r w:rsidRPr="002F4437">
              <w:t>5.29% (ANZDATA for ages 15</w:t>
            </w:r>
            <w:r w:rsidR="00FF1914">
              <w:noBreakHyphen/>
            </w:r>
            <w:r w:rsidRPr="002F4437">
              <w:t>64)</w:t>
            </w:r>
          </w:p>
        </w:tc>
        <w:tc>
          <w:tcPr>
            <w:tcW w:w="738" w:type="pct"/>
            <w:tcBorders>
              <w:top w:val="nil"/>
              <w:bottom w:val="single" w:sz="4" w:space="0" w:color="auto"/>
            </w:tcBorders>
            <w:vAlign w:val="top"/>
          </w:tcPr>
          <w:p w14:paraId="1606076C" w14:textId="16061EF5"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single" w:sz="4" w:space="0" w:color="auto"/>
            </w:tcBorders>
            <w:vAlign w:val="top"/>
          </w:tcPr>
          <w:p w14:paraId="00576746" w14:textId="77777777" w:rsidR="006F0D5C" w:rsidRPr="002F4437" w:rsidRDefault="006F0D5C" w:rsidP="0072568D">
            <w:pPr>
              <w:pStyle w:val="TableText0"/>
              <w:keepNext w:val="0"/>
              <w:keepLines w:val="0"/>
              <w:jc w:val="center"/>
            </w:pPr>
            <w:r w:rsidRPr="002F4437">
              <w:t>0.357</w:t>
            </w:r>
          </w:p>
        </w:tc>
        <w:tc>
          <w:tcPr>
            <w:tcW w:w="596" w:type="pct"/>
            <w:tcBorders>
              <w:top w:val="nil"/>
              <w:bottom w:val="single" w:sz="4" w:space="0" w:color="auto"/>
            </w:tcBorders>
            <w:vAlign w:val="top"/>
          </w:tcPr>
          <w:p w14:paraId="3421876A" w14:textId="05743152" w:rsidR="006F0D5C" w:rsidRPr="000D5713"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D5713">
              <w:rPr>
                <w:vertAlign w:val="superscript"/>
              </w:rPr>
              <w:t>1</w:t>
            </w:r>
          </w:p>
        </w:tc>
        <w:tc>
          <w:tcPr>
            <w:tcW w:w="595" w:type="pct"/>
            <w:tcBorders>
              <w:top w:val="nil"/>
              <w:bottom w:val="single" w:sz="4" w:space="0" w:color="auto"/>
            </w:tcBorders>
            <w:vAlign w:val="top"/>
          </w:tcPr>
          <w:p w14:paraId="0554B854" w14:textId="495116AB"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650C052D" w14:textId="77777777" w:rsidTr="0072568D">
        <w:tc>
          <w:tcPr>
            <w:tcW w:w="2266" w:type="pct"/>
            <w:tcBorders>
              <w:top w:val="single" w:sz="4" w:space="0" w:color="auto"/>
              <w:bottom w:val="nil"/>
            </w:tcBorders>
          </w:tcPr>
          <w:p w14:paraId="38FABED8" w14:textId="77777777" w:rsidR="006F0D5C" w:rsidRDefault="006F0D5C" w:rsidP="0072568D">
            <w:pPr>
              <w:pStyle w:val="TableText0"/>
              <w:keepNext w:val="0"/>
              <w:keepLines w:val="0"/>
            </w:pPr>
            <w:r>
              <w:t>Mortality probabilities</w:t>
            </w:r>
          </w:p>
        </w:tc>
        <w:tc>
          <w:tcPr>
            <w:tcW w:w="738" w:type="pct"/>
            <w:tcBorders>
              <w:top w:val="single" w:sz="4" w:space="0" w:color="auto"/>
              <w:bottom w:val="nil"/>
            </w:tcBorders>
          </w:tcPr>
          <w:p w14:paraId="067842B2" w14:textId="77777777" w:rsidR="006F0D5C" w:rsidRPr="002F4437" w:rsidRDefault="006F0D5C" w:rsidP="0072568D">
            <w:pPr>
              <w:pStyle w:val="TableText0"/>
              <w:keepNext w:val="0"/>
              <w:keepLines w:val="0"/>
              <w:jc w:val="center"/>
            </w:pPr>
          </w:p>
        </w:tc>
        <w:tc>
          <w:tcPr>
            <w:tcW w:w="805" w:type="pct"/>
            <w:tcBorders>
              <w:top w:val="single" w:sz="4" w:space="0" w:color="auto"/>
              <w:bottom w:val="nil"/>
            </w:tcBorders>
          </w:tcPr>
          <w:p w14:paraId="4EA356C4" w14:textId="77777777" w:rsidR="006F0D5C" w:rsidRPr="002F4437" w:rsidRDefault="006F0D5C" w:rsidP="0072568D">
            <w:pPr>
              <w:pStyle w:val="TableText0"/>
              <w:keepNext w:val="0"/>
              <w:keepLines w:val="0"/>
              <w:jc w:val="center"/>
            </w:pPr>
          </w:p>
        </w:tc>
        <w:tc>
          <w:tcPr>
            <w:tcW w:w="596" w:type="pct"/>
            <w:tcBorders>
              <w:top w:val="single" w:sz="4" w:space="0" w:color="auto"/>
              <w:bottom w:val="nil"/>
            </w:tcBorders>
          </w:tcPr>
          <w:p w14:paraId="6B448E91" w14:textId="77777777" w:rsidR="006F0D5C" w:rsidRPr="002F4437" w:rsidRDefault="006F0D5C" w:rsidP="0072568D">
            <w:pPr>
              <w:pStyle w:val="TableText0"/>
              <w:keepNext w:val="0"/>
              <w:keepLines w:val="0"/>
              <w:jc w:val="center"/>
            </w:pPr>
          </w:p>
        </w:tc>
        <w:tc>
          <w:tcPr>
            <w:tcW w:w="595" w:type="pct"/>
            <w:tcBorders>
              <w:top w:val="single" w:sz="4" w:space="0" w:color="auto"/>
              <w:bottom w:val="nil"/>
            </w:tcBorders>
          </w:tcPr>
          <w:p w14:paraId="401E4A0F" w14:textId="77777777" w:rsidR="006F0D5C" w:rsidRPr="002F4437" w:rsidRDefault="006F0D5C" w:rsidP="0072568D">
            <w:pPr>
              <w:pStyle w:val="TableText0"/>
              <w:keepNext w:val="0"/>
              <w:keepLines w:val="0"/>
              <w:jc w:val="center"/>
            </w:pPr>
          </w:p>
        </w:tc>
      </w:tr>
      <w:tr w:rsidR="006F0D5C" w:rsidRPr="00CF4CF1" w14:paraId="3407BD90" w14:textId="77777777" w:rsidTr="0072568D">
        <w:tc>
          <w:tcPr>
            <w:tcW w:w="2266" w:type="pct"/>
            <w:tcBorders>
              <w:top w:val="nil"/>
              <w:bottom w:val="nil"/>
            </w:tcBorders>
          </w:tcPr>
          <w:p w14:paraId="4CB41E7C" w14:textId="77777777" w:rsidR="006F0D5C" w:rsidRPr="002F4437" w:rsidRDefault="006F0D5C" w:rsidP="0072568D">
            <w:pPr>
              <w:pStyle w:val="TableText0"/>
              <w:keepNext w:val="0"/>
              <w:keepLines w:val="0"/>
            </w:pPr>
            <w:r w:rsidRPr="002F4437">
              <w:t>Assume CR/PR transition to death equal to AD after Year 10</w:t>
            </w:r>
          </w:p>
        </w:tc>
        <w:tc>
          <w:tcPr>
            <w:tcW w:w="738" w:type="pct"/>
            <w:tcBorders>
              <w:top w:val="nil"/>
              <w:bottom w:val="nil"/>
            </w:tcBorders>
            <w:vAlign w:val="top"/>
          </w:tcPr>
          <w:p w14:paraId="35026C1D" w14:textId="03BF846D"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vAlign w:val="top"/>
          </w:tcPr>
          <w:p w14:paraId="38FA720C" w14:textId="77777777" w:rsidR="006F0D5C" w:rsidRPr="002F4437" w:rsidRDefault="006F0D5C" w:rsidP="0072568D">
            <w:pPr>
              <w:pStyle w:val="TableText0"/>
              <w:keepNext w:val="0"/>
              <w:keepLines w:val="0"/>
              <w:jc w:val="center"/>
            </w:pPr>
            <w:r w:rsidRPr="002F4437">
              <w:t>0.342</w:t>
            </w:r>
          </w:p>
        </w:tc>
        <w:tc>
          <w:tcPr>
            <w:tcW w:w="596" w:type="pct"/>
            <w:tcBorders>
              <w:top w:val="nil"/>
              <w:bottom w:val="nil"/>
            </w:tcBorders>
            <w:vAlign w:val="top"/>
          </w:tcPr>
          <w:p w14:paraId="7AF60435" w14:textId="1534DA0B" w:rsidR="006F0D5C" w:rsidRPr="000D5713"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D5713">
              <w:rPr>
                <w:vertAlign w:val="superscript"/>
              </w:rPr>
              <w:t>1</w:t>
            </w:r>
          </w:p>
        </w:tc>
        <w:tc>
          <w:tcPr>
            <w:tcW w:w="595" w:type="pct"/>
            <w:tcBorders>
              <w:top w:val="nil"/>
              <w:bottom w:val="nil"/>
            </w:tcBorders>
            <w:vAlign w:val="top"/>
          </w:tcPr>
          <w:p w14:paraId="4B0C5AE4" w14:textId="640D5AD5"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6B4ADD27" w14:textId="77777777" w:rsidTr="0072568D">
        <w:tc>
          <w:tcPr>
            <w:tcW w:w="2266" w:type="pct"/>
            <w:tcBorders>
              <w:top w:val="nil"/>
              <w:bottom w:val="nil"/>
            </w:tcBorders>
          </w:tcPr>
          <w:p w14:paraId="280003E6" w14:textId="77777777" w:rsidR="006F0D5C" w:rsidRDefault="006F0D5C" w:rsidP="0072568D">
            <w:pPr>
              <w:pStyle w:val="TableText0"/>
              <w:keepNext w:val="0"/>
              <w:keepLines w:val="0"/>
            </w:pPr>
            <w:r>
              <w:t>Per cycle probability dialysis to death (base 5.07%)</w:t>
            </w:r>
          </w:p>
        </w:tc>
        <w:tc>
          <w:tcPr>
            <w:tcW w:w="738" w:type="pct"/>
            <w:tcBorders>
              <w:top w:val="nil"/>
              <w:bottom w:val="nil"/>
            </w:tcBorders>
          </w:tcPr>
          <w:p w14:paraId="23A24614" w14:textId="77777777" w:rsidR="006F0D5C" w:rsidRPr="002F4437" w:rsidRDefault="006F0D5C" w:rsidP="0072568D">
            <w:pPr>
              <w:pStyle w:val="TableText0"/>
              <w:keepNext w:val="0"/>
              <w:keepLines w:val="0"/>
              <w:jc w:val="center"/>
            </w:pPr>
          </w:p>
        </w:tc>
        <w:tc>
          <w:tcPr>
            <w:tcW w:w="805" w:type="pct"/>
            <w:tcBorders>
              <w:top w:val="nil"/>
              <w:bottom w:val="nil"/>
            </w:tcBorders>
          </w:tcPr>
          <w:p w14:paraId="23673799" w14:textId="77777777" w:rsidR="006F0D5C" w:rsidRPr="002F4437" w:rsidRDefault="006F0D5C" w:rsidP="0072568D">
            <w:pPr>
              <w:pStyle w:val="TableText0"/>
              <w:keepNext w:val="0"/>
              <w:keepLines w:val="0"/>
              <w:jc w:val="center"/>
            </w:pPr>
          </w:p>
        </w:tc>
        <w:tc>
          <w:tcPr>
            <w:tcW w:w="596" w:type="pct"/>
            <w:tcBorders>
              <w:top w:val="nil"/>
              <w:bottom w:val="nil"/>
            </w:tcBorders>
          </w:tcPr>
          <w:p w14:paraId="49CCA340" w14:textId="77777777" w:rsidR="006F0D5C" w:rsidRPr="002F4437" w:rsidRDefault="006F0D5C" w:rsidP="0072568D">
            <w:pPr>
              <w:pStyle w:val="TableText0"/>
              <w:keepNext w:val="0"/>
              <w:keepLines w:val="0"/>
              <w:jc w:val="center"/>
            </w:pPr>
          </w:p>
        </w:tc>
        <w:tc>
          <w:tcPr>
            <w:tcW w:w="595" w:type="pct"/>
            <w:tcBorders>
              <w:top w:val="nil"/>
              <w:bottom w:val="nil"/>
            </w:tcBorders>
          </w:tcPr>
          <w:p w14:paraId="4A9FB0B5" w14:textId="77777777" w:rsidR="006F0D5C" w:rsidRPr="002F4437" w:rsidRDefault="006F0D5C" w:rsidP="0072568D">
            <w:pPr>
              <w:pStyle w:val="TableText0"/>
              <w:keepNext w:val="0"/>
              <w:keepLines w:val="0"/>
              <w:jc w:val="center"/>
            </w:pPr>
          </w:p>
        </w:tc>
      </w:tr>
      <w:tr w:rsidR="006F0D5C" w:rsidRPr="00CF4CF1" w14:paraId="30759E52" w14:textId="77777777" w:rsidTr="0072568D">
        <w:tc>
          <w:tcPr>
            <w:tcW w:w="2266" w:type="pct"/>
            <w:tcBorders>
              <w:top w:val="nil"/>
              <w:bottom w:val="nil"/>
            </w:tcBorders>
          </w:tcPr>
          <w:p w14:paraId="3213135C" w14:textId="77777777" w:rsidR="006F0D5C" w:rsidRDefault="006F0D5C" w:rsidP="002B5C30">
            <w:pPr>
              <w:pStyle w:val="TableText0"/>
              <w:keepNext w:val="0"/>
              <w:keepLines w:val="0"/>
              <w:numPr>
                <w:ilvl w:val="0"/>
                <w:numId w:val="4"/>
              </w:numPr>
            </w:pPr>
            <w:r>
              <w:t>7.61 % (increase 50%)</w:t>
            </w:r>
          </w:p>
        </w:tc>
        <w:tc>
          <w:tcPr>
            <w:tcW w:w="738" w:type="pct"/>
            <w:tcBorders>
              <w:top w:val="nil"/>
              <w:bottom w:val="nil"/>
            </w:tcBorders>
            <w:vAlign w:val="top"/>
          </w:tcPr>
          <w:p w14:paraId="20DA835F" w14:textId="30CC2246"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vAlign w:val="top"/>
          </w:tcPr>
          <w:p w14:paraId="79EE89E8" w14:textId="77777777" w:rsidR="006F0D5C" w:rsidRPr="002F4437" w:rsidRDefault="006F0D5C" w:rsidP="0072568D">
            <w:pPr>
              <w:pStyle w:val="TableText0"/>
              <w:keepNext w:val="0"/>
              <w:keepLines w:val="0"/>
              <w:jc w:val="center"/>
            </w:pPr>
            <w:r w:rsidRPr="002F4437">
              <w:t>0.390</w:t>
            </w:r>
          </w:p>
        </w:tc>
        <w:tc>
          <w:tcPr>
            <w:tcW w:w="596" w:type="pct"/>
            <w:tcBorders>
              <w:top w:val="nil"/>
              <w:bottom w:val="nil"/>
            </w:tcBorders>
            <w:vAlign w:val="top"/>
          </w:tcPr>
          <w:p w14:paraId="4F2D848A" w14:textId="4B6106CF" w:rsidR="006F0D5C" w:rsidRPr="000D5713"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0D5713">
              <w:rPr>
                <w:vertAlign w:val="superscript"/>
              </w:rPr>
              <w:t>1</w:t>
            </w:r>
          </w:p>
        </w:tc>
        <w:tc>
          <w:tcPr>
            <w:tcW w:w="595" w:type="pct"/>
            <w:tcBorders>
              <w:top w:val="nil"/>
              <w:bottom w:val="nil"/>
            </w:tcBorders>
            <w:vAlign w:val="top"/>
          </w:tcPr>
          <w:p w14:paraId="20427455" w14:textId="48AB3F2F" w:rsidR="006F0D5C" w:rsidRPr="002F4437" w:rsidRDefault="00102373" w:rsidP="0072568D">
            <w:pPr>
              <w:pStyle w:val="TableText0"/>
              <w:keepNext w:val="0"/>
              <w:keepLines w:val="0"/>
              <w:jc w:val="center"/>
            </w:pPr>
            <w:r w:rsidRPr="00102373">
              <w:rPr>
                <w:sz w:val="2"/>
                <w:highlight w:val="black"/>
              </w:rPr>
              <w:t>redacted content</w:t>
            </w:r>
            <w:r w:rsidR="006F0D5C" w:rsidRPr="002F4437">
              <w:t>%</w:t>
            </w:r>
          </w:p>
        </w:tc>
      </w:tr>
      <w:tr w:rsidR="006F0D5C" w:rsidRPr="00CF4CF1" w14:paraId="672DB390" w14:textId="77777777" w:rsidTr="0072568D">
        <w:tc>
          <w:tcPr>
            <w:tcW w:w="2266" w:type="pct"/>
            <w:tcBorders>
              <w:top w:val="nil"/>
              <w:bottom w:val="nil"/>
            </w:tcBorders>
          </w:tcPr>
          <w:p w14:paraId="2B478788" w14:textId="77777777" w:rsidR="006F0D5C" w:rsidRDefault="006F0D5C" w:rsidP="002B5C30">
            <w:pPr>
              <w:pStyle w:val="TableText0"/>
              <w:keepNext w:val="0"/>
              <w:keepLines w:val="0"/>
              <w:numPr>
                <w:ilvl w:val="0"/>
                <w:numId w:val="4"/>
              </w:numPr>
            </w:pPr>
            <w:r>
              <w:t>2.54% (decrease 50%)</w:t>
            </w:r>
          </w:p>
        </w:tc>
        <w:tc>
          <w:tcPr>
            <w:tcW w:w="738" w:type="pct"/>
            <w:tcBorders>
              <w:top w:val="nil"/>
              <w:bottom w:val="nil"/>
            </w:tcBorders>
            <w:vAlign w:val="top"/>
          </w:tcPr>
          <w:p w14:paraId="72273AC7" w14:textId="60C93E3B" w:rsidR="006F0D5C" w:rsidRPr="002F4437" w:rsidRDefault="006F0D5C" w:rsidP="0072568D">
            <w:pPr>
              <w:pStyle w:val="TableText0"/>
              <w:keepNext w:val="0"/>
              <w:keepLines w:val="0"/>
              <w:jc w:val="center"/>
            </w:pPr>
            <w:r w:rsidRPr="002F4437">
              <w:t>$</w:t>
            </w:r>
            <w:r w:rsidR="00102373" w:rsidRPr="00102373">
              <w:rPr>
                <w:sz w:val="2"/>
                <w:highlight w:val="black"/>
              </w:rPr>
              <w:t>redacted content</w:t>
            </w:r>
          </w:p>
        </w:tc>
        <w:tc>
          <w:tcPr>
            <w:tcW w:w="805" w:type="pct"/>
            <w:tcBorders>
              <w:top w:val="nil"/>
              <w:bottom w:val="nil"/>
            </w:tcBorders>
            <w:vAlign w:val="top"/>
          </w:tcPr>
          <w:p w14:paraId="6606E458" w14:textId="77777777" w:rsidR="006F0D5C" w:rsidRPr="002F4437" w:rsidRDefault="006F0D5C" w:rsidP="0072568D">
            <w:pPr>
              <w:pStyle w:val="TableText0"/>
              <w:keepNext w:val="0"/>
              <w:keepLines w:val="0"/>
              <w:jc w:val="center"/>
            </w:pPr>
            <w:r w:rsidRPr="002F4437">
              <w:t>0.342</w:t>
            </w:r>
          </w:p>
        </w:tc>
        <w:tc>
          <w:tcPr>
            <w:tcW w:w="596" w:type="pct"/>
            <w:tcBorders>
              <w:top w:val="nil"/>
              <w:bottom w:val="nil"/>
            </w:tcBorders>
            <w:vAlign w:val="top"/>
          </w:tcPr>
          <w:p w14:paraId="3172EE25" w14:textId="014A98F6" w:rsidR="006F0D5C" w:rsidRPr="002407F4" w:rsidRDefault="006F0D5C" w:rsidP="0072568D">
            <w:pPr>
              <w:pStyle w:val="TableText0"/>
              <w:keepNext w:val="0"/>
              <w:keepLines w:val="0"/>
              <w:jc w:val="center"/>
              <w:rPr>
                <w:vertAlign w:val="superscript"/>
              </w:rPr>
            </w:pPr>
            <w:r w:rsidRPr="002F4437">
              <w:t>$</w:t>
            </w:r>
            <w:r w:rsidR="00102373" w:rsidRPr="00102373">
              <w:rPr>
                <w:sz w:val="2"/>
                <w:highlight w:val="black"/>
              </w:rPr>
              <w:t>redacted content</w:t>
            </w:r>
            <w:r w:rsidR="002407F4">
              <w:rPr>
                <w:vertAlign w:val="superscript"/>
              </w:rPr>
              <w:t>3</w:t>
            </w:r>
          </w:p>
        </w:tc>
        <w:tc>
          <w:tcPr>
            <w:tcW w:w="595" w:type="pct"/>
            <w:tcBorders>
              <w:top w:val="nil"/>
              <w:bottom w:val="nil"/>
            </w:tcBorders>
            <w:vAlign w:val="top"/>
          </w:tcPr>
          <w:p w14:paraId="2126C3AE" w14:textId="564F0D05" w:rsidR="006F0D5C" w:rsidRPr="002F4437" w:rsidRDefault="00FF1914" w:rsidP="0072568D">
            <w:pPr>
              <w:pStyle w:val="TableText0"/>
              <w:keepNext w:val="0"/>
              <w:keepLines w:val="0"/>
              <w:jc w:val="center"/>
            </w:pPr>
            <w:r>
              <w:noBreakHyphen/>
            </w:r>
            <w:r w:rsidR="00102373" w:rsidRPr="00102373">
              <w:rPr>
                <w:sz w:val="2"/>
                <w:highlight w:val="black"/>
              </w:rPr>
              <w:t>redacted content</w:t>
            </w:r>
            <w:r w:rsidR="006F0D5C" w:rsidRPr="002F4437">
              <w:t>%</w:t>
            </w:r>
          </w:p>
        </w:tc>
      </w:tr>
      <w:tr w:rsidR="006F0D5C" w:rsidRPr="00CF4CF1" w14:paraId="3E39DD48" w14:textId="77777777" w:rsidTr="0072568D">
        <w:tc>
          <w:tcPr>
            <w:tcW w:w="5000" w:type="pct"/>
            <w:gridSpan w:val="5"/>
            <w:tcBorders>
              <w:top w:val="single" w:sz="4" w:space="0" w:color="auto"/>
              <w:bottom w:val="nil"/>
            </w:tcBorders>
          </w:tcPr>
          <w:p w14:paraId="787F1447" w14:textId="77777777" w:rsidR="006F0D5C" w:rsidRPr="00F315E4" w:rsidRDefault="006F0D5C" w:rsidP="0072568D">
            <w:pPr>
              <w:pStyle w:val="TableText0"/>
              <w:keepNext w:val="0"/>
              <w:keepLines w:val="0"/>
            </w:pPr>
            <w:r>
              <w:t>Health state utilities (base AD: 0.624, PR: 0.710, CR: 0.800 [Mandrik 2022, Mohara 2014 difference applied to Bexelius 2013]; dialysis: 0.455, transplant: 0.71 [Lee 2005])</w:t>
            </w:r>
          </w:p>
        </w:tc>
      </w:tr>
      <w:tr w:rsidR="006F0D5C" w:rsidRPr="00CF4CF1" w14:paraId="15509B96" w14:textId="77777777" w:rsidTr="0072568D">
        <w:tc>
          <w:tcPr>
            <w:tcW w:w="2266" w:type="pct"/>
            <w:tcBorders>
              <w:top w:val="nil"/>
              <w:bottom w:val="nil"/>
            </w:tcBorders>
          </w:tcPr>
          <w:p w14:paraId="42C806C8" w14:textId="77777777" w:rsidR="006F0D5C" w:rsidRPr="00F315E4" w:rsidRDefault="006F0D5C" w:rsidP="002B5C30">
            <w:pPr>
              <w:pStyle w:val="TableText0"/>
              <w:keepNext w:val="0"/>
              <w:keepLines w:val="0"/>
              <w:numPr>
                <w:ilvl w:val="0"/>
                <w:numId w:val="4"/>
              </w:numPr>
            </w:pPr>
            <w:r w:rsidRPr="00F315E4">
              <w:t>AD 0.650, PR 0.723, CR 0.800 based on Mohara 2014 difference applied multiplicatively to Bexelius 2013</w:t>
            </w:r>
          </w:p>
        </w:tc>
        <w:tc>
          <w:tcPr>
            <w:tcW w:w="738" w:type="pct"/>
            <w:tcBorders>
              <w:top w:val="nil"/>
              <w:bottom w:val="nil"/>
            </w:tcBorders>
          </w:tcPr>
          <w:p w14:paraId="0EB905AB" w14:textId="47C01571" w:rsidR="006F0D5C" w:rsidRPr="00F315E4" w:rsidRDefault="006F0D5C" w:rsidP="0072568D">
            <w:pPr>
              <w:pStyle w:val="TableText0"/>
              <w:keepNext w:val="0"/>
              <w:keepLines w:val="0"/>
              <w:jc w:val="center"/>
            </w:pPr>
            <w:r w:rsidRPr="00F315E4">
              <w:t>$</w:t>
            </w:r>
            <w:r w:rsidR="00102373" w:rsidRPr="00102373">
              <w:rPr>
                <w:sz w:val="2"/>
                <w:highlight w:val="black"/>
              </w:rPr>
              <w:t>redacted content</w:t>
            </w:r>
          </w:p>
        </w:tc>
        <w:tc>
          <w:tcPr>
            <w:tcW w:w="805" w:type="pct"/>
            <w:tcBorders>
              <w:top w:val="nil"/>
              <w:bottom w:val="nil"/>
            </w:tcBorders>
          </w:tcPr>
          <w:p w14:paraId="6B1B30E2" w14:textId="77777777" w:rsidR="006F0D5C" w:rsidRPr="00F315E4" w:rsidRDefault="006F0D5C" w:rsidP="0072568D">
            <w:pPr>
              <w:pStyle w:val="TableText0"/>
              <w:keepNext w:val="0"/>
              <w:keepLines w:val="0"/>
              <w:jc w:val="center"/>
            </w:pPr>
            <w:r w:rsidRPr="00F315E4">
              <w:t>0.338</w:t>
            </w:r>
          </w:p>
        </w:tc>
        <w:tc>
          <w:tcPr>
            <w:tcW w:w="596" w:type="pct"/>
            <w:tcBorders>
              <w:top w:val="nil"/>
              <w:bottom w:val="nil"/>
            </w:tcBorders>
          </w:tcPr>
          <w:p w14:paraId="0D2F3E0C" w14:textId="32F64B00" w:rsidR="006F0D5C" w:rsidRPr="000D5713" w:rsidRDefault="006F0D5C" w:rsidP="0072568D">
            <w:pPr>
              <w:pStyle w:val="TableText0"/>
              <w:keepNext w:val="0"/>
              <w:keepLines w:val="0"/>
              <w:jc w:val="center"/>
              <w:rPr>
                <w:vertAlign w:val="superscript"/>
              </w:rPr>
            </w:pPr>
            <w:r w:rsidRPr="00F315E4">
              <w:t>$</w:t>
            </w:r>
            <w:r w:rsidR="00102373" w:rsidRPr="00102373">
              <w:rPr>
                <w:sz w:val="2"/>
                <w:highlight w:val="black"/>
              </w:rPr>
              <w:t>redacted content</w:t>
            </w:r>
            <w:r w:rsidR="000D5713">
              <w:rPr>
                <w:vertAlign w:val="superscript"/>
              </w:rPr>
              <w:t>1</w:t>
            </w:r>
          </w:p>
        </w:tc>
        <w:tc>
          <w:tcPr>
            <w:tcW w:w="595" w:type="pct"/>
            <w:tcBorders>
              <w:top w:val="nil"/>
              <w:bottom w:val="nil"/>
            </w:tcBorders>
          </w:tcPr>
          <w:p w14:paraId="686C1438" w14:textId="20C2F056" w:rsidR="006F0D5C" w:rsidRPr="00F315E4" w:rsidRDefault="00102373" w:rsidP="0072568D">
            <w:pPr>
              <w:pStyle w:val="TableText0"/>
              <w:keepNext w:val="0"/>
              <w:keepLines w:val="0"/>
              <w:jc w:val="center"/>
            </w:pPr>
            <w:r w:rsidRPr="00102373">
              <w:rPr>
                <w:sz w:val="2"/>
                <w:highlight w:val="black"/>
              </w:rPr>
              <w:t>redacted content</w:t>
            </w:r>
            <w:r w:rsidR="006F0D5C" w:rsidRPr="00F315E4">
              <w:t>%</w:t>
            </w:r>
          </w:p>
        </w:tc>
      </w:tr>
      <w:tr w:rsidR="006F0D5C" w:rsidRPr="004A25BE" w14:paraId="3D5B6346" w14:textId="77777777" w:rsidTr="0072568D">
        <w:tc>
          <w:tcPr>
            <w:tcW w:w="2266" w:type="pct"/>
            <w:tcBorders>
              <w:top w:val="nil"/>
              <w:bottom w:val="nil"/>
            </w:tcBorders>
          </w:tcPr>
          <w:p w14:paraId="506D8AE7" w14:textId="77777777" w:rsidR="006F0D5C" w:rsidRPr="00F315E4" w:rsidRDefault="006F0D5C" w:rsidP="002B5C30">
            <w:pPr>
              <w:pStyle w:val="TableText0"/>
              <w:keepNext w:val="0"/>
              <w:keepLines w:val="0"/>
              <w:numPr>
                <w:ilvl w:val="0"/>
                <w:numId w:val="4"/>
              </w:numPr>
            </w:pPr>
            <w:r w:rsidRPr="00F315E4">
              <w:t>AD, PR, CR 0.624 from Year 10</w:t>
            </w:r>
          </w:p>
        </w:tc>
        <w:tc>
          <w:tcPr>
            <w:tcW w:w="738" w:type="pct"/>
            <w:tcBorders>
              <w:top w:val="nil"/>
              <w:bottom w:val="nil"/>
            </w:tcBorders>
            <w:vAlign w:val="top"/>
          </w:tcPr>
          <w:p w14:paraId="1576AFB7" w14:textId="77C1E6CD" w:rsidR="006F0D5C" w:rsidRPr="00F315E4" w:rsidRDefault="006F0D5C" w:rsidP="0072568D">
            <w:pPr>
              <w:pStyle w:val="TableText0"/>
              <w:keepNext w:val="0"/>
              <w:keepLines w:val="0"/>
              <w:jc w:val="center"/>
            </w:pPr>
            <w:r w:rsidRPr="00F315E4">
              <w:t>$</w:t>
            </w:r>
            <w:r w:rsidR="00102373" w:rsidRPr="00102373">
              <w:rPr>
                <w:sz w:val="2"/>
                <w:highlight w:val="black"/>
              </w:rPr>
              <w:t>redacted content</w:t>
            </w:r>
          </w:p>
        </w:tc>
        <w:tc>
          <w:tcPr>
            <w:tcW w:w="805" w:type="pct"/>
            <w:tcBorders>
              <w:top w:val="nil"/>
              <w:bottom w:val="nil"/>
            </w:tcBorders>
            <w:vAlign w:val="top"/>
          </w:tcPr>
          <w:p w14:paraId="053FB343" w14:textId="77777777" w:rsidR="006F0D5C" w:rsidRPr="00F315E4" w:rsidRDefault="006F0D5C" w:rsidP="0072568D">
            <w:pPr>
              <w:pStyle w:val="TableText0"/>
              <w:keepNext w:val="0"/>
              <w:keepLines w:val="0"/>
              <w:jc w:val="center"/>
            </w:pPr>
            <w:r w:rsidRPr="00F315E4">
              <w:t>0.264</w:t>
            </w:r>
          </w:p>
        </w:tc>
        <w:tc>
          <w:tcPr>
            <w:tcW w:w="596" w:type="pct"/>
            <w:tcBorders>
              <w:top w:val="nil"/>
              <w:bottom w:val="nil"/>
            </w:tcBorders>
            <w:vAlign w:val="top"/>
          </w:tcPr>
          <w:p w14:paraId="77CCB228" w14:textId="3D8CC1CE" w:rsidR="006F0D5C" w:rsidRPr="006D1CDE" w:rsidRDefault="006F0D5C" w:rsidP="0072568D">
            <w:pPr>
              <w:pStyle w:val="TableText0"/>
              <w:keepNext w:val="0"/>
              <w:keepLines w:val="0"/>
              <w:jc w:val="center"/>
              <w:rPr>
                <w:vertAlign w:val="superscript"/>
              </w:rPr>
            </w:pPr>
            <w:r w:rsidRPr="00F315E4">
              <w:t>$</w:t>
            </w:r>
            <w:r w:rsidR="00102373" w:rsidRPr="00102373">
              <w:rPr>
                <w:sz w:val="2"/>
                <w:highlight w:val="black"/>
              </w:rPr>
              <w:t>redacted content</w:t>
            </w:r>
            <w:r w:rsidR="006D1CDE">
              <w:rPr>
                <w:vertAlign w:val="superscript"/>
              </w:rPr>
              <w:t>4</w:t>
            </w:r>
          </w:p>
        </w:tc>
        <w:tc>
          <w:tcPr>
            <w:tcW w:w="595" w:type="pct"/>
            <w:tcBorders>
              <w:top w:val="nil"/>
              <w:bottom w:val="nil"/>
            </w:tcBorders>
            <w:vAlign w:val="top"/>
          </w:tcPr>
          <w:p w14:paraId="02DB97CE" w14:textId="331FCD9E" w:rsidR="006F0D5C" w:rsidRPr="00F315E4" w:rsidRDefault="00102373" w:rsidP="0072568D">
            <w:pPr>
              <w:pStyle w:val="TableText0"/>
              <w:keepNext w:val="0"/>
              <w:keepLines w:val="0"/>
              <w:jc w:val="center"/>
            </w:pPr>
            <w:r w:rsidRPr="00102373">
              <w:rPr>
                <w:sz w:val="2"/>
                <w:highlight w:val="black"/>
              </w:rPr>
              <w:t>redacted content</w:t>
            </w:r>
            <w:r w:rsidR="006F0D5C" w:rsidRPr="00F315E4">
              <w:t>%</w:t>
            </w:r>
          </w:p>
        </w:tc>
      </w:tr>
      <w:tr w:rsidR="006F0D5C" w:rsidRPr="00CF4CF1" w14:paraId="09C0070D" w14:textId="77777777" w:rsidTr="0072568D">
        <w:tc>
          <w:tcPr>
            <w:tcW w:w="2266" w:type="pct"/>
            <w:tcBorders>
              <w:top w:val="nil"/>
              <w:bottom w:val="single" w:sz="4" w:space="0" w:color="auto"/>
            </w:tcBorders>
          </w:tcPr>
          <w:p w14:paraId="75FC3910" w14:textId="77777777" w:rsidR="006F0D5C" w:rsidRPr="00F315E4" w:rsidRDefault="006F0D5C" w:rsidP="002B5C30">
            <w:pPr>
              <w:pStyle w:val="TableText0"/>
              <w:keepNext w:val="0"/>
              <w:keepLines w:val="0"/>
              <w:numPr>
                <w:ilvl w:val="0"/>
                <w:numId w:val="4"/>
              </w:numPr>
            </w:pPr>
            <w:r w:rsidRPr="00F315E4">
              <w:t>Dialysis and transplant values from Liem 2008 (HD: 0.56, PD:0.58, transplant: 0.81)</w:t>
            </w:r>
          </w:p>
        </w:tc>
        <w:tc>
          <w:tcPr>
            <w:tcW w:w="738" w:type="pct"/>
            <w:tcBorders>
              <w:top w:val="nil"/>
              <w:bottom w:val="single" w:sz="4" w:space="0" w:color="auto"/>
            </w:tcBorders>
            <w:vAlign w:val="top"/>
          </w:tcPr>
          <w:p w14:paraId="68261A57" w14:textId="72F869E0" w:rsidR="006F0D5C" w:rsidRPr="00F315E4" w:rsidRDefault="006F0D5C" w:rsidP="0072568D">
            <w:pPr>
              <w:pStyle w:val="TableText0"/>
              <w:keepNext w:val="0"/>
              <w:keepLines w:val="0"/>
              <w:jc w:val="center"/>
            </w:pPr>
            <w:r w:rsidRPr="00F315E4">
              <w:t>$</w:t>
            </w:r>
            <w:r w:rsidR="00102373" w:rsidRPr="00102373">
              <w:rPr>
                <w:sz w:val="2"/>
                <w:highlight w:val="black"/>
              </w:rPr>
              <w:t>redacted content</w:t>
            </w:r>
          </w:p>
        </w:tc>
        <w:tc>
          <w:tcPr>
            <w:tcW w:w="805" w:type="pct"/>
            <w:tcBorders>
              <w:top w:val="nil"/>
              <w:bottom w:val="single" w:sz="4" w:space="0" w:color="auto"/>
            </w:tcBorders>
            <w:vAlign w:val="top"/>
          </w:tcPr>
          <w:p w14:paraId="18CD5B71" w14:textId="77777777" w:rsidR="006F0D5C" w:rsidRPr="00F315E4" w:rsidRDefault="006F0D5C" w:rsidP="0072568D">
            <w:pPr>
              <w:pStyle w:val="TableText0"/>
              <w:keepNext w:val="0"/>
              <w:keepLines w:val="0"/>
              <w:jc w:val="center"/>
            </w:pPr>
            <w:r w:rsidRPr="00F315E4">
              <w:t>0.346</w:t>
            </w:r>
          </w:p>
        </w:tc>
        <w:tc>
          <w:tcPr>
            <w:tcW w:w="596" w:type="pct"/>
            <w:tcBorders>
              <w:top w:val="nil"/>
              <w:bottom w:val="single" w:sz="4" w:space="0" w:color="auto"/>
            </w:tcBorders>
            <w:vAlign w:val="top"/>
          </w:tcPr>
          <w:p w14:paraId="1939BDBE" w14:textId="640F5583" w:rsidR="006F0D5C" w:rsidRPr="000D5713" w:rsidRDefault="006F0D5C" w:rsidP="0072568D">
            <w:pPr>
              <w:pStyle w:val="TableText0"/>
              <w:keepNext w:val="0"/>
              <w:keepLines w:val="0"/>
              <w:jc w:val="center"/>
              <w:rPr>
                <w:vertAlign w:val="superscript"/>
              </w:rPr>
            </w:pPr>
            <w:r w:rsidRPr="00F315E4">
              <w:t>$</w:t>
            </w:r>
            <w:r w:rsidR="00102373" w:rsidRPr="00102373">
              <w:rPr>
                <w:sz w:val="2"/>
                <w:highlight w:val="black"/>
              </w:rPr>
              <w:t>redacted content</w:t>
            </w:r>
            <w:r w:rsidR="000D5713">
              <w:rPr>
                <w:vertAlign w:val="superscript"/>
              </w:rPr>
              <w:t>1</w:t>
            </w:r>
          </w:p>
        </w:tc>
        <w:tc>
          <w:tcPr>
            <w:tcW w:w="595" w:type="pct"/>
            <w:tcBorders>
              <w:top w:val="nil"/>
              <w:bottom w:val="single" w:sz="4" w:space="0" w:color="auto"/>
            </w:tcBorders>
            <w:vAlign w:val="top"/>
          </w:tcPr>
          <w:p w14:paraId="5730E4A2" w14:textId="16414AC3" w:rsidR="006F0D5C" w:rsidRPr="00F315E4" w:rsidRDefault="00102373" w:rsidP="0072568D">
            <w:pPr>
              <w:pStyle w:val="TableText0"/>
              <w:keepNext w:val="0"/>
              <w:keepLines w:val="0"/>
              <w:jc w:val="center"/>
            </w:pPr>
            <w:r w:rsidRPr="00102373">
              <w:rPr>
                <w:sz w:val="2"/>
                <w:highlight w:val="black"/>
              </w:rPr>
              <w:t>redacted content</w:t>
            </w:r>
            <w:r w:rsidR="006F0D5C" w:rsidRPr="00F315E4">
              <w:t>%</w:t>
            </w:r>
          </w:p>
        </w:tc>
      </w:tr>
      <w:tr w:rsidR="006F0D5C" w:rsidRPr="00CF4CF1" w14:paraId="3C95ED82" w14:textId="77777777" w:rsidTr="0072568D">
        <w:tc>
          <w:tcPr>
            <w:tcW w:w="5000" w:type="pct"/>
            <w:gridSpan w:val="5"/>
            <w:tcBorders>
              <w:top w:val="single" w:sz="4" w:space="0" w:color="auto"/>
              <w:bottom w:val="nil"/>
            </w:tcBorders>
          </w:tcPr>
          <w:p w14:paraId="64A8D8E6" w14:textId="77777777" w:rsidR="006F0D5C" w:rsidRPr="00F315E4" w:rsidRDefault="006F0D5C" w:rsidP="0072568D">
            <w:pPr>
              <w:pStyle w:val="TableText0"/>
              <w:keepNext w:val="0"/>
              <w:keepLines w:val="0"/>
            </w:pPr>
            <w:r w:rsidRPr="00F315E4">
              <w:t>CR/PR health state costs (base CR $598.75, PR $1,549.93 per cycle)</w:t>
            </w:r>
          </w:p>
        </w:tc>
      </w:tr>
      <w:tr w:rsidR="006F0D5C" w:rsidRPr="00CF4CF1" w14:paraId="24A36D6E" w14:textId="77777777" w:rsidTr="0072568D">
        <w:tc>
          <w:tcPr>
            <w:tcW w:w="2266" w:type="pct"/>
            <w:tcBorders>
              <w:top w:val="nil"/>
              <w:bottom w:val="nil"/>
            </w:tcBorders>
          </w:tcPr>
          <w:p w14:paraId="5EC57B07" w14:textId="77777777" w:rsidR="006F0D5C" w:rsidRPr="00F367B1" w:rsidRDefault="006F0D5C" w:rsidP="002B5C30">
            <w:pPr>
              <w:pStyle w:val="TableText0"/>
              <w:keepNext w:val="0"/>
              <w:keepLines w:val="0"/>
              <w:numPr>
                <w:ilvl w:val="0"/>
                <w:numId w:val="4"/>
              </w:numPr>
            </w:pPr>
            <w:r w:rsidRPr="00F367B1">
              <w:t>CR/PR $1,549.93</w:t>
            </w:r>
          </w:p>
        </w:tc>
        <w:tc>
          <w:tcPr>
            <w:tcW w:w="738" w:type="pct"/>
            <w:tcBorders>
              <w:top w:val="nil"/>
              <w:bottom w:val="nil"/>
            </w:tcBorders>
            <w:vAlign w:val="top"/>
          </w:tcPr>
          <w:p w14:paraId="590D9D79" w14:textId="18E70112" w:rsidR="006F0D5C" w:rsidRPr="00F367B1" w:rsidRDefault="006F0D5C" w:rsidP="0072568D">
            <w:pPr>
              <w:pStyle w:val="TableText0"/>
              <w:keepNext w:val="0"/>
              <w:keepLines w:val="0"/>
              <w:jc w:val="center"/>
            </w:pPr>
            <w:r w:rsidRPr="00F367B1">
              <w:t>$</w:t>
            </w:r>
            <w:r w:rsidR="00102373" w:rsidRPr="00102373">
              <w:rPr>
                <w:sz w:val="2"/>
                <w:highlight w:val="black"/>
              </w:rPr>
              <w:t>redacted content</w:t>
            </w:r>
          </w:p>
        </w:tc>
        <w:tc>
          <w:tcPr>
            <w:tcW w:w="805" w:type="pct"/>
            <w:tcBorders>
              <w:top w:val="nil"/>
              <w:bottom w:val="nil"/>
            </w:tcBorders>
            <w:vAlign w:val="top"/>
          </w:tcPr>
          <w:p w14:paraId="7A5F144E" w14:textId="77777777" w:rsidR="006F0D5C" w:rsidRPr="00F367B1" w:rsidRDefault="006F0D5C" w:rsidP="0072568D">
            <w:pPr>
              <w:pStyle w:val="TableText0"/>
              <w:keepNext w:val="0"/>
              <w:keepLines w:val="0"/>
              <w:jc w:val="center"/>
            </w:pPr>
            <w:r w:rsidRPr="00F367B1">
              <w:t>0.370</w:t>
            </w:r>
          </w:p>
        </w:tc>
        <w:tc>
          <w:tcPr>
            <w:tcW w:w="596" w:type="pct"/>
            <w:tcBorders>
              <w:top w:val="nil"/>
              <w:bottom w:val="nil"/>
            </w:tcBorders>
            <w:vAlign w:val="top"/>
          </w:tcPr>
          <w:p w14:paraId="2C9ADD03" w14:textId="11565D16" w:rsidR="006F0D5C" w:rsidRPr="00783CFF" w:rsidRDefault="006F0D5C" w:rsidP="0072568D">
            <w:pPr>
              <w:pStyle w:val="TableText0"/>
              <w:keepNext w:val="0"/>
              <w:keepLines w:val="0"/>
              <w:jc w:val="center"/>
              <w:rPr>
                <w:vertAlign w:val="superscript"/>
              </w:rPr>
            </w:pPr>
            <w:r w:rsidRPr="00F367B1">
              <w:t>$</w:t>
            </w:r>
            <w:r w:rsidR="00102373" w:rsidRPr="00102373">
              <w:rPr>
                <w:sz w:val="2"/>
                <w:highlight w:val="black"/>
              </w:rPr>
              <w:t>redacted content</w:t>
            </w:r>
            <w:r w:rsidR="00783CFF">
              <w:rPr>
                <w:vertAlign w:val="superscript"/>
              </w:rPr>
              <w:t>7</w:t>
            </w:r>
          </w:p>
        </w:tc>
        <w:tc>
          <w:tcPr>
            <w:tcW w:w="595" w:type="pct"/>
            <w:tcBorders>
              <w:top w:val="nil"/>
              <w:bottom w:val="nil"/>
            </w:tcBorders>
            <w:vAlign w:val="top"/>
          </w:tcPr>
          <w:p w14:paraId="4C1D8C7D" w14:textId="111B4276" w:rsidR="006F0D5C" w:rsidRPr="00F367B1" w:rsidRDefault="00102373" w:rsidP="0072568D">
            <w:pPr>
              <w:pStyle w:val="TableText0"/>
              <w:keepNext w:val="0"/>
              <w:keepLines w:val="0"/>
              <w:jc w:val="center"/>
            </w:pPr>
            <w:r w:rsidRPr="00102373">
              <w:rPr>
                <w:sz w:val="2"/>
                <w:highlight w:val="black"/>
              </w:rPr>
              <w:t>redacted content</w:t>
            </w:r>
            <w:r w:rsidR="006F0D5C" w:rsidRPr="00F367B1">
              <w:t>%</w:t>
            </w:r>
          </w:p>
        </w:tc>
      </w:tr>
      <w:tr w:rsidR="006F0D5C" w:rsidRPr="004A25BE" w14:paraId="5CEACF9E" w14:textId="77777777" w:rsidTr="0081233C">
        <w:tc>
          <w:tcPr>
            <w:tcW w:w="2266" w:type="pct"/>
            <w:tcBorders>
              <w:top w:val="nil"/>
              <w:bottom w:val="single" w:sz="4" w:space="0" w:color="auto"/>
            </w:tcBorders>
          </w:tcPr>
          <w:p w14:paraId="2CA9DC85" w14:textId="77777777" w:rsidR="006F0D5C" w:rsidRPr="00F367B1" w:rsidRDefault="006F0D5C" w:rsidP="002B5C30">
            <w:pPr>
              <w:pStyle w:val="TableText0"/>
              <w:keepNext w:val="0"/>
              <w:keepLines w:val="0"/>
              <w:numPr>
                <w:ilvl w:val="0"/>
                <w:numId w:val="4"/>
              </w:numPr>
            </w:pPr>
            <w:r w:rsidRPr="00F367B1">
              <w:t>CR/PR $2,501.10 (equal to AD) from Year 10</w:t>
            </w:r>
          </w:p>
        </w:tc>
        <w:tc>
          <w:tcPr>
            <w:tcW w:w="738" w:type="pct"/>
            <w:tcBorders>
              <w:top w:val="nil"/>
              <w:bottom w:val="single" w:sz="4" w:space="0" w:color="auto"/>
            </w:tcBorders>
            <w:vAlign w:val="top"/>
          </w:tcPr>
          <w:p w14:paraId="0B7D9FB4" w14:textId="437FF143" w:rsidR="006F0D5C" w:rsidRPr="00F367B1" w:rsidRDefault="006F0D5C" w:rsidP="0072568D">
            <w:pPr>
              <w:pStyle w:val="TableText0"/>
              <w:keepNext w:val="0"/>
              <w:keepLines w:val="0"/>
              <w:jc w:val="center"/>
            </w:pPr>
            <w:r w:rsidRPr="00F367B1">
              <w:t>$</w:t>
            </w:r>
            <w:r w:rsidR="00102373" w:rsidRPr="00102373">
              <w:rPr>
                <w:sz w:val="2"/>
                <w:highlight w:val="black"/>
              </w:rPr>
              <w:t>redacted content</w:t>
            </w:r>
          </w:p>
        </w:tc>
        <w:tc>
          <w:tcPr>
            <w:tcW w:w="805" w:type="pct"/>
            <w:tcBorders>
              <w:top w:val="nil"/>
              <w:bottom w:val="single" w:sz="4" w:space="0" w:color="auto"/>
            </w:tcBorders>
            <w:vAlign w:val="top"/>
          </w:tcPr>
          <w:p w14:paraId="6D647782" w14:textId="77777777" w:rsidR="006F0D5C" w:rsidRPr="00F367B1" w:rsidRDefault="006F0D5C" w:rsidP="0072568D">
            <w:pPr>
              <w:pStyle w:val="TableText0"/>
              <w:keepNext w:val="0"/>
              <w:keepLines w:val="0"/>
              <w:jc w:val="center"/>
            </w:pPr>
            <w:r w:rsidRPr="00F367B1">
              <w:t>0.370</w:t>
            </w:r>
          </w:p>
        </w:tc>
        <w:tc>
          <w:tcPr>
            <w:tcW w:w="596" w:type="pct"/>
            <w:tcBorders>
              <w:top w:val="nil"/>
              <w:bottom w:val="single" w:sz="4" w:space="0" w:color="auto"/>
            </w:tcBorders>
            <w:vAlign w:val="top"/>
          </w:tcPr>
          <w:p w14:paraId="42499C21" w14:textId="1B9803A5" w:rsidR="006F0D5C" w:rsidRPr="00783CFF" w:rsidRDefault="006F0D5C" w:rsidP="0072568D">
            <w:pPr>
              <w:pStyle w:val="TableText0"/>
              <w:keepNext w:val="0"/>
              <w:keepLines w:val="0"/>
              <w:jc w:val="center"/>
              <w:rPr>
                <w:vertAlign w:val="superscript"/>
              </w:rPr>
            </w:pPr>
            <w:r w:rsidRPr="00F367B1">
              <w:t>$</w:t>
            </w:r>
            <w:r w:rsidR="00102373" w:rsidRPr="00102373">
              <w:rPr>
                <w:sz w:val="2"/>
                <w:highlight w:val="black"/>
              </w:rPr>
              <w:t>redacted content</w:t>
            </w:r>
            <w:r w:rsidR="00783CFF">
              <w:rPr>
                <w:vertAlign w:val="superscript"/>
              </w:rPr>
              <w:t>7</w:t>
            </w:r>
          </w:p>
        </w:tc>
        <w:tc>
          <w:tcPr>
            <w:tcW w:w="595" w:type="pct"/>
            <w:tcBorders>
              <w:top w:val="nil"/>
              <w:bottom w:val="single" w:sz="4" w:space="0" w:color="auto"/>
            </w:tcBorders>
            <w:vAlign w:val="top"/>
          </w:tcPr>
          <w:p w14:paraId="1CF77907" w14:textId="289FC118" w:rsidR="006F0D5C" w:rsidRPr="00F367B1" w:rsidRDefault="00102373" w:rsidP="0072568D">
            <w:pPr>
              <w:pStyle w:val="TableText0"/>
              <w:keepNext w:val="0"/>
              <w:keepLines w:val="0"/>
              <w:jc w:val="center"/>
            </w:pPr>
            <w:r w:rsidRPr="00102373">
              <w:rPr>
                <w:sz w:val="2"/>
                <w:highlight w:val="black"/>
              </w:rPr>
              <w:t>redacted content</w:t>
            </w:r>
            <w:r w:rsidR="006F0D5C" w:rsidRPr="00F367B1">
              <w:t>%</w:t>
            </w:r>
          </w:p>
        </w:tc>
      </w:tr>
      <w:tr w:rsidR="006F0D5C" w:rsidRPr="00CF4CF1" w:rsidDel="009D5822" w14:paraId="03952B21" w14:textId="77777777" w:rsidTr="0081233C">
        <w:tc>
          <w:tcPr>
            <w:tcW w:w="2266" w:type="pct"/>
            <w:tcBorders>
              <w:top w:val="single" w:sz="4" w:space="0" w:color="auto"/>
              <w:bottom w:val="single" w:sz="4" w:space="0" w:color="auto"/>
            </w:tcBorders>
          </w:tcPr>
          <w:p w14:paraId="10013368" w14:textId="77777777" w:rsidR="006F0D5C" w:rsidRPr="00F367B1" w:rsidDel="009D5822" w:rsidRDefault="006F0D5C" w:rsidP="0072568D">
            <w:pPr>
              <w:pStyle w:val="In-tableHeading"/>
            </w:pPr>
            <w:bookmarkStart w:id="71" w:name="_Hlk219113290"/>
            <w:r w:rsidRPr="00F367B1">
              <w:t>Multivariate analyses</w:t>
            </w:r>
          </w:p>
        </w:tc>
        <w:tc>
          <w:tcPr>
            <w:tcW w:w="738" w:type="pct"/>
            <w:tcBorders>
              <w:top w:val="single" w:sz="4" w:space="0" w:color="auto"/>
              <w:bottom w:val="single" w:sz="4" w:space="0" w:color="auto"/>
            </w:tcBorders>
            <w:vAlign w:val="top"/>
          </w:tcPr>
          <w:p w14:paraId="191DC4CC" w14:textId="77777777" w:rsidR="006F0D5C" w:rsidRPr="00F367B1" w:rsidDel="009D5822" w:rsidRDefault="006F0D5C" w:rsidP="0072568D">
            <w:pPr>
              <w:pStyle w:val="In-tableHeading"/>
            </w:pPr>
          </w:p>
        </w:tc>
        <w:tc>
          <w:tcPr>
            <w:tcW w:w="805" w:type="pct"/>
            <w:tcBorders>
              <w:top w:val="single" w:sz="4" w:space="0" w:color="auto"/>
              <w:bottom w:val="single" w:sz="4" w:space="0" w:color="auto"/>
            </w:tcBorders>
            <w:vAlign w:val="top"/>
          </w:tcPr>
          <w:p w14:paraId="26137970" w14:textId="77777777" w:rsidR="006F0D5C" w:rsidRPr="00F367B1" w:rsidDel="009D5822" w:rsidRDefault="006F0D5C" w:rsidP="0072568D">
            <w:pPr>
              <w:pStyle w:val="In-tableHeading"/>
            </w:pPr>
          </w:p>
        </w:tc>
        <w:tc>
          <w:tcPr>
            <w:tcW w:w="596" w:type="pct"/>
            <w:tcBorders>
              <w:top w:val="single" w:sz="4" w:space="0" w:color="auto"/>
              <w:bottom w:val="single" w:sz="4" w:space="0" w:color="auto"/>
            </w:tcBorders>
            <w:vAlign w:val="top"/>
          </w:tcPr>
          <w:p w14:paraId="5426816C" w14:textId="77777777" w:rsidR="006F0D5C" w:rsidRPr="00F367B1" w:rsidDel="009D5822" w:rsidRDefault="006F0D5C" w:rsidP="0072568D">
            <w:pPr>
              <w:pStyle w:val="In-tableHeading"/>
            </w:pPr>
          </w:p>
        </w:tc>
        <w:tc>
          <w:tcPr>
            <w:tcW w:w="595" w:type="pct"/>
            <w:tcBorders>
              <w:top w:val="single" w:sz="4" w:space="0" w:color="auto"/>
              <w:bottom w:val="single" w:sz="4" w:space="0" w:color="auto"/>
            </w:tcBorders>
            <w:vAlign w:val="top"/>
          </w:tcPr>
          <w:p w14:paraId="643FEDDD" w14:textId="77777777" w:rsidR="006F0D5C" w:rsidRPr="00F367B1" w:rsidDel="009D5822" w:rsidRDefault="006F0D5C" w:rsidP="0072568D">
            <w:pPr>
              <w:pStyle w:val="In-tableHeading"/>
            </w:pPr>
          </w:p>
        </w:tc>
      </w:tr>
      <w:tr w:rsidR="006F0D5C" w:rsidRPr="009D5822" w:rsidDel="009D5822" w14:paraId="5E11E9B5" w14:textId="77777777" w:rsidTr="0072568D">
        <w:tc>
          <w:tcPr>
            <w:tcW w:w="2266" w:type="pct"/>
            <w:tcBorders>
              <w:top w:val="nil"/>
              <w:bottom w:val="single" w:sz="4" w:space="0" w:color="auto"/>
            </w:tcBorders>
          </w:tcPr>
          <w:p w14:paraId="0CA43D6D" w14:textId="77777777" w:rsidR="006F0D5C" w:rsidRPr="00F367B1" w:rsidDel="009D5822" w:rsidRDefault="006F0D5C" w:rsidP="0072568D">
            <w:pPr>
              <w:pStyle w:val="TableText0"/>
            </w:pPr>
            <w:r w:rsidRPr="00F367B1">
              <w:t>MA1: OBI vs SOC CR/PR to dialysis HR=1 &amp; no maximum time on OBI in CR/PR, AD 18 months (6.8% discontinue per cycle)</w:t>
            </w:r>
          </w:p>
        </w:tc>
        <w:tc>
          <w:tcPr>
            <w:tcW w:w="738" w:type="pct"/>
            <w:tcBorders>
              <w:top w:val="nil"/>
              <w:bottom w:val="single" w:sz="4" w:space="0" w:color="auto"/>
            </w:tcBorders>
          </w:tcPr>
          <w:p w14:paraId="13D52710" w14:textId="35E4FEC7" w:rsidR="006F0D5C" w:rsidRPr="00F367B1" w:rsidDel="009D5822" w:rsidRDefault="006F0D5C" w:rsidP="0072568D">
            <w:pPr>
              <w:pStyle w:val="TableText0"/>
              <w:keepNext w:val="0"/>
              <w:keepLines w:val="0"/>
              <w:jc w:val="center"/>
            </w:pPr>
            <w:r w:rsidRPr="00F367B1">
              <w:t>$</w:t>
            </w:r>
            <w:r w:rsidR="00102373" w:rsidRPr="00102373">
              <w:rPr>
                <w:sz w:val="2"/>
                <w:highlight w:val="black"/>
              </w:rPr>
              <w:t>redacted content</w:t>
            </w:r>
          </w:p>
        </w:tc>
        <w:tc>
          <w:tcPr>
            <w:tcW w:w="805" w:type="pct"/>
            <w:tcBorders>
              <w:top w:val="nil"/>
              <w:bottom w:val="single" w:sz="4" w:space="0" w:color="auto"/>
            </w:tcBorders>
          </w:tcPr>
          <w:p w14:paraId="73484795" w14:textId="77777777" w:rsidR="006F0D5C" w:rsidRPr="00F367B1" w:rsidDel="009D5822" w:rsidRDefault="006F0D5C" w:rsidP="0072568D">
            <w:pPr>
              <w:pStyle w:val="TableText0"/>
              <w:keepNext w:val="0"/>
              <w:keepLines w:val="0"/>
              <w:jc w:val="center"/>
            </w:pPr>
            <w:r w:rsidRPr="00F367B1">
              <w:t>0.357</w:t>
            </w:r>
          </w:p>
        </w:tc>
        <w:tc>
          <w:tcPr>
            <w:tcW w:w="596" w:type="pct"/>
            <w:tcBorders>
              <w:top w:val="nil"/>
              <w:bottom w:val="single" w:sz="4" w:space="0" w:color="auto"/>
            </w:tcBorders>
          </w:tcPr>
          <w:p w14:paraId="36EF16DD" w14:textId="31EA4E56" w:rsidR="006F0D5C" w:rsidRPr="00BC210E" w:rsidDel="009D5822" w:rsidRDefault="006F0D5C" w:rsidP="0072568D">
            <w:pPr>
              <w:pStyle w:val="TableText0"/>
              <w:keepNext w:val="0"/>
              <w:keepLines w:val="0"/>
              <w:jc w:val="center"/>
              <w:rPr>
                <w:vertAlign w:val="superscript"/>
              </w:rPr>
            </w:pPr>
            <w:r w:rsidRPr="00F367B1">
              <w:t>$</w:t>
            </w:r>
            <w:r w:rsidR="00102373" w:rsidRPr="00102373">
              <w:rPr>
                <w:sz w:val="2"/>
                <w:highlight w:val="black"/>
              </w:rPr>
              <w:t>redacted content</w:t>
            </w:r>
            <w:r w:rsidR="00BC210E">
              <w:rPr>
                <w:vertAlign w:val="superscript"/>
              </w:rPr>
              <w:t>8</w:t>
            </w:r>
          </w:p>
        </w:tc>
        <w:tc>
          <w:tcPr>
            <w:tcW w:w="595" w:type="pct"/>
            <w:tcBorders>
              <w:top w:val="nil"/>
              <w:bottom w:val="single" w:sz="4" w:space="0" w:color="auto"/>
            </w:tcBorders>
          </w:tcPr>
          <w:p w14:paraId="0D4D0051" w14:textId="1FC64F30" w:rsidR="006F0D5C" w:rsidRPr="00F367B1" w:rsidDel="009D5822" w:rsidRDefault="00102373" w:rsidP="0072568D">
            <w:pPr>
              <w:pStyle w:val="TableText0"/>
              <w:keepNext w:val="0"/>
              <w:keepLines w:val="0"/>
              <w:jc w:val="center"/>
            </w:pPr>
            <w:r w:rsidRPr="00102373">
              <w:rPr>
                <w:sz w:val="2"/>
                <w:highlight w:val="black"/>
              </w:rPr>
              <w:t>redacted content</w:t>
            </w:r>
            <w:r w:rsidR="006F0D5C" w:rsidRPr="00F367B1">
              <w:t>%</w:t>
            </w:r>
          </w:p>
        </w:tc>
      </w:tr>
      <w:tr w:rsidR="006F0D5C" w:rsidRPr="009D5822" w:rsidDel="009D5822" w14:paraId="41881B93" w14:textId="77777777" w:rsidTr="0072568D">
        <w:tc>
          <w:tcPr>
            <w:tcW w:w="2266" w:type="pct"/>
            <w:tcBorders>
              <w:top w:val="single" w:sz="4" w:space="0" w:color="auto"/>
              <w:bottom w:val="single" w:sz="4" w:space="0" w:color="auto"/>
            </w:tcBorders>
          </w:tcPr>
          <w:p w14:paraId="703FAD20" w14:textId="47CE5147" w:rsidR="006F0D5C" w:rsidRPr="00F367B1" w:rsidDel="009D5822" w:rsidRDefault="006F0D5C" w:rsidP="0072568D">
            <w:pPr>
              <w:pStyle w:val="TableText0"/>
            </w:pPr>
            <w:r w:rsidRPr="00F367B1">
              <w:t>MA2: MA1 &amp; CR</w:t>
            </w:r>
            <w:r w:rsidR="000A1704" w:rsidRPr="00F367B1">
              <w:t>/</w:t>
            </w:r>
            <w:r w:rsidRPr="00F367B1">
              <w:t>PR costs and utilities equal to AD from Year 10</w:t>
            </w:r>
          </w:p>
        </w:tc>
        <w:tc>
          <w:tcPr>
            <w:tcW w:w="738" w:type="pct"/>
            <w:tcBorders>
              <w:top w:val="single" w:sz="4" w:space="0" w:color="auto"/>
              <w:bottom w:val="single" w:sz="4" w:space="0" w:color="auto"/>
            </w:tcBorders>
          </w:tcPr>
          <w:p w14:paraId="55E1A5CD" w14:textId="34B2965E" w:rsidR="006F0D5C" w:rsidRPr="00F367B1" w:rsidDel="009D5822" w:rsidRDefault="006F0D5C" w:rsidP="0072568D">
            <w:pPr>
              <w:pStyle w:val="TableText0"/>
              <w:keepNext w:val="0"/>
              <w:keepLines w:val="0"/>
              <w:jc w:val="center"/>
            </w:pPr>
            <w:r w:rsidRPr="00F367B1">
              <w:t>$</w:t>
            </w:r>
            <w:r w:rsidR="00102373" w:rsidRPr="00102373">
              <w:rPr>
                <w:sz w:val="2"/>
                <w:highlight w:val="black"/>
              </w:rPr>
              <w:t>redacted content</w:t>
            </w:r>
          </w:p>
        </w:tc>
        <w:tc>
          <w:tcPr>
            <w:tcW w:w="805" w:type="pct"/>
            <w:tcBorders>
              <w:top w:val="single" w:sz="4" w:space="0" w:color="auto"/>
              <w:bottom w:val="single" w:sz="4" w:space="0" w:color="auto"/>
            </w:tcBorders>
          </w:tcPr>
          <w:p w14:paraId="4CA28901" w14:textId="77777777" w:rsidR="006F0D5C" w:rsidRPr="00F367B1" w:rsidDel="009D5822" w:rsidRDefault="006F0D5C" w:rsidP="0072568D">
            <w:pPr>
              <w:pStyle w:val="TableText0"/>
              <w:keepNext w:val="0"/>
              <w:keepLines w:val="0"/>
              <w:jc w:val="center"/>
            </w:pPr>
            <w:r w:rsidRPr="00F367B1">
              <w:t>0.253</w:t>
            </w:r>
          </w:p>
        </w:tc>
        <w:tc>
          <w:tcPr>
            <w:tcW w:w="596" w:type="pct"/>
            <w:tcBorders>
              <w:top w:val="single" w:sz="4" w:space="0" w:color="auto"/>
              <w:bottom w:val="single" w:sz="4" w:space="0" w:color="auto"/>
            </w:tcBorders>
          </w:tcPr>
          <w:p w14:paraId="126EDBE9" w14:textId="129440D1" w:rsidR="006F0D5C" w:rsidRPr="00716E0A" w:rsidDel="009D5822" w:rsidRDefault="006F0D5C" w:rsidP="0072568D">
            <w:pPr>
              <w:pStyle w:val="TableText0"/>
              <w:keepNext w:val="0"/>
              <w:keepLines w:val="0"/>
              <w:jc w:val="center"/>
              <w:rPr>
                <w:vertAlign w:val="superscript"/>
              </w:rPr>
            </w:pPr>
            <w:r w:rsidRPr="00F367B1">
              <w:t>$</w:t>
            </w:r>
            <w:r w:rsidR="00102373" w:rsidRPr="00102373">
              <w:rPr>
                <w:sz w:val="2"/>
                <w:highlight w:val="black"/>
              </w:rPr>
              <w:t>redacted content</w:t>
            </w:r>
            <w:r w:rsidR="00716E0A">
              <w:rPr>
                <w:vertAlign w:val="superscript"/>
              </w:rPr>
              <w:t>9</w:t>
            </w:r>
          </w:p>
        </w:tc>
        <w:tc>
          <w:tcPr>
            <w:tcW w:w="595" w:type="pct"/>
            <w:tcBorders>
              <w:top w:val="single" w:sz="4" w:space="0" w:color="auto"/>
              <w:bottom w:val="single" w:sz="4" w:space="0" w:color="auto"/>
            </w:tcBorders>
          </w:tcPr>
          <w:p w14:paraId="41F72660" w14:textId="4AEBE432" w:rsidR="006F0D5C" w:rsidRPr="00F367B1" w:rsidDel="009D5822" w:rsidRDefault="00102373" w:rsidP="0072568D">
            <w:pPr>
              <w:pStyle w:val="TableText0"/>
              <w:keepNext w:val="0"/>
              <w:keepLines w:val="0"/>
              <w:jc w:val="center"/>
            </w:pPr>
            <w:r w:rsidRPr="00102373">
              <w:rPr>
                <w:sz w:val="2"/>
                <w:highlight w:val="black"/>
              </w:rPr>
              <w:t>redacted content</w:t>
            </w:r>
            <w:r w:rsidR="006F0D5C" w:rsidRPr="00F367B1">
              <w:t>%</w:t>
            </w:r>
          </w:p>
        </w:tc>
      </w:tr>
      <w:tr w:rsidR="006F0D5C" w:rsidRPr="009D5822" w:rsidDel="009D5822" w14:paraId="2D20A6DF" w14:textId="77777777" w:rsidTr="0072568D">
        <w:tc>
          <w:tcPr>
            <w:tcW w:w="2266" w:type="pct"/>
            <w:tcBorders>
              <w:top w:val="single" w:sz="4" w:space="0" w:color="auto"/>
              <w:bottom w:val="single" w:sz="4" w:space="0" w:color="auto"/>
            </w:tcBorders>
          </w:tcPr>
          <w:p w14:paraId="1D96A30E" w14:textId="77777777" w:rsidR="006F0D5C" w:rsidRPr="00F367B1" w:rsidRDefault="006F0D5C" w:rsidP="0072568D">
            <w:pPr>
              <w:pStyle w:val="TableText0"/>
            </w:pPr>
            <w:r w:rsidRPr="00F367B1">
              <w:t>MA3: MA1 &amp; time horizon 15 years</w:t>
            </w:r>
          </w:p>
        </w:tc>
        <w:tc>
          <w:tcPr>
            <w:tcW w:w="738" w:type="pct"/>
            <w:tcBorders>
              <w:top w:val="single" w:sz="4" w:space="0" w:color="auto"/>
              <w:bottom w:val="single" w:sz="4" w:space="0" w:color="auto"/>
            </w:tcBorders>
          </w:tcPr>
          <w:p w14:paraId="36FA22F5" w14:textId="0D33323A" w:rsidR="006F0D5C" w:rsidRPr="00F367B1" w:rsidDel="009D5822" w:rsidRDefault="006F0D5C" w:rsidP="0072568D">
            <w:pPr>
              <w:pStyle w:val="TableText0"/>
              <w:keepNext w:val="0"/>
              <w:keepLines w:val="0"/>
              <w:jc w:val="center"/>
            </w:pPr>
            <w:r w:rsidRPr="00F367B1">
              <w:t>$</w:t>
            </w:r>
            <w:r w:rsidR="00102373" w:rsidRPr="00102373">
              <w:rPr>
                <w:sz w:val="2"/>
                <w:highlight w:val="black"/>
              </w:rPr>
              <w:t>redacted content</w:t>
            </w:r>
          </w:p>
        </w:tc>
        <w:tc>
          <w:tcPr>
            <w:tcW w:w="805" w:type="pct"/>
            <w:tcBorders>
              <w:top w:val="single" w:sz="4" w:space="0" w:color="auto"/>
              <w:bottom w:val="single" w:sz="4" w:space="0" w:color="auto"/>
            </w:tcBorders>
          </w:tcPr>
          <w:p w14:paraId="351BE6CC" w14:textId="77777777" w:rsidR="006F0D5C" w:rsidRPr="00F367B1" w:rsidDel="009D5822" w:rsidRDefault="006F0D5C" w:rsidP="0072568D">
            <w:pPr>
              <w:pStyle w:val="TableText0"/>
              <w:keepNext w:val="0"/>
              <w:keepLines w:val="0"/>
              <w:jc w:val="center"/>
            </w:pPr>
            <w:r w:rsidRPr="00F367B1">
              <w:t>0.267</w:t>
            </w:r>
          </w:p>
        </w:tc>
        <w:tc>
          <w:tcPr>
            <w:tcW w:w="596" w:type="pct"/>
            <w:tcBorders>
              <w:top w:val="single" w:sz="4" w:space="0" w:color="auto"/>
              <w:bottom w:val="single" w:sz="4" w:space="0" w:color="auto"/>
            </w:tcBorders>
          </w:tcPr>
          <w:p w14:paraId="0A71F921" w14:textId="18A44276" w:rsidR="006F0D5C" w:rsidRPr="00716E0A" w:rsidDel="009D5822" w:rsidRDefault="006F0D5C" w:rsidP="0072568D">
            <w:pPr>
              <w:pStyle w:val="TableText0"/>
              <w:keepNext w:val="0"/>
              <w:keepLines w:val="0"/>
              <w:jc w:val="center"/>
              <w:rPr>
                <w:vertAlign w:val="superscript"/>
              </w:rPr>
            </w:pPr>
            <w:r w:rsidRPr="00F367B1">
              <w:t>$</w:t>
            </w:r>
            <w:r w:rsidR="00102373" w:rsidRPr="00102373">
              <w:rPr>
                <w:sz w:val="2"/>
                <w:highlight w:val="black"/>
              </w:rPr>
              <w:t>redacted content</w:t>
            </w:r>
            <w:r w:rsidR="00716E0A">
              <w:rPr>
                <w:vertAlign w:val="superscript"/>
              </w:rPr>
              <w:t>9</w:t>
            </w:r>
          </w:p>
        </w:tc>
        <w:tc>
          <w:tcPr>
            <w:tcW w:w="595" w:type="pct"/>
            <w:tcBorders>
              <w:top w:val="single" w:sz="4" w:space="0" w:color="auto"/>
              <w:bottom w:val="single" w:sz="4" w:space="0" w:color="auto"/>
            </w:tcBorders>
          </w:tcPr>
          <w:p w14:paraId="516F125F" w14:textId="556124FD" w:rsidR="006F0D5C" w:rsidRPr="00F367B1" w:rsidDel="009D5822" w:rsidRDefault="00102373" w:rsidP="0072568D">
            <w:pPr>
              <w:pStyle w:val="TableText0"/>
              <w:keepNext w:val="0"/>
              <w:keepLines w:val="0"/>
              <w:jc w:val="center"/>
            </w:pPr>
            <w:r w:rsidRPr="00102373">
              <w:rPr>
                <w:sz w:val="2"/>
                <w:highlight w:val="black"/>
              </w:rPr>
              <w:t>redacted content</w:t>
            </w:r>
            <w:r w:rsidR="006F0D5C" w:rsidRPr="00F367B1">
              <w:t>%</w:t>
            </w:r>
          </w:p>
        </w:tc>
      </w:tr>
      <w:tr w:rsidR="008D1499" w:rsidRPr="009D5822" w:rsidDel="009D5822" w14:paraId="602F9248" w14:textId="77777777" w:rsidTr="0072568D">
        <w:tc>
          <w:tcPr>
            <w:tcW w:w="2266" w:type="pct"/>
            <w:tcBorders>
              <w:top w:val="single" w:sz="4" w:space="0" w:color="auto"/>
              <w:bottom w:val="single" w:sz="4" w:space="0" w:color="auto"/>
            </w:tcBorders>
          </w:tcPr>
          <w:p w14:paraId="2BECA9D8" w14:textId="1D99BF4E" w:rsidR="008D1499" w:rsidRPr="00F367B1" w:rsidRDefault="008D1499" w:rsidP="008D1499">
            <w:pPr>
              <w:pStyle w:val="TableText0"/>
            </w:pPr>
            <w:r w:rsidRPr="00F367B1">
              <w:t>MA4: MA2 &amp; time horizon 15 years</w:t>
            </w:r>
          </w:p>
        </w:tc>
        <w:tc>
          <w:tcPr>
            <w:tcW w:w="738" w:type="pct"/>
            <w:tcBorders>
              <w:top w:val="single" w:sz="4" w:space="0" w:color="auto"/>
              <w:bottom w:val="single" w:sz="4" w:space="0" w:color="auto"/>
            </w:tcBorders>
          </w:tcPr>
          <w:p w14:paraId="313C9E95" w14:textId="221AF5C9" w:rsidR="008D1499" w:rsidRPr="00F367B1" w:rsidRDefault="008D1499" w:rsidP="008D1499">
            <w:pPr>
              <w:pStyle w:val="TableText0"/>
              <w:keepNext w:val="0"/>
              <w:keepLines w:val="0"/>
              <w:jc w:val="center"/>
            </w:pPr>
            <w:r w:rsidRPr="00F367B1">
              <w:t>$</w:t>
            </w:r>
            <w:r w:rsidR="00102373" w:rsidRPr="00102373">
              <w:rPr>
                <w:sz w:val="2"/>
                <w:highlight w:val="black"/>
              </w:rPr>
              <w:t>redacted content</w:t>
            </w:r>
          </w:p>
        </w:tc>
        <w:tc>
          <w:tcPr>
            <w:tcW w:w="805" w:type="pct"/>
            <w:tcBorders>
              <w:top w:val="single" w:sz="4" w:space="0" w:color="auto"/>
              <w:bottom w:val="single" w:sz="4" w:space="0" w:color="auto"/>
            </w:tcBorders>
          </w:tcPr>
          <w:p w14:paraId="7D9C8F2B" w14:textId="52A1E92A" w:rsidR="008D1499" w:rsidRPr="00F367B1" w:rsidRDefault="008D1499" w:rsidP="008D1499">
            <w:pPr>
              <w:pStyle w:val="TableText0"/>
              <w:keepNext w:val="0"/>
              <w:keepLines w:val="0"/>
              <w:jc w:val="center"/>
            </w:pPr>
            <w:r w:rsidRPr="00F367B1">
              <w:t>0.210</w:t>
            </w:r>
          </w:p>
        </w:tc>
        <w:tc>
          <w:tcPr>
            <w:tcW w:w="596" w:type="pct"/>
            <w:tcBorders>
              <w:top w:val="single" w:sz="4" w:space="0" w:color="auto"/>
              <w:bottom w:val="single" w:sz="4" w:space="0" w:color="auto"/>
            </w:tcBorders>
          </w:tcPr>
          <w:p w14:paraId="7A2D6B0A" w14:textId="52634D14" w:rsidR="008D1499" w:rsidRPr="006B3A51" w:rsidRDefault="008D1499" w:rsidP="008D1499">
            <w:pPr>
              <w:pStyle w:val="TableText0"/>
              <w:keepNext w:val="0"/>
              <w:keepLines w:val="0"/>
              <w:jc w:val="center"/>
              <w:rPr>
                <w:vertAlign w:val="superscript"/>
              </w:rPr>
            </w:pPr>
            <w:r w:rsidRPr="00F367B1">
              <w:t>$</w:t>
            </w:r>
            <w:r w:rsidR="00102373" w:rsidRPr="00102373">
              <w:rPr>
                <w:sz w:val="2"/>
                <w:highlight w:val="black"/>
              </w:rPr>
              <w:t>redacted content</w:t>
            </w:r>
            <w:r w:rsidR="006B3A51">
              <w:rPr>
                <w:vertAlign w:val="superscript"/>
              </w:rPr>
              <w:t>10</w:t>
            </w:r>
          </w:p>
        </w:tc>
        <w:tc>
          <w:tcPr>
            <w:tcW w:w="595" w:type="pct"/>
            <w:tcBorders>
              <w:top w:val="single" w:sz="4" w:space="0" w:color="auto"/>
              <w:bottom w:val="single" w:sz="4" w:space="0" w:color="auto"/>
            </w:tcBorders>
          </w:tcPr>
          <w:p w14:paraId="3B7059BE" w14:textId="3CFBA5EE" w:rsidR="008D1499" w:rsidRPr="00F367B1" w:rsidRDefault="00102373" w:rsidP="008D1499">
            <w:pPr>
              <w:pStyle w:val="TableText0"/>
              <w:keepNext w:val="0"/>
              <w:keepLines w:val="0"/>
              <w:jc w:val="center"/>
            </w:pPr>
            <w:r w:rsidRPr="00102373">
              <w:rPr>
                <w:sz w:val="2"/>
                <w:highlight w:val="black"/>
              </w:rPr>
              <w:t>redacted content</w:t>
            </w:r>
            <w:r w:rsidR="008D1499" w:rsidRPr="00F367B1">
              <w:t>%</w:t>
            </w:r>
          </w:p>
        </w:tc>
      </w:tr>
      <w:tr w:rsidR="00752A4D" w:rsidRPr="009D5822" w:rsidDel="009D5822" w14:paraId="6BC7F200" w14:textId="77777777" w:rsidTr="0072568D">
        <w:tc>
          <w:tcPr>
            <w:tcW w:w="2266" w:type="pct"/>
            <w:tcBorders>
              <w:top w:val="single" w:sz="4" w:space="0" w:color="auto"/>
              <w:bottom w:val="single" w:sz="4" w:space="0" w:color="auto"/>
            </w:tcBorders>
          </w:tcPr>
          <w:p w14:paraId="5F3C74AB" w14:textId="0FBD549F" w:rsidR="00752A4D" w:rsidRPr="00F367B1" w:rsidRDefault="00752A4D" w:rsidP="00752A4D">
            <w:pPr>
              <w:pStyle w:val="TableText0"/>
            </w:pPr>
            <w:r w:rsidRPr="00F367B1">
              <w:t>MA5: Time horizon 15 years and OBI vs SOC CR/PR to dialysis HR=1</w:t>
            </w:r>
          </w:p>
        </w:tc>
        <w:tc>
          <w:tcPr>
            <w:tcW w:w="738" w:type="pct"/>
            <w:tcBorders>
              <w:top w:val="single" w:sz="4" w:space="0" w:color="auto"/>
              <w:bottom w:val="single" w:sz="4" w:space="0" w:color="auto"/>
            </w:tcBorders>
          </w:tcPr>
          <w:p w14:paraId="2D54AAD9" w14:textId="72FB308F" w:rsidR="00752A4D" w:rsidRPr="00F367B1" w:rsidRDefault="00752A4D" w:rsidP="00752A4D">
            <w:pPr>
              <w:pStyle w:val="TableText0"/>
              <w:keepNext w:val="0"/>
              <w:keepLines w:val="0"/>
              <w:jc w:val="center"/>
            </w:pPr>
            <w:r w:rsidRPr="00F367B1">
              <w:rPr>
                <w:rFonts w:cs="Calibri"/>
                <w:kern w:val="2"/>
                <w:szCs w:val="20"/>
                <w:lang w:eastAsia="en-US"/>
                <w14:ligatures w14:val="standardContextual"/>
              </w:rPr>
              <w:t>$</w:t>
            </w:r>
            <w:r w:rsidR="00102373" w:rsidRPr="00102373">
              <w:rPr>
                <w:rFonts w:cs="Calibri"/>
                <w:kern w:val="2"/>
                <w:sz w:val="2"/>
                <w:szCs w:val="20"/>
                <w:highlight w:val="black"/>
                <w:lang w:eastAsia="en-US"/>
                <w14:ligatures w14:val="standardContextual"/>
              </w:rPr>
              <w:t>redacted content</w:t>
            </w:r>
          </w:p>
        </w:tc>
        <w:tc>
          <w:tcPr>
            <w:tcW w:w="805" w:type="pct"/>
            <w:tcBorders>
              <w:top w:val="single" w:sz="4" w:space="0" w:color="auto"/>
              <w:bottom w:val="single" w:sz="4" w:space="0" w:color="auto"/>
            </w:tcBorders>
          </w:tcPr>
          <w:p w14:paraId="242B21CC" w14:textId="5CD9A522" w:rsidR="00752A4D" w:rsidRPr="00F367B1" w:rsidRDefault="00752A4D" w:rsidP="00752A4D">
            <w:pPr>
              <w:pStyle w:val="TableText0"/>
              <w:keepNext w:val="0"/>
              <w:keepLines w:val="0"/>
              <w:jc w:val="center"/>
            </w:pPr>
            <w:r w:rsidRPr="00F367B1">
              <w:rPr>
                <w:rFonts w:cs="Calibri"/>
                <w:kern w:val="2"/>
                <w:szCs w:val="20"/>
                <w:lang w:eastAsia="en-US"/>
                <w14:ligatures w14:val="standardContextual"/>
              </w:rPr>
              <w:t>0.267</w:t>
            </w:r>
          </w:p>
        </w:tc>
        <w:tc>
          <w:tcPr>
            <w:tcW w:w="596" w:type="pct"/>
            <w:tcBorders>
              <w:top w:val="single" w:sz="4" w:space="0" w:color="auto"/>
              <w:bottom w:val="single" w:sz="4" w:space="0" w:color="auto"/>
            </w:tcBorders>
          </w:tcPr>
          <w:p w14:paraId="25BC5638" w14:textId="19DF6EF5" w:rsidR="00752A4D" w:rsidRPr="006D1CDE" w:rsidRDefault="00752A4D" w:rsidP="00752A4D">
            <w:pPr>
              <w:pStyle w:val="TableText0"/>
              <w:keepNext w:val="0"/>
              <w:keepLines w:val="0"/>
              <w:jc w:val="center"/>
              <w:rPr>
                <w:vertAlign w:val="superscript"/>
              </w:rPr>
            </w:pPr>
            <w:r w:rsidRPr="00F367B1">
              <w:rPr>
                <w:rFonts w:cs="Calibri"/>
                <w:kern w:val="2"/>
                <w:szCs w:val="20"/>
                <w:lang w:eastAsia="en-US"/>
                <w14:ligatures w14:val="standardContextual"/>
              </w:rPr>
              <w:t>$</w:t>
            </w:r>
            <w:r w:rsidR="00102373" w:rsidRPr="00102373">
              <w:rPr>
                <w:rFonts w:cs="Calibri"/>
                <w:kern w:val="2"/>
                <w:sz w:val="2"/>
                <w:szCs w:val="20"/>
                <w:highlight w:val="black"/>
                <w:lang w:eastAsia="en-US"/>
                <w14:ligatures w14:val="standardContextual"/>
              </w:rPr>
              <w:t>redacted content</w:t>
            </w:r>
            <w:r w:rsidR="006D1CDE">
              <w:rPr>
                <w:rFonts w:cs="Calibri"/>
                <w:kern w:val="2"/>
                <w:szCs w:val="20"/>
                <w:vertAlign w:val="superscript"/>
                <w:lang w:eastAsia="en-US"/>
                <w14:ligatures w14:val="standardContextual"/>
              </w:rPr>
              <w:t>4</w:t>
            </w:r>
          </w:p>
        </w:tc>
        <w:tc>
          <w:tcPr>
            <w:tcW w:w="595" w:type="pct"/>
            <w:tcBorders>
              <w:top w:val="single" w:sz="4" w:space="0" w:color="auto"/>
              <w:bottom w:val="single" w:sz="4" w:space="0" w:color="auto"/>
            </w:tcBorders>
          </w:tcPr>
          <w:p w14:paraId="45446448" w14:textId="282A4397" w:rsidR="00752A4D" w:rsidRPr="00F367B1" w:rsidRDefault="00102373" w:rsidP="00752A4D">
            <w:pPr>
              <w:pStyle w:val="TableText0"/>
              <w:keepNext w:val="0"/>
              <w:keepLines w:val="0"/>
              <w:jc w:val="center"/>
            </w:pPr>
            <w:r w:rsidRPr="00102373">
              <w:rPr>
                <w:rFonts w:cs="Calibri"/>
                <w:kern w:val="2"/>
                <w:sz w:val="2"/>
                <w:szCs w:val="20"/>
                <w:highlight w:val="black"/>
                <w:lang w:eastAsia="en-US"/>
                <w14:ligatures w14:val="standardContextual"/>
              </w:rPr>
              <w:t>redacted content</w:t>
            </w:r>
            <w:r w:rsidR="00752A4D" w:rsidRPr="00F367B1">
              <w:rPr>
                <w:rFonts w:cs="Calibri"/>
                <w:kern w:val="2"/>
                <w:szCs w:val="20"/>
                <w:lang w:eastAsia="en-US"/>
                <w14:ligatures w14:val="standardContextual"/>
              </w:rPr>
              <w:t>%</w:t>
            </w:r>
          </w:p>
        </w:tc>
      </w:tr>
      <w:tr w:rsidR="008D1499" w:rsidRPr="009D5822" w:rsidDel="009D5822" w14:paraId="711B1E79" w14:textId="77777777" w:rsidTr="008D1499">
        <w:tc>
          <w:tcPr>
            <w:tcW w:w="2266" w:type="pct"/>
            <w:tcBorders>
              <w:top w:val="nil"/>
              <w:bottom w:val="nil"/>
            </w:tcBorders>
          </w:tcPr>
          <w:p w14:paraId="58AE831D" w14:textId="3B0ABB19" w:rsidR="008D1499" w:rsidRPr="00F367B1" w:rsidRDefault="008D1499" w:rsidP="008D1499">
            <w:pPr>
              <w:pStyle w:val="TableText0"/>
            </w:pPr>
          </w:p>
        </w:tc>
        <w:tc>
          <w:tcPr>
            <w:tcW w:w="738" w:type="pct"/>
            <w:tcBorders>
              <w:top w:val="nil"/>
              <w:bottom w:val="nil"/>
            </w:tcBorders>
          </w:tcPr>
          <w:p w14:paraId="39E8E207" w14:textId="25B87C89" w:rsidR="008D1499" w:rsidRPr="00F367B1" w:rsidDel="009D5822" w:rsidRDefault="008D1499" w:rsidP="008D1499">
            <w:pPr>
              <w:pStyle w:val="TableText0"/>
              <w:keepNext w:val="0"/>
              <w:keepLines w:val="0"/>
              <w:jc w:val="center"/>
            </w:pPr>
          </w:p>
        </w:tc>
        <w:tc>
          <w:tcPr>
            <w:tcW w:w="805" w:type="pct"/>
            <w:tcBorders>
              <w:top w:val="nil"/>
              <w:bottom w:val="nil"/>
            </w:tcBorders>
          </w:tcPr>
          <w:p w14:paraId="3633EF00" w14:textId="318E4E11" w:rsidR="008D1499" w:rsidRPr="00F367B1" w:rsidDel="009D5822" w:rsidRDefault="008D1499" w:rsidP="008D1499">
            <w:pPr>
              <w:pStyle w:val="TableText0"/>
              <w:keepNext w:val="0"/>
              <w:keepLines w:val="0"/>
              <w:jc w:val="center"/>
            </w:pPr>
          </w:p>
        </w:tc>
        <w:tc>
          <w:tcPr>
            <w:tcW w:w="596" w:type="pct"/>
            <w:tcBorders>
              <w:top w:val="nil"/>
              <w:bottom w:val="nil"/>
            </w:tcBorders>
          </w:tcPr>
          <w:p w14:paraId="01649F48" w14:textId="3B55A1CA" w:rsidR="008D1499" w:rsidRPr="00F367B1" w:rsidDel="009D5822" w:rsidRDefault="008D1499" w:rsidP="008D1499">
            <w:pPr>
              <w:pStyle w:val="TableText0"/>
              <w:keepNext w:val="0"/>
              <w:keepLines w:val="0"/>
              <w:jc w:val="center"/>
            </w:pPr>
          </w:p>
        </w:tc>
        <w:tc>
          <w:tcPr>
            <w:tcW w:w="595" w:type="pct"/>
            <w:tcBorders>
              <w:top w:val="nil"/>
              <w:bottom w:val="nil"/>
            </w:tcBorders>
          </w:tcPr>
          <w:p w14:paraId="0C3F3D30" w14:textId="5F2CA463" w:rsidR="008D1499" w:rsidRPr="00F367B1" w:rsidDel="009D5822" w:rsidRDefault="008D1499" w:rsidP="008D1499">
            <w:pPr>
              <w:pStyle w:val="TableText0"/>
              <w:keepNext w:val="0"/>
              <w:keepLines w:val="0"/>
              <w:jc w:val="center"/>
            </w:pPr>
          </w:p>
        </w:tc>
      </w:tr>
      <w:tr w:rsidR="00391AA8" w:rsidRPr="009D5822" w:rsidDel="009D5822" w14:paraId="65AB1B10" w14:textId="77777777" w:rsidTr="002C4264">
        <w:tc>
          <w:tcPr>
            <w:tcW w:w="2266" w:type="pct"/>
            <w:tcBorders>
              <w:top w:val="nil"/>
              <w:bottom w:val="single" w:sz="4" w:space="0" w:color="auto"/>
            </w:tcBorders>
          </w:tcPr>
          <w:p w14:paraId="61DA83F2" w14:textId="66DDE1D8" w:rsidR="00391AA8" w:rsidRPr="00F367B1" w:rsidRDefault="00391AA8" w:rsidP="00391AA8">
            <w:pPr>
              <w:pStyle w:val="TableText0"/>
            </w:pPr>
            <w:r w:rsidRPr="00F367B1">
              <w:t>MA6: MA5 &amp; CR/PR costs and utilities equal to AD from Year 10</w:t>
            </w:r>
          </w:p>
        </w:tc>
        <w:tc>
          <w:tcPr>
            <w:tcW w:w="738" w:type="pct"/>
            <w:tcBorders>
              <w:top w:val="nil"/>
              <w:bottom w:val="single" w:sz="4" w:space="0" w:color="auto"/>
            </w:tcBorders>
            <w:vAlign w:val="top"/>
          </w:tcPr>
          <w:p w14:paraId="1704D1C1" w14:textId="72EC60EE" w:rsidR="00391AA8" w:rsidRPr="00F367B1" w:rsidRDefault="00391AA8" w:rsidP="00391AA8">
            <w:pPr>
              <w:pStyle w:val="TableText0"/>
              <w:keepNext w:val="0"/>
              <w:keepLines w:val="0"/>
              <w:jc w:val="center"/>
            </w:pPr>
            <w:r w:rsidRPr="00F367B1">
              <w:t>$</w:t>
            </w:r>
            <w:r w:rsidR="00102373" w:rsidRPr="00102373">
              <w:rPr>
                <w:sz w:val="2"/>
                <w:highlight w:val="black"/>
              </w:rPr>
              <w:t>redacted content</w:t>
            </w:r>
          </w:p>
        </w:tc>
        <w:tc>
          <w:tcPr>
            <w:tcW w:w="805" w:type="pct"/>
            <w:tcBorders>
              <w:top w:val="nil"/>
              <w:bottom w:val="single" w:sz="4" w:space="0" w:color="auto"/>
            </w:tcBorders>
            <w:vAlign w:val="top"/>
          </w:tcPr>
          <w:p w14:paraId="2EEF8FBD" w14:textId="3CE9D3C2" w:rsidR="00391AA8" w:rsidRPr="00F367B1" w:rsidRDefault="00391AA8" w:rsidP="00391AA8">
            <w:pPr>
              <w:pStyle w:val="TableText0"/>
              <w:keepNext w:val="0"/>
              <w:keepLines w:val="0"/>
              <w:jc w:val="center"/>
            </w:pPr>
            <w:r w:rsidRPr="00F367B1">
              <w:t>0.210</w:t>
            </w:r>
          </w:p>
        </w:tc>
        <w:tc>
          <w:tcPr>
            <w:tcW w:w="596" w:type="pct"/>
            <w:tcBorders>
              <w:top w:val="nil"/>
              <w:bottom w:val="single" w:sz="4" w:space="0" w:color="auto"/>
            </w:tcBorders>
            <w:vAlign w:val="top"/>
          </w:tcPr>
          <w:p w14:paraId="376A0919" w14:textId="131FF22A" w:rsidR="00391AA8" w:rsidRPr="00BC210E" w:rsidRDefault="00391AA8" w:rsidP="00391AA8">
            <w:pPr>
              <w:pStyle w:val="TableText0"/>
              <w:keepNext w:val="0"/>
              <w:keepLines w:val="0"/>
              <w:jc w:val="center"/>
              <w:rPr>
                <w:vertAlign w:val="superscript"/>
              </w:rPr>
            </w:pPr>
            <w:r w:rsidRPr="00F367B1">
              <w:t>$</w:t>
            </w:r>
            <w:r w:rsidR="00102373" w:rsidRPr="00102373">
              <w:rPr>
                <w:sz w:val="2"/>
                <w:highlight w:val="black"/>
              </w:rPr>
              <w:t>redacted content</w:t>
            </w:r>
            <w:r w:rsidR="00BC210E">
              <w:rPr>
                <w:vertAlign w:val="superscript"/>
              </w:rPr>
              <w:t>8</w:t>
            </w:r>
          </w:p>
        </w:tc>
        <w:tc>
          <w:tcPr>
            <w:tcW w:w="595" w:type="pct"/>
            <w:tcBorders>
              <w:top w:val="nil"/>
              <w:bottom w:val="single" w:sz="4" w:space="0" w:color="auto"/>
            </w:tcBorders>
            <w:vAlign w:val="top"/>
          </w:tcPr>
          <w:p w14:paraId="79EBC9D6" w14:textId="6ABBC361" w:rsidR="00391AA8" w:rsidRPr="00F367B1" w:rsidRDefault="00102373" w:rsidP="00391AA8">
            <w:pPr>
              <w:pStyle w:val="TableText0"/>
              <w:keepNext w:val="0"/>
              <w:keepLines w:val="0"/>
              <w:jc w:val="center"/>
            </w:pPr>
            <w:r w:rsidRPr="00102373">
              <w:rPr>
                <w:sz w:val="2"/>
                <w:highlight w:val="black"/>
              </w:rPr>
              <w:t>redacted content</w:t>
            </w:r>
            <w:r w:rsidR="00391AA8" w:rsidRPr="00F367B1">
              <w:t>%</w:t>
            </w:r>
          </w:p>
        </w:tc>
      </w:tr>
    </w:tbl>
    <w:bookmarkEnd w:id="71"/>
    <w:p w14:paraId="386CEA9A" w14:textId="17F15306" w:rsidR="006F0D5C" w:rsidRDefault="006F0D5C" w:rsidP="006F0D5C">
      <w:pPr>
        <w:pStyle w:val="FooterTableFigure"/>
      </w:pPr>
      <w:r>
        <w:t>Source: Compiled during the evaluation</w:t>
      </w:r>
      <w:r w:rsidR="00DE4D3E">
        <w:t xml:space="preserve"> and during the preparation of Sub</w:t>
      </w:r>
      <w:r w:rsidR="00FF1914">
        <w:noBreakHyphen/>
      </w:r>
      <w:r w:rsidR="00DE4D3E">
        <w:t>Committee advice</w:t>
      </w:r>
      <w:r>
        <w:t xml:space="preserve"> based on Tables 3.35</w:t>
      </w:r>
      <w:r w:rsidR="00FF1914">
        <w:noBreakHyphen/>
      </w:r>
      <w:r>
        <w:t>3.40, pp148</w:t>
      </w:r>
      <w:r w:rsidR="00FF1914">
        <w:noBreakHyphen/>
      </w:r>
      <w:r>
        <w:t>152 of the submission and Excel workbook ‘Economic Evaluation.xlsb’</w:t>
      </w:r>
    </w:p>
    <w:p w14:paraId="168F5C02" w14:textId="5AD518F0" w:rsidR="006F0D5C" w:rsidRDefault="006F0D5C" w:rsidP="006F0D5C">
      <w:pPr>
        <w:pStyle w:val="FooterTableFigure"/>
      </w:pPr>
      <w:bookmarkStart w:id="72" w:name="_Hlk218865335"/>
      <w:r>
        <w:t>AD=active disease, CR=complete response, ESKD= end stage kidney disease, HR=hazard ratio, ICER=incremental cost</w:t>
      </w:r>
      <w:r w:rsidR="00FF1914">
        <w:noBreakHyphen/>
      </w:r>
      <w:r>
        <w:t>effectiveness ratio, OBI=obinutuzumab, PR=partial response, QALY=quality adjusted life year, SOC=standard of care</w:t>
      </w:r>
      <w:bookmarkEnd w:id="72"/>
    </w:p>
    <w:p w14:paraId="0D86DDD4" w14:textId="77777777" w:rsidR="00F60EB5" w:rsidRPr="00F60EB5" w:rsidRDefault="00F60EB5" w:rsidP="00F60EB5">
      <w:pPr>
        <w:pStyle w:val="FooterTableFigure"/>
        <w:rPr>
          <w:i/>
        </w:rPr>
      </w:pPr>
      <w:r w:rsidRPr="00F60EB5">
        <w:rPr>
          <w:i/>
        </w:rPr>
        <w:t xml:space="preserve">The redacted values correspond to the following ranges: </w:t>
      </w:r>
    </w:p>
    <w:p w14:paraId="09F8C564" w14:textId="363C2ACB" w:rsidR="00F60EB5" w:rsidRPr="00F60EB5" w:rsidRDefault="00F60EB5" w:rsidP="00F60EB5">
      <w:pPr>
        <w:pStyle w:val="FooterTableFigure"/>
        <w:rPr>
          <w:i/>
        </w:rPr>
      </w:pPr>
      <w:r w:rsidRPr="00F60EB5">
        <w:rPr>
          <w:i/>
          <w:vertAlign w:val="superscript"/>
        </w:rPr>
        <w:t>1</w:t>
      </w:r>
      <w:r w:rsidRPr="00F60EB5">
        <w:rPr>
          <w:i/>
        </w:rPr>
        <w:t xml:space="preserve"> </w:t>
      </w:r>
      <w:r w:rsidR="000D5713" w:rsidRPr="000D5713">
        <w:rPr>
          <w:i/>
        </w:rPr>
        <w:t>$35,000 to &lt; $45,000</w:t>
      </w:r>
    </w:p>
    <w:p w14:paraId="27B949B9" w14:textId="1C61E0FC" w:rsidR="00F60EB5" w:rsidRPr="00F60EB5" w:rsidRDefault="00F60EB5" w:rsidP="00F60EB5">
      <w:pPr>
        <w:pStyle w:val="FooterTableFigure"/>
        <w:rPr>
          <w:i/>
        </w:rPr>
      </w:pPr>
      <w:r w:rsidRPr="00F60EB5">
        <w:rPr>
          <w:i/>
          <w:vertAlign w:val="superscript"/>
        </w:rPr>
        <w:t>2</w:t>
      </w:r>
      <w:r w:rsidRPr="00F60EB5">
        <w:rPr>
          <w:i/>
        </w:rPr>
        <w:t xml:space="preserve"> </w:t>
      </w:r>
      <w:r w:rsidR="0009167B" w:rsidRPr="0009167B">
        <w:rPr>
          <w:i/>
        </w:rPr>
        <w:t>5,000 to &lt; $15,000</w:t>
      </w:r>
    </w:p>
    <w:p w14:paraId="0A4E011F" w14:textId="7CDECC60" w:rsidR="00F60EB5" w:rsidRPr="00F60EB5" w:rsidRDefault="00F60EB5" w:rsidP="00F60EB5">
      <w:pPr>
        <w:pStyle w:val="FooterTableFigure"/>
        <w:rPr>
          <w:i/>
        </w:rPr>
      </w:pPr>
      <w:r w:rsidRPr="00F60EB5">
        <w:rPr>
          <w:i/>
          <w:vertAlign w:val="superscript"/>
        </w:rPr>
        <w:t>3</w:t>
      </w:r>
      <w:r w:rsidRPr="00F60EB5">
        <w:rPr>
          <w:i/>
        </w:rPr>
        <w:t xml:space="preserve"> </w:t>
      </w:r>
      <w:r w:rsidR="00A2521B" w:rsidRPr="00A2521B">
        <w:rPr>
          <w:i/>
        </w:rPr>
        <w:t>$25,000 to &lt; $35,000</w:t>
      </w:r>
    </w:p>
    <w:p w14:paraId="6D8DBD9A" w14:textId="4EB31576" w:rsidR="00F60EB5" w:rsidRPr="00F60EB5" w:rsidRDefault="00F60EB5" w:rsidP="00F60EB5">
      <w:pPr>
        <w:pStyle w:val="FooterTableFigure"/>
        <w:rPr>
          <w:i/>
        </w:rPr>
      </w:pPr>
      <w:r w:rsidRPr="00F60EB5">
        <w:rPr>
          <w:i/>
          <w:vertAlign w:val="superscript"/>
        </w:rPr>
        <w:t>4</w:t>
      </w:r>
      <w:r w:rsidRPr="00F60EB5">
        <w:rPr>
          <w:i/>
        </w:rPr>
        <w:t xml:space="preserve"> </w:t>
      </w:r>
      <w:r w:rsidR="006D1CDE" w:rsidRPr="006D1CDE">
        <w:rPr>
          <w:i/>
        </w:rPr>
        <w:t>$55,000 to &lt; $75,000</w:t>
      </w:r>
    </w:p>
    <w:p w14:paraId="71AFB7C0" w14:textId="7A3D883F" w:rsidR="00F60EB5" w:rsidRPr="00F60EB5" w:rsidRDefault="00F60EB5" w:rsidP="00F60EB5">
      <w:pPr>
        <w:pStyle w:val="FooterTableFigure"/>
        <w:rPr>
          <w:i/>
        </w:rPr>
      </w:pPr>
      <w:r w:rsidRPr="00F60EB5">
        <w:rPr>
          <w:i/>
          <w:vertAlign w:val="superscript"/>
        </w:rPr>
        <w:t>5</w:t>
      </w:r>
      <w:r w:rsidRPr="00F60EB5">
        <w:rPr>
          <w:i/>
        </w:rPr>
        <w:t xml:space="preserve"> </w:t>
      </w:r>
      <w:r w:rsidR="00B05D04" w:rsidRPr="00B05D04">
        <w:rPr>
          <w:i/>
        </w:rPr>
        <w:t>$15,000 to &lt; $25,000</w:t>
      </w:r>
    </w:p>
    <w:p w14:paraId="59DA8DA4" w14:textId="12E17B82" w:rsidR="00B05D04" w:rsidRPr="000272F9" w:rsidRDefault="00F60EB5" w:rsidP="00F60EB5">
      <w:pPr>
        <w:pStyle w:val="FooterTableFigure"/>
        <w:rPr>
          <w:i/>
        </w:rPr>
      </w:pPr>
      <w:r w:rsidRPr="00F60EB5">
        <w:rPr>
          <w:i/>
          <w:vertAlign w:val="superscript"/>
        </w:rPr>
        <w:t>6</w:t>
      </w:r>
      <w:r w:rsidR="000272F9">
        <w:rPr>
          <w:i/>
          <w:vertAlign w:val="superscript"/>
        </w:rPr>
        <w:t xml:space="preserve"> </w:t>
      </w:r>
      <w:r w:rsidR="000272F9" w:rsidRPr="000272F9">
        <w:rPr>
          <w:i/>
        </w:rPr>
        <w:t>$135,000 to &lt; $155,000</w:t>
      </w:r>
    </w:p>
    <w:p w14:paraId="3DA1E6C6" w14:textId="0B210694" w:rsidR="000272F9" w:rsidRPr="00783CFF" w:rsidRDefault="00B05D04" w:rsidP="00F60EB5">
      <w:pPr>
        <w:pStyle w:val="FooterTableFigure"/>
        <w:rPr>
          <w:i/>
        </w:rPr>
      </w:pPr>
      <w:r>
        <w:rPr>
          <w:i/>
          <w:vertAlign w:val="superscript"/>
        </w:rPr>
        <w:lastRenderedPageBreak/>
        <w:t>7</w:t>
      </w:r>
      <w:r w:rsidR="00783CFF">
        <w:rPr>
          <w:i/>
        </w:rPr>
        <w:t xml:space="preserve"> </w:t>
      </w:r>
      <w:r w:rsidR="00783CFF" w:rsidRPr="00783CFF">
        <w:rPr>
          <w:i/>
        </w:rPr>
        <w:t>$45,000 to &lt; $55,000</w:t>
      </w:r>
    </w:p>
    <w:p w14:paraId="7D776D60" w14:textId="5E5B0B07" w:rsidR="000272F9" w:rsidRPr="0058172C" w:rsidRDefault="000272F9" w:rsidP="00F60EB5">
      <w:pPr>
        <w:pStyle w:val="FooterTableFigure"/>
        <w:rPr>
          <w:i/>
        </w:rPr>
      </w:pPr>
      <w:r>
        <w:rPr>
          <w:i/>
          <w:vertAlign w:val="superscript"/>
        </w:rPr>
        <w:t>8</w:t>
      </w:r>
      <w:r w:rsidR="0058172C">
        <w:rPr>
          <w:i/>
          <w:vertAlign w:val="superscript"/>
        </w:rPr>
        <w:t xml:space="preserve"> </w:t>
      </w:r>
      <w:r w:rsidR="0058172C" w:rsidRPr="0058172C">
        <w:rPr>
          <w:i/>
        </w:rPr>
        <w:t>$75,000 to &lt; $95,000</w:t>
      </w:r>
    </w:p>
    <w:p w14:paraId="7D2935DC" w14:textId="224BC443" w:rsidR="00F60EB5" w:rsidRPr="00F60EB5" w:rsidRDefault="000272F9" w:rsidP="00F60EB5">
      <w:pPr>
        <w:pStyle w:val="FooterTableFigure"/>
        <w:rPr>
          <w:i/>
        </w:rPr>
      </w:pPr>
      <w:r>
        <w:rPr>
          <w:i/>
          <w:vertAlign w:val="superscript"/>
        </w:rPr>
        <w:t>9</w:t>
      </w:r>
      <w:r w:rsidR="00F60EB5" w:rsidRPr="00F60EB5">
        <w:rPr>
          <w:i/>
        </w:rPr>
        <w:t xml:space="preserve"> </w:t>
      </w:r>
      <w:r w:rsidR="00716E0A" w:rsidRPr="00716E0A">
        <w:rPr>
          <w:i/>
        </w:rPr>
        <w:t>$115,000 to &lt; $135,000</w:t>
      </w:r>
    </w:p>
    <w:p w14:paraId="30D2BAFD" w14:textId="6ABCE55E" w:rsidR="00E254A9" w:rsidRPr="006B3A51" w:rsidRDefault="0058172C" w:rsidP="006F0D5C">
      <w:pPr>
        <w:pStyle w:val="FooterTableFigure"/>
        <w:rPr>
          <w:i/>
          <w:iCs/>
        </w:rPr>
      </w:pPr>
      <w:r>
        <w:rPr>
          <w:i/>
          <w:iCs/>
          <w:vertAlign w:val="superscript"/>
        </w:rPr>
        <w:t xml:space="preserve">10 </w:t>
      </w:r>
      <w:r w:rsidR="006B3A51" w:rsidRPr="006B3A51">
        <w:rPr>
          <w:i/>
          <w:iCs/>
        </w:rPr>
        <w:t>$155,000 to &lt; $255,000</w:t>
      </w:r>
    </w:p>
    <w:p w14:paraId="4739E161" w14:textId="73DBC5B1" w:rsidR="006F0D5C" w:rsidRPr="0098262F" w:rsidRDefault="006F0D5C" w:rsidP="006F0D5C">
      <w:pPr>
        <w:pStyle w:val="4-SubsectionHeading"/>
      </w:pPr>
      <w:bookmarkStart w:id="73" w:name="_Toc218871174"/>
      <w:bookmarkStart w:id="74" w:name="_Toc219886553"/>
      <w:bookmarkStart w:id="75" w:name="_Toc22897647"/>
      <w:bookmarkEnd w:id="49"/>
      <w:r>
        <w:t>Obinutuzumab</w:t>
      </w:r>
      <w:r w:rsidRPr="0098262F">
        <w:t xml:space="preserve"> cost/patient</w:t>
      </w:r>
      <w:bookmarkEnd w:id="73"/>
      <w:bookmarkEnd w:id="74"/>
      <w:r w:rsidR="00DA3622">
        <w:t xml:space="preserve"> at the price proposed in the submission*</w:t>
      </w:r>
    </w:p>
    <w:p w14:paraId="12882733" w14:textId="19E832AF" w:rsidR="006F0D5C" w:rsidRPr="0098262F" w:rsidRDefault="006F0D5C" w:rsidP="006F0D5C">
      <w:pPr>
        <w:pStyle w:val="Caption"/>
        <w:rPr>
          <w:rStyle w:val="CommentReference"/>
          <w:b/>
          <w:szCs w:val="24"/>
        </w:rPr>
      </w:pPr>
      <w:bookmarkStart w:id="76" w:name="_Ref104805102"/>
      <w:r w:rsidRPr="0098262F">
        <w:t xml:space="preserve">Table </w:t>
      </w:r>
      <w:fldSimple w:instr=" SEQ Table \* ARABIC ">
        <w:r w:rsidR="002255D9">
          <w:rPr>
            <w:noProof/>
          </w:rPr>
          <w:t>12</w:t>
        </w:r>
      </w:fldSimple>
      <w:bookmarkEnd w:id="76"/>
      <w:r w:rsidRPr="0098262F">
        <w:t>:</w:t>
      </w:r>
      <w:r w:rsidRPr="0098262F">
        <w:rPr>
          <w:rStyle w:val="CommentReference"/>
          <w:b/>
          <w:szCs w:val="24"/>
        </w:rPr>
        <w:t xml:space="preserve"> Drug cost per patient for </w:t>
      </w:r>
      <w:r>
        <w:rPr>
          <w:rStyle w:val="CommentReference"/>
          <w:b/>
          <w:szCs w:val="24"/>
        </w:rPr>
        <w:t>obinutuzumab</w:t>
      </w:r>
      <w:r w:rsidR="001A4487" w:rsidRPr="001A4487">
        <w:t xml:space="preserve"> </w:t>
      </w:r>
      <w:r w:rsidR="001A4487" w:rsidRPr="001A4487">
        <w:rPr>
          <w:rStyle w:val="CommentReference"/>
          <w:b/>
          <w:szCs w:val="24"/>
        </w:rPr>
        <w:t>at the price proposed in the submission</w:t>
      </w:r>
      <w:r w:rsidR="001A4487">
        <w:rPr>
          <w:rStyle w:val="CommentReference"/>
          <w:b/>
          <w:szCs w:val="24"/>
        </w:rPr>
        <w:t xml:space="preserve"> (and using the submission inputs for the economic model and financial estimates)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Drug cost per patient for obinutuzumab at the price proposed in the submission (and using the submission inputs for the economic model and financial estimates)"/>
      </w:tblPr>
      <w:tblGrid>
        <w:gridCol w:w="2528"/>
        <w:gridCol w:w="2163"/>
        <w:gridCol w:w="2160"/>
        <w:gridCol w:w="2166"/>
      </w:tblGrid>
      <w:tr w:rsidR="006F0D5C" w:rsidRPr="0098262F" w14:paraId="3C7B2BA2" w14:textId="77777777" w:rsidTr="0072568D">
        <w:trPr>
          <w:cantSplit/>
          <w:tblHeader/>
          <w:jc w:val="center"/>
        </w:trPr>
        <w:tc>
          <w:tcPr>
            <w:tcW w:w="1401" w:type="pct"/>
            <w:vAlign w:val="center"/>
          </w:tcPr>
          <w:p w14:paraId="0C5484A8" w14:textId="77777777" w:rsidR="006F0D5C" w:rsidRPr="0098262F" w:rsidRDefault="006F0D5C" w:rsidP="0072568D">
            <w:pPr>
              <w:pStyle w:val="In-tableHeading"/>
              <w:jc w:val="center"/>
              <w:rPr>
                <w:lang w:val="en-AU"/>
              </w:rPr>
            </w:pPr>
          </w:p>
        </w:tc>
        <w:tc>
          <w:tcPr>
            <w:tcW w:w="1199" w:type="pct"/>
            <w:vAlign w:val="center"/>
          </w:tcPr>
          <w:p w14:paraId="2171CC31" w14:textId="77777777" w:rsidR="006F0D5C" w:rsidRPr="0098262F" w:rsidRDefault="006F0D5C" w:rsidP="0072568D">
            <w:pPr>
              <w:pStyle w:val="In-tableHeading"/>
              <w:jc w:val="center"/>
              <w:rPr>
                <w:lang w:val="en-AU"/>
              </w:rPr>
            </w:pPr>
            <w:r w:rsidRPr="0098262F">
              <w:rPr>
                <w:lang w:val="en-AU"/>
              </w:rPr>
              <w:t>Trial dose and duration</w:t>
            </w:r>
          </w:p>
        </w:tc>
        <w:tc>
          <w:tcPr>
            <w:tcW w:w="1198" w:type="pct"/>
            <w:vAlign w:val="center"/>
          </w:tcPr>
          <w:p w14:paraId="25B33F41" w14:textId="77777777" w:rsidR="006F0D5C" w:rsidRPr="0098262F" w:rsidRDefault="006F0D5C" w:rsidP="0072568D">
            <w:pPr>
              <w:pStyle w:val="In-tableHeading"/>
              <w:jc w:val="center"/>
              <w:rPr>
                <w:lang w:val="en-AU"/>
              </w:rPr>
            </w:pPr>
            <w:r w:rsidRPr="0098262F">
              <w:rPr>
                <w:lang w:val="en-AU"/>
              </w:rPr>
              <w:t>Model</w:t>
            </w:r>
          </w:p>
        </w:tc>
        <w:tc>
          <w:tcPr>
            <w:tcW w:w="1201" w:type="pct"/>
            <w:vAlign w:val="center"/>
          </w:tcPr>
          <w:p w14:paraId="688E7714" w14:textId="77777777" w:rsidR="006F0D5C" w:rsidRPr="0098262F" w:rsidRDefault="006F0D5C" w:rsidP="0072568D">
            <w:pPr>
              <w:pStyle w:val="In-tableHeading"/>
              <w:jc w:val="center"/>
              <w:rPr>
                <w:lang w:val="en-AU"/>
              </w:rPr>
            </w:pPr>
            <w:r w:rsidRPr="0098262F">
              <w:rPr>
                <w:lang w:val="en-AU"/>
              </w:rPr>
              <w:t>Financial estimates</w:t>
            </w:r>
          </w:p>
        </w:tc>
      </w:tr>
      <w:tr w:rsidR="006F0D5C" w:rsidRPr="0098262F" w14:paraId="438FE2E1" w14:textId="77777777" w:rsidTr="0072568D">
        <w:trPr>
          <w:cantSplit/>
          <w:jc w:val="center"/>
        </w:trPr>
        <w:tc>
          <w:tcPr>
            <w:tcW w:w="1401" w:type="pct"/>
            <w:vAlign w:val="center"/>
          </w:tcPr>
          <w:p w14:paraId="5C45B8DF" w14:textId="77777777" w:rsidR="006F0D5C" w:rsidRPr="0098262F" w:rsidRDefault="006F0D5C" w:rsidP="0072568D">
            <w:pPr>
              <w:pStyle w:val="TableText0"/>
            </w:pPr>
            <w:r w:rsidRPr="0098262F">
              <w:t>Mean dose</w:t>
            </w:r>
          </w:p>
        </w:tc>
        <w:tc>
          <w:tcPr>
            <w:tcW w:w="1199" w:type="pct"/>
            <w:vAlign w:val="center"/>
          </w:tcPr>
          <w:p w14:paraId="79D226BD" w14:textId="77777777" w:rsidR="006F0D5C" w:rsidRPr="00BF3409" w:rsidRDefault="006F0D5C" w:rsidP="0072568D">
            <w:pPr>
              <w:pStyle w:val="TableText0"/>
              <w:jc w:val="center"/>
              <w:rPr>
                <w:bCs w:val="0"/>
              </w:rPr>
            </w:pPr>
            <w:r w:rsidRPr="00BF3409">
              <w:rPr>
                <w:bCs w:val="0"/>
              </w:rPr>
              <w:t>1,000mg per dose</w:t>
            </w:r>
          </w:p>
        </w:tc>
        <w:tc>
          <w:tcPr>
            <w:tcW w:w="1198" w:type="pct"/>
            <w:vAlign w:val="center"/>
          </w:tcPr>
          <w:p w14:paraId="0E2517CD" w14:textId="77777777" w:rsidR="006F0D5C" w:rsidRPr="00BF3409" w:rsidRDefault="006F0D5C" w:rsidP="0072568D">
            <w:pPr>
              <w:pStyle w:val="TableText0"/>
              <w:jc w:val="center"/>
              <w:rPr>
                <w:bCs w:val="0"/>
              </w:rPr>
            </w:pPr>
            <w:r w:rsidRPr="00BF3409">
              <w:rPr>
                <w:bCs w:val="0"/>
              </w:rPr>
              <w:t>1,000mg per dose</w:t>
            </w:r>
          </w:p>
          <w:p w14:paraId="400EBFC1" w14:textId="77777777" w:rsidR="006F0D5C" w:rsidRPr="00BF3409" w:rsidRDefault="006F0D5C" w:rsidP="0072568D">
            <w:pPr>
              <w:pStyle w:val="TableText0"/>
              <w:jc w:val="center"/>
              <w:rPr>
                <w:bCs w:val="0"/>
              </w:rPr>
            </w:pPr>
            <w:r w:rsidRPr="00BF3409">
              <w:rPr>
                <w:bCs w:val="0"/>
              </w:rPr>
              <w:t>(6,840mg total)</w:t>
            </w:r>
          </w:p>
        </w:tc>
        <w:tc>
          <w:tcPr>
            <w:tcW w:w="1201" w:type="pct"/>
            <w:vAlign w:val="center"/>
          </w:tcPr>
          <w:p w14:paraId="10DF365E" w14:textId="77777777" w:rsidR="006F0D5C" w:rsidRPr="00BF3409" w:rsidRDefault="006F0D5C" w:rsidP="0072568D">
            <w:pPr>
              <w:pStyle w:val="TableText0"/>
              <w:jc w:val="center"/>
              <w:rPr>
                <w:bCs w:val="0"/>
              </w:rPr>
            </w:pPr>
            <w:r w:rsidRPr="00BF3409">
              <w:rPr>
                <w:bCs w:val="0"/>
              </w:rPr>
              <w:t>1,000mg per dose</w:t>
            </w:r>
          </w:p>
          <w:p w14:paraId="5E357329" w14:textId="77777777" w:rsidR="006F0D5C" w:rsidRPr="00BF3409" w:rsidRDefault="006F0D5C" w:rsidP="0072568D">
            <w:pPr>
              <w:pStyle w:val="TableText0"/>
              <w:jc w:val="center"/>
              <w:rPr>
                <w:bCs w:val="0"/>
              </w:rPr>
            </w:pPr>
            <w:r w:rsidRPr="00BF3409">
              <w:rPr>
                <w:bCs w:val="0"/>
              </w:rPr>
              <w:t>(8,150mg total)</w:t>
            </w:r>
          </w:p>
        </w:tc>
      </w:tr>
      <w:tr w:rsidR="006F0D5C" w:rsidRPr="0098262F" w14:paraId="274A36F5" w14:textId="77777777" w:rsidTr="0072568D">
        <w:trPr>
          <w:cantSplit/>
          <w:jc w:val="center"/>
        </w:trPr>
        <w:tc>
          <w:tcPr>
            <w:tcW w:w="1401" w:type="pct"/>
            <w:vAlign w:val="center"/>
          </w:tcPr>
          <w:p w14:paraId="01FFBCAA" w14:textId="77777777" w:rsidR="006F0D5C" w:rsidRPr="0098262F" w:rsidRDefault="006F0D5C" w:rsidP="0072568D">
            <w:pPr>
              <w:pStyle w:val="TableText0"/>
            </w:pPr>
            <w:r w:rsidRPr="0098262F">
              <w:t>Mean duration</w:t>
            </w:r>
          </w:p>
        </w:tc>
        <w:tc>
          <w:tcPr>
            <w:tcW w:w="1199" w:type="pct"/>
            <w:vAlign w:val="center"/>
          </w:tcPr>
          <w:p w14:paraId="4AF580F3" w14:textId="77777777" w:rsidR="006F0D5C" w:rsidRPr="00BF3409" w:rsidRDefault="006F0D5C" w:rsidP="0072568D">
            <w:pPr>
              <w:pStyle w:val="TableText0"/>
              <w:jc w:val="center"/>
              <w:rPr>
                <w:bCs w:val="0"/>
              </w:rPr>
            </w:pPr>
            <w:r w:rsidRPr="00BF3409">
              <w:rPr>
                <w:bCs w:val="0"/>
              </w:rPr>
              <w:t>5.1 doses (0.91 years)</w:t>
            </w:r>
            <w:r w:rsidRPr="00342405">
              <w:rPr>
                <w:bCs w:val="0"/>
                <w:vertAlign w:val="superscript"/>
              </w:rPr>
              <w:t>a</w:t>
            </w:r>
          </w:p>
        </w:tc>
        <w:tc>
          <w:tcPr>
            <w:tcW w:w="1198" w:type="pct"/>
            <w:vAlign w:val="center"/>
          </w:tcPr>
          <w:p w14:paraId="4760D726" w14:textId="2E4C4439" w:rsidR="006F0D5C" w:rsidRPr="00BF3409" w:rsidRDefault="006F0D5C" w:rsidP="0072568D">
            <w:pPr>
              <w:pStyle w:val="TableText0"/>
              <w:jc w:val="center"/>
              <w:rPr>
                <w:bCs w:val="0"/>
              </w:rPr>
            </w:pPr>
            <w:r w:rsidRPr="00BF3409">
              <w:rPr>
                <w:bCs w:val="0"/>
              </w:rPr>
              <w:t>6.84 doses (1.92 years)</w:t>
            </w:r>
          </w:p>
        </w:tc>
        <w:tc>
          <w:tcPr>
            <w:tcW w:w="1201" w:type="pct"/>
            <w:vAlign w:val="center"/>
          </w:tcPr>
          <w:p w14:paraId="692ABAB9" w14:textId="77777777" w:rsidR="006F0D5C" w:rsidRPr="00BF3409" w:rsidRDefault="006F0D5C" w:rsidP="0072568D">
            <w:pPr>
              <w:pStyle w:val="TableText0"/>
              <w:jc w:val="center"/>
              <w:rPr>
                <w:bCs w:val="0"/>
              </w:rPr>
            </w:pPr>
            <w:r w:rsidRPr="00BF3409">
              <w:rPr>
                <w:bCs w:val="0"/>
              </w:rPr>
              <w:t>8.15 doses (2.57 years)</w:t>
            </w:r>
          </w:p>
        </w:tc>
      </w:tr>
      <w:tr w:rsidR="006F0D5C" w:rsidRPr="0098262F" w14:paraId="7A166782" w14:textId="77777777" w:rsidTr="0072568D">
        <w:trPr>
          <w:cantSplit/>
          <w:jc w:val="center"/>
        </w:trPr>
        <w:tc>
          <w:tcPr>
            <w:tcW w:w="1401" w:type="pct"/>
            <w:vAlign w:val="center"/>
          </w:tcPr>
          <w:p w14:paraId="652B101F" w14:textId="77777777" w:rsidR="006F0D5C" w:rsidRPr="0098262F" w:rsidRDefault="006F0D5C" w:rsidP="0072568D">
            <w:pPr>
              <w:pStyle w:val="TableText0"/>
            </w:pPr>
            <w:r w:rsidRPr="0098262F">
              <w:t>Cost/patient/</w:t>
            </w:r>
            <w:r>
              <w:t>year</w:t>
            </w:r>
          </w:p>
        </w:tc>
        <w:tc>
          <w:tcPr>
            <w:tcW w:w="1199" w:type="pct"/>
            <w:vAlign w:val="center"/>
          </w:tcPr>
          <w:p w14:paraId="40165B2A" w14:textId="4A69BA17" w:rsidR="006F0D5C" w:rsidRPr="00BF3409" w:rsidRDefault="00FF1914" w:rsidP="0072568D">
            <w:pPr>
              <w:pStyle w:val="TableText0"/>
              <w:jc w:val="center"/>
              <w:rPr>
                <w:bCs w:val="0"/>
              </w:rPr>
            </w:pPr>
            <w:r>
              <w:rPr>
                <w:bCs w:val="0"/>
              </w:rPr>
              <w:noBreakHyphen/>
            </w:r>
          </w:p>
        </w:tc>
        <w:tc>
          <w:tcPr>
            <w:tcW w:w="1198" w:type="pct"/>
            <w:vAlign w:val="center"/>
          </w:tcPr>
          <w:p w14:paraId="34B4354C" w14:textId="72EBEB53" w:rsidR="006F0D5C" w:rsidRPr="00BF3409" w:rsidRDefault="006F0D5C" w:rsidP="0072568D">
            <w:pPr>
              <w:pStyle w:val="TableText0"/>
              <w:jc w:val="center"/>
              <w:rPr>
                <w:bCs w:val="0"/>
              </w:rPr>
            </w:pPr>
            <w:r w:rsidRPr="00BF3409">
              <w:rPr>
                <w:bCs w:val="0"/>
              </w:rPr>
              <w:t>Yr 1: $</w:t>
            </w:r>
            <w:r w:rsidR="00102373" w:rsidRPr="00102373">
              <w:rPr>
                <w:bCs w:val="0"/>
                <w:sz w:val="2"/>
                <w:highlight w:val="black"/>
              </w:rPr>
              <w:t>redacted content</w:t>
            </w:r>
            <w:r w:rsidRPr="00BF3409">
              <w:rPr>
                <w:bCs w:val="0"/>
              </w:rPr>
              <w:t xml:space="preserve"> (5 doses)</w:t>
            </w:r>
          </w:p>
          <w:p w14:paraId="006D72B0" w14:textId="7587B541" w:rsidR="006F0D5C" w:rsidRPr="00BF3409" w:rsidRDefault="006F0D5C" w:rsidP="0072568D">
            <w:pPr>
              <w:pStyle w:val="TableText0"/>
              <w:jc w:val="center"/>
              <w:rPr>
                <w:bCs w:val="0"/>
              </w:rPr>
            </w:pPr>
            <w:r w:rsidRPr="00BF3409">
              <w:rPr>
                <w:bCs w:val="0"/>
              </w:rPr>
              <w:t>Yr 2+: $</w:t>
            </w:r>
            <w:r w:rsidR="00102373" w:rsidRPr="00102373">
              <w:rPr>
                <w:bCs w:val="0"/>
                <w:sz w:val="2"/>
                <w:highlight w:val="black"/>
              </w:rPr>
              <w:t>redacted content</w:t>
            </w:r>
            <w:r w:rsidRPr="00BF3409">
              <w:rPr>
                <w:bCs w:val="0"/>
              </w:rPr>
              <w:t xml:space="preserve"> (2 doses)</w:t>
            </w:r>
          </w:p>
        </w:tc>
        <w:tc>
          <w:tcPr>
            <w:tcW w:w="1201" w:type="pct"/>
            <w:vAlign w:val="center"/>
          </w:tcPr>
          <w:p w14:paraId="01D587C2" w14:textId="51E23554" w:rsidR="006F0D5C" w:rsidRPr="00BF3409" w:rsidRDefault="006F0D5C" w:rsidP="0072568D">
            <w:pPr>
              <w:pStyle w:val="TableText0"/>
              <w:jc w:val="center"/>
              <w:rPr>
                <w:bCs w:val="0"/>
              </w:rPr>
            </w:pPr>
            <w:r w:rsidRPr="00BF3409">
              <w:rPr>
                <w:bCs w:val="0"/>
              </w:rPr>
              <w:t>Yr 1: $</w:t>
            </w:r>
            <w:r w:rsidR="00102373" w:rsidRPr="00102373">
              <w:rPr>
                <w:bCs w:val="0"/>
                <w:sz w:val="2"/>
                <w:highlight w:val="black"/>
              </w:rPr>
              <w:t>redacted content</w:t>
            </w:r>
            <w:r w:rsidRPr="00BF3409">
              <w:rPr>
                <w:bCs w:val="0"/>
              </w:rPr>
              <w:t xml:space="preserve"> (5 doses)</w:t>
            </w:r>
          </w:p>
          <w:p w14:paraId="77C5CB55" w14:textId="13E51D01" w:rsidR="006F0D5C" w:rsidRPr="00BF3409" w:rsidRDefault="006F0D5C" w:rsidP="0072568D">
            <w:pPr>
              <w:pStyle w:val="TableText0"/>
              <w:jc w:val="center"/>
              <w:rPr>
                <w:bCs w:val="0"/>
              </w:rPr>
            </w:pPr>
            <w:r w:rsidRPr="00BF3409">
              <w:rPr>
                <w:bCs w:val="0"/>
              </w:rPr>
              <w:t>Yr 2+: $</w:t>
            </w:r>
            <w:r w:rsidR="00102373" w:rsidRPr="00102373">
              <w:rPr>
                <w:bCs w:val="0"/>
                <w:sz w:val="2"/>
                <w:highlight w:val="black"/>
              </w:rPr>
              <w:t>redacted content</w:t>
            </w:r>
            <w:r w:rsidRPr="00BF3409">
              <w:rPr>
                <w:bCs w:val="0"/>
              </w:rPr>
              <w:t xml:space="preserve"> (2 doses)</w:t>
            </w:r>
          </w:p>
        </w:tc>
      </w:tr>
      <w:tr w:rsidR="006F0D5C" w:rsidRPr="0098262F" w14:paraId="04A5F83D" w14:textId="77777777" w:rsidTr="0072568D">
        <w:trPr>
          <w:cantSplit/>
          <w:jc w:val="center"/>
        </w:trPr>
        <w:tc>
          <w:tcPr>
            <w:tcW w:w="1401" w:type="pct"/>
            <w:vAlign w:val="center"/>
          </w:tcPr>
          <w:p w14:paraId="488DDFD6" w14:textId="77777777" w:rsidR="006F0D5C" w:rsidRPr="0098262F" w:rsidRDefault="006F0D5C" w:rsidP="0072568D">
            <w:pPr>
              <w:pStyle w:val="TableText0"/>
            </w:pPr>
            <w:r w:rsidRPr="0098262F">
              <w:t>Cost/patient/course</w:t>
            </w:r>
          </w:p>
        </w:tc>
        <w:tc>
          <w:tcPr>
            <w:tcW w:w="1199" w:type="pct"/>
            <w:vAlign w:val="center"/>
          </w:tcPr>
          <w:p w14:paraId="05D0E718" w14:textId="1BA00138" w:rsidR="006F0D5C" w:rsidRPr="00BF3409" w:rsidRDefault="00FF1914" w:rsidP="0072568D">
            <w:pPr>
              <w:pStyle w:val="TableText0"/>
              <w:jc w:val="center"/>
              <w:rPr>
                <w:bCs w:val="0"/>
              </w:rPr>
            </w:pPr>
            <w:r>
              <w:rPr>
                <w:bCs w:val="0"/>
              </w:rPr>
              <w:noBreakHyphen/>
            </w:r>
          </w:p>
        </w:tc>
        <w:tc>
          <w:tcPr>
            <w:tcW w:w="1198" w:type="pct"/>
            <w:vAlign w:val="center"/>
          </w:tcPr>
          <w:p w14:paraId="3A3E28BC" w14:textId="422383B4" w:rsidR="006F0D5C" w:rsidRPr="00BF3409" w:rsidRDefault="006F0D5C" w:rsidP="0072568D">
            <w:pPr>
              <w:pStyle w:val="TableText0"/>
              <w:jc w:val="center"/>
              <w:rPr>
                <w:bCs w:val="0"/>
              </w:rPr>
            </w:pPr>
            <w:r w:rsidRPr="00BF3409">
              <w:rPr>
                <w:bCs w:val="0"/>
              </w:rPr>
              <w:t>$</w:t>
            </w:r>
            <w:r w:rsidR="00102373" w:rsidRPr="00102373">
              <w:rPr>
                <w:bCs w:val="0"/>
                <w:sz w:val="2"/>
                <w:highlight w:val="black"/>
              </w:rPr>
              <w:t>redacted content</w:t>
            </w:r>
          </w:p>
        </w:tc>
        <w:tc>
          <w:tcPr>
            <w:tcW w:w="1201" w:type="pct"/>
            <w:vAlign w:val="center"/>
          </w:tcPr>
          <w:p w14:paraId="7DAD83CB" w14:textId="77777777" w:rsidR="006F0D5C" w:rsidRPr="00BF3409" w:rsidRDefault="006F0D5C" w:rsidP="0072568D">
            <w:pPr>
              <w:pStyle w:val="TableText0"/>
              <w:jc w:val="center"/>
              <w:rPr>
                <w:bCs w:val="0"/>
              </w:rPr>
            </w:pPr>
          </w:p>
        </w:tc>
      </w:tr>
    </w:tbl>
    <w:p w14:paraId="511651AB" w14:textId="4677D416" w:rsidR="00DA3622" w:rsidRDefault="00DA3622" w:rsidP="006F0D5C">
      <w:pPr>
        <w:pStyle w:val="FooterTableFigure"/>
      </w:pPr>
      <w:r>
        <w:t>*</w:t>
      </w:r>
      <w:r w:rsidR="00572661" w:rsidRPr="00572661">
        <w:t>$</w:t>
      </w:r>
      <w:r w:rsidR="00102373" w:rsidRPr="00102373">
        <w:rPr>
          <w:sz w:val="2"/>
          <w:highlight w:val="black"/>
        </w:rPr>
        <w:t>redacted content</w:t>
      </w:r>
      <w:r w:rsidR="00572661">
        <w:t xml:space="preserve"> weighted DPMQ</w:t>
      </w:r>
    </w:p>
    <w:p w14:paraId="6E30E871" w14:textId="0F9137CC" w:rsidR="006F0D5C" w:rsidRDefault="006F0D5C" w:rsidP="006F0D5C">
      <w:pPr>
        <w:pStyle w:val="FooterTableFigure"/>
      </w:pPr>
      <w:r w:rsidRPr="0098262F">
        <w:t xml:space="preserve">Source: </w:t>
      </w:r>
      <w:r>
        <w:t>Table 15 of the REGENCY CSR and Excel workbooks ‘Economic Evaluation.xlsb’ and ‘Section 4 Workbook.xlsx’</w:t>
      </w:r>
    </w:p>
    <w:p w14:paraId="65521E4D" w14:textId="77777777" w:rsidR="006F0D5C" w:rsidRDefault="006F0D5C" w:rsidP="006F0D5C">
      <w:pPr>
        <w:pStyle w:val="FooterTableFigure"/>
      </w:pPr>
      <w:r>
        <w:t>Obinutuzumab costs only. No costs of MMF, prednisone, methylprednisolone or other standard of care costs included.</w:t>
      </w:r>
      <w:bookmarkStart w:id="77" w:name="_Hlk107307804"/>
    </w:p>
    <w:p w14:paraId="1A615581" w14:textId="77777777" w:rsidR="006F0D5C" w:rsidRPr="0098262F" w:rsidRDefault="006F0D5C" w:rsidP="006F0D5C">
      <w:pPr>
        <w:pStyle w:val="FooterTableFigure"/>
        <w:rPr>
          <w:color w:val="0066FF"/>
        </w:rPr>
      </w:pPr>
      <w:r>
        <w:t>a</w:t>
      </w:r>
      <w:r>
        <w:tab/>
        <w:t>Estimated for all patients who received obinutuzumab in REGENCY, including patients who received 5 or 6 doses in the first year. The requested restriction is for 5 doses in the first year.</w:t>
      </w:r>
    </w:p>
    <w:p w14:paraId="65DAB8CC" w14:textId="77777777" w:rsidR="006F0D5C" w:rsidRPr="0098262F" w:rsidRDefault="006F0D5C" w:rsidP="006F0D5C">
      <w:pPr>
        <w:pStyle w:val="4-SubsectionHeading"/>
      </w:pPr>
      <w:bookmarkStart w:id="78" w:name="_Toc218871175"/>
      <w:bookmarkStart w:id="79" w:name="_Toc219886554"/>
      <w:bookmarkStart w:id="80" w:name="_Toc22897648"/>
      <w:bookmarkEnd w:id="75"/>
      <w:bookmarkEnd w:id="77"/>
      <w:r w:rsidRPr="0098262F">
        <w:t>Estimated PBS usage &amp; financial implications</w:t>
      </w:r>
      <w:bookmarkEnd w:id="78"/>
      <w:bookmarkEnd w:id="79"/>
    </w:p>
    <w:p w14:paraId="12F05B7B" w14:textId="262710BC" w:rsidR="006F0D5C" w:rsidRPr="00FF6D2B" w:rsidRDefault="006F0D5C" w:rsidP="0E6B4BEE">
      <w:pPr>
        <w:pStyle w:val="3-BodyText"/>
      </w:pPr>
      <w:r w:rsidRPr="0098262F" w:rsidDel="00534467">
        <w:t xml:space="preserve">This submission </w:t>
      </w:r>
      <w:r w:rsidR="00096BFE" w:rsidDel="00534467">
        <w:t>was</w:t>
      </w:r>
      <w:r w:rsidRPr="0098262F" w:rsidDel="00534467">
        <w:t xml:space="preserve"> considered by </w:t>
      </w:r>
      <w:r w:rsidR="00096BFE" w:rsidDel="00534467">
        <w:t xml:space="preserve">the joint </w:t>
      </w:r>
      <w:r w:rsidRPr="0098262F" w:rsidDel="00534467">
        <w:t>DUSC</w:t>
      </w:r>
      <w:r w:rsidR="00FF1914">
        <w:noBreakHyphen/>
      </w:r>
      <w:r w:rsidR="00096BFE" w:rsidDel="00534467">
        <w:t>ESC</w:t>
      </w:r>
      <w:r w:rsidR="0049294F">
        <w:t>. T</w:t>
      </w:r>
      <w:r w:rsidRPr="0084447B">
        <w:t xml:space="preserve">he submission estimated the financial implications of the proposed listing of obinutuzumab for class III/IV </w:t>
      </w:r>
      <w:r w:rsidRPr="00D81567">
        <w:rPr>
          <w:rFonts w:cs="Calibri"/>
        </w:rPr>
        <w:t>±</w:t>
      </w:r>
      <w:r w:rsidRPr="0084447B">
        <w:t xml:space="preserve"> V lupus nephritis, using an epidemiological approach based on prevalence and incidence rates reported in the </w:t>
      </w:r>
      <w:r w:rsidRPr="00FF6D2B">
        <w:t xml:space="preserve">literature. </w:t>
      </w:r>
      <w:r w:rsidRPr="00FF6D2B">
        <w:fldChar w:fldCharType="begin"/>
      </w:r>
      <w:r w:rsidRPr="00FF6D2B">
        <w:instrText xml:space="preserve"> REF _Ref104805262 \h  \* MERGEFORMAT </w:instrText>
      </w:r>
      <w:r w:rsidRPr="00FF6D2B">
        <w:fldChar w:fldCharType="separate"/>
      </w:r>
      <w:r w:rsidR="002255D9" w:rsidRPr="0098262F">
        <w:t xml:space="preserve">Table </w:t>
      </w:r>
      <w:r w:rsidR="002255D9">
        <w:t>13</w:t>
      </w:r>
      <w:r w:rsidRPr="00FF6D2B">
        <w:fldChar w:fldCharType="end"/>
      </w:r>
      <w:r w:rsidRPr="00FF6D2B">
        <w:t xml:space="preserve"> outlines the key inputs relied on in the financial estimates.</w:t>
      </w:r>
    </w:p>
    <w:p w14:paraId="29F22A58" w14:textId="30846FBD" w:rsidR="006F0D5C" w:rsidRPr="0098262F" w:rsidRDefault="006F0D5C" w:rsidP="006F0D5C">
      <w:pPr>
        <w:pStyle w:val="Caption"/>
        <w:rPr>
          <w:rStyle w:val="CommentReference"/>
          <w:b/>
          <w:szCs w:val="24"/>
        </w:rPr>
      </w:pPr>
      <w:bookmarkStart w:id="81" w:name="_Ref104805262"/>
      <w:r w:rsidRPr="0098262F">
        <w:lastRenderedPageBreak/>
        <w:t xml:space="preserve">Table </w:t>
      </w:r>
      <w:fldSimple w:instr=" SEQ Table \* ARABIC ">
        <w:r w:rsidR="002255D9">
          <w:rPr>
            <w:noProof/>
          </w:rPr>
          <w:t>13</w:t>
        </w:r>
      </w:fldSimple>
      <w:bookmarkEnd w:id="81"/>
      <w:r w:rsidRPr="0098262F">
        <w:t>:</w:t>
      </w:r>
      <w:r w:rsidRPr="0098262F">
        <w:rPr>
          <w:rStyle w:val="CommentReference"/>
          <w:b/>
          <w:szCs w:val="24"/>
        </w:rPr>
        <w:t xml:space="preserve"> Key inputs for financial estimates</w:t>
      </w:r>
    </w:p>
    <w:tbl>
      <w:tblPr>
        <w:tblStyle w:val="PBAClayout"/>
        <w:tblW w:w="9180" w:type="dxa"/>
        <w:tblLook w:val="04A0" w:firstRow="1" w:lastRow="0" w:firstColumn="1" w:lastColumn="0" w:noHBand="0" w:noVBand="1"/>
        <w:tblCaption w:val="Table 13: Key inputs for financial estimates"/>
      </w:tblPr>
      <w:tblGrid>
        <w:gridCol w:w="1526"/>
        <w:gridCol w:w="1459"/>
        <w:gridCol w:w="3219"/>
        <w:gridCol w:w="2976"/>
      </w:tblGrid>
      <w:tr w:rsidR="00B041D6" w:rsidRPr="0084447B" w14:paraId="1EF23C1C" w14:textId="77777777" w:rsidTr="003F78E1">
        <w:trPr>
          <w:cantSplit/>
          <w:tblHeader/>
        </w:trPr>
        <w:tc>
          <w:tcPr>
            <w:tcW w:w="1526" w:type="dxa"/>
          </w:tcPr>
          <w:p w14:paraId="181B6E4B" w14:textId="77777777" w:rsidR="00B041D6" w:rsidRPr="0084447B" w:rsidRDefault="00B041D6" w:rsidP="003F78E1">
            <w:pPr>
              <w:pStyle w:val="In-tableHeading"/>
              <w:jc w:val="center"/>
              <w:rPr>
                <w:lang w:val="en-AU"/>
              </w:rPr>
            </w:pPr>
            <w:r w:rsidRPr="0084447B">
              <w:rPr>
                <w:lang w:val="en-AU"/>
              </w:rPr>
              <w:t>Data</w:t>
            </w:r>
          </w:p>
        </w:tc>
        <w:tc>
          <w:tcPr>
            <w:tcW w:w="1459" w:type="dxa"/>
          </w:tcPr>
          <w:p w14:paraId="6F62FB1A" w14:textId="77777777" w:rsidR="00B041D6" w:rsidRPr="0084447B" w:rsidRDefault="00B041D6" w:rsidP="003F78E1">
            <w:pPr>
              <w:pStyle w:val="In-tableHeading"/>
              <w:jc w:val="center"/>
              <w:rPr>
                <w:lang w:val="en-AU"/>
              </w:rPr>
            </w:pPr>
            <w:r w:rsidRPr="0084447B">
              <w:rPr>
                <w:lang w:val="en-AU"/>
              </w:rPr>
              <w:t>Value</w:t>
            </w:r>
          </w:p>
        </w:tc>
        <w:tc>
          <w:tcPr>
            <w:tcW w:w="3219" w:type="dxa"/>
          </w:tcPr>
          <w:p w14:paraId="4347F5B4" w14:textId="77777777" w:rsidR="00B041D6" w:rsidRPr="0084447B" w:rsidRDefault="00B041D6" w:rsidP="003F78E1">
            <w:pPr>
              <w:pStyle w:val="In-tableHeading"/>
              <w:jc w:val="center"/>
              <w:rPr>
                <w:lang w:val="en-AU"/>
              </w:rPr>
            </w:pPr>
            <w:r w:rsidRPr="0084447B">
              <w:rPr>
                <w:lang w:val="en-AU"/>
              </w:rPr>
              <w:t>Source</w:t>
            </w:r>
          </w:p>
        </w:tc>
        <w:tc>
          <w:tcPr>
            <w:tcW w:w="2976" w:type="dxa"/>
          </w:tcPr>
          <w:p w14:paraId="3AA9CB8A" w14:textId="77777777" w:rsidR="00B041D6" w:rsidRPr="0084447B" w:rsidRDefault="00B041D6" w:rsidP="003F78E1">
            <w:pPr>
              <w:pStyle w:val="In-tableHeading"/>
              <w:jc w:val="center"/>
              <w:rPr>
                <w:lang w:val="en-AU"/>
              </w:rPr>
            </w:pPr>
            <w:r w:rsidRPr="0084447B">
              <w:rPr>
                <w:lang w:val="en-AU"/>
              </w:rPr>
              <w:t>Comment</w:t>
            </w:r>
          </w:p>
        </w:tc>
      </w:tr>
      <w:tr w:rsidR="00B041D6" w:rsidRPr="0084447B" w14:paraId="5B59213B" w14:textId="77777777" w:rsidTr="003F78E1">
        <w:trPr>
          <w:cantSplit/>
        </w:trPr>
        <w:tc>
          <w:tcPr>
            <w:tcW w:w="9180" w:type="dxa"/>
            <w:gridSpan w:val="4"/>
          </w:tcPr>
          <w:p w14:paraId="4DF8C2E1" w14:textId="77777777" w:rsidR="00B041D6" w:rsidRPr="00B041D6" w:rsidRDefault="00B041D6" w:rsidP="003F78E1">
            <w:pPr>
              <w:pStyle w:val="In-tableHeading"/>
              <w:rPr>
                <w:lang w:val="en-AU"/>
              </w:rPr>
            </w:pPr>
            <w:r w:rsidRPr="00B041D6">
              <w:rPr>
                <w:lang w:val="en-AU"/>
              </w:rPr>
              <w:t>Eligible population</w:t>
            </w:r>
          </w:p>
        </w:tc>
      </w:tr>
      <w:tr w:rsidR="00B041D6" w:rsidRPr="007C316F" w14:paraId="2F134A96" w14:textId="77777777" w:rsidTr="003F78E1">
        <w:trPr>
          <w:cantSplit/>
        </w:trPr>
        <w:tc>
          <w:tcPr>
            <w:tcW w:w="1526" w:type="dxa"/>
          </w:tcPr>
          <w:p w14:paraId="055CB911" w14:textId="77777777" w:rsidR="00B041D6" w:rsidRPr="00014499" w:rsidRDefault="00B041D6" w:rsidP="003F78E1">
            <w:pPr>
              <w:pStyle w:val="TableText0"/>
            </w:pPr>
            <w:r w:rsidRPr="00014499">
              <w:t>Incident SLE patients</w:t>
            </w:r>
          </w:p>
        </w:tc>
        <w:tc>
          <w:tcPr>
            <w:tcW w:w="1459" w:type="dxa"/>
          </w:tcPr>
          <w:p w14:paraId="5134727A" w14:textId="77777777" w:rsidR="00B041D6" w:rsidRPr="00014499" w:rsidRDefault="00B041D6" w:rsidP="003F78E1">
            <w:pPr>
              <w:pStyle w:val="TableText0"/>
            </w:pPr>
            <w:r w:rsidRPr="00014499">
              <w:t>Yr 2: 1,145</w:t>
            </w:r>
          </w:p>
          <w:p w14:paraId="6418A017" w14:textId="77777777" w:rsidR="00B041D6" w:rsidRPr="00014499" w:rsidRDefault="00B041D6" w:rsidP="003F78E1">
            <w:pPr>
              <w:pStyle w:val="TableText0"/>
            </w:pPr>
            <w:r w:rsidRPr="00014499">
              <w:t>Yr 3: 1,164</w:t>
            </w:r>
          </w:p>
          <w:p w14:paraId="1FC2702B" w14:textId="77777777" w:rsidR="00B041D6" w:rsidRPr="00014499" w:rsidRDefault="00B041D6" w:rsidP="003F78E1">
            <w:pPr>
              <w:pStyle w:val="TableText0"/>
            </w:pPr>
            <w:r w:rsidRPr="00014499">
              <w:t>Yr 4: 1,182</w:t>
            </w:r>
          </w:p>
          <w:p w14:paraId="0155E4FC" w14:textId="77777777" w:rsidR="00B041D6" w:rsidRPr="00014499" w:rsidRDefault="00B041D6" w:rsidP="003F78E1">
            <w:pPr>
              <w:pStyle w:val="TableText0"/>
            </w:pPr>
            <w:r w:rsidRPr="00014499">
              <w:t>Yr 5: 1,199</w:t>
            </w:r>
          </w:p>
          <w:p w14:paraId="573E5656" w14:textId="77777777" w:rsidR="00B041D6" w:rsidRPr="00014499" w:rsidRDefault="00B041D6" w:rsidP="003F78E1">
            <w:pPr>
              <w:pStyle w:val="TableText0"/>
            </w:pPr>
            <w:r w:rsidRPr="00014499">
              <w:t>Yr 6: 1,216</w:t>
            </w:r>
          </w:p>
        </w:tc>
        <w:tc>
          <w:tcPr>
            <w:tcW w:w="3219" w:type="dxa"/>
          </w:tcPr>
          <w:p w14:paraId="0D830354" w14:textId="49AF6187" w:rsidR="00B041D6" w:rsidRPr="007C316F" w:rsidRDefault="00B041D6" w:rsidP="003F78E1">
            <w:pPr>
              <w:pStyle w:val="TableText0"/>
            </w:pPr>
            <w:r w:rsidRPr="007C316F">
              <w:t>Incidence rate 5.14 per 100,000 (Tian 2023) applied to ABS population estimates 2026</w:t>
            </w:r>
            <w:r w:rsidR="00FF1914">
              <w:noBreakHyphen/>
            </w:r>
            <w:r w:rsidRPr="007C316F">
              <w:t>2031</w:t>
            </w:r>
          </w:p>
          <w:p w14:paraId="76236389" w14:textId="77777777" w:rsidR="00B041D6" w:rsidRPr="007C316F" w:rsidRDefault="00B041D6" w:rsidP="003F78E1">
            <w:pPr>
              <w:pStyle w:val="TableText0"/>
            </w:pPr>
            <w:r w:rsidRPr="007C316F">
              <w:t>The submission reported incident population for Yr 1, but these were not separately included in the calculations (assumed to be included in the prevalent population)</w:t>
            </w:r>
          </w:p>
        </w:tc>
        <w:tc>
          <w:tcPr>
            <w:tcW w:w="2976" w:type="dxa"/>
          </w:tcPr>
          <w:p w14:paraId="4E4FC13F" w14:textId="16F5373A" w:rsidR="00B041D6" w:rsidRPr="007C316F" w:rsidRDefault="454302B5" w:rsidP="003F78E1">
            <w:pPr>
              <w:pStyle w:val="TableText0"/>
            </w:pPr>
            <w:r w:rsidRPr="007C316F">
              <w:t>A global incidence rate may not be appropriate for an Australian population. In Tian 2023</w:t>
            </w:r>
            <w:r w:rsidR="00B041D6" w:rsidRPr="007C316F">
              <w:rPr>
                <w:rStyle w:val="FootnoteReference"/>
              </w:rPr>
              <w:footnoteReference w:id="28"/>
            </w:r>
            <w:r w:rsidRPr="007C316F">
              <w:t xml:space="preserve">, the global prevalence rate was 43.7 per 100,000, much lower than the previously accepted prevalence rate in Australia. </w:t>
            </w:r>
          </w:p>
          <w:p w14:paraId="55A02B09" w14:textId="1387F6E5" w:rsidR="00B041D6" w:rsidRPr="007C316F" w:rsidRDefault="00B041D6" w:rsidP="003F78E1">
            <w:pPr>
              <w:pStyle w:val="TableText0"/>
            </w:pPr>
          </w:p>
          <w:p w14:paraId="46AE7D8C" w14:textId="12D46447" w:rsidR="00B041D6" w:rsidRPr="007C316F" w:rsidRDefault="00A50D83" w:rsidP="003F78E1">
            <w:pPr>
              <w:pStyle w:val="TableText0"/>
            </w:pPr>
            <w:r w:rsidRPr="007C316F">
              <w:t xml:space="preserve">The </w:t>
            </w:r>
            <w:r w:rsidR="00E83357" w:rsidRPr="007C316F">
              <w:t>S</w:t>
            </w:r>
            <w:r w:rsidRPr="007C316F">
              <w:t>ub</w:t>
            </w:r>
            <w:r w:rsidR="00FF1914">
              <w:noBreakHyphen/>
            </w:r>
            <w:r w:rsidR="00E83357" w:rsidRPr="007C316F">
              <w:t>C</w:t>
            </w:r>
            <w:r w:rsidRPr="007C316F">
              <w:t xml:space="preserve">ommittees </w:t>
            </w:r>
            <w:r w:rsidR="00036A4D" w:rsidRPr="007C316F">
              <w:t>compared the incidence of</w:t>
            </w:r>
            <w:r w:rsidR="00376DDD" w:rsidRPr="007C316F">
              <w:t xml:space="preserve"> LN</w:t>
            </w:r>
            <w:r w:rsidR="00E74021" w:rsidRPr="007C316F">
              <w:t xml:space="preserve"> (i.e. </w:t>
            </w:r>
            <w:r w:rsidR="00AE4B45" w:rsidRPr="007C316F">
              <w:t>5.14*40% =</w:t>
            </w:r>
            <w:r w:rsidR="00E74021" w:rsidRPr="007C316F">
              <w:t>2.06 per 100,00</w:t>
            </w:r>
            <w:r w:rsidR="00DD009C" w:rsidRPr="007C316F">
              <w:t>0</w:t>
            </w:r>
            <w:r w:rsidR="00E74021" w:rsidRPr="007C316F">
              <w:t xml:space="preserve">) </w:t>
            </w:r>
            <w:r w:rsidR="00A95304" w:rsidRPr="007C316F">
              <w:t xml:space="preserve">with </w:t>
            </w:r>
            <w:r w:rsidR="005910B1">
              <w:t xml:space="preserve">a </w:t>
            </w:r>
            <w:r w:rsidR="00376DDD" w:rsidRPr="007C316F">
              <w:t>recent Australian estimate</w:t>
            </w:r>
            <w:r w:rsidR="00E74021" w:rsidRPr="007C316F">
              <w:t xml:space="preserve"> </w:t>
            </w:r>
            <w:r w:rsidR="001F4A91" w:rsidRPr="007C316F">
              <w:t>of</w:t>
            </w:r>
            <w:r w:rsidR="00E74021" w:rsidRPr="007C316F">
              <w:t xml:space="preserve"> LN incidence (</w:t>
            </w:r>
            <w:r w:rsidR="0067799E" w:rsidRPr="007C316F">
              <w:t>Roper et al. 2025</w:t>
            </w:r>
            <w:r w:rsidR="00606489" w:rsidRPr="007C316F">
              <w:t>) and</w:t>
            </w:r>
            <w:r w:rsidR="0067799E" w:rsidRPr="007C316F">
              <w:t xml:space="preserve"> </w:t>
            </w:r>
            <w:r w:rsidR="00722265" w:rsidRPr="007C316F">
              <w:t>consider</w:t>
            </w:r>
            <w:r w:rsidR="002453F0" w:rsidRPr="007C316F">
              <w:t xml:space="preserve">ed </w:t>
            </w:r>
            <w:r w:rsidR="001F4A91" w:rsidRPr="007C316F">
              <w:t>that</w:t>
            </w:r>
            <w:r w:rsidR="00722265" w:rsidRPr="007C316F">
              <w:t xml:space="preserve"> the result </w:t>
            </w:r>
            <w:r w:rsidR="005373C1" w:rsidRPr="007C316F">
              <w:t xml:space="preserve">may </w:t>
            </w:r>
            <w:r w:rsidR="002453F0" w:rsidRPr="007C316F">
              <w:t xml:space="preserve">be </w:t>
            </w:r>
            <w:r w:rsidR="005373C1" w:rsidRPr="007C316F">
              <w:t>reflect</w:t>
            </w:r>
            <w:r w:rsidR="002453F0" w:rsidRPr="007C316F">
              <w:t>ive of</w:t>
            </w:r>
            <w:r w:rsidR="005373C1" w:rsidRPr="007C316F">
              <w:t xml:space="preserve"> the Australian population. </w:t>
            </w:r>
          </w:p>
        </w:tc>
      </w:tr>
      <w:tr w:rsidR="00B041D6" w:rsidRPr="007C316F" w14:paraId="4AC5994B" w14:textId="77777777" w:rsidTr="003F78E1">
        <w:trPr>
          <w:cantSplit/>
        </w:trPr>
        <w:tc>
          <w:tcPr>
            <w:tcW w:w="1526" w:type="dxa"/>
          </w:tcPr>
          <w:p w14:paraId="12213775" w14:textId="77777777" w:rsidR="00B041D6" w:rsidRPr="007C316F" w:rsidRDefault="00B041D6">
            <w:pPr>
              <w:pStyle w:val="TableText0"/>
              <w:keepNext w:val="0"/>
              <w:keepLines w:val="0"/>
            </w:pPr>
            <w:r w:rsidRPr="007C316F">
              <w:t>Prevalent SLE patients</w:t>
            </w:r>
          </w:p>
        </w:tc>
        <w:tc>
          <w:tcPr>
            <w:tcW w:w="1459" w:type="dxa"/>
          </w:tcPr>
          <w:p w14:paraId="1F594A9D" w14:textId="77777777" w:rsidR="00B041D6" w:rsidRPr="007C316F" w:rsidRDefault="00B041D6">
            <w:pPr>
              <w:pStyle w:val="TableText0"/>
              <w:keepNext w:val="0"/>
              <w:keepLines w:val="0"/>
            </w:pPr>
            <w:r w:rsidRPr="00014499">
              <w:t>Yr 1: 20,664</w:t>
            </w:r>
          </w:p>
        </w:tc>
        <w:tc>
          <w:tcPr>
            <w:tcW w:w="3219" w:type="dxa"/>
          </w:tcPr>
          <w:p w14:paraId="3F902AF9" w14:textId="77777777" w:rsidR="00B041D6" w:rsidRPr="007C316F" w:rsidRDefault="00B041D6">
            <w:pPr>
              <w:pStyle w:val="TableText0"/>
              <w:keepNext w:val="0"/>
              <w:keepLines w:val="0"/>
            </w:pPr>
            <w:r w:rsidRPr="007C316F">
              <w:t>Prevalence rate 94.33 per 100,000 (Table 16, anifrolumab PSD March 2024) applied to ABS population estimate for 2026.</w:t>
            </w:r>
          </w:p>
          <w:p w14:paraId="18CD664E" w14:textId="1D543942" w:rsidR="00B041D6" w:rsidRPr="007C316F" w:rsidRDefault="00B041D6">
            <w:pPr>
              <w:pStyle w:val="TableText0"/>
              <w:keepNext w:val="0"/>
              <w:keepLines w:val="0"/>
            </w:pPr>
            <w:r w:rsidRPr="007C316F">
              <w:t>The submission reported the prevalent populations for Yrs 2</w:t>
            </w:r>
            <w:r w:rsidR="00FF1914">
              <w:noBreakHyphen/>
            </w:r>
            <w:r w:rsidRPr="007C316F">
              <w:t>6, but these were not included in the calculations for financial estimates</w:t>
            </w:r>
            <w:r w:rsidR="007D07A4" w:rsidRPr="007C316F">
              <w:t>.</w:t>
            </w:r>
          </w:p>
        </w:tc>
        <w:tc>
          <w:tcPr>
            <w:tcW w:w="2976" w:type="dxa"/>
          </w:tcPr>
          <w:p w14:paraId="103795E4" w14:textId="71F039A7" w:rsidR="00B041D6" w:rsidRPr="007C316F" w:rsidRDefault="33316B56">
            <w:pPr>
              <w:pStyle w:val="TableText0"/>
              <w:keepNext w:val="0"/>
              <w:keepLines w:val="0"/>
            </w:pPr>
            <w:r w:rsidRPr="007C316F">
              <w:t xml:space="preserve">The evaluation </w:t>
            </w:r>
            <w:r w:rsidR="005416DC" w:rsidRPr="007C316F">
              <w:t xml:space="preserve">noted that </w:t>
            </w:r>
            <w:r w:rsidR="00B041D6" w:rsidRPr="007C316F">
              <w:t>Roper 2025</w:t>
            </w:r>
            <w:r w:rsidR="00B041D6" w:rsidRPr="007C316F">
              <w:rPr>
                <w:rStyle w:val="FootnoteReference"/>
              </w:rPr>
              <w:footnoteReference w:id="29"/>
            </w:r>
            <w:r w:rsidR="00B041D6" w:rsidRPr="007C316F">
              <w:t xml:space="preserve"> estimated SLE prevalence at 57.86 per 100,000 persons across Australian studies.</w:t>
            </w:r>
          </w:p>
          <w:p w14:paraId="5B45D48A" w14:textId="77777777" w:rsidR="00502540" w:rsidRPr="007C316F" w:rsidRDefault="00502540">
            <w:pPr>
              <w:pStyle w:val="TableText0"/>
              <w:keepNext w:val="0"/>
              <w:keepLines w:val="0"/>
            </w:pPr>
          </w:p>
          <w:p w14:paraId="1ADA7BA1" w14:textId="40D26175" w:rsidR="00502540" w:rsidRPr="007C316F" w:rsidRDefault="2DBCB011" w:rsidP="00961B69">
            <w:pPr>
              <w:pStyle w:val="TableText0"/>
              <w:keepNext w:val="0"/>
              <w:keepLines w:val="0"/>
              <w:spacing w:line="259" w:lineRule="auto"/>
            </w:pPr>
            <w:r w:rsidRPr="007C316F">
              <w:t>Th</w:t>
            </w:r>
            <w:r w:rsidR="4C4C965E" w:rsidRPr="007C316F">
              <w:t xml:space="preserve">e </w:t>
            </w:r>
            <w:r w:rsidR="538467CB" w:rsidRPr="007C316F">
              <w:t>S</w:t>
            </w:r>
            <w:r w:rsidR="4C4C965E" w:rsidRPr="007C316F">
              <w:t>ub</w:t>
            </w:r>
            <w:r w:rsidR="00FF1914">
              <w:noBreakHyphen/>
            </w:r>
            <w:r w:rsidR="538467CB" w:rsidRPr="007C316F">
              <w:t>C</w:t>
            </w:r>
            <w:r w:rsidR="38C514C4" w:rsidRPr="007C316F">
              <w:t xml:space="preserve">ommittees </w:t>
            </w:r>
            <w:r w:rsidR="296ACE82" w:rsidRPr="007C316F">
              <w:t>noted</w:t>
            </w:r>
            <w:r w:rsidR="4ECFE20C" w:rsidRPr="007C316F">
              <w:t xml:space="preserve"> the prevalence rate was</w:t>
            </w:r>
            <w:r w:rsidR="2E98BA8A" w:rsidRPr="007C316F">
              <w:t xml:space="preserve"> derived based on </w:t>
            </w:r>
            <w:r w:rsidR="4801BCF0" w:rsidRPr="007C316F">
              <w:t>five Australian stud</w:t>
            </w:r>
            <w:r w:rsidR="12386A1F" w:rsidRPr="007C316F">
              <w:t>ies</w:t>
            </w:r>
            <w:r w:rsidR="32BD53BC" w:rsidRPr="007C316F">
              <w:t xml:space="preserve"> via an inverse variance</w:t>
            </w:r>
            <w:r w:rsidR="00FF1914">
              <w:noBreakHyphen/>
            </w:r>
            <w:r w:rsidR="32BD53BC" w:rsidRPr="007C316F">
              <w:t xml:space="preserve">weighted approach. </w:t>
            </w:r>
            <w:r w:rsidR="70B9F1B0" w:rsidRPr="007C316F">
              <w:t xml:space="preserve">It was heavily weighted </w:t>
            </w:r>
            <w:r w:rsidR="4DCBD00C" w:rsidRPr="007C316F">
              <w:t>towards a larg</w:t>
            </w:r>
            <w:r w:rsidR="689480C4" w:rsidRPr="007C316F">
              <w:t>e study of SLE in childbearing women in NSW (Shand 2013)</w:t>
            </w:r>
            <w:r w:rsidR="703C28DB" w:rsidRPr="007C316F">
              <w:t xml:space="preserve">. </w:t>
            </w:r>
            <w:r w:rsidR="521CF3D7" w:rsidRPr="007C316F">
              <w:t xml:space="preserve">The </w:t>
            </w:r>
            <w:r w:rsidR="538467CB" w:rsidRPr="007C316F">
              <w:t>S</w:t>
            </w:r>
            <w:r w:rsidR="521CF3D7" w:rsidRPr="007C316F">
              <w:t>ub</w:t>
            </w:r>
            <w:r w:rsidR="00FF1914">
              <w:noBreakHyphen/>
            </w:r>
            <w:r w:rsidR="538467CB" w:rsidRPr="007C316F">
              <w:t>C</w:t>
            </w:r>
            <w:r w:rsidR="521CF3D7" w:rsidRPr="007C316F">
              <w:t>ommittees considered that the prevalence estimates should o</w:t>
            </w:r>
            <w:r w:rsidR="7B695583" w:rsidRPr="007C316F">
              <w:t xml:space="preserve">mit </w:t>
            </w:r>
            <w:r w:rsidR="3A1FDA15" w:rsidRPr="007C316F">
              <w:t xml:space="preserve">the </w:t>
            </w:r>
            <w:r w:rsidR="7B695583" w:rsidRPr="007C316F">
              <w:t>Shand study</w:t>
            </w:r>
            <w:r w:rsidR="687AFC4B" w:rsidRPr="007C316F">
              <w:t>, which</w:t>
            </w:r>
            <w:r w:rsidR="7B695583" w:rsidRPr="007C316F">
              <w:t xml:space="preserve"> </w:t>
            </w:r>
            <w:r w:rsidR="4E2EE5CB" w:rsidRPr="007C316F">
              <w:t>yields</w:t>
            </w:r>
            <w:r w:rsidR="7B695583" w:rsidRPr="007C316F">
              <w:t xml:space="preserve"> a prevalence of 4</w:t>
            </w:r>
            <w:r w:rsidR="737D71AF" w:rsidRPr="007C316F">
              <w:t>6</w:t>
            </w:r>
            <w:r w:rsidR="7B695583" w:rsidRPr="007C316F">
              <w:t xml:space="preserve"> per 100,000</w:t>
            </w:r>
            <w:r w:rsidR="4EF48F77" w:rsidRPr="007C316F">
              <w:t>.</w:t>
            </w:r>
            <w:r w:rsidR="36ABDFD1" w:rsidRPr="007C316F">
              <w:t xml:space="preserve"> The </w:t>
            </w:r>
            <w:r w:rsidR="538467CB" w:rsidRPr="007C316F">
              <w:t>S</w:t>
            </w:r>
            <w:r w:rsidR="36ABDFD1" w:rsidRPr="007C316F">
              <w:t>ub</w:t>
            </w:r>
            <w:r w:rsidR="00FF1914">
              <w:noBreakHyphen/>
            </w:r>
            <w:r w:rsidR="538467CB" w:rsidRPr="007C316F">
              <w:t>C</w:t>
            </w:r>
            <w:r w:rsidR="36ABDFD1" w:rsidRPr="007C316F">
              <w:t xml:space="preserve">ommittees noted that the revised estimates </w:t>
            </w:r>
            <w:r w:rsidR="2AD4D45C" w:rsidRPr="007C316F">
              <w:t>are</w:t>
            </w:r>
            <w:r w:rsidR="36ABDFD1" w:rsidRPr="007C316F">
              <w:t xml:space="preserve"> comparable to the global prevalence. </w:t>
            </w:r>
            <w:r w:rsidR="000368B4">
              <w:t>The pre</w:t>
            </w:r>
            <w:r w:rsidR="00FF1914">
              <w:noBreakHyphen/>
            </w:r>
            <w:r w:rsidR="000368B4">
              <w:t xml:space="preserve">PBAC response </w:t>
            </w:r>
            <w:r w:rsidR="00252E5E">
              <w:t>disagreed with the omission</w:t>
            </w:r>
            <w:r w:rsidR="00572661">
              <w:t xml:space="preserve"> </w:t>
            </w:r>
            <w:r w:rsidR="006E2F55">
              <w:t xml:space="preserve">of the Shand study on the basis that it captures </w:t>
            </w:r>
            <w:r w:rsidR="00CE1BEE">
              <w:t>an important population co</w:t>
            </w:r>
            <w:r w:rsidR="009F03CE">
              <w:t>hort of women of child</w:t>
            </w:r>
            <w:r w:rsidR="00FF1914">
              <w:noBreakHyphen/>
            </w:r>
            <w:r w:rsidR="009F03CE">
              <w:t>bearing age.</w:t>
            </w:r>
            <w:r w:rsidR="4EF48F77" w:rsidRPr="007C316F">
              <w:t xml:space="preserve"> </w:t>
            </w:r>
            <w:r w:rsidR="003B1524">
              <w:t>However, t</w:t>
            </w:r>
            <w:r w:rsidR="009A7C91">
              <w:t xml:space="preserve">he PBAC </w:t>
            </w:r>
            <w:r w:rsidR="003F68B9">
              <w:t xml:space="preserve">considered that the </w:t>
            </w:r>
            <w:r w:rsidR="009A7C91" w:rsidRPr="009A7C91">
              <w:t xml:space="preserve">SLE prevalence rate from </w:t>
            </w:r>
            <w:r w:rsidR="003F68B9">
              <w:t xml:space="preserve">the </w:t>
            </w:r>
            <w:r w:rsidR="009A7C91" w:rsidRPr="009A7C91">
              <w:t>Roper 2025 meta</w:t>
            </w:r>
            <w:r w:rsidR="00FF1914">
              <w:noBreakHyphen/>
            </w:r>
            <w:r w:rsidR="009A7C91" w:rsidRPr="009A7C91">
              <w:t xml:space="preserve">analysis of </w:t>
            </w:r>
            <w:r w:rsidR="003F68B9">
              <w:t>57.86 per 100,000 should be a</w:t>
            </w:r>
            <w:r w:rsidR="00DB06AB">
              <w:t>pplied</w:t>
            </w:r>
            <w:r w:rsidR="003F68B9">
              <w:t xml:space="preserve"> in the financial estimates. </w:t>
            </w:r>
          </w:p>
        </w:tc>
      </w:tr>
      <w:tr w:rsidR="00B041D6" w:rsidRPr="007C316F" w14:paraId="244F79DE" w14:textId="77777777" w:rsidTr="003F78E1">
        <w:trPr>
          <w:cantSplit/>
        </w:trPr>
        <w:tc>
          <w:tcPr>
            <w:tcW w:w="1526" w:type="dxa"/>
          </w:tcPr>
          <w:p w14:paraId="1996A8DE" w14:textId="77777777" w:rsidR="00B041D6" w:rsidRPr="007C316F" w:rsidRDefault="00B041D6">
            <w:pPr>
              <w:pStyle w:val="TableText0"/>
              <w:keepNext w:val="0"/>
              <w:keepLines w:val="0"/>
            </w:pPr>
            <w:r w:rsidRPr="007C316F">
              <w:lastRenderedPageBreak/>
              <w:t>Proportion of SLE patients who develop LN</w:t>
            </w:r>
          </w:p>
        </w:tc>
        <w:tc>
          <w:tcPr>
            <w:tcW w:w="1459" w:type="dxa"/>
          </w:tcPr>
          <w:p w14:paraId="43D8FF3A" w14:textId="77777777" w:rsidR="00B041D6" w:rsidRPr="007C316F" w:rsidRDefault="00B041D6">
            <w:pPr>
              <w:pStyle w:val="TableText0"/>
              <w:keepNext w:val="0"/>
              <w:keepLines w:val="0"/>
            </w:pPr>
            <w:r w:rsidRPr="007C316F">
              <w:t>40%</w:t>
            </w:r>
          </w:p>
        </w:tc>
        <w:tc>
          <w:tcPr>
            <w:tcW w:w="3219" w:type="dxa"/>
          </w:tcPr>
          <w:p w14:paraId="76C41ED9" w14:textId="0A6A07F3" w:rsidR="00B041D6" w:rsidRPr="007C316F" w:rsidRDefault="00B041D6">
            <w:pPr>
              <w:pStyle w:val="TableText0"/>
              <w:keepNext w:val="0"/>
              <w:keepLines w:val="0"/>
            </w:pPr>
            <w:r w:rsidRPr="007C316F">
              <w:t>The submission noted rates of 40% across the literature. All papers seem to reference Hanly 2016 (38.3% of 1,827 US patients with LN across a mean 4.6 years follow</w:t>
            </w:r>
            <w:r w:rsidR="00FF1914">
              <w:noBreakHyphen/>
            </w:r>
            <w:r w:rsidRPr="007C316F">
              <w:t>up, the majority had LN at baseline)</w:t>
            </w:r>
            <w:r w:rsidR="00C76F9F">
              <w:t xml:space="preserve">. </w:t>
            </w:r>
          </w:p>
        </w:tc>
        <w:tc>
          <w:tcPr>
            <w:tcW w:w="2976" w:type="dxa"/>
          </w:tcPr>
          <w:p w14:paraId="5CE04F4F" w14:textId="758890F6" w:rsidR="00B041D6" w:rsidRPr="007C316F" w:rsidRDefault="4C69FA75" w:rsidP="5F5EFE71">
            <w:pPr>
              <w:pStyle w:val="TableText0"/>
              <w:keepNext w:val="0"/>
              <w:keepLines w:val="0"/>
            </w:pPr>
            <w:r w:rsidRPr="007C316F">
              <w:t>The Sub</w:t>
            </w:r>
            <w:r w:rsidR="00FF1914">
              <w:noBreakHyphen/>
            </w:r>
            <w:r w:rsidRPr="007C316F">
              <w:t>Committees considere</w:t>
            </w:r>
            <w:r w:rsidR="41F3E559" w:rsidRPr="007C316F">
              <w:t xml:space="preserve">d the assumption as reasonable. </w:t>
            </w:r>
            <w:r w:rsidR="0008173A">
              <w:t xml:space="preserve">The PBAC noted that </w:t>
            </w:r>
            <w:r w:rsidR="00525307">
              <w:t>while H</w:t>
            </w:r>
            <w:r w:rsidR="0008173A">
              <w:t>anly 2016</w:t>
            </w:r>
            <w:r w:rsidR="00275857">
              <w:t xml:space="preserve"> reported a proportion of 38.3%, </w:t>
            </w:r>
            <w:r w:rsidR="0062119C">
              <w:t xml:space="preserve">only </w:t>
            </w:r>
            <w:r w:rsidR="006F7339">
              <w:t>21</w:t>
            </w:r>
            <w:r w:rsidR="0062119C">
              <w:t>% of the cohort had biopsy</w:t>
            </w:r>
            <w:r w:rsidR="00525307">
              <w:t xml:space="preserve"> proven</w:t>
            </w:r>
            <w:r w:rsidR="006F7339">
              <w:t xml:space="preserve"> lupus nephritis, and only 14% had biopsy proven </w:t>
            </w:r>
            <w:r w:rsidR="00525307">
              <w:t>class III/IV</w:t>
            </w:r>
            <w:r w:rsidR="006F7339">
              <w:t xml:space="preserve"> lupus</w:t>
            </w:r>
            <w:r w:rsidR="00525307">
              <w:t xml:space="preserve"> nephritis</w:t>
            </w:r>
            <w:r w:rsidR="00C666CA">
              <w:t>.</w:t>
            </w:r>
            <w:r w:rsidR="00737346">
              <w:t xml:space="preserve"> </w:t>
            </w:r>
          </w:p>
        </w:tc>
      </w:tr>
      <w:tr w:rsidR="00B041D6" w:rsidRPr="007C316F" w14:paraId="40CA55F5" w14:textId="77777777" w:rsidTr="003F78E1">
        <w:trPr>
          <w:cantSplit/>
        </w:trPr>
        <w:tc>
          <w:tcPr>
            <w:tcW w:w="1526" w:type="dxa"/>
          </w:tcPr>
          <w:p w14:paraId="18031045" w14:textId="77777777" w:rsidR="00B041D6" w:rsidRPr="007C316F" w:rsidRDefault="00B041D6">
            <w:pPr>
              <w:pStyle w:val="TableText0"/>
              <w:keepNext w:val="0"/>
              <w:keepLines w:val="0"/>
            </w:pPr>
            <w:r w:rsidRPr="007C316F">
              <w:t>Proportion LN that is class III/IV±V</w:t>
            </w:r>
          </w:p>
        </w:tc>
        <w:tc>
          <w:tcPr>
            <w:tcW w:w="1459" w:type="dxa"/>
          </w:tcPr>
          <w:p w14:paraId="4893D9A5" w14:textId="77777777" w:rsidR="00B041D6" w:rsidRPr="007C316F" w:rsidRDefault="00B041D6">
            <w:pPr>
              <w:pStyle w:val="TableText0"/>
              <w:keepNext w:val="0"/>
              <w:keepLines w:val="0"/>
            </w:pPr>
            <w:r w:rsidRPr="007C316F">
              <w:t>75%</w:t>
            </w:r>
          </w:p>
        </w:tc>
        <w:tc>
          <w:tcPr>
            <w:tcW w:w="3219" w:type="dxa"/>
          </w:tcPr>
          <w:p w14:paraId="6B1159B8" w14:textId="07C3D38D" w:rsidR="00B041D6" w:rsidRPr="007C316F" w:rsidRDefault="00B041D6">
            <w:pPr>
              <w:pStyle w:val="TableText0"/>
              <w:keepNext w:val="0"/>
              <w:keepLines w:val="0"/>
            </w:pPr>
            <w:r w:rsidRPr="007C316F">
              <w:t>Assumed to be higher than 66</w:t>
            </w:r>
            <w:r w:rsidR="00FF1914">
              <w:noBreakHyphen/>
            </w:r>
            <w:r w:rsidRPr="007C316F">
              <w:t>73% reported for Class III/IV, no Australian</w:t>
            </w:r>
            <w:r w:rsidR="00FF1914">
              <w:noBreakHyphen/>
            </w:r>
            <w:r w:rsidRPr="007C316F">
              <w:t>specific percentages were identified.</w:t>
            </w:r>
          </w:p>
        </w:tc>
        <w:tc>
          <w:tcPr>
            <w:tcW w:w="2976" w:type="dxa"/>
            <w:vMerge w:val="restart"/>
          </w:tcPr>
          <w:p w14:paraId="13ABCC53" w14:textId="16E6D761" w:rsidR="00B041D6" w:rsidRPr="007C316F" w:rsidRDefault="00B041D6">
            <w:pPr>
              <w:pStyle w:val="TableText0"/>
            </w:pPr>
            <w:r w:rsidRPr="007C316F">
              <w:t xml:space="preserve">In total, the submission estimated that 27% of SLE patients developed class III/IV±V LN (40%x75%x90%). In comparison 60/369 (16%) patients with SLE treated in Monash Health Lupus Clinic (Nakagawa 2025) had class III/IV±V LN and received induction therapy. </w:t>
            </w:r>
            <w:r w:rsidR="00DF5B20">
              <w:t xml:space="preserve">The PBAC considered that the </w:t>
            </w:r>
            <w:r w:rsidR="00B83203">
              <w:t xml:space="preserve">total of 27% as estimated by the submission was reasonable in the context of using the </w:t>
            </w:r>
            <w:r w:rsidR="00B83203" w:rsidRPr="00B83203">
              <w:t>SLE prevalence rate of 57.86 per 100,000</w:t>
            </w:r>
            <w:r w:rsidR="00B83203">
              <w:t xml:space="preserve"> </w:t>
            </w:r>
            <w:r w:rsidR="00B83203" w:rsidRPr="00B83203">
              <w:t>from the Roper 2025 meta</w:t>
            </w:r>
            <w:r w:rsidR="00FF1914">
              <w:noBreakHyphen/>
            </w:r>
            <w:r w:rsidR="00B83203" w:rsidRPr="00B83203">
              <w:t>analysis</w:t>
            </w:r>
            <w:r w:rsidR="00977D3D">
              <w:t xml:space="preserve">. </w:t>
            </w:r>
          </w:p>
        </w:tc>
      </w:tr>
      <w:tr w:rsidR="00B041D6" w:rsidRPr="007C316F" w14:paraId="46CB122D" w14:textId="77777777" w:rsidTr="003F78E1">
        <w:trPr>
          <w:cantSplit/>
        </w:trPr>
        <w:tc>
          <w:tcPr>
            <w:tcW w:w="1526" w:type="dxa"/>
          </w:tcPr>
          <w:p w14:paraId="2D506E9F" w14:textId="77777777" w:rsidR="00B041D6" w:rsidRPr="007C316F" w:rsidRDefault="00B041D6">
            <w:pPr>
              <w:pStyle w:val="TableText0"/>
              <w:keepNext w:val="0"/>
              <w:keepLines w:val="0"/>
            </w:pPr>
            <w:r w:rsidRPr="007C316F">
              <w:t>Proportion Class III/IV±V LN that requires immunosuppression</w:t>
            </w:r>
          </w:p>
        </w:tc>
        <w:tc>
          <w:tcPr>
            <w:tcW w:w="1459" w:type="dxa"/>
          </w:tcPr>
          <w:p w14:paraId="01B0A2B5" w14:textId="77777777" w:rsidR="00B041D6" w:rsidRPr="007C316F" w:rsidRDefault="00B041D6">
            <w:pPr>
              <w:pStyle w:val="TableText0"/>
              <w:keepNext w:val="0"/>
              <w:keepLines w:val="0"/>
            </w:pPr>
            <w:r w:rsidRPr="007C316F">
              <w:t>90%</w:t>
            </w:r>
          </w:p>
        </w:tc>
        <w:tc>
          <w:tcPr>
            <w:tcW w:w="3219" w:type="dxa"/>
          </w:tcPr>
          <w:p w14:paraId="705E9E2B" w14:textId="77777777" w:rsidR="00B041D6" w:rsidRPr="007C316F" w:rsidRDefault="00B041D6">
            <w:pPr>
              <w:pStyle w:val="TableText0"/>
              <w:keepNext w:val="0"/>
              <w:keepLines w:val="0"/>
            </w:pPr>
            <w:r w:rsidRPr="007C316F">
              <w:t>Assumed, based on Advisory Board Minutes 2025</w:t>
            </w:r>
          </w:p>
        </w:tc>
        <w:tc>
          <w:tcPr>
            <w:tcW w:w="2976" w:type="dxa"/>
            <w:vMerge/>
          </w:tcPr>
          <w:p w14:paraId="78E6BC19" w14:textId="77777777" w:rsidR="00B041D6" w:rsidRPr="007C316F" w:rsidRDefault="00B041D6">
            <w:pPr>
              <w:pStyle w:val="TableText0"/>
              <w:keepNext w:val="0"/>
              <w:keepLines w:val="0"/>
            </w:pPr>
          </w:p>
        </w:tc>
      </w:tr>
      <w:tr w:rsidR="00B041D6" w:rsidRPr="007C316F" w14:paraId="202ABA22" w14:textId="77777777" w:rsidTr="003F78E1">
        <w:trPr>
          <w:cantSplit/>
        </w:trPr>
        <w:tc>
          <w:tcPr>
            <w:tcW w:w="1526" w:type="dxa"/>
          </w:tcPr>
          <w:p w14:paraId="7785355E" w14:textId="77777777" w:rsidR="00B041D6" w:rsidRPr="007C316F" w:rsidRDefault="00B041D6">
            <w:pPr>
              <w:pStyle w:val="TableText0"/>
              <w:keepNext w:val="0"/>
              <w:keepLines w:val="0"/>
            </w:pPr>
            <w:r w:rsidRPr="007C316F">
              <w:t>Grandfathered patients</w:t>
            </w:r>
          </w:p>
        </w:tc>
        <w:tc>
          <w:tcPr>
            <w:tcW w:w="1459" w:type="dxa"/>
          </w:tcPr>
          <w:p w14:paraId="4C5D3C00" w14:textId="77777777" w:rsidR="00B041D6" w:rsidRPr="007C316F" w:rsidRDefault="00B041D6">
            <w:pPr>
              <w:pStyle w:val="TableText0"/>
              <w:keepNext w:val="0"/>
              <w:keepLines w:val="0"/>
            </w:pPr>
            <w:r w:rsidRPr="007C316F">
              <w:t>0</w:t>
            </w:r>
          </w:p>
        </w:tc>
        <w:tc>
          <w:tcPr>
            <w:tcW w:w="3219" w:type="dxa"/>
          </w:tcPr>
          <w:p w14:paraId="2FD3B8B9" w14:textId="77777777" w:rsidR="00B041D6" w:rsidRPr="007C316F" w:rsidRDefault="00B041D6">
            <w:pPr>
              <w:pStyle w:val="TableText0"/>
              <w:keepNext w:val="0"/>
              <w:keepLines w:val="0"/>
            </w:pPr>
            <w:r w:rsidRPr="007C316F">
              <w:t>Though a patient access program exists, the submission assumed these patients were captured in the prevalent population.</w:t>
            </w:r>
          </w:p>
        </w:tc>
        <w:tc>
          <w:tcPr>
            <w:tcW w:w="2976" w:type="dxa"/>
          </w:tcPr>
          <w:p w14:paraId="68625A2F" w14:textId="6BEBCE2F" w:rsidR="00B041D6" w:rsidRPr="007C316F" w:rsidRDefault="00BF0C61">
            <w:pPr>
              <w:pStyle w:val="TableText0"/>
              <w:keepNext w:val="0"/>
              <w:keepLines w:val="0"/>
            </w:pPr>
            <w:r>
              <w:t xml:space="preserve">The number of </w:t>
            </w:r>
            <w:r w:rsidR="00941C7D">
              <w:t xml:space="preserve">grandfathered patients should be quantified as these patients would </w:t>
            </w:r>
            <w:r w:rsidR="00CB3091">
              <w:t xml:space="preserve">be expected to </w:t>
            </w:r>
            <w:r w:rsidR="00941C7D">
              <w:t>have a shorter treatment duration.</w:t>
            </w:r>
          </w:p>
        </w:tc>
      </w:tr>
      <w:tr w:rsidR="00B041D6" w:rsidRPr="007C316F" w14:paraId="2283D9B1" w14:textId="77777777" w:rsidTr="003F78E1">
        <w:trPr>
          <w:cantSplit/>
        </w:trPr>
        <w:tc>
          <w:tcPr>
            <w:tcW w:w="9180" w:type="dxa"/>
            <w:gridSpan w:val="4"/>
          </w:tcPr>
          <w:p w14:paraId="4EE42C49" w14:textId="77777777" w:rsidR="00B041D6" w:rsidRPr="007C316F" w:rsidRDefault="00B041D6">
            <w:pPr>
              <w:pStyle w:val="In-tableHeading"/>
              <w:keepNext w:val="0"/>
              <w:keepLines w:val="0"/>
              <w:rPr>
                <w:lang w:val="en-AU"/>
              </w:rPr>
            </w:pPr>
            <w:r w:rsidRPr="007C316F">
              <w:rPr>
                <w:lang w:val="en-AU"/>
              </w:rPr>
              <w:t>Treatment utilisation</w:t>
            </w:r>
          </w:p>
        </w:tc>
      </w:tr>
      <w:tr w:rsidR="00B041D6" w:rsidRPr="007C316F" w14:paraId="2658AE28" w14:textId="77777777" w:rsidTr="003F78E1">
        <w:trPr>
          <w:cantSplit/>
        </w:trPr>
        <w:tc>
          <w:tcPr>
            <w:tcW w:w="1526" w:type="dxa"/>
          </w:tcPr>
          <w:p w14:paraId="374327BA" w14:textId="77777777" w:rsidR="00B041D6" w:rsidRPr="007C316F" w:rsidRDefault="00B041D6">
            <w:pPr>
              <w:pStyle w:val="TableText0"/>
              <w:keepNext w:val="0"/>
              <w:keepLines w:val="0"/>
            </w:pPr>
            <w:r w:rsidRPr="007C316F">
              <w:t>Initial uptake of obinutuzumab</w:t>
            </w:r>
          </w:p>
        </w:tc>
        <w:tc>
          <w:tcPr>
            <w:tcW w:w="1459" w:type="dxa"/>
          </w:tcPr>
          <w:p w14:paraId="2657EEE7" w14:textId="4C5E2AD8" w:rsidR="00B041D6" w:rsidRPr="007C316F" w:rsidRDefault="00B041D6">
            <w:pPr>
              <w:pStyle w:val="TableText0"/>
              <w:keepNext w:val="0"/>
              <w:keepLines w:val="0"/>
            </w:pPr>
            <w:r w:rsidRPr="007C316F">
              <w:t xml:space="preserve">Yr 1: </w:t>
            </w:r>
            <w:r w:rsidR="00102373" w:rsidRPr="00102373">
              <w:rPr>
                <w:sz w:val="2"/>
                <w:highlight w:val="black"/>
              </w:rPr>
              <w:t>redacted content</w:t>
            </w:r>
            <w:r w:rsidRPr="007C316F">
              <w:t>%</w:t>
            </w:r>
          </w:p>
          <w:p w14:paraId="1674CFB7" w14:textId="037BE6B8" w:rsidR="00B041D6" w:rsidRPr="007C316F" w:rsidRDefault="00B041D6">
            <w:pPr>
              <w:pStyle w:val="TableText0"/>
              <w:keepNext w:val="0"/>
              <w:keepLines w:val="0"/>
            </w:pPr>
            <w:r w:rsidRPr="007C316F">
              <w:t xml:space="preserve">Yr 2: </w:t>
            </w:r>
            <w:r w:rsidR="00102373" w:rsidRPr="00102373">
              <w:rPr>
                <w:sz w:val="2"/>
                <w:highlight w:val="black"/>
              </w:rPr>
              <w:t>redacted content</w:t>
            </w:r>
            <w:r w:rsidRPr="007C316F">
              <w:t>%</w:t>
            </w:r>
          </w:p>
          <w:p w14:paraId="1A515103" w14:textId="403FF5F7" w:rsidR="00B041D6" w:rsidRPr="007C316F" w:rsidRDefault="00B041D6">
            <w:pPr>
              <w:pStyle w:val="TableText0"/>
              <w:keepNext w:val="0"/>
              <w:keepLines w:val="0"/>
            </w:pPr>
            <w:r w:rsidRPr="007C316F">
              <w:t xml:space="preserve">Yr 3: </w:t>
            </w:r>
            <w:r w:rsidR="00102373" w:rsidRPr="00102373">
              <w:rPr>
                <w:sz w:val="2"/>
                <w:highlight w:val="black"/>
              </w:rPr>
              <w:t>redacted content</w:t>
            </w:r>
            <w:r w:rsidRPr="007C316F">
              <w:t>%</w:t>
            </w:r>
          </w:p>
          <w:p w14:paraId="3C9D960A" w14:textId="564EEDEB" w:rsidR="00B041D6" w:rsidRPr="007C316F" w:rsidRDefault="00B041D6">
            <w:pPr>
              <w:pStyle w:val="TableText0"/>
              <w:keepNext w:val="0"/>
              <w:keepLines w:val="0"/>
            </w:pPr>
            <w:r w:rsidRPr="007C316F">
              <w:t xml:space="preserve">Yr 4: </w:t>
            </w:r>
            <w:r w:rsidR="00102373" w:rsidRPr="00102373">
              <w:rPr>
                <w:sz w:val="2"/>
                <w:highlight w:val="black"/>
              </w:rPr>
              <w:t>redacted content</w:t>
            </w:r>
            <w:r w:rsidRPr="007C316F">
              <w:t>%</w:t>
            </w:r>
          </w:p>
          <w:p w14:paraId="0491CF15" w14:textId="7D8302F0" w:rsidR="00B041D6" w:rsidRPr="007C316F" w:rsidRDefault="00B041D6">
            <w:pPr>
              <w:pStyle w:val="TableText0"/>
              <w:keepNext w:val="0"/>
              <w:keepLines w:val="0"/>
            </w:pPr>
            <w:r w:rsidRPr="007C316F">
              <w:t xml:space="preserve">Yr 5: </w:t>
            </w:r>
            <w:r w:rsidR="00102373" w:rsidRPr="00102373">
              <w:rPr>
                <w:sz w:val="2"/>
                <w:highlight w:val="black"/>
              </w:rPr>
              <w:t>redacted content</w:t>
            </w:r>
            <w:r w:rsidRPr="007C316F">
              <w:t>%</w:t>
            </w:r>
          </w:p>
          <w:p w14:paraId="68C21D1C" w14:textId="7FDDFDFD" w:rsidR="00B041D6" w:rsidRPr="007C316F" w:rsidRDefault="00B041D6">
            <w:pPr>
              <w:pStyle w:val="TableText0"/>
              <w:keepNext w:val="0"/>
              <w:keepLines w:val="0"/>
            </w:pPr>
            <w:r w:rsidRPr="007C316F">
              <w:t xml:space="preserve">Yr 6: </w:t>
            </w:r>
            <w:r w:rsidR="00102373" w:rsidRPr="00102373">
              <w:rPr>
                <w:sz w:val="2"/>
                <w:highlight w:val="black"/>
              </w:rPr>
              <w:t>redacted content</w:t>
            </w:r>
            <w:r w:rsidRPr="007C316F">
              <w:t>%</w:t>
            </w:r>
          </w:p>
        </w:tc>
        <w:tc>
          <w:tcPr>
            <w:tcW w:w="3219" w:type="dxa"/>
          </w:tcPr>
          <w:p w14:paraId="79E3BC1F" w14:textId="529AFA5F" w:rsidR="00B041D6" w:rsidRPr="007C316F" w:rsidRDefault="00B041D6">
            <w:pPr>
              <w:pStyle w:val="TableText0"/>
              <w:keepNext w:val="0"/>
              <w:keepLines w:val="0"/>
            </w:pPr>
            <w:r w:rsidRPr="007C316F">
              <w:t>Assumed uptake for patients upon eligibility for obinutuzumab. Applied to the prevalent population in Year 1, the incident population only in Years 2</w:t>
            </w:r>
            <w:r w:rsidR="00FF1914">
              <w:noBreakHyphen/>
            </w:r>
            <w:r w:rsidRPr="007C316F">
              <w:t>6.</w:t>
            </w:r>
          </w:p>
        </w:tc>
        <w:tc>
          <w:tcPr>
            <w:tcW w:w="2976" w:type="dxa"/>
          </w:tcPr>
          <w:p w14:paraId="2411D340" w14:textId="1860A5B3" w:rsidR="00B041D6" w:rsidRPr="007C316F" w:rsidRDefault="00423B7C">
            <w:pPr>
              <w:pStyle w:val="TableText0"/>
              <w:keepNext w:val="0"/>
              <w:keepLines w:val="0"/>
            </w:pPr>
            <w:r>
              <w:t>The evaluation considered that the u</w:t>
            </w:r>
            <w:r w:rsidR="454302B5" w:rsidRPr="007C316F">
              <w:t xml:space="preserve">ptake appeared low, particularly for incident patients. </w:t>
            </w:r>
            <w:r w:rsidR="454302B5" w:rsidRPr="00C37599">
              <w:t xml:space="preserve">The Advisory Board Minutes 2025 </w:t>
            </w:r>
            <w:r w:rsidR="454302B5" w:rsidRPr="00E9670D">
              <w:t xml:space="preserve">estimated </w:t>
            </w:r>
            <w:r w:rsidR="00102373" w:rsidRPr="00102373">
              <w:rPr>
                <w:sz w:val="2"/>
                <w:highlight w:val="black"/>
              </w:rPr>
              <w:t>redacted content</w:t>
            </w:r>
            <w:r w:rsidR="454302B5" w:rsidRPr="00E9670D">
              <w:t>% of active</w:t>
            </w:r>
            <w:r w:rsidR="454302B5" w:rsidRPr="00C37599">
              <w:t xml:space="preserve"> class III/IV±V LN patients would be</w:t>
            </w:r>
            <w:r w:rsidR="454302B5" w:rsidRPr="007C316F">
              <w:t xml:space="preserve"> treated with obinutuzumab.</w:t>
            </w:r>
          </w:p>
          <w:p w14:paraId="3D88FD41" w14:textId="45D8A38D" w:rsidR="00B041D6" w:rsidRPr="007C316F" w:rsidRDefault="00B041D6">
            <w:pPr>
              <w:pStyle w:val="TableText0"/>
              <w:keepNext w:val="0"/>
              <w:keepLines w:val="0"/>
            </w:pPr>
          </w:p>
          <w:p w14:paraId="00E553B1" w14:textId="47E27A6F" w:rsidR="00534467" w:rsidRPr="007C316F" w:rsidRDefault="6138B139" w:rsidP="7448E857">
            <w:pPr>
              <w:pStyle w:val="TableText0"/>
              <w:keepNext w:val="0"/>
              <w:keepLines w:val="0"/>
            </w:pPr>
            <w:r w:rsidRPr="007C316F">
              <w:t xml:space="preserve">The </w:t>
            </w:r>
            <w:r w:rsidR="00E83357" w:rsidRPr="007C316F">
              <w:t>S</w:t>
            </w:r>
            <w:r w:rsidRPr="007C316F">
              <w:t>ub</w:t>
            </w:r>
            <w:r w:rsidR="00FF1914">
              <w:noBreakHyphen/>
            </w:r>
            <w:r w:rsidR="00E83357" w:rsidRPr="007C316F">
              <w:t>C</w:t>
            </w:r>
            <w:r w:rsidRPr="007C316F">
              <w:t>ommittees</w:t>
            </w:r>
            <w:r w:rsidR="7CD7679A" w:rsidRPr="007C316F">
              <w:t xml:space="preserve"> </w:t>
            </w:r>
            <w:r w:rsidR="5C7B6F08" w:rsidRPr="007C316F">
              <w:t xml:space="preserve">agreed with the </w:t>
            </w:r>
            <w:r w:rsidR="7326BFC5" w:rsidRPr="007C316F">
              <w:t>evaluation</w:t>
            </w:r>
            <w:r w:rsidR="5C7B6F08" w:rsidRPr="007C316F">
              <w:t xml:space="preserve"> </w:t>
            </w:r>
            <w:r w:rsidR="7CD7679A" w:rsidRPr="007C316F">
              <w:t xml:space="preserve">that the </w:t>
            </w:r>
            <w:r w:rsidR="703B6610" w:rsidRPr="007C316F">
              <w:t>uptake rates were likely underestimated</w:t>
            </w:r>
            <w:r w:rsidR="4ED872ED" w:rsidRPr="007C316F">
              <w:t xml:space="preserve">, </w:t>
            </w:r>
            <w:r w:rsidR="1C4E8343" w:rsidRPr="007C316F">
              <w:t>particularly</w:t>
            </w:r>
            <w:r w:rsidR="4ED872ED" w:rsidRPr="007C316F">
              <w:t>, for</w:t>
            </w:r>
            <w:r w:rsidR="703B6610" w:rsidRPr="007C316F">
              <w:t xml:space="preserve"> both incident patients and patients eligible for subsequent treatment, given that triple t</w:t>
            </w:r>
            <w:r w:rsidR="2FB3E0DD" w:rsidRPr="007C316F">
              <w:t>herapy</w:t>
            </w:r>
            <w:r w:rsidR="703B6610" w:rsidRPr="007C316F">
              <w:t xml:space="preserve"> is expected to become the standard of care in Australia. </w:t>
            </w:r>
          </w:p>
          <w:p w14:paraId="585DEF32" w14:textId="77777777" w:rsidR="004A3D7E" w:rsidRDefault="004A3D7E" w:rsidP="5F5EFE71">
            <w:pPr>
              <w:pStyle w:val="TableText0"/>
              <w:keepNext w:val="0"/>
              <w:keepLines w:val="0"/>
            </w:pPr>
          </w:p>
          <w:p w14:paraId="30B4E241" w14:textId="2F849EFB" w:rsidR="00B041D6" w:rsidRPr="007C316F" w:rsidRDefault="008D33D3" w:rsidP="005B7168">
            <w:pPr>
              <w:pStyle w:val="TableText0"/>
              <w:keepNext w:val="0"/>
              <w:keepLines w:val="0"/>
            </w:pPr>
            <w:r>
              <w:t>The Sub</w:t>
            </w:r>
            <w:r w:rsidR="00FF1914">
              <w:noBreakHyphen/>
            </w:r>
            <w:r>
              <w:t xml:space="preserve">Committees considered the uptake rates should be </w:t>
            </w:r>
            <w:r w:rsidR="00102373" w:rsidRPr="00102373">
              <w:rPr>
                <w:sz w:val="2"/>
                <w:highlight w:val="black"/>
              </w:rPr>
              <w:t>redacted content</w:t>
            </w:r>
            <w:r>
              <w:t xml:space="preserve">% </w:t>
            </w:r>
            <w:r w:rsidR="002E22A8">
              <w:t xml:space="preserve">in Year 1 increasing to </w:t>
            </w:r>
            <w:r w:rsidR="00102373" w:rsidRPr="00102373">
              <w:rPr>
                <w:sz w:val="2"/>
                <w:highlight w:val="black"/>
              </w:rPr>
              <w:t>redacted content</w:t>
            </w:r>
            <w:r w:rsidR="002E22A8">
              <w:t xml:space="preserve">% in Year 6. </w:t>
            </w:r>
            <w:r w:rsidR="00010C87">
              <w:t xml:space="preserve">However, </w:t>
            </w:r>
            <w:r w:rsidR="00205F1B">
              <w:t>the PBAC</w:t>
            </w:r>
            <w:r w:rsidR="2AD4D45C" w:rsidRPr="007C316F">
              <w:t xml:space="preserve"> </w:t>
            </w:r>
            <w:r w:rsidR="00455A7C">
              <w:t>considere</w:t>
            </w:r>
            <w:r w:rsidR="00455A7C" w:rsidRPr="007C316F">
              <w:t xml:space="preserve">d </w:t>
            </w:r>
            <w:r w:rsidR="2AD4D45C" w:rsidRPr="007C316F">
              <w:t xml:space="preserve">that the Y1 uptake rate of </w:t>
            </w:r>
            <w:r w:rsidR="00102373" w:rsidRPr="00102373">
              <w:rPr>
                <w:sz w:val="2"/>
                <w:highlight w:val="black"/>
              </w:rPr>
              <w:t>redacted content</w:t>
            </w:r>
            <w:r w:rsidR="2AD4D45C" w:rsidRPr="007C316F">
              <w:t xml:space="preserve">% </w:t>
            </w:r>
            <w:r w:rsidR="00455A7C">
              <w:t xml:space="preserve">(applied to prevalent patients) was underestimated and should be increased to </w:t>
            </w:r>
            <w:r w:rsidR="00102373" w:rsidRPr="00102373">
              <w:rPr>
                <w:sz w:val="2"/>
                <w:highlight w:val="black"/>
              </w:rPr>
              <w:t>redacted content</w:t>
            </w:r>
            <w:r w:rsidR="00455A7C">
              <w:t>%. T</w:t>
            </w:r>
            <w:r w:rsidR="5657FFBA" w:rsidRPr="007C316F">
              <w:t>he</w:t>
            </w:r>
            <w:r w:rsidR="00205F1B" w:rsidDel="002E22A8">
              <w:t xml:space="preserve"> </w:t>
            </w:r>
            <w:r w:rsidR="00205F1B">
              <w:t xml:space="preserve">PBAC </w:t>
            </w:r>
            <w:r w:rsidR="5657FFBA" w:rsidRPr="007C316F">
              <w:t xml:space="preserve">considered </w:t>
            </w:r>
            <w:r w:rsidR="2413FD9F" w:rsidRPr="007C316F">
              <w:t xml:space="preserve">that </w:t>
            </w:r>
            <w:r w:rsidR="5657FFBA" w:rsidRPr="007C316F">
              <w:t>the uptake rates</w:t>
            </w:r>
            <w:r w:rsidR="000F46D0" w:rsidRPr="007C316F">
              <w:t xml:space="preserve"> for</w:t>
            </w:r>
            <w:r w:rsidR="006C519D" w:rsidRPr="007C316F">
              <w:t xml:space="preserve"> incident patients </w:t>
            </w:r>
            <w:r w:rsidR="000F46D0" w:rsidRPr="007C316F">
              <w:t xml:space="preserve">should be adjusted </w:t>
            </w:r>
            <w:r w:rsidR="004A3D7E" w:rsidRPr="007C316F">
              <w:t>to</w:t>
            </w:r>
            <w:r w:rsidR="000F46D0" w:rsidRPr="007C316F">
              <w:t xml:space="preserve"> </w:t>
            </w:r>
            <w:r w:rsidR="00102373" w:rsidRPr="00102373">
              <w:rPr>
                <w:sz w:val="2"/>
                <w:highlight w:val="black"/>
              </w:rPr>
              <w:t>redacted content</w:t>
            </w:r>
            <w:r w:rsidR="000F46D0" w:rsidRPr="007C316F">
              <w:t xml:space="preserve">%, </w:t>
            </w:r>
            <w:r w:rsidR="00102373" w:rsidRPr="00102373">
              <w:rPr>
                <w:sz w:val="2"/>
                <w:highlight w:val="black"/>
              </w:rPr>
              <w:t>redacted content</w:t>
            </w:r>
            <w:r w:rsidR="000F46D0" w:rsidRPr="007C316F">
              <w:t xml:space="preserve">%, </w:t>
            </w:r>
            <w:r w:rsidR="00102373" w:rsidRPr="00102373">
              <w:rPr>
                <w:sz w:val="2"/>
                <w:highlight w:val="black"/>
              </w:rPr>
              <w:t>redacted content</w:t>
            </w:r>
            <w:r w:rsidR="000F46D0" w:rsidRPr="007C316F">
              <w:t xml:space="preserve">%, </w:t>
            </w:r>
            <w:r w:rsidR="00102373" w:rsidRPr="00102373">
              <w:rPr>
                <w:sz w:val="2"/>
                <w:highlight w:val="black"/>
              </w:rPr>
              <w:t>redacted content</w:t>
            </w:r>
            <w:r w:rsidR="000F46D0" w:rsidRPr="007C316F">
              <w:t xml:space="preserve">% and </w:t>
            </w:r>
            <w:r w:rsidR="00102373" w:rsidRPr="00102373">
              <w:rPr>
                <w:sz w:val="2"/>
                <w:highlight w:val="black"/>
              </w:rPr>
              <w:t>redacted content</w:t>
            </w:r>
            <w:r w:rsidR="000F46D0" w:rsidRPr="007C316F">
              <w:t>% for year</w:t>
            </w:r>
            <w:r w:rsidR="004D6301" w:rsidRPr="007C316F">
              <w:t>s</w:t>
            </w:r>
            <w:r w:rsidR="000F46D0" w:rsidRPr="007C316F">
              <w:t xml:space="preserve"> 2 to 6.</w:t>
            </w:r>
          </w:p>
        </w:tc>
      </w:tr>
      <w:tr w:rsidR="00B041D6" w:rsidRPr="007C316F" w14:paraId="745DACC7" w14:textId="77777777" w:rsidTr="003F78E1">
        <w:trPr>
          <w:cantSplit/>
        </w:trPr>
        <w:tc>
          <w:tcPr>
            <w:tcW w:w="1526" w:type="dxa"/>
          </w:tcPr>
          <w:p w14:paraId="331E0681" w14:textId="77777777" w:rsidR="00B041D6" w:rsidRPr="007C316F" w:rsidRDefault="00B041D6">
            <w:pPr>
              <w:pStyle w:val="TableText0"/>
              <w:keepNext w:val="0"/>
              <w:keepLines w:val="0"/>
            </w:pPr>
            <w:r w:rsidRPr="007C316F">
              <w:lastRenderedPageBreak/>
              <w:t>Patients who initiate SOC (i.e., no initial uptake of obinutuzumab), but have no response or worsening disease</w:t>
            </w:r>
          </w:p>
        </w:tc>
        <w:tc>
          <w:tcPr>
            <w:tcW w:w="1459" w:type="dxa"/>
          </w:tcPr>
          <w:p w14:paraId="21EC51C4" w14:textId="77777777" w:rsidR="00B041D6" w:rsidRPr="007C316F" w:rsidRDefault="00B041D6">
            <w:pPr>
              <w:pStyle w:val="TableText0"/>
              <w:keepNext w:val="0"/>
              <w:keepLines w:val="0"/>
            </w:pPr>
            <w:r w:rsidRPr="007C316F">
              <w:t>66.9%</w:t>
            </w:r>
          </w:p>
        </w:tc>
        <w:tc>
          <w:tcPr>
            <w:tcW w:w="3219" w:type="dxa"/>
          </w:tcPr>
          <w:p w14:paraId="020989F3" w14:textId="59909C31" w:rsidR="00B041D6" w:rsidRPr="007C316F" w:rsidRDefault="00B041D6">
            <w:pPr>
              <w:pStyle w:val="TableText0"/>
              <w:keepNext w:val="0"/>
              <w:keepLines w:val="0"/>
            </w:pPr>
            <w:r w:rsidRPr="007C316F">
              <w:t>Proportion of patients who did not achieve CRR in the placebo arm of REGENCY when adjusted for multiple imputation. Applied to the prevalent population from Year 1 plus incident patients in Years 2</w:t>
            </w:r>
            <w:r w:rsidR="00FF1914">
              <w:noBreakHyphen/>
            </w:r>
            <w:r w:rsidRPr="007C316F">
              <w:t>6, excluding those who already initiated obinutuzumab.</w:t>
            </w:r>
          </w:p>
        </w:tc>
        <w:tc>
          <w:tcPr>
            <w:tcW w:w="2976" w:type="dxa"/>
          </w:tcPr>
          <w:p w14:paraId="18D05C36" w14:textId="6E1461EF" w:rsidR="00445CA2" w:rsidRPr="007C316F" w:rsidRDefault="00445CA2">
            <w:pPr>
              <w:pStyle w:val="TableText0"/>
              <w:keepNext w:val="0"/>
              <w:keepLines w:val="0"/>
            </w:pPr>
          </w:p>
          <w:p w14:paraId="1F0DED84" w14:textId="69F65411" w:rsidR="00445CA2" w:rsidRPr="007C316F" w:rsidRDefault="00445CA2">
            <w:pPr>
              <w:pStyle w:val="TableText0"/>
              <w:keepNext w:val="0"/>
              <w:keepLines w:val="0"/>
            </w:pPr>
            <w:r w:rsidRPr="007C316F">
              <w:t>The Sub</w:t>
            </w:r>
            <w:r w:rsidR="00FF1914">
              <w:noBreakHyphen/>
            </w:r>
            <w:r w:rsidRPr="007C316F">
              <w:t>Committees considered the assumption as reasonable.</w:t>
            </w:r>
          </w:p>
        </w:tc>
      </w:tr>
      <w:tr w:rsidR="00B041D6" w:rsidRPr="007C316F" w14:paraId="0AC67AC0" w14:textId="77777777" w:rsidTr="003F78E1">
        <w:trPr>
          <w:cantSplit/>
        </w:trPr>
        <w:tc>
          <w:tcPr>
            <w:tcW w:w="1526" w:type="dxa"/>
          </w:tcPr>
          <w:p w14:paraId="48BA479A" w14:textId="77777777" w:rsidR="00B041D6" w:rsidRPr="007C316F" w:rsidRDefault="00B041D6">
            <w:pPr>
              <w:pStyle w:val="TableText0"/>
              <w:keepNext w:val="0"/>
              <w:keepLines w:val="0"/>
            </w:pPr>
            <w:r w:rsidRPr="007C316F">
              <w:t>Subsequent uptake of obinutuzumab following SOC with no response or worsening disease</w:t>
            </w:r>
          </w:p>
        </w:tc>
        <w:tc>
          <w:tcPr>
            <w:tcW w:w="1459" w:type="dxa"/>
          </w:tcPr>
          <w:p w14:paraId="2D59BBC8" w14:textId="14379C54" w:rsidR="00B041D6" w:rsidRPr="007C316F" w:rsidRDefault="00B041D6">
            <w:pPr>
              <w:pStyle w:val="TableText0"/>
              <w:keepNext w:val="0"/>
              <w:keepLines w:val="0"/>
            </w:pPr>
            <w:r w:rsidRPr="007C316F">
              <w:t xml:space="preserve">Yr 1: </w:t>
            </w:r>
            <w:r w:rsidR="00102373" w:rsidRPr="00102373">
              <w:rPr>
                <w:sz w:val="2"/>
                <w:highlight w:val="black"/>
              </w:rPr>
              <w:t>redacted content</w:t>
            </w:r>
            <w:r w:rsidRPr="007C316F">
              <w:t>%</w:t>
            </w:r>
          </w:p>
          <w:p w14:paraId="6685C384" w14:textId="075E33D1" w:rsidR="00B041D6" w:rsidRPr="007C316F" w:rsidRDefault="00B041D6">
            <w:pPr>
              <w:pStyle w:val="TableText0"/>
              <w:keepNext w:val="0"/>
              <w:keepLines w:val="0"/>
            </w:pPr>
            <w:r w:rsidRPr="007C316F">
              <w:t xml:space="preserve">Yr 2: </w:t>
            </w:r>
            <w:r w:rsidR="00102373" w:rsidRPr="00102373">
              <w:rPr>
                <w:sz w:val="2"/>
                <w:highlight w:val="black"/>
              </w:rPr>
              <w:t>redacted content</w:t>
            </w:r>
            <w:r w:rsidRPr="007C316F">
              <w:t>%</w:t>
            </w:r>
          </w:p>
          <w:p w14:paraId="34AA9351" w14:textId="66DF2148" w:rsidR="00B041D6" w:rsidRPr="007C316F" w:rsidRDefault="00B041D6">
            <w:pPr>
              <w:pStyle w:val="TableText0"/>
              <w:keepNext w:val="0"/>
              <w:keepLines w:val="0"/>
            </w:pPr>
            <w:r w:rsidRPr="007C316F">
              <w:t xml:space="preserve">Yr 3: </w:t>
            </w:r>
            <w:r w:rsidR="00102373" w:rsidRPr="00102373">
              <w:rPr>
                <w:sz w:val="2"/>
                <w:highlight w:val="black"/>
              </w:rPr>
              <w:t>redacted content</w:t>
            </w:r>
            <w:r w:rsidRPr="007C316F">
              <w:t>%</w:t>
            </w:r>
          </w:p>
          <w:p w14:paraId="0EE267A4" w14:textId="19AACD36" w:rsidR="00B041D6" w:rsidRPr="007C316F" w:rsidRDefault="00B041D6">
            <w:pPr>
              <w:pStyle w:val="TableText0"/>
              <w:keepNext w:val="0"/>
              <w:keepLines w:val="0"/>
            </w:pPr>
            <w:r w:rsidRPr="007C316F">
              <w:t xml:space="preserve">Yr 4: </w:t>
            </w:r>
            <w:r w:rsidR="00102373" w:rsidRPr="00102373">
              <w:rPr>
                <w:sz w:val="2"/>
                <w:highlight w:val="black"/>
              </w:rPr>
              <w:t>redacted content</w:t>
            </w:r>
            <w:r w:rsidRPr="007C316F">
              <w:t>%</w:t>
            </w:r>
          </w:p>
          <w:p w14:paraId="1EAEB08F" w14:textId="3A9BC53F" w:rsidR="00B041D6" w:rsidRPr="007C316F" w:rsidRDefault="00B041D6">
            <w:pPr>
              <w:pStyle w:val="TableText0"/>
              <w:keepNext w:val="0"/>
              <w:keepLines w:val="0"/>
            </w:pPr>
            <w:r w:rsidRPr="007C316F">
              <w:t xml:space="preserve">Yr 5: </w:t>
            </w:r>
            <w:r w:rsidR="00102373" w:rsidRPr="00102373">
              <w:rPr>
                <w:sz w:val="2"/>
                <w:highlight w:val="black"/>
              </w:rPr>
              <w:t>redacted content</w:t>
            </w:r>
            <w:r w:rsidRPr="007C316F">
              <w:t>%</w:t>
            </w:r>
          </w:p>
          <w:p w14:paraId="2EB81758" w14:textId="3F27B553" w:rsidR="00B041D6" w:rsidRPr="007C316F" w:rsidRDefault="00B041D6">
            <w:pPr>
              <w:pStyle w:val="TableText0"/>
              <w:keepNext w:val="0"/>
              <w:keepLines w:val="0"/>
            </w:pPr>
            <w:r w:rsidRPr="007C316F">
              <w:t xml:space="preserve">Yr 6: </w:t>
            </w:r>
            <w:r w:rsidR="00102373" w:rsidRPr="00102373">
              <w:rPr>
                <w:sz w:val="2"/>
                <w:highlight w:val="black"/>
              </w:rPr>
              <w:t>redacted content</w:t>
            </w:r>
            <w:r w:rsidRPr="007C316F">
              <w:t>%</w:t>
            </w:r>
          </w:p>
        </w:tc>
        <w:tc>
          <w:tcPr>
            <w:tcW w:w="3219" w:type="dxa"/>
          </w:tcPr>
          <w:p w14:paraId="1FDC17CC" w14:textId="77777777" w:rsidR="00A14BD4" w:rsidRDefault="00B041D6">
            <w:pPr>
              <w:pStyle w:val="TableText0"/>
              <w:keepNext w:val="0"/>
              <w:keepLines w:val="0"/>
            </w:pPr>
            <w:r w:rsidRPr="007C316F">
              <w:t>Assumption.</w:t>
            </w:r>
            <w:r w:rsidR="00A14BD4" w:rsidRPr="007C316F">
              <w:t xml:space="preserve"> </w:t>
            </w:r>
          </w:p>
          <w:p w14:paraId="67646A0D" w14:textId="5BC41C9F" w:rsidR="00B041D6" w:rsidRPr="007C316F" w:rsidRDefault="00A14BD4">
            <w:pPr>
              <w:pStyle w:val="TableText0"/>
              <w:keepNext w:val="0"/>
              <w:keepLines w:val="0"/>
            </w:pPr>
            <w:r>
              <w:t xml:space="preserve">A </w:t>
            </w:r>
            <w:r w:rsidRPr="007C316F">
              <w:t xml:space="preserve">6 month delay </w:t>
            </w:r>
            <w:r>
              <w:t xml:space="preserve">was </w:t>
            </w:r>
            <w:r w:rsidRPr="007C316F">
              <w:t>applied to subsequent uptake (i.e., 6 months of uptake assumed in the current year, 6 months in the following year).</w:t>
            </w:r>
          </w:p>
        </w:tc>
        <w:tc>
          <w:tcPr>
            <w:tcW w:w="2976" w:type="dxa"/>
          </w:tcPr>
          <w:p w14:paraId="2763EFBD" w14:textId="2323C52F" w:rsidR="00B041D6" w:rsidRPr="007C316F" w:rsidRDefault="00065D83">
            <w:pPr>
              <w:pStyle w:val="TableText0"/>
              <w:keepNext w:val="0"/>
              <w:keepLines w:val="0"/>
            </w:pPr>
            <w:r>
              <w:t>The evaluation considered the a</w:t>
            </w:r>
            <w:r w:rsidR="454302B5" w:rsidRPr="007C316F">
              <w:t xml:space="preserve">ssumed uptake rates appeared low; the </w:t>
            </w:r>
            <w:r w:rsidR="454302B5" w:rsidRPr="00930B0F">
              <w:t>Advisory Board Minutes 2025</w:t>
            </w:r>
            <w:r w:rsidR="2C35ED38" w:rsidRPr="00930B0F">
              <w:t xml:space="preserve"> </w:t>
            </w:r>
            <w:r w:rsidR="454302B5" w:rsidRPr="00930B0F">
              <w:t xml:space="preserve">estimated </w:t>
            </w:r>
            <w:r w:rsidR="00102373" w:rsidRPr="00102373">
              <w:rPr>
                <w:sz w:val="2"/>
                <w:highlight w:val="black"/>
              </w:rPr>
              <w:t>redacted content</w:t>
            </w:r>
            <w:r w:rsidR="454302B5" w:rsidRPr="00930B0F">
              <w:t>% of active class III/IV±V LN patients would be treated with obinutuzumab. No year</w:t>
            </w:r>
            <w:r w:rsidR="00FF1914" w:rsidRPr="00930B0F">
              <w:noBreakHyphen/>
            </w:r>
            <w:r w:rsidR="454302B5" w:rsidRPr="00930B0F">
              <w:t>by</w:t>
            </w:r>
            <w:r w:rsidR="00FF1914" w:rsidRPr="00930B0F">
              <w:noBreakHyphen/>
            </w:r>
            <w:r w:rsidR="454302B5" w:rsidRPr="00930B0F">
              <w:t>year scaling</w:t>
            </w:r>
            <w:r w:rsidR="454302B5" w:rsidRPr="007C316F">
              <w:t xml:space="preserve"> was suggested. </w:t>
            </w:r>
          </w:p>
          <w:p w14:paraId="03EFD13E" w14:textId="5FCA47BD" w:rsidR="00B041D6" w:rsidRPr="007C316F" w:rsidRDefault="00B041D6">
            <w:pPr>
              <w:pStyle w:val="TableText0"/>
              <w:keepNext w:val="0"/>
              <w:keepLines w:val="0"/>
            </w:pPr>
          </w:p>
          <w:p w14:paraId="124561D2" w14:textId="13F3BCC5" w:rsidR="00B041D6" w:rsidRPr="007C316F" w:rsidRDefault="002A2B65" w:rsidP="5F5EFE71">
            <w:pPr>
              <w:pStyle w:val="TableText0"/>
              <w:keepNext w:val="0"/>
              <w:keepLines w:val="0"/>
            </w:pPr>
            <w:r w:rsidRPr="007C316F">
              <w:t>The Sub</w:t>
            </w:r>
            <w:r w:rsidR="00FF1914">
              <w:noBreakHyphen/>
            </w:r>
            <w:r w:rsidR="009030AE" w:rsidRPr="007C316F">
              <w:t>Committees agreed with the evaluation that the</w:t>
            </w:r>
            <w:r w:rsidR="0050593B" w:rsidRPr="007C316F">
              <w:t xml:space="preserve"> uptake rates for</w:t>
            </w:r>
            <w:r w:rsidR="009030AE" w:rsidRPr="007C316F">
              <w:t xml:space="preserve"> subsequent </w:t>
            </w:r>
            <w:r w:rsidR="007E4C73" w:rsidRPr="007C316F">
              <w:t>treatment were likely underestimated</w:t>
            </w:r>
            <w:r w:rsidR="006C519D" w:rsidRPr="007C316F">
              <w:t xml:space="preserve"> due to the </w:t>
            </w:r>
            <w:r w:rsidR="00B879C8" w:rsidRPr="007C316F">
              <w:t xml:space="preserve">increasing </w:t>
            </w:r>
            <w:r w:rsidR="006C519D" w:rsidRPr="007C316F">
              <w:t>acceptance of triple therapy in Australia</w:t>
            </w:r>
            <w:r w:rsidR="00FF2006" w:rsidRPr="007C316F">
              <w:t>. The Sub</w:t>
            </w:r>
            <w:r w:rsidR="00FF1914">
              <w:noBreakHyphen/>
            </w:r>
            <w:r w:rsidR="00FF2006" w:rsidRPr="007C316F">
              <w:t>Committees</w:t>
            </w:r>
            <w:r w:rsidR="00786E2A">
              <w:t xml:space="preserve"> </w:t>
            </w:r>
            <w:r w:rsidR="00FF2006" w:rsidRPr="007C316F">
              <w:t>considered that the uptak</w:t>
            </w:r>
            <w:r w:rsidR="0026045F" w:rsidRPr="007C316F">
              <w:t xml:space="preserve">e rates </w:t>
            </w:r>
            <w:r w:rsidR="00EA767F">
              <w:t xml:space="preserve">(for </w:t>
            </w:r>
            <w:r w:rsidR="00D62EF1">
              <w:t xml:space="preserve">subsequent uptake following </w:t>
            </w:r>
            <w:r w:rsidR="005D62C2">
              <w:t>no response/worsening on SOC)</w:t>
            </w:r>
            <w:r w:rsidR="00EA767F">
              <w:t xml:space="preserve"> </w:t>
            </w:r>
            <w:r w:rsidR="0026045F" w:rsidRPr="007C316F">
              <w:t>should</w:t>
            </w:r>
            <w:r w:rsidR="005D62C2">
              <w:t xml:space="preserve"> also</w:t>
            </w:r>
            <w:r w:rsidR="0026045F" w:rsidRPr="007C316F">
              <w:t xml:space="preserve"> be adjusted to </w:t>
            </w:r>
            <w:r w:rsidR="00102373" w:rsidRPr="00102373">
              <w:rPr>
                <w:sz w:val="2"/>
                <w:highlight w:val="black"/>
              </w:rPr>
              <w:t>redacted content</w:t>
            </w:r>
            <w:r w:rsidR="0026045F" w:rsidRPr="007C316F">
              <w:t xml:space="preserve">%, </w:t>
            </w:r>
            <w:r w:rsidR="00102373" w:rsidRPr="00102373">
              <w:rPr>
                <w:sz w:val="2"/>
                <w:highlight w:val="black"/>
              </w:rPr>
              <w:t>redacted content</w:t>
            </w:r>
            <w:r w:rsidR="0026045F" w:rsidRPr="007C316F">
              <w:t xml:space="preserve">%, </w:t>
            </w:r>
            <w:r w:rsidR="00102373" w:rsidRPr="00102373">
              <w:rPr>
                <w:sz w:val="2"/>
                <w:highlight w:val="black"/>
              </w:rPr>
              <w:t>redacted content</w:t>
            </w:r>
            <w:r w:rsidR="0026045F" w:rsidRPr="007C316F">
              <w:t xml:space="preserve">% </w:t>
            </w:r>
            <w:r w:rsidR="00102373" w:rsidRPr="00102373">
              <w:rPr>
                <w:sz w:val="2"/>
                <w:highlight w:val="black"/>
              </w:rPr>
              <w:t>redacted content</w:t>
            </w:r>
            <w:r w:rsidR="00B66851" w:rsidRPr="007C316F">
              <w:t xml:space="preserve">%, </w:t>
            </w:r>
            <w:r w:rsidR="00102373" w:rsidRPr="00102373">
              <w:rPr>
                <w:sz w:val="2"/>
                <w:highlight w:val="black"/>
              </w:rPr>
              <w:t>redacted content</w:t>
            </w:r>
            <w:r w:rsidR="00B66851" w:rsidRPr="007C316F">
              <w:t xml:space="preserve">% and </w:t>
            </w:r>
            <w:r w:rsidR="00102373" w:rsidRPr="00102373">
              <w:rPr>
                <w:sz w:val="2"/>
                <w:highlight w:val="black"/>
              </w:rPr>
              <w:t>redacted content</w:t>
            </w:r>
            <w:r w:rsidR="00B66851" w:rsidRPr="007C316F">
              <w:t>% for year</w:t>
            </w:r>
            <w:r w:rsidR="00CD7A56" w:rsidRPr="007C316F">
              <w:t>s</w:t>
            </w:r>
            <w:r w:rsidR="00B66851" w:rsidRPr="007C316F">
              <w:t xml:space="preserve"> 1 to 6.</w:t>
            </w:r>
            <w:r w:rsidR="5290277E" w:rsidRPr="007C316F">
              <w:t xml:space="preserve"> </w:t>
            </w:r>
            <w:r w:rsidR="00A85540">
              <w:t xml:space="preserve">However, the PBAC considered these should be </w:t>
            </w:r>
            <w:r w:rsidR="00C275E1" w:rsidRPr="007C316F">
              <w:t xml:space="preserve">adjusted to </w:t>
            </w:r>
            <w:r w:rsidR="00102373" w:rsidRPr="00102373">
              <w:rPr>
                <w:sz w:val="2"/>
                <w:highlight w:val="black"/>
              </w:rPr>
              <w:t>redacted content</w:t>
            </w:r>
            <w:r w:rsidR="00C275E1" w:rsidRPr="007C316F">
              <w:t>%</w:t>
            </w:r>
            <w:r w:rsidR="00C275E1">
              <w:t xml:space="preserve"> in Year 1</w:t>
            </w:r>
            <w:r w:rsidR="00C275E1" w:rsidRPr="007C316F">
              <w:t xml:space="preserve">, </w:t>
            </w:r>
            <w:r w:rsidR="00102373" w:rsidRPr="00102373">
              <w:rPr>
                <w:sz w:val="2"/>
                <w:highlight w:val="black"/>
              </w:rPr>
              <w:t>redacted content</w:t>
            </w:r>
            <w:r w:rsidR="00C275E1" w:rsidRPr="007C316F">
              <w:t>%</w:t>
            </w:r>
            <w:r w:rsidR="00C275E1">
              <w:t xml:space="preserve"> in Year 2,</w:t>
            </w:r>
            <w:r w:rsidR="00C275E1" w:rsidRPr="007C316F">
              <w:t xml:space="preserve"> </w:t>
            </w:r>
            <w:r w:rsidR="00102373" w:rsidRPr="00102373">
              <w:rPr>
                <w:sz w:val="2"/>
                <w:highlight w:val="black"/>
              </w:rPr>
              <w:t>redacted content</w:t>
            </w:r>
            <w:r w:rsidR="00C275E1" w:rsidRPr="007C316F">
              <w:t xml:space="preserve">% </w:t>
            </w:r>
            <w:r w:rsidR="00C275E1">
              <w:t>in Years 3 to 6.</w:t>
            </w:r>
          </w:p>
        </w:tc>
      </w:tr>
      <w:tr w:rsidR="00B041D6" w:rsidRPr="007C316F" w14:paraId="54B40579" w14:textId="77777777" w:rsidTr="003F78E1">
        <w:trPr>
          <w:cantSplit/>
        </w:trPr>
        <w:tc>
          <w:tcPr>
            <w:tcW w:w="1526" w:type="dxa"/>
          </w:tcPr>
          <w:p w14:paraId="7D0BB5D2" w14:textId="77777777" w:rsidR="00B041D6" w:rsidRPr="007C316F" w:rsidRDefault="00B041D6">
            <w:pPr>
              <w:pStyle w:val="TableText0"/>
              <w:keepNext w:val="0"/>
              <w:keepLines w:val="0"/>
            </w:pPr>
            <w:r w:rsidRPr="007C316F">
              <w:t xml:space="preserve">Proportion continuing treatment </w:t>
            </w:r>
          </w:p>
        </w:tc>
        <w:tc>
          <w:tcPr>
            <w:tcW w:w="1459" w:type="dxa"/>
          </w:tcPr>
          <w:p w14:paraId="454B3572" w14:textId="77777777" w:rsidR="00B041D6" w:rsidRPr="007C316F" w:rsidRDefault="00B041D6">
            <w:pPr>
              <w:pStyle w:val="TableText0"/>
              <w:keepNext w:val="0"/>
              <w:keepLines w:val="0"/>
            </w:pPr>
            <w:r w:rsidRPr="007C316F">
              <w:t>1</w:t>
            </w:r>
            <w:r w:rsidRPr="007C316F">
              <w:rPr>
                <w:vertAlign w:val="superscript"/>
              </w:rPr>
              <w:t>st</w:t>
            </w:r>
            <w:r w:rsidRPr="007C316F">
              <w:t xml:space="preserve"> year: 100%</w:t>
            </w:r>
          </w:p>
          <w:p w14:paraId="714E2F80" w14:textId="77777777" w:rsidR="00B041D6" w:rsidRPr="007C316F" w:rsidRDefault="00B041D6">
            <w:pPr>
              <w:pStyle w:val="TableText0"/>
              <w:keepNext w:val="0"/>
              <w:keepLines w:val="0"/>
            </w:pPr>
            <w:r w:rsidRPr="007C316F">
              <w:t>2</w:t>
            </w:r>
            <w:r w:rsidRPr="007C316F">
              <w:rPr>
                <w:vertAlign w:val="superscript"/>
              </w:rPr>
              <w:t>nd</w:t>
            </w:r>
            <w:r w:rsidRPr="007C316F">
              <w:t xml:space="preserve"> year: 78.7%</w:t>
            </w:r>
          </w:p>
          <w:p w14:paraId="5F814094" w14:textId="77777777" w:rsidR="00B041D6" w:rsidRPr="007C316F" w:rsidRDefault="00B041D6">
            <w:pPr>
              <w:pStyle w:val="TableText0"/>
              <w:keepNext w:val="0"/>
              <w:keepLines w:val="0"/>
            </w:pPr>
            <w:r w:rsidRPr="007C316F">
              <w:t>3</w:t>
            </w:r>
            <w:r w:rsidRPr="007C316F">
              <w:rPr>
                <w:vertAlign w:val="superscript"/>
              </w:rPr>
              <w:t>rd</w:t>
            </w:r>
            <w:r w:rsidRPr="007C316F">
              <w:t xml:space="preserve"> year: 100%</w:t>
            </w:r>
          </w:p>
          <w:p w14:paraId="7C974A00" w14:textId="77777777" w:rsidR="00B041D6" w:rsidRPr="007C316F" w:rsidRDefault="00B041D6">
            <w:pPr>
              <w:pStyle w:val="TableText0"/>
              <w:keepNext w:val="0"/>
              <w:keepLines w:val="0"/>
            </w:pPr>
            <w:r w:rsidRPr="007C316F">
              <w:t>4</w:t>
            </w:r>
            <w:r w:rsidRPr="007C316F">
              <w:rPr>
                <w:vertAlign w:val="superscript"/>
              </w:rPr>
              <w:t>th</w:t>
            </w:r>
            <w:r w:rsidRPr="007C316F">
              <w:t xml:space="preserve"> year: 0%</w:t>
            </w:r>
          </w:p>
        </w:tc>
        <w:tc>
          <w:tcPr>
            <w:tcW w:w="3219" w:type="dxa"/>
          </w:tcPr>
          <w:p w14:paraId="52FED2D7" w14:textId="77777777" w:rsidR="00B041D6" w:rsidRPr="007C316F" w:rsidRDefault="00B041D6">
            <w:pPr>
              <w:pStyle w:val="TableText0"/>
              <w:keepNext w:val="0"/>
              <w:keepLines w:val="0"/>
            </w:pPr>
            <w:r w:rsidRPr="007C316F">
              <w:t>1</w:t>
            </w:r>
            <w:r w:rsidRPr="007C316F">
              <w:rPr>
                <w:vertAlign w:val="superscript"/>
              </w:rPr>
              <w:t>st</w:t>
            </w:r>
            <w:r w:rsidRPr="007C316F">
              <w:t xml:space="preserve"> year (initiating year): no discontinuation assumed</w:t>
            </w:r>
          </w:p>
          <w:p w14:paraId="14EB713A" w14:textId="77777777" w:rsidR="00B041D6" w:rsidRPr="007C316F" w:rsidRDefault="00B041D6">
            <w:pPr>
              <w:pStyle w:val="TableText0"/>
              <w:keepNext w:val="0"/>
              <w:keepLines w:val="0"/>
            </w:pPr>
            <w:r w:rsidRPr="007C316F">
              <w:t>2</w:t>
            </w:r>
            <w:r w:rsidRPr="007C316F">
              <w:rPr>
                <w:vertAlign w:val="superscript"/>
              </w:rPr>
              <w:t>nd</w:t>
            </w:r>
            <w:r w:rsidRPr="007C316F">
              <w:t xml:space="preserve"> year: 100% minus 21.3% patients who discontinued obinutuzumab in REGENCY (including those who died) by Week 76. </w:t>
            </w:r>
          </w:p>
          <w:p w14:paraId="27637FDC" w14:textId="77777777" w:rsidR="00B041D6" w:rsidRPr="007C316F" w:rsidRDefault="00B041D6">
            <w:pPr>
              <w:pStyle w:val="TableText0"/>
              <w:keepNext w:val="0"/>
              <w:keepLines w:val="0"/>
            </w:pPr>
            <w:r w:rsidRPr="007C316F">
              <w:t>3</w:t>
            </w:r>
            <w:r w:rsidRPr="007C316F">
              <w:rPr>
                <w:vertAlign w:val="superscript"/>
              </w:rPr>
              <w:t>rd</w:t>
            </w:r>
            <w:r w:rsidRPr="007C316F">
              <w:t xml:space="preserve"> year: no further discontinuation assumed</w:t>
            </w:r>
          </w:p>
          <w:p w14:paraId="2F2CE0D5" w14:textId="77777777" w:rsidR="00B041D6" w:rsidRPr="007C316F" w:rsidRDefault="00B041D6">
            <w:pPr>
              <w:pStyle w:val="TableText0"/>
              <w:keepNext w:val="0"/>
              <w:keepLines w:val="0"/>
            </w:pPr>
            <w:r w:rsidRPr="007C316F">
              <w:t>4</w:t>
            </w:r>
            <w:r w:rsidRPr="007C316F">
              <w:rPr>
                <w:vertAlign w:val="superscript"/>
              </w:rPr>
              <w:t>th</w:t>
            </w:r>
            <w:r w:rsidRPr="007C316F">
              <w:t xml:space="preserve"> year: all patients assumed to discontinue treatment</w:t>
            </w:r>
          </w:p>
        </w:tc>
        <w:tc>
          <w:tcPr>
            <w:tcW w:w="2976" w:type="dxa"/>
          </w:tcPr>
          <w:p w14:paraId="67BA10E9" w14:textId="77777777" w:rsidR="00B041D6" w:rsidRPr="007C316F" w:rsidRDefault="00B041D6">
            <w:pPr>
              <w:pStyle w:val="TableText0"/>
              <w:keepNext w:val="0"/>
              <w:keepLines w:val="0"/>
            </w:pPr>
            <w:r w:rsidRPr="007C316F">
              <w:t>No maximum treatment duration was included in the proposed restriction. The application of the discontinuation rate did not align with REGENCY (Week 76 applied at Month 12 in the financial estimates, no further discontinuation included).</w:t>
            </w:r>
          </w:p>
          <w:p w14:paraId="6827AA10" w14:textId="77777777" w:rsidR="00B041D6" w:rsidRPr="007C316F" w:rsidRDefault="00B041D6">
            <w:pPr>
              <w:pStyle w:val="TableText0"/>
              <w:keepNext w:val="0"/>
              <w:keepLines w:val="0"/>
            </w:pPr>
            <w:r w:rsidRPr="007C316F">
              <w:t>The financial estimates estimated 8.15 doses per person compared to 6.84 doses in the economic model.</w:t>
            </w:r>
          </w:p>
        </w:tc>
      </w:tr>
      <w:tr w:rsidR="00B041D6" w:rsidRPr="007C316F" w14:paraId="244DA57B" w14:textId="77777777" w:rsidTr="003F78E1">
        <w:trPr>
          <w:cantSplit/>
        </w:trPr>
        <w:tc>
          <w:tcPr>
            <w:tcW w:w="9180" w:type="dxa"/>
            <w:gridSpan w:val="4"/>
          </w:tcPr>
          <w:p w14:paraId="110C6A10" w14:textId="77777777" w:rsidR="00B041D6" w:rsidRPr="007C316F" w:rsidRDefault="00B041D6">
            <w:pPr>
              <w:pStyle w:val="In-tableHeading"/>
              <w:keepNext w:val="0"/>
              <w:keepLines w:val="0"/>
              <w:rPr>
                <w:lang w:val="en-AU"/>
              </w:rPr>
            </w:pPr>
            <w:r w:rsidRPr="007C316F">
              <w:rPr>
                <w:lang w:val="en-AU"/>
              </w:rPr>
              <w:t>Costs</w:t>
            </w:r>
          </w:p>
        </w:tc>
      </w:tr>
      <w:tr w:rsidR="00B041D6" w:rsidRPr="007C316F" w14:paraId="1F9772CA" w14:textId="77777777" w:rsidTr="003F78E1">
        <w:trPr>
          <w:cantSplit/>
        </w:trPr>
        <w:tc>
          <w:tcPr>
            <w:tcW w:w="1526" w:type="dxa"/>
          </w:tcPr>
          <w:p w14:paraId="68CE0DA6" w14:textId="77777777" w:rsidR="00B041D6" w:rsidRPr="007C316F" w:rsidRDefault="00B041D6">
            <w:pPr>
              <w:pStyle w:val="TableText0"/>
              <w:keepNext w:val="0"/>
              <w:keepLines w:val="0"/>
            </w:pPr>
            <w:r w:rsidRPr="007C316F">
              <w:t>MBS costs</w:t>
            </w:r>
          </w:p>
        </w:tc>
        <w:tc>
          <w:tcPr>
            <w:tcW w:w="1459" w:type="dxa"/>
          </w:tcPr>
          <w:p w14:paraId="43EE8A99" w14:textId="77777777" w:rsidR="00B041D6" w:rsidRPr="007C316F" w:rsidRDefault="00B041D6">
            <w:pPr>
              <w:pStyle w:val="TableText0"/>
              <w:keepNext w:val="0"/>
              <w:keepLines w:val="0"/>
            </w:pPr>
            <w:r w:rsidRPr="007C316F">
              <w:t>$126.00 ($100.80 for 80% rebate rate)</w:t>
            </w:r>
          </w:p>
        </w:tc>
        <w:tc>
          <w:tcPr>
            <w:tcW w:w="3219" w:type="dxa"/>
          </w:tcPr>
          <w:p w14:paraId="3147DBA3" w14:textId="77777777" w:rsidR="00B041D6" w:rsidRPr="007C316F" w:rsidRDefault="00B041D6">
            <w:pPr>
              <w:pStyle w:val="TableText0"/>
              <w:keepNext w:val="0"/>
              <w:keepLines w:val="0"/>
            </w:pPr>
            <w:r w:rsidRPr="007C316F">
              <w:t>MBS item number 13950 (additional cost of administration)</w:t>
            </w:r>
          </w:p>
        </w:tc>
        <w:tc>
          <w:tcPr>
            <w:tcW w:w="2976" w:type="dxa"/>
          </w:tcPr>
          <w:p w14:paraId="2CC1BDB4" w14:textId="224930F9" w:rsidR="00B041D6" w:rsidRPr="007C316F" w:rsidRDefault="00B041D6">
            <w:pPr>
              <w:pStyle w:val="TableText0"/>
              <w:keepNext w:val="0"/>
              <w:keepLines w:val="0"/>
            </w:pPr>
            <w:r w:rsidRPr="007C316F">
              <w:t xml:space="preserve">Reasonable, although the </w:t>
            </w:r>
            <w:r w:rsidR="00CB6F07">
              <w:t>evaluation noted that the</w:t>
            </w:r>
            <w:r w:rsidRPr="007C316F">
              <w:t xml:space="preserve"> estimates did not include the cost of treating adverse events, which were more frequent in the obinutuzumab arm of REGENCY.</w:t>
            </w:r>
          </w:p>
        </w:tc>
      </w:tr>
    </w:tbl>
    <w:p w14:paraId="2C27B1EE" w14:textId="68C6BD15" w:rsidR="006F0D5C" w:rsidRPr="007C316F" w:rsidRDefault="006F0D5C" w:rsidP="006F0D5C">
      <w:pPr>
        <w:pStyle w:val="FooterTableFigure"/>
      </w:pPr>
      <w:r w:rsidRPr="007C316F">
        <w:t>Source: Section 4.2.1 p160</w:t>
      </w:r>
      <w:r w:rsidR="00FF1914">
        <w:noBreakHyphen/>
      </w:r>
      <w:r w:rsidRPr="007C316F">
        <w:t>167, Table 4.13 p168, Table 4.15 p169 of the submission and compiled from Excel workbook ‘Section 4 Workbook.xlsx’.</w:t>
      </w:r>
    </w:p>
    <w:p w14:paraId="09E1B308" w14:textId="77777777" w:rsidR="006F0D5C" w:rsidRPr="007C316F" w:rsidRDefault="006F0D5C" w:rsidP="006F0D5C">
      <w:pPr>
        <w:pStyle w:val="FooterTableFigure"/>
      </w:pPr>
      <w:r w:rsidRPr="007C316F">
        <w:t>ABS= Australian Bureau of Statistics; CRR=complete renal response; LN= lupus nephritis; PR=partial response; SLE=systemic lupus erythematosus; SOC=standard of care; Yr=year</w:t>
      </w:r>
    </w:p>
    <w:p w14:paraId="329DFCE5" w14:textId="64A9946F" w:rsidR="006F0D5C" w:rsidRPr="007C316F" w:rsidRDefault="006F0D5C" w:rsidP="006F0D5C">
      <w:pPr>
        <w:pStyle w:val="3-BodyText"/>
        <w:numPr>
          <w:ilvl w:val="1"/>
          <w:numId w:val="1"/>
        </w:numPr>
        <w:rPr>
          <w:color w:val="0066FF"/>
        </w:rPr>
      </w:pPr>
      <w:r w:rsidRPr="007C316F">
        <w:fldChar w:fldCharType="begin"/>
      </w:r>
      <w:r w:rsidRPr="007C316F">
        <w:instrText xml:space="preserve"> REF _Ref104805295 \h  \* MERGEFORMAT </w:instrText>
      </w:r>
      <w:r w:rsidRPr="007C316F">
        <w:fldChar w:fldCharType="separate"/>
      </w:r>
      <w:r w:rsidR="002255D9" w:rsidRPr="007C316F">
        <w:t xml:space="preserve">Table </w:t>
      </w:r>
      <w:r w:rsidR="002255D9">
        <w:t>14</w:t>
      </w:r>
      <w:r w:rsidRPr="007C316F">
        <w:fldChar w:fldCharType="end"/>
      </w:r>
      <w:r w:rsidRPr="007C316F">
        <w:t xml:space="preserve"> summarises the estimated net financial impact to PBS and MBS of the proposed listing of obinutuzumab for class III/IV </w:t>
      </w:r>
      <w:r w:rsidRPr="007C316F">
        <w:rPr>
          <w:rFonts w:cs="Calibri"/>
        </w:rPr>
        <w:t>±</w:t>
      </w:r>
      <w:r w:rsidRPr="007C316F">
        <w:t xml:space="preserve"> V lupus nephritis</w:t>
      </w:r>
      <w:r w:rsidR="004B054B">
        <w:t>, as estimated in the submission</w:t>
      </w:r>
      <w:r w:rsidRPr="007C316F">
        <w:t>.</w:t>
      </w:r>
    </w:p>
    <w:p w14:paraId="71FB9F80" w14:textId="3647F6BC" w:rsidR="006F0D5C" w:rsidRPr="007C316F" w:rsidRDefault="006F0D5C" w:rsidP="00C5440B">
      <w:pPr>
        <w:pStyle w:val="Caption"/>
        <w:rPr>
          <w:rStyle w:val="CommentReference"/>
          <w:b/>
          <w:szCs w:val="24"/>
        </w:rPr>
      </w:pPr>
      <w:bookmarkStart w:id="82" w:name="_Ref104805295"/>
      <w:r w:rsidRPr="007C316F">
        <w:lastRenderedPageBreak/>
        <w:t xml:space="preserve">Table </w:t>
      </w:r>
      <w:fldSimple w:instr=" SEQ Table \* ARABIC ">
        <w:r w:rsidR="002255D9">
          <w:rPr>
            <w:noProof/>
          </w:rPr>
          <w:t>14</w:t>
        </w:r>
      </w:fldSimple>
      <w:bookmarkEnd w:id="82"/>
      <w:r w:rsidRPr="007C316F">
        <w:t>:</w:t>
      </w:r>
      <w:r w:rsidRPr="007C316F">
        <w:rPr>
          <w:rStyle w:val="CommentReference"/>
          <w:b/>
          <w:szCs w:val="24"/>
        </w:rPr>
        <w:t xml:space="preserve"> Estimated use and financial implications</w:t>
      </w:r>
    </w:p>
    <w:tbl>
      <w:tblPr>
        <w:tblStyle w:val="ASDTable2"/>
        <w:tblW w:w="5000" w:type="pct"/>
        <w:tblInd w:w="0" w:type="dxa"/>
        <w:tblCellMar>
          <w:left w:w="28" w:type="dxa"/>
          <w:right w:w="28" w:type="dxa"/>
        </w:tblCellMar>
        <w:tblLook w:val="04A0" w:firstRow="1" w:lastRow="0" w:firstColumn="1" w:lastColumn="0" w:noHBand="0" w:noVBand="1"/>
        <w:tblCaption w:val="Table 14: Estimated use and financial implications"/>
      </w:tblPr>
      <w:tblGrid>
        <w:gridCol w:w="2133"/>
        <w:gridCol w:w="978"/>
        <w:gridCol w:w="968"/>
        <w:gridCol w:w="968"/>
        <w:gridCol w:w="968"/>
        <w:gridCol w:w="968"/>
        <w:gridCol w:w="968"/>
        <w:gridCol w:w="1066"/>
      </w:tblGrid>
      <w:tr w:rsidR="006F0D5C" w:rsidRPr="007C316F" w14:paraId="3A72A64E" w14:textId="77777777" w:rsidTr="00F0116F">
        <w:trPr>
          <w:tblHeader/>
        </w:trPr>
        <w:tc>
          <w:tcPr>
            <w:tcW w:w="1182" w:type="pct"/>
            <w:tcBorders>
              <w:top w:val="single" w:sz="4" w:space="0" w:color="auto"/>
              <w:left w:val="single" w:sz="4" w:space="0" w:color="auto"/>
              <w:bottom w:val="single" w:sz="4" w:space="0" w:color="auto"/>
              <w:right w:val="single" w:sz="4" w:space="0" w:color="auto"/>
            </w:tcBorders>
            <w:vAlign w:val="center"/>
          </w:tcPr>
          <w:p w14:paraId="5D22E82F" w14:textId="77777777" w:rsidR="006F0D5C" w:rsidRPr="007C316F" w:rsidRDefault="006F0D5C" w:rsidP="00C5440B">
            <w:pPr>
              <w:keepNext/>
              <w:keepLines/>
              <w:jc w:val="left"/>
              <w:rPr>
                <w:rFonts w:ascii="Arial Narrow" w:eastAsiaTheme="majorEastAsia" w:hAnsi="Arial Narrow" w:cstheme="majorBidi"/>
                <w:bCs/>
                <w:sz w:val="20"/>
                <w:szCs w:val="20"/>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F32487D" w14:textId="77777777" w:rsidR="006F0D5C" w:rsidRPr="007C316F" w:rsidRDefault="006F0D5C" w:rsidP="00C5440B">
            <w:pPr>
              <w:keepNext/>
              <w:keepLines/>
              <w:jc w:val="center"/>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Year 1</w:t>
            </w:r>
          </w:p>
        </w:tc>
        <w:tc>
          <w:tcPr>
            <w:tcW w:w="537" w:type="pct"/>
            <w:tcBorders>
              <w:top w:val="single" w:sz="4" w:space="0" w:color="auto"/>
              <w:left w:val="single" w:sz="4" w:space="0" w:color="auto"/>
              <w:bottom w:val="single" w:sz="4" w:space="0" w:color="auto"/>
              <w:right w:val="single" w:sz="4" w:space="0" w:color="auto"/>
            </w:tcBorders>
            <w:hideMark/>
          </w:tcPr>
          <w:p w14:paraId="6713AF16" w14:textId="77777777" w:rsidR="006F0D5C" w:rsidRPr="007C316F" w:rsidRDefault="006F0D5C" w:rsidP="00C5440B">
            <w:pPr>
              <w:keepNext/>
              <w:keepLines/>
              <w:jc w:val="center"/>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Year 2</w:t>
            </w:r>
          </w:p>
        </w:tc>
        <w:tc>
          <w:tcPr>
            <w:tcW w:w="537" w:type="pct"/>
            <w:tcBorders>
              <w:top w:val="single" w:sz="4" w:space="0" w:color="auto"/>
              <w:left w:val="single" w:sz="4" w:space="0" w:color="auto"/>
              <w:bottom w:val="single" w:sz="4" w:space="0" w:color="auto"/>
              <w:right w:val="single" w:sz="4" w:space="0" w:color="auto"/>
            </w:tcBorders>
            <w:hideMark/>
          </w:tcPr>
          <w:p w14:paraId="7930CA5C" w14:textId="77777777" w:rsidR="006F0D5C" w:rsidRPr="007C316F" w:rsidRDefault="006F0D5C" w:rsidP="00C5440B">
            <w:pPr>
              <w:keepNext/>
              <w:keepLines/>
              <w:jc w:val="center"/>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Year 3</w:t>
            </w:r>
          </w:p>
        </w:tc>
        <w:tc>
          <w:tcPr>
            <w:tcW w:w="537" w:type="pct"/>
            <w:tcBorders>
              <w:top w:val="single" w:sz="4" w:space="0" w:color="auto"/>
              <w:left w:val="single" w:sz="4" w:space="0" w:color="auto"/>
              <w:bottom w:val="single" w:sz="4" w:space="0" w:color="auto"/>
              <w:right w:val="single" w:sz="4" w:space="0" w:color="auto"/>
            </w:tcBorders>
            <w:hideMark/>
          </w:tcPr>
          <w:p w14:paraId="5FD036C9" w14:textId="77777777" w:rsidR="006F0D5C" w:rsidRPr="007C316F" w:rsidRDefault="006F0D5C" w:rsidP="00C5440B">
            <w:pPr>
              <w:keepNext/>
              <w:keepLines/>
              <w:jc w:val="center"/>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Year 4</w:t>
            </w:r>
          </w:p>
        </w:tc>
        <w:tc>
          <w:tcPr>
            <w:tcW w:w="537" w:type="pct"/>
            <w:tcBorders>
              <w:top w:val="single" w:sz="4" w:space="0" w:color="auto"/>
              <w:left w:val="single" w:sz="4" w:space="0" w:color="auto"/>
              <w:bottom w:val="single" w:sz="4" w:space="0" w:color="auto"/>
              <w:right w:val="single" w:sz="4" w:space="0" w:color="auto"/>
            </w:tcBorders>
            <w:hideMark/>
          </w:tcPr>
          <w:p w14:paraId="51D2B787" w14:textId="77777777" w:rsidR="006F0D5C" w:rsidRPr="007C316F" w:rsidRDefault="006F0D5C" w:rsidP="00C5440B">
            <w:pPr>
              <w:keepNext/>
              <w:keepLines/>
              <w:jc w:val="center"/>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Year 5</w:t>
            </w:r>
          </w:p>
        </w:tc>
        <w:tc>
          <w:tcPr>
            <w:tcW w:w="537" w:type="pct"/>
            <w:tcBorders>
              <w:top w:val="single" w:sz="4" w:space="0" w:color="auto"/>
              <w:left w:val="single" w:sz="4" w:space="0" w:color="auto"/>
              <w:bottom w:val="single" w:sz="4" w:space="0" w:color="auto"/>
              <w:right w:val="single" w:sz="4" w:space="0" w:color="auto"/>
            </w:tcBorders>
            <w:hideMark/>
          </w:tcPr>
          <w:p w14:paraId="1BD78F36" w14:textId="77777777" w:rsidR="006F0D5C" w:rsidRPr="007C316F" w:rsidRDefault="006F0D5C" w:rsidP="00C5440B">
            <w:pPr>
              <w:keepNext/>
              <w:keepLines/>
              <w:jc w:val="center"/>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Year 6</w:t>
            </w:r>
          </w:p>
        </w:tc>
        <w:tc>
          <w:tcPr>
            <w:tcW w:w="593" w:type="pct"/>
            <w:tcBorders>
              <w:top w:val="single" w:sz="4" w:space="0" w:color="auto"/>
              <w:left w:val="single" w:sz="4" w:space="0" w:color="auto"/>
              <w:bottom w:val="single" w:sz="4" w:space="0" w:color="auto"/>
              <w:right w:val="single" w:sz="4" w:space="0" w:color="auto"/>
            </w:tcBorders>
            <w:hideMark/>
          </w:tcPr>
          <w:p w14:paraId="379DC3F0" w14:textId="77777777" w:rsidR="006F0D5C" w:rsidRPr="007C316F" w:rsidRDefault="006F0D5C" w:rsidP="00C5440B">
            <w:pPr>
              <w:keepNext/>
              <w:keepLines/>
              <w:jc w:val="center"/>
              <w:rPr>
                <w:rFonts w:ascii="Arial Narrow" w:eastAsiaTheme="majorEastAsia" w:hAnsi="Arial Narrow" w:cstheme="majorBidi"/>
                <w:b/>
                <w:sz w:val="20"/>
                <w:szCs w:val="20"/>
              </w:rPr>
            </w:pPr>
            <w:r w:rsidRPr="007C316F">
              <w:rPr>
                <w:rFonts w:ascii="Arial Narrow" w:eastAsiaTheme="majorEastAsia" w:hAnsi="Arial Narrow" w:cstheme="majorBidi"/>
                <w:b/>
                <w:sz w:val="20"/>
                <w:szCs w:val="20"/>
              </w:rPr>
              <w:t>Total</w:t>
            </w:r>
          </w:p>
        </w:tc>
      </w:tr>
      <w:tr w:rsidR="006F0D5C" w:rsidRPr="007C316F" w14:paraId="77CD21E2" w14:textId="77777777" w:rsidTr="0072568D">
        <w:trPr>
          <w:trHeight w:val="224"/>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5B62C930"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Estimation of number of treated patients</w:t>
            </w:r>
          </w:p>
        </w:tc>
      </w:tr>
      <w:tr w:rsidR="006F0D5C" w:rsidRPr="007C316F" w14:paraId="0D76F401" w14:textId="77777777" w:rsidTr="0072568D">
        <w:trPr>
          <w:trHeight w:val="224"/>
        </w:trPr>
        <w:tc>
          <w:tcPr>
            <w:tcW w:w="5000" w:type="pct"/>
            <w:gridSpan w:val="8"/>
            <w:tcBorders>
              <w:top w:val="single" w:sz="4" w:space="0" w:color="auto"/>
              <w:left w:val="single" w:sz="4" w:space="0" w:color="auto"/>
              <w:bottom w:val="nil"/>
              <w:right w:val="single" w:sz="4" w:space="0" w:color="auto"/>
            </w:tcBorders>
            <w:vAlign w:val="center"/>
          </w:tcPr>
          <w:p w14:paraId="1399C714"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SLE patients</w:t>
            </w:r>
          </w:p>
        </w:tc>
      </w:tr>
      <w:tr w:rsidR="006F0D5C" w:rsidRPr="007C316F" w14:paraId="3C8E0C04" w14:textId="77777777" w:rsidTr="00F0116F">
        <w:tc>
          <w:tcPr>
            <w:tcW w:w="1182" w:type="pct"/>
            <w:tcBorders>
              <w:top w:val="nil"/>
              <w:left w:val="single" w:sz="4" w:space="0" w:color="auto"/>
              <w:bottom w:val="nil"/>
              <w:right w:val="single" w:sz="4" w:space="0" w:color="auto"/>
            </w:tcBorders>
            <w:vAlign w:val="center"/>
            <w:hideMark/>
          </w:tcPr>
          <w:p w14:paraId="277B8482"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Incident</w:t>
            </w:r>
          </w:p>
        </w:tc>
        <w:tc>
          <w:tcPr>
            <w:tcW w:w="542" w:type="pct"/>
            <w:tcBorders>
              <w:top w:val="nil"/>
              <w:left w:val="single" w:sz="4" w:space="0" w:color="auto"/>
              <w:bottom w:val="nil"/>
              <w:right w:val="single" w:sz="4" w:space="0" w:color="auto"/>
            </w:tcBorders>
            <w:vAlign w:val="center"/>
            <w:hideMark/>
          </w:tcPr>
          <w:p w14:paraId="48974744" w14:textId="55AB7818" w:rsidR="006F0D5C" w:rsidRPr="007C316F" w:rsidRDefault="00FF1914" w:rsidP="00C5440B">
            <w:pPr>
              <w:pStyle w:val="TableText0"/>
              <w:jc w:val="center"/>
              <w:rPr>
                <w:szCs w:val="20"/>
              </w:rPr>
            </w:pPr>
            <w:r>
              <w:noBreakHyphen/>
            </w:r>
          </w:p>
        </w:tc>
        <w:tc>
          <w:tcPr>
            <w:tcW w:w="537" w:type="pct"/>
            <w:tcBorders>
              <w:top w:val="nil"/>
              <w:left w:val="single" w:sz="4" w:space="0" w:color="auto"/>
              <w:bottom w:val="nil"/>
              <w:right w:val="single" w:sz="4" w:space="0" w:color="auto"/>
            </w:tcBorders>
            <w:vAlign w:val="center"/>
            <w:hideMark/>
          </w:tcPr>
          <w:p w14:paraId="6E95E5F3" w14:textId="77777777" w:rsidR="006F0D5C" w:rsidRPr="007C316F" w:rsidRDefault="006F0D5C" w:rsidP="00C5440B">
            <w:pPr>
              <w:pStyle w:val="TableText0"/>
              <w:jc w:val="center"/>
              <w:rPr>
                <w:szCs w:val="20"/>
              </w:rPr>
            </w:pPr>
            <w:r w:rsidRPr="007C316F">
              <w:t>1,145</w:t>
            </w:r>
          </w:p>
        </w:tc>
        <w:tc>
          <w:tcPr>
            <w:tcW w:w="537" w:type="pct"/>
            <w:tcBorders>
              <w:top w:val="nil"/>
              <w:left w:val="single" w:sz="4" w:space="0" w:color="auto"/>
              <w:bottom w:val="nil"/>
              <w:right w:val="single" w:sz="4" w:space="0" w:color="auto"/>
            </w:tcBorders>
            <w:vAlign w:val="center"/>
            <w:hideMark/>
          </w:tcPr>
          <w:p w14:paraId="07A38AD9" w14:textId="77777777" w:rsidR="006F0D5C" w:rsidRPr="007C316F" w:rsidRDefault="006F0D5C" w:rsidP="00C5440B">
            <w:pPr>
              <w:pStyle w:val="TableText0"/>
              <w:jc w:val="center"/>
              <w:rPr>
                <w:szCs w:val="20"/>
              </w:rPr>
            </w:pPr>
            <w:r w:rsidRPr="007C316F">
              <w:t>1,164</w:t>
            </w:r>
          </w:p>
        </w:tc>
        <w:tc>
          <w:tcPr>
            <w:tcW w:w="537" w:type="pct"/>
            <w:tcBorders>
              <w:top w:val="nil"/>
              <w:left w:val="single" w:sz="4" w:space="0" w:color="auto"/>
              <w:bottom w:val="nil"/>
              <w:right w:val="single" w:sz="4" w:space="0" w:color="auto"/>
            </w:tcBorders>
            <w:vAlign w:val="center"/>
            <w:hideMark/>
          </w:tcPr>
          <w:p w14:paraId="28126C24" w14:textId="77777777" w:rsidR="006F0D5C" w:rsidRPr="007C316F" w:rsidRDefault="006F0D5C" w:rsidP="00C5440B">
            <w:pPr>
              <w:pStyle w:val="TableText0"/>
              <w:jc w:val="center"/>
              <w:rPr>
                <w:szCs w:val="20"/>
              </w:rPr>
            </w:pPr>
            <w:r w:rsidRPr="007C316F">
              <w:t>1,182</w:t>
            </w:r>
          </w:p>
        </w:tc>
        <w:tc>
          <w:tcPr>
            <w:tcW w:w="537" w:type="pct"/>
            <w:tcBorders>
              <w:top w:val="nil"/>
              <w:left w:val="single" w:sz="4" w:space="0" w:color="auto"/>
              <w:bottom w:val="nil"/>
              <w:right w:val="single" w:sz="4" w:space="0" w:color="auto"/>
            </w:tcBorders>
            <w:vAlign w:val="center"/>
            <w:hideMark/>
          </w:tcPr>
          <w:p w14:paraId="65CB7B97" w14:textId="77777777" w:rsidR="006F0D5C" w:rsidRPr="007C316F" w:rsidRDefault="006F0D5C" w:rsidP="00C5440B">
            <w:pPr>
              <w:pStyle w:val="TableText0"/>
              <w:jc w:val="center"/>
              <w:rPr>
                <w:szCs w:val="20"/>
              </w:rPr>
            </w:pPr>
            <w:r w:rsidRPr="007C316F">
              <w:t>1,199</w:t>
            </w:r>
          </w:p>
        </w:tc>
        <w:tc>
          <w:tcPr>
            <w:tcW w:w="537" w:type="pct"/>
            <w:tcBorders>
              <w:top w:val="nil"/>
              <w:left w:val="single" w:sz="4" w:space="0" w:color="auto"/>
              <w:bottom w:val="nil"/>
              <w:right w:val="single" w:sz="4" w:space="0" w:color="auto"/>
            </w:tcBorders>
            <w:vAlign w:val="center"/>
            <w:hideMark/>
          </w:tcPr>
          <w:p w14:paraId="4A5139E1" w14:textId="77777777" w:rsidR="006F0D5C" w:rsidRPr="007C316F" w:rsidRDefault="006F0D5C" w:rsidP="00C5440B">
            <w:pPr>
              <w:pStyle w:val="TableText0"/>
              <w:jc w:val="center"/>
              <w:rPr>
                <w:szCs w:val="20"/>
              </w:rPr>
            </w:pPr>
            <w:r w:rsidRPr="007C316F">
              <w:t>1,216</w:t>
            </w:r>
          </w:p>
        </w:tc>
        <w:tc>
          <w:tcPr>
            <w:tcW w:w="593" w:type="pct"/>
            <w:tcBorders>
              <w:top w:val="nil"/>
              <w:left w:val="single" w:sz="4" w:space="0" w:color="auto"/>
              <w:bottom w:val="nil"/>
              <w:right w:val="single" w:sz="4" w:space="0" w:color="auto"/>
            </w:tcBorders>
            <w:vAlign w:val="center"/>
            <w:hideMark/>
          </w:tcPr>
          <w:p w14:paraId="29264767" w14:textId="77777777" w:rsidR="006F0D5C" w:rsidRPr="007C316F" w:rsidRDefault="006F0D5C" w:rsidP="00C5440B">
            <w:pPr>
              <w:pStyle w:val="TableText0"/>
              <w:jc w:val="center"/>
            </w:pPr>
            <w:r w:rsidRPr="007C316F">
              <w:t>7,031</w:t>
            </w:r>
          </w:p>
        </w:tc>
      </w:tr>
      <w:tr w:rsidR="006F0D5C" w:rsidRPr="007C316F" w14:paraId="75698C9B" w14:textId="77777777" w:rsidTr="00F0116F">
        <w:tc>
          <w:tcPr>
            <w:tcW w:w="1182" w:type="pct"/>
            <w:tcBorders>
              <w:top w:val="nil"/>
              <w:left w:val="single" w:sz="4" w:space="0" w:color="auto"/>
              <w:bottom w:val="single" w:sz="4" w:space="0" w:color="auto"/>
              <w:right w:val="single" w:sz="4" w:space="0" w:color="auto"/>
            </w:tcBorders>
            <w:vAlign w:val="center"/>
          </w:tcPr>
          <w:p w14:paraId="306FC7E0"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Prevalent</w:t>
            </w:r>
          </w:p>
        </w:tc>
        <w:tc>
          <w:tcPr>
            <w:tcW w:w="542" w:type="pct"/>
            <w:tcBorders>
              <w:top w:val="nil"/>
              <w:left w:val="single" w:sz="4" w:space="0" w:color="auto"/>
              <w:bottom w:val="single" w:sz="4" w:space="0" w:color="auto"/>
              <w:right w:val="single" w:sz="4" w:space="0" w:color="auto"/>
            </w:tcBorders>
            <w:vAlign w:val="center"/>
          </w:tcPr>
          <w:p w14:paraId="4B53AEB9" w14:textId="77777777" w:rsidR="006F0D5C" w:rsidRPr="007C316F" w:rsidRDefault="006F0D5C" w:rsidP="00C5440B">
            <w:pPr>
              <w:pStyle w:val="TableText0"/>
              <w:jc w:val="center"/>
              <w:rPr>
                <w:bCs w:val="0"/>
              </w:rPr>
            </w:pPr>
            <w:r w:rsidRPr="007C316F">
              <w:rPr>
                <w:bCs w:val="0"/>
              </w:rPr>
              <w:t>20,664</w:t>
            </w:r>
          </w:p>
        </w:tc>
        <w:tc>
          <w:tcPr>
            <w:tcW w:w="537" w:type="pct"/>
            <w:tcBorders>
              <w:top w:val="nil"/>
              <w:left w:val="single" w:sz="4" w:space="0" w:color="auto"/>
              <w:bottom w:val="single" w:sz="4" w:space="0" w:color="auto"/>
              <w:right w:val="single" w:sz="4" w:space="0" w:color="auto"/>
            </w:tcBorders>
            <w:vAlign w:val="center"/>
          </w:tcPr>
          <w:p w14:paraId="6462BA95" w14:textId="454675DA"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3A9CDBFE" w14:textId="7141AAD8"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2EB06E66" w14:textId="6F818806"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418811B3" w14:textId="255C57DE"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1C1BE748" w14:textId="3BC27C98" w:rsidR="006F0D5C" w:rsidRPr="007C316F" w:rsidRDefault="00FF1914" w:rsidP="00C5440B">
            <w:pPr>
              <w:pStyle w:val="TableText0"/>
              <w:jc w:val="center"/>
              <w:rPr>
                <w:bCs w:val="0"/>
              </w:rPr>
            </w:pPr>
            <w:r>
              <w:rPr>
                <w:bCs w:val="0"/>
              </w:rPr>
              <w:noBreakHyphen/>
            </w:r>
          </w:p>
        </w:tc>
        <w:tc>
          <w:tcPr>
            <w:tcW w:w="593" w:type="pct"/>
            <w:tcBorders>
              <w:top w:val="nil"/>
              <w:left w:val="single" w:sz="4" w:space="0" w:color="auto"/>
              <w:bottom w:val="single" w:sz="4" w:space="0" w:color="auto"/>
              <w:right w:val="single" w:sz="4" w:space="0" w:color="auto"/>
            </w:tcBorders>
            <w:vAlign w:val="center"/>
          </w:tcPr>
          <w:p w14:paraId="7584742B" w14:textId="77777777" w:rsidR="006F0D5C" w:rsidRPr="007C316F" w:rsidRDefault="006F0D5C" w:rsidP="00C5440B">
            <w:pPr>
              <w:pStyle w:val="TableText0"/>
              <w:jc w:val="center"/>
            </w:pPr>
            <w:r w:rsidRPr="007C316F">
              <w:t>20,664</w:t>
            </w:r>
          </w:p>
        </w:tc>
      </w:tr>
      <w:tr w:rsidR="006F0D5C" w:rsidRPr="007C316F" w14:paraId="087BF34F" w14:textId="77777777" w:rsidTr="00F0116F">
        <w:tc>
          <w:tcPr>
            <w:tcW w:w="1182" w:type="pct"/>
            <w:tcBorders>
              <w:top w:val="single" w:sz="4" w:space="0" w:color="auto"/>
              <w:left w:val="single" w:sz="4" w:space="0" w:color="auto"/>
              <w:bottom w:val="nil"/>
              <w:right w:val="single" w:sz="4" w:space="0" w:color="auto"/>
            </w:tcBorders>
            <w:vAlign w:val="center"/>
          </w:tcPr>
          <w:p w14:paraId="6D44013B"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Lupus nephritis patients</w:t>
            </w:r>
          </w:p>
        </w:tc>
        <w:tc>
          <w:tcPr>
            <w:tcW w:w="542" w:type="pct"/>
            <w:tcBorders>
              <w:top w:val="single" w:sz="4" w:space="0" w:color="auto"/>
              <w:left w:val="single" w:sz="4" w:space="0" w:color="auto"/>
              <w:bottom w:val="nil"/>
              <w:right w:val="single" w:sz="4" w:space="0" w:color="auto"/>
            </w:tcBorders>
            <w:vAlign w:val="center"/>
          </w:tcPr>
          <w:p w14:paraId="64F01610" w14:textId="77777777" w:rsidR="006F0D5C" w:rsidRPr="007C316F" w:rsidRDefault="006F0D5C" w:rsidP="00C5440B">
            <w:pPr>
              <w:pStyle w:val="TableText0"/>
              <w:jc w:val="center"/>
              <w:rPr>
                <w:b/>
              </w:rPr>
            </w:pPr>
          </w:p>
        </w:tc>
        <w:tc>
          <w:tcPr>
            <w:tcW w:w="537" w:type="pct"/>
            <w:tcBorders>
              <w:top w:val="single" w:sz="4" w:space="0" w:color="auto"/>
              <w:left w:val="single" w:sz="4" w:space="0" w:color="auto"/>
              <w:bottom w:val="nil"/>
              <w:right w:val="single" w:sz="4" w:space="0" w:color="auto"/>
            </w:tcBorders>
            <w:vAlign w:val="center"/>
          </w:tcPr>
          <w:p w14:paraId="698B57B9" w14:textId="77777777" w:rsidR="006F0D5C" w:rsidRPr="007C316F" w:rsidRDefault="006F0D5C" w:rsidP="00C5440B">
            <w:pPr>
              <w:pStyle w:val="TableText0"/>
              <w:jc w:val="center"/>
              <w:rPr>
                <w:b/>
              </w:rPr>
            </w:pPr>
          </w:p>
        </w:tc>
        <w:tc>
          <w:tcPr>
            <w:tcW w:w="537" w:type="pct"/>
            <w:tcBorders>
              <w:top w:val="single" w:sz="4" w:space="0" w:color="auto"/>
              <w:left w:val="single" w:sz="4" w:space="0" w:color="auto"/>
              <w:bottom w:val="nil"/>
              <w:right w:val="single" w:sz="4" w:space="0" w:color="auto"/>
            </w:tcBorders>
            <w:vAlign w:val="center"/>
          </w:tcPr>
          <w:p w14:paraId="21B15456" w14:textId="77777777" w:rsidR="006F0D5C" w:rsidRPr="007C316F" w:rsidRDefault="006F0D5C" w:rsidP="00C5440B">
            <w:pPr>
              <w:pStyle w:val="TableText0"/>
              <w:jc w:val="center"/>
              <w:rPr>
                <w:b/>
              </w:rPr>
            </w:pPr>
          </w:p>
        </w:tc>
        <w:tc>
          <w:tcPr>
            <w:tcW w:w="537" w:type="pct"/>
            <w:tcBorders>
              <w:top w:val="single" w:sz="4" w:space="0" w:color="auto"/>
              <w:left w:val="single" w:sz="4" w:space="0" w:color="auto"/>
              <w:bottom w:val="nil"/>
              <w:right w:val="single" w:sz="4" w:space="0" w:color="auto"/>
            </w:tcBorders>
            <w:vAlign w:val="center"/>
          </w:tcPr>
          <w:p w14:paraId="2AFD31F3" w14:textId="77777777" w:rsidR="006F0D5C" w:rsidRPr="007C316F" w:rsidRDefault="006F0D5C" w:rsidP="00C5440B">
            <w:pPr>
              <w:pStyle w:val="TableText0"/>
              <w:jc w:val="center"/>
              <w:rPr>
                <w:b/>
              </w:rPr>
            </w:pPr>
          </w:p>
        </w:tc>
        <w:tc>
          <w:tcPr>
            <w:tcW w:w="537" w:type="pct"/>
            <w:tcBorders>
              <w:top w:val="single" w:sz="4" w:space="0" w:color="auto"/>
              <w:left w:val="single" w:sz="4" w:space="0" w:color="auto"/>
              <w:bottom w:val="nil"/>
              <w:right w:val="single" w:sz="4" w:space="0" w:color="auto"/>
            </w:tcBorders>
            <w:vAlign w:val="center"/>
          </w:tcPr>
          <w:p w14:paraId="4E71EE6D" w14:textId="77777777" w:rsidR="006F0D5C" w:rsidRPr="007C316F" w:rsidRDefault="006F0D5C" w:rsidP="00C5440B">
            <w:pPr>
              <w:pStyle w:val="TableText0"/>
              <w:jc w:val="center"/>
              <w:rPr>
                <w:b/>
              </w:rPr>
            </w:pPr>
          </w:p>
        </w:tc>
        <w:tc>
          <w:tcPr>
            <w:tcW w:w="537" w:type="pct"/>
            <w:tcBorders>
              <w:top w:val="single" w:sz="4" w:space="0" w:color="auto"/>
              <w:left w:val="single" w:sz="4" w:space="0" w:color="auto"/>
              <w:bottom w:val="nil"/>
              <w:right w:val="single" w:sz="4" w:space="0" w:color="auto"/>
            </w:tcBorders>
            <w:vAlign w:val="center"/>
          </w:tcPr>
          <w:p w14:paraId="03D49974" w14:textId="77777777" w:rsidR="006F0D5C" w:rsidRPr="007C316F" w:rsidRDefault="006F0D5C" w:rsidP="00C5440B">
            <w:pPr>
              <w:pStyle w:val="TableText0"/>
              <w:jc w:val="center"/>
              <w:rPr>
                <w:b/>
              </w:rPr>
            </w:pPr>
          </w:p>
        </w:tc>
        <w:tc>
          <w:tcPr>
            <w:tcW w:w="593" w:type="pct"/>
            <w:tcBorders>
              <w:top w:val="single" w:sz="4" w:space="0" w:color="auto"/>
              <w:left w:val="single" w:sz="4" w:space="0" w:color="auto"/>
              <w:bottom w:val="nil"/>
              <w:right w:val="single" w:sz="4" w:space="0" w:color="auto"/>
            </w:tcBorders>
          </w:tcPr>
          <w:p w14:paraId="0E0FA00E" w14:textId="77777777" w:rsidR="006F0D5C" w:rsidRPr="007C316F" w:rsidRDefault="006F0D5C" w:rsidP="00C5440B">
            <w:pPr>
              <w:pStyle w:val="TableText0"/>
              <w:jc w:val="center"/>
              <w:rPr>
                <w:b/>
              </w:rPr>
            </w:pPr>
          </w:p>
        </w:tc>
      </w:tr>
      <w:tr w:rsidR="006F0D5C" w:rsidRPr="007C316F" w14:paraId="288C39C7" w14:textId="77777777" w:rsidTr="00F0116F">
        <w:tc>
          <w:tcPr>
            <w:tcW w:w="1182" w:type="pct"/>
            <w:tcBorders>
              <w:top w:val="nil"/>
              <w:left w:val="single" w:sz="4" w:space="0" w:color="auto"/>
              <w:bottom w:val="nil"/>
              <w:right w:val="single" w:sz="4" w:space="0" w:color="auto"/>
            </w:tcBorders>
            <w:vAlign w:val="center"/>
          </w:tcPr>
          <w:p w14:paraId="1631D659"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Incident</w:t>
            </w:r>
          </w:p>
        </w:tc>
        <w:tc>
          <w:tcPr>
            <w:tcW w:w="542" w:type="pct"/>
            <w:tcBorders>
              <w:top w:val="nil"/>
              <w:left w:val="single" w:sz="4" w:space="0" w:color="auto"/>
              <w:bottom w:val="nil"/>
              <w:right w:val="single" w:sz="4" w:space="0" w:color="auto"/>
            </w:tcBorders>
            <w:vAlign w:val="center"/>
          </w:tcPr>
          <w:p w14:paraId="10F8D419" w14:textId="46344979" w:rsidR="006F0D5C" w:rsidRPr="007C316F" w:rsidRDefault="00FF1914" w:rsidP="00C5440B">
            <w:pPr>
              <w:pStyle w:val="TableText0"/>
              <w:jc w:val="center"/>
              <w:rPr>
                <w:bCs w:val="0"/>
              </w:rPr>
            </w:pPr>
            <w:r>
              <w:noBreakHyphen/>
            </w:r>
          </w:p>
        </w:tc>
        <w:tc>
          <w:tcPr>
            <w:tcW w:w="537" w:type="pct"/>
            <w:tcBorders>
              <w:top w:val="nil"/>
              <w:left w:val="single" w:sz="4" w:space="0" w:color="auto"/>
              <w:bottom w:val="nil"/>
              <w:right w:val="single" w:sz="4" w:space="0" w:color="auto"/>
            </w:tcBorders>
            <w:vAlign w:val="center"/>
          </w:tcPr>
          <w:p w14:paraId="34ED8CAA" w14:textId="77777777" w:rsidR="006F0D5C" w:rsidRPr="007C316F" w:rsidRDefault="006F0D5C" w:rsidP="00C5440B">
            <w:pPr>
              <w:pStyle w:val="TableText0"/>
              <w:jc w:val="center"/>
              <w:rPr>
                <w:bCs w:val="0"/>
              </w:rPr>
            </w:pPr>
            <w:r w:rsidRPr="007C316F">
              <w:t>458</w:t>
            </w:r>
          </w:p>
        </w:tc>
        <w:tc>
          <w:tcPr>
            <w:tcW w:w="537" w:type="pct"/>
            <w:tcBorders>
              <w:top w:val="nil"/>
              <w:left w:val="single" w:sz="4" w:space="0" w:color="auto"/>
              <w:bottom w:val="nil"/>
              <w:right w:val="single" w:sz="4" w:space="0" w:color="auto"/>
            </w:tcBorders>
            <w:vAlign w:val="center"/>
          </w:tcPr>
          <w:p w14:paraId="183A1779" w14:textId="77777777" w:rsidR="006F0D5C" w:rsidRPr="007C316F" w:rsidRDefault="006F0D5C" w:rsidP="00C5440B">
            <w:pPr>
              <w:pStyle w:val="TableText0"/>
              <w:jc w:val="center"/>
              <w:rPr>
                <w:bCs w:val="0"/>
              </w:rPr>
            </w:pPr>
            <w:r w:rsidRPr="007C316F">
              <w:t>466</w:t>
            </w:r>
          </w:p>
        </w:tc>
        <w:tc>
          <w:tcPr>
            <w:tcW w:w="537" w:type="pct"/>
            <w:tcBorders>
              <w:top w:val="nil"/>
              <w:left w:val="single" w:sz="4" w:space="0" w:color="auto"/>
              <w:bottom w:val="nil"/>
              <w:right w:val="single" w:sz="4" w:space="0" w:color="auto"/>
            </w:tcBorders>
            <w:vAlign w:val="center"/>
          </w:tcPr>
          <w:p w14:paraId="07A33BE7" w14:textId="77777777" w:rsidR="006F0D5C" w:rsidRPr="007C316F" w:rsidRDefault="006F0D5C" w:rsidP="00C5440B">
            <w:pPr>
              <w:pStyle w:val="TableText0"/>
              <w:jc w:val="center"/>
              <w:rPr>
                <w:bCs w:val="0"/>
              </w:rPr>
            </w:pPr>
            <w:r w:rsidRPr="007C316F">
              <w:t>473</w:t>
            </w:r>
          </w:p>
        </w:tc>
        <w:tc>
          <w:tcPr>
            <w:tcW w:w="537" w:type="pct"/>
            <w:tcBorders>
              <w:top w:val="nil"/>
              <w:left w:val="single" w:sz="4" w:space="0" w:color="auto"/>
              <w:bottom w:val="nil"/>
              <w:right w:val="single" w:sz="4" w:space="0" w:color="auto"/>
            </w:tcBorders>
            <w:vAlign w:val="center"/>
          </w:tcPr>
          <w:p w14:paraId="1C3DB036" w14:textId="77777777" w:rsidR="006F0D5C" w:rsidRPr="007C316F" w:rsidRDefault="006F0D5C" w:rsidP="00C5440B">
            <w:pPr>
              <w:pStyle w:val="TableText0"/>
              <w:jc w:val="center"/>
              <w:rPr>
                <w:bCs w:val="0"/>
              </w:rPr>
            </w:pPr>
            <w:r w:rsidRPr="007C316F">
              <w:t>480</w:t>
            </w:r>
          </w:p>
        </w:tc>
        <w:tc>
          <w:tcPr>
            <w:tcW w:w="537" w:type="pct"/>
            <w:tcBorders>
              <w:top w:val="nil"/>
              <w:left w:val="single" w:sz="4" w:space="0" w:color="auto"/>
              <w:bottom w:val="nil"/>
              <w:right w:val="single" w:sz="4" w:space="0" w:color="auto"/>
            </w:tcBorders>
            <w:vAlign w:val="center"/>
          </w:tcPr>
          <w:p w14:paraId="059DD04D" w14:textId="77777777" w:rsidR="006F0D5C" w:rsidRPr="007C316F" w:rsidRDefault="006F0D5C" w:rsidP="00C5440B">
            <w:pPr>
              <w:pStyle w:val="TableText0"/>
              <w:jc w:val="center"/>
              <w:rPr>
                <w:bCs w:val="0"/>
              </w:rPr>
            </w:pPr>
            <w:r w:rsidRPr="007C316F">
              <w:t>486</w:t>
            </w:r>
          </w:p>
        </w:tc>
        <w:tc>
          <w:tcPr>
            <w:tcW w:w="593" w:type="pct"/>
            <w:tcBorders>
              <w:top w:val="nil"/>
              <w:left w:val="single" w:sz="4" w:space="0" w:color="auto"/>
              <w:bottom w:val="nil"/>
              <w:right w:val="single" w:sz="4" w:space="0" w:color="auto"/>
            </w:tcBorders>
            <w:vAlign w:val="center"/>
          </w:tcPr>
          <w:p w14:paraId="124CD4CB" w14:textId="77777777" w:rsidR="006F0D5C" w:rsidRPr="007C316F" w:rsidRDefault="006F0D5C" w:rsidP="00C5440B">
            <w:pPr>
              <w:pStyle w:val="TableText0"/>
              <w:jc w:val="center"/>
            </w:pPr>
            <w:r w:rsidRPr="007C316F">
              <w:t>2,813</w:t>
            </w:r>
          </w:p>
        </w:tc>
      </w:tr>
      <w:tr w:rsidR="006F0D5C" w:rsidRPr="007C316F" w14:paraId="781AAA8D" w14:textId="77777777" w:rsidTr="00F0116F">
        <w:tc>
          <w:tcPr>
            <w:tcW w:w="1182" w:type="pct"/>
            <w:tcBorders>
              <w:top w:val="nil"/>
              <w:left w:val="single" w:sz="4" w:space="0" w:color="auto"/>
              <w:bottom w:val="single" w:sz="4" w:space="0" w:color="auto"/>
              <w:right w:val="single" w:sz="4" w:space="0" w:color="auto"/>
            </w:tcBorders>
            <w:vAlign w:val="center"/>
          </w:tcPr>
          <w:p w14:paraId="26914C74"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Prevalent</w:t>
            </w:r>
          </w:p>
        </w:tc>
        <w:tc>
          <w:tcPr>
            <w:tcW w:w="542" w:type="pct"/>
            <w:tcBorders>
              <w:top w:val="nil"/>
              <w:left w:val="single" w:sz="4" w:space="0" w:color="auto"/>
              <w:bottom w:val="single" w:sz="4" w:space="0" w:color="auto"/>
              <w:right w:val="single" w:sz="4" w:space="0" w:color="auto"/>
            </w:tcBorders>
            <w:vAlign w:val="center"/>
          </w:tcPr>
          <w:p w14:paraId="2F2ECAB8" w14:textId="77777777" w:rsidR="006F0D5C" w:rsidRPr="007C316F" w:rsidRDefault="006F0D5C" w:rsidP="00C5440B">
            <w:pPr>
              <w:pStyle w:val="TableText0"/>
              <w:jc w:val="center"/>
              <w:rPr>
                <w:bCs w:val="0"/>
              </w:rPr>
            </w:pPr>
            <w:r w:rsidRPr="007C316F">
              <w:rPr>
                <w:bCs w:val="0"/>
              </w:rPr>
              <w:t>8,265</w:t>
            </w:r>
          </w:p>
        </w:tc>
        <w:tc>
          <w:tcPr>
            <w:tcW w:w="537" w:type="pct"/>
            <w:tcBorders>
              <w:top w:val="nil"/>
              <w:left w:val="single" w:sz="4" w:space="0" w:color="auto"/>
              <w:bottom w:val="single" w:sz="4" w:space="0" w:color="auto"/>
              <w:right w:val="single" w:sz="4" w:space="0" w:color="auto"/>
            </w:tcBorders>
            <w:vAlign w:val="center"/>
          </w:tcPr>
          <w:p w14:paraId="3123C0BF" w14:textId="4138E5E8"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43A6394D" w14:textId="1F8E7E6D"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5AF1179D" w14:textId="424E6141"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6E23B74D" w14:textId="15CDBB61"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6B3BF9EF" w14:textId="0896DA1C" w:rsidR="006F0D5C" w:rsidRPr="007C316F" w:rsidRDefault="00FF1914" w:rsidP="00C5440B">
            <w:pPr>
              <w:pStyle w:val="TableText0"/>
              <w:jc w:val="center"/>
              <w:rPr>
                <w:bCs w:val="0"/>
              </w:rPr>
            </w:pPr>
            <w:r>
              <w:rPr>
                <w:bCs w:val="0"/>
              </w:rPr>
              <w:noBreakHyphen/>
            </w:r>
          </w:p>
        </w:tc>
        <w:tc>
          <w:tcPr>
            <w:tcW w:w="593" w:type="pct"/>
            <w:tcBorders>
              <w:top w:val="nil"/>
              <w:left w:val="single" w:sz="4" w:space="0" w:color="auto"/>
              <w:bottom w:val="single" w:sz="4" w:space="0" w:color="auto"/>
              <w:right w:val="single" w:sz="4" w:space="0" w:color="auto"/>
            </w:tcBorders>
            <w:vAlign w:val="center"/>
          </w:tcPr>
          <w:p w14:paraId="76F0347E" w14:textId="77777777" w:rsidR="006F0D5C" w:rsidRPr="007C316F" w:rsidRDefault="006F0D5C" w:rsidP="00C5440B">
            <w:pPr>
              <w:pStyle w:val="TableText0"/>
              <w:jc w:val="center"/>
            </w:pPr>
            <w:r w:rsidRPr="007C316F">
              <w:t>8,265</w:t>
            </w:r>
          </w:p>
        </w:tc>
      </w:tr>
      <w:tr w:rsidR="006F0D5C" w:rsidRPr="007C316F" w14:paraId="55E10C20" w14:textId="77777777" w:rsidTr="0072568D">
        <w:tc>
          <w:tcPr>
            <w:tcW w:w="5000" w:type="pct"/>
            <w:gridSpan w:val="8"/>
            <w:tcBorders>
              <w:top w:val="single" w:sz="4" w:space="0" w:color="auto"/>
              <w:left w:val="single" w:sz="4" w:space="0" w:color="auto"/>
              <w:bottom w:val="nil"/>
              <w:right w:val="single" w:sz="4" w:space="0" w:color="auto"/>
            </w:tcBorders>
            <w:vAlign w:val="center"/>
          </w:tcPr>
          <w:p w14:paraId="320DC8E7" w14:textId="77777777" w:rsidR="006F0D5C" w:rsidRPr="007C316F" w:rsidRDefault="006F0D5C" w:rsidP="00C5440B">
            <w:pPr>
              <w:pStyle w:val="TableText0"/>
              <w:rPr>
                <w:b/>
              </w:rPr>
            </w:pPr>
            <w:r w:rsidRPr="007C316F">
              <w:rPr>
                <w:b/>
                <w:bCs w:val="0"/>
                <w:szCs w:val="20"/>
              </w:rPr>
              <w:t>Eligible to receive obinutuzumab (Class III/IV±V requiring immunosuppression)</w:t>
            </w:r>
          </w:p>
        </w:tc>
      </w:tr>
      <w:tr w:rsidR="006F0D5C" w:rsidRPr="007C316F" w14:paraId="640F2BE2" w14:textId="77777777" w:rsidTr="00F0116F">
        <w:tc>
          <w:tcPr>
            <w:tcW w:w="1182" w:type="pct"/>
            <w:tcBorders>
              <w:top w:val="nil"/>
              <w:left w:val="single" w:sz="4" w:space="0" w:color="auto"/>
              <w:bottom w:val="nil"/>
              <w:right w:val="single" w:sz="4" w:space="0" w:color="auto"/>
            </w:tcBorders>
            <w:vAlign w:val="center"/>
          </w:tcPr>
          <w:p w14:paraId="359B0908"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 xml:space="preserve">Incident </w:t>
            </w:r>
          </w:p>
        </w:tc>
        <w:tc>
          <w:tcPr>
            <w:tcW w:w="542" w:type="pct"/>
            <w:tcBorders>
              <w:top w:val="nil"/>
              <w:left w:val="single" w:sz="4" w:space="0" w:color="auto"/>
              <w:bottom w:val="nil"/>
              <w:right w:val="single" w:sz="4" w:space="0" w:color="auto"/>
            </w:tcBorders>
            <w:vAlign w:val="center"/>
          </w:tcPr>
          <w:p w14:paraId="17B656D8" w14:textId="34F4F520" w:rsidR="006F0D5C" w:rsidRPr="007C316F" w:rsidRDefault="00FF1914" w:rsidP="00C5440B">
            <w:pPr>
              <w:pStyle w:val="TableText0"/>
              <w:jc w:val="center"/>
              <w:rPr>
                <w:bCs w:val="0"/>
              </w:rPr>
            </w:pPr>
            <w:r>
              <w:noBreakHyphen/>
            </w:r>
          </w:p>
        </w:tc>
        <w:tc>
          <w:tcPr>
            <w:tcW w:w="537" w:type="pct"/>
            <w:tcBorders>
              <w:top w:val="nil"/>
              <w:left w:val="single" w:sz="4" w:space="0" w:color="auto"/>
              <w:bottom w:val="nil"/>
              <w:right w:val="single" w:sz="4" w:space="0" w:color="auto"/>
            </w:tcBorders>
            <w:vAlign w:val="center"/>
          </w:tcPr>
          <w:p w14:paraId="492E5544" w14:textId="77777777" w:rsidR="006F0D5C" w:rsidRPr="007C316F" w:rsidRDefault="006F0D5C" w:rsidP="00C5440B">
            <w:pPr>
              <w:pStyle w:val="TableText0"/>
              <w:jc w:val="center"/>
              <w:rPr>
                <w:bCs w:val="0"/>
              </w:rPr>
            </w:pPr>
            <w:r w:rsidRPr="007C316F">
              <w:t>309</w:t>
            </w:r>
          </w:p>
        </w:tc>
        <w:tc>
          <w:tcPr>
            <w:tcW w:w="537" w:type="pct"/>
            <w:tcBorders>
              <w:top w:val="nil"/>
              <w:left w:val="single" w:sz="4" w:space="0" w:color="auto"/>
              <w:bottom w:val="nil"/>
              <w:right w:val="single" w:sz="4" w:space="0" w:color="auto"/>
            </w:tcBorders>
            <w:vAlign w:val="center"/>
          </w:tcPr>
          <w:p w14:paraId="1189DF68" w14:textId="77777777" w:rsidR="006F0D5C" w:rsidRPr="007C316F" w:rsidRDefault="006F0D5C" w:rsidP="00C5440B">
            <w:pPr>
              <w:pStyle w:val="TableText0"/>
              <w:jc w:val="center"/>
              <w:rPr>
                <w:bCs w:val="0"/>
              </w:rPr>
            </w:pPr>
            <w:r w:rsidRPr="007C316F">
              <w:t>314</w:t>
            </w:r>
          </w:p>
        </w:tc>
        <w:tc>
          <w:tcPr>
            <w:tcW w:w="537" w:type="pct"/>
            <w:tcBorders>
              <w:top w:val="nil"/>
              <w:left w:val="single" w:sz="4" w:space="0" w:color="auto"/>
              <w:bottom w:val="nil"/>
              <w:right w:val="single" w:sz="4" w:space="0" w:color="auto"/>
            </w:tcBorders>
            <w:vAlign w:val="center"/>
          </w:tcPr>
          <w:p w14:paraId="714C5A1E" w14:textId="77777777" w:rsidR="006F0D5C" w:rsidRPr="007C316F" w:rsidRDefault="006F0D5C" w:rsidP="00C5440B">
            <w:pPr>
              <w:pStyle w:val="TableText0"/>
              <w:jc w:val="center"/>
              <w:rPr>
                <w:bCs w:val="0"/>
              </w:rPr>
            </w:pPr>
            <w:r w:rsidRPr="007C316F">
              <w:t>319</w:t>
            </w:r>
          </w:p>
        </w:tc>
        <w:tc>
          <w:tcPr>
            <w:tcW w:w="537" w:type="pct"/>
            <w:tcBorders>
              <w:top w:val="nil"/>
              <w:left w:val="single" w:sz="4" w:space="0" w:color="auto"/>
              <w:bottom w:val="nil"/>
              <w:right w:val="single" w:sz="4" w:space="0" w:color="auto"/>
            </w:tcBorders>
            <w:vAlign w:val="center"/>
          </w:tcPr>
          <w:p w14:paraId="192A19BA" w14:textId="77777777" w:rsidR="006F0D5C" w:rsidRPr="007C316F" w:rsidRDefault="006F0D5C" w:rsidP="00C5440B">
            <w:pPr>
              <w:pStyle w:val="TableText0"/>
              <w:jc w:val="center"/>
              <w:rPr>
                <w:bCs w:val="0"/>
              </w:rPr>
            </w:pPr>
            <w:r w:rsidRPr="007C316F">
              <w:t>324</w:t>
            </w:r>
          </w:p>
        </w:tc>
        <w:tc>
          <w:tcPr>
            <w:tcW w:w="537" w:type="pct"/>
            <w:tcBorders>
              <w:top w:val="nil"/>
              <w:left w:val="single" w:sz="4" w:space="0" w:color="auto"/>
              <w:bottom w:val="nil"/>
              <w:right w:val="single" w:sz="4" w:space="0" w:color="auto"/>
            </w:tcBorders>
            <w:vAlign w:val="center"/>
          </w:tcPr>
          <w:p w14:paraId="7F29AC8A" w14:textId="77777777" w:rsidR="006F0D5C" w:rsidRPr="007C316F" w:rsidRDefault="006F0D5C" w:rsidP="00C5440B">
            <w:pPr>
              <w:pStyle w:val="TableText0"/>
              <w:jc w:val="center"/>
              <w:rPr>
                <w:bCs w:val="0"/>
              </w:rPr>
            </w:pPr>
            <w:r w:rsidRPr="007C316F">
              <w:t>328</w:t>
            </w:r>
          </w:p>
        </w:tc>
        <w:tc>
          <w:tcPr>
            <w:tcW w:w="593" w:type="pct"/>
            <w:tcBorders>
              <w:top w:val="nil"/>
              <w:left w:val="single" w:sz="4" w:space="0" w:color="auto"/>
              <w:bottom w:val="nil"/>
              <w:right w:val="single" w:sz="4" w:space="0" w:color="auto"/>
            </w:tcBorders>
            <w:vAlign w:val="center"/>
          </w:tcPr>
          <w:p w14:paraId="7CCD1E45" w14:textId="77777777" w:rsidR="006F0D5C" w:rsidRPr="007C316F" w:rsidRDefault="006F0D5C" w:rsidP="00C5440B">
            <w:pPr>
              <w:pStyle w:val="TableText0"/>
              <w:jc w:val="center"/>
            </w:pPr>
            <w:r w:rsidRPr="007C316F">
              <w:t>1,898</w:t>
            </w:r>
          </w:p>
        </w:tc>
      </w:tr>
      <w:tr w:rsidR="006F0D5C" w:rsidRPr="007C316F" w14:paraId="21D2CEDF" w14:textId="77777777" w:rsidTr="00F0116F">
        <w:tc>
          <w:tcPr>
            <w:tcW w:w="1182" w:type="pct"/>
            <w:tcBorders>
              <w:top w:val="nil"/>
              <w:left w:val="single" w:sz="4" w:space="0" w:color="auto"/>
              <w:bottom w:val="single" w:sz="4" w:space="0" w:color="auto"/>
              <w:right w:val="single" w:sz="4" w:space="0" w:color="auto"/>
            </w:tcBorders>
            <w:vAlign w:val="center"/>
          </w:tcPr>
          <w:p w14:paraId="35136FD1"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Prevalent</w:t>
            </w:r>
          </w:p>
        </w:tc>
        <w:tc>
          <w:tcPr>
            <w:tcW w:w="542" w:type="pct"/>
            <w:tcBorders>
              <w:top w:val="nil"/>
              <w:left w:val="single" w:sz="4" w:space="0" w:color="auto"/>
              <w:bottom w:val="single" w:sz="4" w:space="0" w:color="auto"/>
              <w:right w:val="single" w:sz="4" w:space="0" w:color="auto"/>
            </w:tcBorders>
            <w:vAlign w:val="center"/>
          </w:tcPr>
          <w:p w14:paraId="45B58249" w14:textId="77777777" w:rsidR="006F0D5C" w:rsidRPr="007C316F" w:rsidRDefault="006F0D5C" w:rsidP="00C5440B">
            <w:pPr>
              <w:pStyle w:val="TableText0"/>
              <w:jc w:val="center"/>
              <w:rPr>
                <w:bCs w:val="0"/>
              </w:rPr>
            </w:pPr>
            <w:r w:rsidRPr="007C316F">
              <w:rPr>
                <w:bCs w:val="0"/>
              </w:rPr>
              <w:t>5,579</w:t>
            </w:r>
          </w:p>
        </w:tc>
        <w:tc>
          <w:tcPr>
            <w:tcW w:w="537" w:type="pct"/>
            <w:tcBorders>
              <w:top w:val="nil"/>
              <w:left w:val="single" w:sz="4" w:space="0" w:color="auto"/>
              <w:bottom w:val="single" w:sz="4" w:space="0" w:color="auto"/>
              <w:right w:val="single" w:sz="4" w:space="0" w:color="auto"/>
            </w:tcBorders>
            <w:vAlign w:val="center"/>
          </w:tcPr>
          <w:p w14:paraId="5F5410CC" w14:textId="45D3A511"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371539A0" w14:textId="6A2B4A94"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44508EF5" w14:textId="3224C9DE"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6189330E" w14:textId="52111EC7" w:rsidR="006F0D5C" w:rsidRPr="007C316F" w:rsidRDefault="00FF1914" w:rsidP="00C5440B">
            <w:pPr>
              <w:pStyle w:val="TableText0"/>
              <w:jc w:val="center"/>
              <w:rPr>
                <w:bCs w:val="0"/>
              </w:rPr>
            </w:pPr>
            <w:r>
              <w:rPr>
                <w:bCs w:val="0"/>
              </w:rPr>
              <w:noBreakHyphen/>
            </w:r>
          </w:p>
        </w:tc>
        <w:tc>
          <w:tcPr>
            <w:tcW w:w="537" w:type="pct"/>
            <w:tcBorders>
              <w:top w:val="nil"/>
              <w:left w:val="single" w:sz="4" w:space="0" w:color="auto"/>
              <w:bottom w:val="single" w:sz="4" w:space="0" w:color="auto"/>
              <w:right w:val="single" w:sz="4" w:space="0" w:color="auto"/>
            </w:tcBorders>
            <w:vAlign w:val="center"/>
          </w:tcPr>
          <w:p w14:paraId="6778890F" w14:textId="470C6D5B" w:rsidR="006F0D5C" w:rsidRPr="007C316F" w:rsidRDefault="00FF1914" w:rsidP="00C5440B">
            <w:pPr>
              <w:pStyle w:val="TableText0"/>
              <w:jc w:val="center"/>
              <w:rPr>
                <w:bCs w:val="0"/>
              </w:rPr>
            </w:pPr>
            <w:r>
              <w:rPr>
                <w:bCs w:val="0"/>
              </w:rPr>
              <w:noBreakHyphen/>
            </w:r>
          </w:p>
        </w:tc>
        <w:tc>
          <w:tcPr>
            <w:tcW w:w="593" w:type="pct"/>
            <w:tcBorders>
              <w:top w:val="nil"/>
              <w:left w:val="single" w:sz="4" w:space="0" w:color="auto"/>
              <w:bottom w:val="single" w:sz="4" w:space="0" w:color="auto"/>
              <w:right w:val="single" w:sz="4" w:space="0" w:color="auto"/>
            </w:tcBorders>
            <w:vAlign w:val="center"/>
          </w:tcPr>
          <w:p w14:paraId="162EF0A6" w14:textId="77777777" w:rsidR="006F0D5C" w:rsidRPr="007C316F" w:rsidRDefault="006F0D5C" w:rsidP="00C5440B">
            <w:pPr>
              <w:pStyle w:val="TableText0"/>
              <w:jc w:val="center"/>
            </w:pPr>
            <w:r w:rsidRPr="007C316F">
              <w:t>5,579</w:t>
            </w:r>
          </w:p>
        </w:tc>
      </w:tr>
      <w:tr w:rsidR="006F0D5C" w:rsidRPr="007C316F" w14:paraId="5F8F43EA"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2F570E30"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Initial uptake</w:t>
            </w:r>
          </w:p>
        </w:tc>
        <w:tc>
          <w:tcPr>
            <w:tcW w:w="542" w:type="pct"/>
            <w:tcBorders>
              <w:top w:val="single" w:sz="4" w:space="0" w:color="auto"/>
              <w:left w:val="single" w:sz="4" w:space="0" w:color="auto"/>
              <w:bottom w:val="single" w:sz="4" w:space="0" w:color="auto"/>
              <w:right w:val="single" w:sz="4" w:space="0" w:color="auto"/>
            </w:tcBorders>
            <w:vAlign w:val="center"/>
          </w:tcPr>
          <w:p w14:paraId="39C824B9" w14:textId="20DD07F3"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4E35AC84" w14:textId="7FADB01C" w:rsidR="006F0D5C" w:rsidRPr="00E91C1F" w:rsidRDefault="00102373" w:rsidP="00C5440B">
            <w:pPr>
              <w:pStyle w:val="TableText0"/>
              <w:jc w:val="center"/>
              <w:rPr>
                <w:b/>
                <w:vertAlign w:val="superscript"/>
              </w:rPr>
            </w:pPr>
            <w:r w:rsidRPr="00102373">
              <w:rPr>
                <w:b/>
                <w:sz w:val="2"/>
                <w:highlight w:val="black"/>
              </w:rPr>
              <w:t>redacted content</w:t>
            </w:r>
            <w:r w:rsidR="00E91C1F">
              <w:rPr>
                <w:b/>
                <w:vertAlign w:val="superscript"/>
              </w:rPr>
              <w:t>2</w:t>
            </w:r>
          </w:p>
        </w:tc>
        <w:tc>
          <w:tcPr>
            <w:tcW w:w="537" w:type="pct"/>
            <w:tcBorders>
              <w:top w:val="single" w:sz="4" w:space="0" w:color="auto"/>
              <w:left w:val="single" w:sz="4" w:space="0" w:color="auto"/>
              <w:bottom w:val="single" w:sz="4" w:space="0" w:color="auto"/>
              <w:right w:val="single" w:sz="4" w:space="0" w:color="auto"/>
            </w:tcBorders>
            <w:vAlign w:val="center"/>
          </w:tcPr>
          <w:p w14:paraId="7C281F96" w14:textId="4A6E5384" w:rsidR="006F0D5C" w:rsidRPr="00E91C1F" w:rsidRDefault="00102373" w:rsidP="00C5440B">
            <w:pPr>
              <w:pStyle w:val="TableText0"/>
              <w:jc w:val="center"/>
              <w:rPr>
                <w:b/>
                <w:vertAlign w:val="superscript"/>
              </w:rPr>
            </w:pPr>
            <w:r w:rsidRPr="00102373">
              <w:rPr>
                <w:b/>
                <w:sz w:val="2"/>
                <w:highlight w:val="black"/>
              </w:rPr>
              <w:t>redacted content</w:t>
            </w:r>
            <w:r w:rsidR="00E91C1F">
              <w:rPr>
                <w:b/>
                <w:vertAlign w:val="superscript"/>
              </w:rPr>
              <w:t>2</w:t>
            </w:r>
          </w:p>
        </w:tc>
        <w:tc>
          <w:tcPr>
            <w:tcW w:w="537" w:type="pct"/>
            <w:tcBorders>
              <w:top w:val="single" w:sz="4" w:space="0" w:color="auto"/>
              <w:left w:val="single" w:sz="4" w:space="0" w:color="auto"/>
              <w:bottom w:val="single" w:sz="4" w:space="0" w:color="auto"/>
              <w:right w:val="single" w:sz="4" w:space="0" w:color="auto"/>
            </w:tcBorders>
            <w:vAlign w:val="center"/>
          </w:tcPr>
          <w:p w14:paraId="2A50C351" w14:textId="21E861DB" w:rsidR="006F0D5C" w:rsidRPr="00E91C1F" w:rsidRDefault="00102373" w:rsidP="00C5440B">
            <w:pPr>
              <w:pStyle w:val="TableText0"/>
              <w:jc w:val="center"/>
              <w:rPr>
                <w:b/>
                <w:vertAlign w:val="superscript"/>
              </w:rPr>
            </w:pPr>
            <w:r w:rsidRPr="00102373">
              <w:rPr>
                <w:b/>
                <w:sz w:val="2"/>
                <w:highlight w:val="black"/>
              </w:rPr>
              <w:t>redacted content</w:t>
            </w:r>
            <w:r w:rsidR="00E91C1F">
              <w:rPr>
                <w:b/>
                <w:vertAlign w:val="superscript"/>
              </w:rPr>
              <w:t>2</w:t>
            </w:r>
          </w:p>
        </w:tc>
        <w:tc>
          <w:tcPr>
            <w:tcW w:w="537" w:type="pct"/>
            <w:tcBorders>
              <w:top w:val="single" w:sz="4" w:space="0" w:color="auto"/>
              <w:left w:val="single" w:sz="4" w:space="0" w:color="auto"/>
              <w:bottom w:val="single" w:sz="4" w:space="0" w:color="auto"/>
              <w:right w:val="single" w:sz="4" w:space="0" w:color="auto"/>
            </w:tcBorders>
            <w:vAlign w:val="center"/>
          </w:tcPr>
          <w:p w14:paraId="7761BDC9" w14:textId="4CF8E753" w:rsidR="006F0D5C" w:rsidRPr="00E91C1F" w:rsidRDefault="00102373" w:rsidP="00C5440B">
            <w:pPr>
              <w:pStyle w:val="TableText0"/>
              <w:jc w:val="center"/>
              <w:rPr>
                <w:b/>
                <w:vertAlign w:val="superscript"/>
              </w:rPr>
            </w:pPr>
            <w:r w:rsidRPr="00102373">
              <w:rPr>
                <w:b/>
                <w:sz w:val="2"/>
                <w:highlight w:val="black"/>
              </w:rPr>
              <w:t>redacted content</w:t>
            </w:r>
            <w:r w:rsidR="00E91C1F">
              <w:rPr>
                <w:b/>
                <w:vertAlign w:val="superscript"/>
              </w:rPr>
              <w:t>2</w:t>
            </w:r>
          </w:p>
        </w:tc>
        <w:tc>
          <w:tcPr>
            <w:tcW w:w="537" w:type="pct"/>
            <w:tcBorders>
              <w:top w:val="single" w:sz="4" w:space="0" w:color="auto"/>
              <w:left w:val="single" w:sz="4" w:space="0" w:color="auto"/>
              <w:bottom w:val="single" w:sz="4" w:space="0" w:color="auto"/>
              <w:right w:val="single" w:sz="4" w:space="0" w:color="auto"/>
            </w:tcBorders>
            <w:vAlign w:val="center"/>
          </w:tcPr>
          <w:p w14:paraId="7BBAAD2B" w14:textId="416FAC15" w:rsidR="006F0D5C" w:rsidRPr="00E91C1F" w:rsidRDefault="00102373" w:rsidP="00C5440B">
            <w:pPr>
              <w:pStyle w:val="TableText0"/>
              <w:jc w:val="center"/>
              <w:rPr>
                <w:b/>
                <w:vertAlign w:val="superscript"/>
              </w:rPr>
            </w:pPr>
            <w:r w:rsidRPr="00102373">
              <w:rPr>
                <w:b/>
                <w:sz w:val="2"/>
                <w:highlight w:val="black"/>
              </w:rPr>
              <w:t>redacted content</w:t>
            </w:r>
            <w:r w:rsidR="00E91C1F">
              <w:rPr>
                <w:b/>
                <w:vertAlign w:val="superscript"/>
              </w:rPr>
              <w:t>2</w:t>
            </w:r>
          </w:p>
        </w:tc>
        <w:tc>
          <w:tcPr>
            <w:tcW w:w="593" w:type="pct"/>
            <w:tcBorders>
              <w:top w:val="single" w:sz="4" w:space="0" w:color="auto"/>
              <w:left w:val="single" w:sz="4" w:space="0" w:color="auto"/>
              <w:bottom w:val="single" w:sz="4" w:space="0" w:color="auto"/>
              <w:right w:val="single" w:sz="4" w:space="0" w:color="auto"/>
            </w:tcBorders>
            <w:vAlign w:val="center"/>
          </w:tcPr>
          <w:p w14:paraId="43925337" w14:textId="73985D1D"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r>
      <w:tr w:rsidR="006F0D5C" w:rsidRPr="007C316F" w14:paraId="62100A52" w14:textId="77777777" w:rsidTr="0072568D">
        <w:tc>
          <w:tcPr>
            <w:tcW w:w="5000" w:type="pct"/>
            <w:gridSpan w:val="8"/>
            <w:tcBorders>
              <w:top w:val="single" w:sz="4" w:space="0" w:color="auto"/>
              <w:left w:val="single" w:sz="4" w:space="0" w:color="auto"/>
              <w:bottom w:val="nil"/>
              <w:right w:val="single" w:sz="4" w:space="0" w:color="auto"/>
            </w:tcBorders>
            <w:vAlign w:val="center"/>
          </w:tcPr>
          <w:p w14:paraId="162D472B" w14:textId="77777777" w:rsidR="006F0D5C" w:rsidRPr="007C316F" w:rsidRDefault="006F0D5C" w:rsidP="00C5440B">
            <w:pPr>
              <w:pStyle w:val="TableText0"/>
              <w:rPr>
                <w:b/>
              </w:rPr>
            </w:pPr>
            <w:r w:rsidRPr="007C316F">
              <w:rPr>
                <w:b/>
                <w:bCs w:val="0"/>
                <w:szCs w:val="20"/>
              </w:rPr>
              <w:t>Patient years who receive SOC first</w:t>
            </w:r>
          </w:p>
        </w:tc>
      </w:tr>
      <w:tr w:rsidR="00F0116F" w:rsidRPr="007C316F" w14:paraId="12967D18" w14:textId="77777777" w:rsidTr="00F0116F">
        <w:tc>
          <w:tcPr>
            <w:tcW w:w="1182" w:type="pct"/>
            <w:tcBorders>
              <w:top w:val="nil"/>
              <w:left w:val="single" w:sz="4" w:space="0" w:color="auto"/>
              <w:bottom w:val="nil"/>
              <w:right w:val="single" w:sz="4" w:space="0" w:color="auto"/>
            </w:tcBorders>
            <w:vAlign w:val="center"/>
          </w:tcPr>
          <w:p w14:paraId="1C68D37E" w14:textId="77777777" w:rsidR="00F0116F" w:rsidRPr="007C316F" w:rsidRDefault="00F0116F" w:rsidP="00F0116F">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Incident</w:t>
            </w:r>
          </w:p>
        </w:tc>
        <w:tc>
          <w:tcPr>
            <w:tcW w:w="542" w:type="pct"/>
            <w:tcBorders>
              <w:top w:val="nil"/>
              <w:left w:val="single" w:sz="4" w:space="0" w:color="auto"/>
              <w:bottom w:val="nil"/>
              <w:right w:val="single" w:sz="4" w:space="0" w:color="auto"/>
            </w:tcBorders>
            <w:vAlign w:val="center"/>
          </w:tcPr>
          <w:p w14:paraId="7C864B3B" w14:textId="7C2FB1D3" w:rsidR="00F0116F" w:rsidRPr="007C316F" w:rsidRDefault="00F0116F" w:rsidP="00F0116F">
            <w:pPr>
              <w:pStyle w:val="TableText0"/>
              <w:jc w:val="center"/>
              <w:rPr>
                <w:bCs w:val="0"/>
              </w:rPr>
            </w:pPr>
            <w:r>
              <w:rPr>
                <w:bCs w:val="0"/>
              </w:rPr>
              <w:noBreakHyphen/>
            </w:r>
          </w:p>
        </w:tc>
        <w:tc>
          <w:tcPr>
            <w:tcW w:w="537" w:type="pct"/>
            <w:tcBorders>
              <w:top w:val="nil"/>
              <w:left w:val="single" w:sz="4" w:space="0" w:color="auto"/>
              <w:bottom w:val="nil"/>
              <w:right w:val="single" w:sz="4" w:space="0" w:color="auto"/>
            </w:tcBorders>
            <w:vAlign w:val="center"/>
          </w:tcPr>
          <w:p w14:paraId="47011B0E" w14:textId="61A80EDA" w:rsidR="00F0116F" w:rsidRPr="007C316F" w:rsidRDefault="00F0116F" w:rsidP="00F0116F">
            <w:pPr>
              <w:pStyle w:val="TableText0"/>
              <w:jc w:val="center"/>
              <w:rPr>
                <w:bCs w:val="0"/>
              </w:rPr>
            </w:pPr>
            <w:r w:rsidRPr="0093268B">
              <w:rPr>
                <w:sz w:val="2"/>
                <w:highlight w:val="black"/>
              </w:rPr>
              <w:t>redacted content</w:t>
            </w:r>
            <w:r>
              <w:rPr>
                <w:vertAlign w:val="superscript"/>
              </w:rPr>
              <w:t>2</w:t>
            </w:r>
          </w:p>
        </w:tc>
        <w:tc>
          <w:tcPr>
            <w:tcW w:w="537" w:type="pct"/>
            <w:tcBorders>
              <w:top w:val="nil"/>
              <w:left w:val="single" w:sz="4" w:space="0" w:color="auto"/>
              <w:bottom w:val="nil"/>
              <w:right w:val="single" w:sz="4" w:space="0" w:color="auto"/>
            </w:tcBorders>
            <w:vAlign w:val="center"/>
          </w:tcPr>
          <w:p w14:paraId="1077D569" w14:textId="6E5F1146" w:rsidR="00F0116F" w:rsidRPr="007C316F" w:rsidRDefault="00F0116F" w:rsidP="00F0116F">
            <w:pPr>
              <w:pStyle w:val="TableText0"/>
              <w:jc w:val="center"/>
              <w:rPr>
                <w:bCs w:val="0"/>
              </w:rPr>
            </w:pPr>
            <w:r w:rsidRPr="0093268B">
              <w:rPr>
                <w:sz w:val="2"/>
                <w:highlight w:val="black"/>
              </w:rPr>
              <w:t>redacted content</w:t>
            </w:r>
            <w:r>
              <w:rPr>
                <w:vertAlign w:val="superscript"/>
              </w:rPr>
              <w:t>2</w:t>
            </w:r>
          </w:p>
        </w:tc>
        <w:tc>
          <w:tcPr>
            <w:tcW w:w="537" w:type="pct"/>
            <w:tcBorders>
              <w:top w:val="nil"/>
              <w:left w:val="single" w:sz="4" w:space="0" w:color="auto"/>
              <w:bottom w:val="nil"/>
              <w:right w:val="single" w:sz="4" w:space="0" w:color="auto"/>
            </w:tcBorders>
            <w:vAlign w:val="center"/>
          </w:tcPr>
          <w:p w14:paraId="6042D125" w14:textId="7539485C" w:rsidR="00F0116F" w:rsidRPr="007C316F" w:rsidRDefault="00F0116F" w:rsidP="00F0116F">
            <w:pPr>
              <w:pStyle w:val="TableText0"/>
              <w:jc w:val="center"/>
              <w:rPr>
                <w:bCs w:val="0"/>
              </w:rPr>
            </w:pPr>
            <w:r w:rsidRPr="0093268B">
              <w:rPr>
                <w:sz w:val="2"/>
                <w:highlight w:val="black"/>
              </w:rPr>
              <w:t>redacted content</w:t>
            </w:r>
            <w:r>
              <w:rPr>
                <w:vertAlign w:val="superscript"/>
              </w:rPr>
              <w:t>2</w:t>
            </w:r>
          </w:p>
        </w:tc>
        <w:tc>
          <w:tcPr>
            <w:tcW w:w="537" w:type="pct"/>
            <w:tcBorders>
              <w:top w:val="nil"/>
              <w:left w:val="single" w:sz="4" w:space="0" w:color="auto"/>
              <w:bottom w:val="nil"/>
              <w:right w:val="single" w:sz="4" w:space="0" w:color="auto"/>
            </w:tcBorders>
            <w:vAlign w:val="center"/>
          </w:tcPr>
          <w:p w14:paraId="7E5E5486" w14:textId="76DD9B37" w:rsidR="00F0116F" w:rsidRPr="007C316F" w:rsidRDefault="00F0116F" w:rsidP="00F0116F">
            <w:pPr>
              <w:pStyle w:val="TableText0"/>
              <w:jc w:val="center"/>
              <w:rPr>
                <w:bCs w:val="0"/>
              </w:rPr>
            </w:pPr>
            <w:r w:rsidRPr="0093268B">
              <w:rPr>
                <w:sz w:val="2"/>
                <w:highlight w:val="black"/>
              </w:rPr>
              <w:t>redacted content</w:t>
            </w:r>
            <w:r>
              <w:rPr>
                <w:vertAlign w:val="superscript"/>
              </w:rPr>
              <w:t>2</w:t>
            </w:r>
          </w:p>
        </w:tc>
        <w:tc>
          <w:tcPr>
            <w:tcW w:w="537" w:type="pct"/>
            <w:tcBorders>
              <w:top w:val="nil"/>
              <w:left w:val="single" w:sz="4" w:space="0" w:color="auto"/>
              <w:bottom w:val="nil"/>
              <w:right w:val="single" w:sz="4" w:space="0" w:color="auto"/>
            </w:tcBorders>
            <w:vAlign w:val="center"/>
          </w:tcPr>
          <w:p w14:paraId="03DDA1F4" w14:textId="2C61C1ED" w:rsidR="00F0116F" w:rsidRPr="007C316F" w:rsidRDefault="00F0116F" w:rsidP="00F0116F">
            <w:pPr>
              <w:pStyle w:val="TableText0"/>
              <w:jc w:val="center"/>
              <w:rPr>
                <w:bCs w:val="0"/>
              </w:rPr>
            </w:pPr>
            <w:r w:rsidRPr="0093268B">
              <w:rPr>
                <w:sz w:val="2"/>
                <w:highlight w:val="black"/>
              </w:rPr>
              <w:t>redacted content</w:t>
            </w:r>
            <w:r>
              <w:rPr>
                <w:vertAlign w:val="superscript"/>
              </w:rPr>
              <w:t>2</w:t>
            </w:r>
          </w:p>
        </w:tc>
        <w:tc>
          <w:tcPr>
            <w:tcW w:w="593" w:type="pct"/>
            <w:tcBorders>
              <w:top w:val="nil"/>
              <w:left w:val="single" w:sz="4" w:space="0" w:color="auto"/>
              <w:bottom w:val="nil"/>
              <w:right w:val="single" w:sz="4" w:space="0" w:color="auto"/>
            </w:tcBorders>
            <w:vAlign w:val="center"/>
          </w:tcPr>
          <w:p w14:paraId="689AB81F" w14:textId="29056672" w:rsidR="00F0116F" w:rsidRPr="007C316F" w:rsidRDefault="00F0116F" w:rsidP="00F0116F">
            <w:pPr>
              <w:pStyle w:val="TableText0"/>
              <w:jc w:val="center"/>
            </w:pPr>
            <w:r w:rsidRPr="0093268B">
              <w:rPr>
                <w:sz w:val="2"/>
                <w:highlight w:val="black"/>
              </w:rPr>
              <w:t>redacted content</w:t>
            </w:r>
            <w:r>
              <w:rPr>
                <w:vertAlign w:val="superscript"/>
              </w:rPr>
              <w:t>1</w:t>
            </w:r>
          </w:p>
        </w:tc>
      </w:tr>
      <w:tr w:rsidR="00F0116F" w:rsidRPr="007C316F" w14:paraId="652A4167" w14:textId="77777777" w:rsidTr="00F0116F">
        <w:tc>
          <w:tcPr>
            <w:tcW w:w="1182" w:type="pct"/>
            <w:tcBorders>
              <w:top w:val="nil"/>
              <w:left w:val="single" w:sz="4" w:space="0" w:color="auto"/>
              <w:bottom w:val="nil"/>
              <w:right w:val="single" w:sz="4" w:space="0" w:color="auto"/>
            </w:tcBorders>
            <w:vAlign w:val="center"/>
          </w:tcPr>
          <w:p w14:paraId="3249B08D" w14:textId="77777777" w:rsidR="00F0116F" w:rsidRPr="007C316F" w:rsidRDefault="00F0116F" w:rsidP="00F0116F">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Prevalent</w:t>
            </w:r>
          </w:p>
        </w:tc>
        <w:tc>
          <w:tcPr>
            <w:tcW w:w="542" w:type="pct"/>
            <w:tcBorders>
              <w:top w:val="nil"/>
              <w:left w:val="single" w:sz="4" w:space="0" w:color="auto"/>
              <w:bottom w:val="nil"/>
              <w:right w:val="single" w:sz="4" w:space="0" w:color="auto"/>
            </w:tcBorders>
            <w:vAlign w:val="center"/>
          </w:tcPr>
          <w:p w14:paraId="5006D8DA" w14:textId="2D528DF5" w:rsidR="00F0116F" w:rsidRPr="007C316F" w:rsidRDefault="00F0116F" w:rsidP="00F0116F">
            <w:pPr>
              <w:pStyle w:val="TableText0"/>
              <w:jc w:val="center"/>
              <w:rPr>
                <w:bCs w:val="0"/>
              </w:rPr>
            </w:pPr>
            <w:r w:rsidRPr="0093268B">
              <w:rPr>
                <w:bCs w:val="0"/>
                <w:sz w:val="2"/>
                <w:highlight w:val="black"/>
              </w:rPr>
              <w:t>redacted content</w:t>
            </w:r>
            <w:r>
              <w:rPr>
                <w:bCs w:val="0"/>
                <w:vertAlign w:val="superscript"/>
              </w:rPr>
              <w:t>3</w:t>
            </w:r>
          </w:p>
        </w:tc>
        <w:tc>
          <w:tcPr>
            <w:tcW w:w="537" w:type="pct"/>
            <w:tcBorders>
              <w:top w:val="nil"/>
              <w:left w:val="single" w:sz="4" w:space="0" w:color="auto"/>
              <w:bottom w:val="nil"/>
              <w:right w:val="single" w:sz="4" w:space="0" w:color="auto"/>
            </w:tcBorders>
            <w:vAlign w:val="center"/>
          </w:tcPr>
          <w:p w14:paraId="31BA15E9" w14:textId="0FFCF1BA" w:rsidR="00F0116F" w:rsidRPr="007C316F" w:rsidRDefault="00F0116F" w:rsidP="00F0116F">
            <w:pPr>
              <w:pStyle w:val="TableText0"/>
              <w:jc w:val="center"/>
            </w:pPr>
            <w:r w:rsidRPr="0093268B">
              <w:rPr>
                <w:sz w:val="2"/>
                <w:highlight w:val="black"/>
              </w:rPr>
              <w:t>redacted content</w:t>
            </w:r>
            <w:r>
              <w:rPr>
                <w:vertAlign w:val="superscript"/>
              </w:rPr>
              <w:t>1</w:t>
            </w:r>
          </w:p>
        </w:tc>
        <w:tc>
          <w:tcPr>
            <w:tcW w:w="537" w:type="pct"/>
            <w:tcBorders>
              <w:top w:val="nil"/>
              <w:left w:val="single" w:sz="4" w:space="0" w:color="auto"/>
              <w:bottom w:val="nil"/>
              <w:right w:val="single" w:sz="4" w:space="0" w:color="auto"/>
            </w:tcBorders>
            <w:vAlign w:val="center"/>
          </w:tcPr>
          <w:p w14:paraId="4AE76901" w14:textId="1794B003" w:rsidR="00F0116F" w:rsidRPr="007C316F" w:rsidRDefault="00F0116F" w:rsidP="00F0116F">
            <w:pPr>
              <w:pStyle w:val="TableText0"/>
              <w:jc w:val="center"/>
            </w:pPr>
            <w:r w:rsidRPr="0093268B">
              <w:rPr>
                <w:sz w:val="2"/>
                <w:highlight w:val="black"/>
              </w:rPr>
              <w:t>redacted content</w:t>
            </w:r>
            <w:r>
              <w:rPr>
                <w:vertAlign w:val="superscript"/>
              </w:rPr>
              <w:t>1</w:t>
            </w:r>
          </w:p>
        </w:tc>
        <w:tc>
          <w:tcPr>
            <w:tcW w:w="537" w:type="pct"/>
            <w:tcBorders>
              <w:top w:val="nil"/>
              <w:left w:val="single" w:sz="4" w:space="0" w:color="auto"/>
              <w:bottom w:val="nil"/>
              <w:right w:val="single" w:sz="4" w:space="0" w:color="auto"/>
            </w:tcBorders>
            <w:vAlign w:val="center"/>
          </w:tcPr>
          <w:p w14:paraId="2AB431A4" w14:textId="7BC88F84" w:rsidR="00F0116F" w:rsidRPr="007C316F" w:rsidRDefault="00F0116F" w:rsidP="00F0116F">
            <w:pPr>
              <w:pStyle w:val="TableText0"/>
              <w:jc w:val="center"/>
            </w:pPr>
            <w:r w:rsidRPr="0093268B">
              <w:rPr>
                <w:sz w:val="2"/>
                <w:highlight w:val="black"/>
              </w:rPr>
              <w:t>redacted content</w:t>
            </w:r>
            <w:r>
              <w:rPr>
                <w:vertAlign w:val="superscript"/>
              </w:rPr>
              <w:t>1</w:t>
            </w:r>
          </w:p>
        </w:tc>
        <w:tc>
          <w:tcPr>
            <w:tcW w:w="537" w:type="pct"/>
            <w:tcBorders>
              <w:top w:val="nil"/>
              <w:left w:val="single" w:sz="4" w:space="0" w:color="auto"/>
              <w:bottom w:val="nil"/>
              <w:right w:val="single" w:sz="4" w:space="0" w:color="auto"/>
            </w:tcBorders>
            <w:vAlign w:val="center"/>
          </w:tcPr>
          <w:p w14:paraId="5DE13818" w14:textId="485A6C65" w:rsidR="00F0116F" w:rsidRPr="007C316F" w:rsidRDefault="00F0116F" w:rsidP="00F0116F">
            <w:pPr>
              <w:pStyle w:val="TableText0"/>
              <w:jc w:val="center"/>
            </w:pPr>
            <w:r w:rsidRPr="0093268B">
              <w:rPr>
                <w:sz w:val="2"/>
                <w:highlight w:val="black"/>
              </w:rPr>
              <w:t>redacted content</w:t>
            </w:r>
            <w:r>
              <w:rPr>
                <w:vertAlign w:val="superscript"/>
              </w:rPr>
              <w:t>1</w:t>
            </w:r>
          </w:p>
        </w:tc>
        <w:tc>
          <w:tcPr>
            <w:tcW w:w="537" w:type="pct"/>
            <w:tcBorders>
              <w:top w:val="nil"/>
              <w:left w:val="single" w:sz="4" w:space="0" w:color="auto"/>
              <w:bottom w:val="nil"/>
              <w:right w:val="single" w:sz="4" w:space="0" w:color="auto"/>
            </w:tcBorders>
            <w:vAlign w:val="center"/>
          </w:tcPr>
          <w:p w14:paraId="2431D08E" w14:textId="433A4AE0" w:rsidR="00F0116F" w:rsidRPr="007C316F" w:rsidRDefault="00F0116F" w:rsidP="00F0116F">
            <w:pPr>
              <w:pStyle w:val="TableText0"/>
              <w:jc w:val="center"/>
            </w:pPr>
            <w:r w:rsidRPr="0093268B">
              <w:rPr>
                <w:sz w:val="2"/>
                <w:highlight w:val="black"/>
              </w:rPr>
              <w:t>redacted content</w:t>
            </w:r>
            <w:r>
              <w:rPr>
                <w:vertAlign w:val="superscript"/>
              </w:rPr>
              <w:t>2</w:t>
            </w:r>
          </w:p>
        </w:tc>
        <w:tc>
          <w:tcPr>
            <w:tcW w:w="593" w:type="pct"/>
            <w:tcBorders>
              <w:top w:val="nil"/>
              <w:left w:val="single" w:sz="4" w:space="0" w:color="auto"/>
              <w:bottom w:val="nil"/>
              <w:right w:val="single" w:sz="4" w:space="0" w:color="auto"/>
            </w:tcBorders>
            <w:vAlign w:val="center"/>
          </w:tcPr>
          <w:p w14:paraId="261A9747" w14:textId="679B98BE" w:rsidR="00F0116F" w:rsidRPr="007C316F" w:rsidRDefault="00F0116F" w:rsidP="00F0116F">
            <w:pPr>
              <w:pStyle w:val="TableText0"/>
              <w:jc w:val="center"/>
            </w:pPr>
            <w:r w:rsidRPr="0093268B">
              <w:rPr>
                <w:sz w:val="2"/>
                <w:highlight w:val="black"/>
              </w:rPr>
              <w:t>redacted content</w:t>
            </w:r>
            <w:r>
              <w:rPr>
                <w:vertAlign w:val="superscript"/>
              </w:rPr>
              <w:t>4</w:t>
            </w:r>
          </w:p>
        </w:tc>
      </w:tr>
      <w:tr w:rsidR="00F0116F" w:rsidRPr="007C316F" w14:paraId="26B83067" w14:textId="77777777" w:rsidTr="00F0116F">
        <w:tc>
          <w:tcPr>
            <w:tcW w:w="1182" w:type="pct"/>
            <w:tcBorders>
              <w:top w:val="nil"/>
              <w:left w:val="single" w:sz="4" w:space="0" w:color="auto"/>
              <w:bottom w:val="single" w:sz="4" w:space="0" w:color="auto"/>
              <w:right w:val="single" w:sz="4" w:space="0" w:color="auto"/>
            </w:tcBorders>
            <w:vAlign w:val="center"/>
          </w:tcPr>
          <w:p w14:paraId="211BF89E" w14:textId="77777777" w:rsidR="00F0116F" w:rsidRPr="007C316F" w:rsidRDefault="00F0116F" w:rsidP="00F0116F">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No/worse response</w:t>
            </w:r>
          </w:p>
        </w:tc>
        <w:tc>
          <w:tcPr>
            <w:tcW w:w="542" w:type="pct"/>
            <w:tcBorders>
              <w:top w:val="nil"/>
              <w:left w:val="single" w:sz="4" w:space="0" w:color="auto"/>
              <w:bottom w:val="single" w:sz="4" w:space="0" w:color="auto"/>
              <w:right w:val="single" w:sz="4" w:space="0" w:color="auto"/>
            </w:tcBorders>
            <w:vAlign w:val="center"/>
          </w:tcPr>
          <w:p w14:paraId="491D83F7" w14:textId="40343E9D" w:rsidR="00F0116F" w:rsidRPr="007C316F" w:rsidRDefault="00F0116F" w:rsidP="00F0116F">
            <w:pPr>
              <w:pStyle w:val="TableText0"/>
              <w:jc w:val="center"/>
              <w:rPr>
                <w:bCs w:val="0"/>
              </w:rPr>
            </w:pPr>
            <w:r w:rsidRPr="0093268B">
              <w:rPr>
                <w:bCs w:val="0"/>
                <w:sz w:val="2"/>
                <w:highlight w:val="black"/>
              </w:rPr>
              <w:t>redacted content</w:t>
            </w:r>
            <w:r>
              <w:rPr>
                <w:bCs w:val="0"/>
                <w:vertAlign w:val="superscript"/>
              </w:rPr>
              <w:t>1</w:t>
            </w:r>
          </w:p>
        </w:tc>
        <w:tc>
          <w:tcPr>
            <w:tcW w:w="537" w:type="pct"/>
            <w:tcBorders>
              <w:top w:val="nil"/>
              <w:left w:val="single" w:sz="4" w:space="0" w:color="auto"/>
              <w:bottom w:val="single" w:sz="4" w:space="0" w:color="auto"/>
              <w:right w:val="single" w:sz="4" w:space="0" w:color="auto"/>
            </w:tcBorders>
            <w:vAlign w:val="center"/>
          </w:tcPr>
          <w:p w14:paraId="0C5C67E9" w14:textId="1C66FA6B" w:rsidR="00F0116F" w:rsidRPr="007C316F" w:rsidRDefault="00F0116F" w:rsidP="00F0116F">
            <w:pPr>
              <w:pStyle w:val="TableText0"/>
              <w:jc w:val="center"/>
              <w:rPr>
                <w:bCs w:val="0"/>
              </w:rPr>
            </w:pPr>
            <w:r w:rsidRPr="0093268B">
              <w:rPr>
                <w:bCs w:val="0"/>
                <w:sz w:val="2"/>
                <w:highlight w:val="black"/>
              </w:rPr>
              <w:t>redacted content</w:t>
            </w:r>
            <w:r>
              <w:rPr>
                <w:bCs w:val="0"/>
                <w:vertAlign w:val="superscript"/>
              </w:rPr>
              <w:t>1</w:t>
            </w:r>
          </w:p>
        </w:tc>
        <w:tc>
          <w:tcPr>
            <w:tcW w:w="537" w:type="pct"/>
            <w:tcBorders>
              <w:top w:val="nil"/>
              <w:left w:val="single" w:sz="4" w:space="0" w:color="auto"/>
              <w:bottom w:val="single" w:sz="4" w:space="0" w:color="auto"/>
              <w:right w:val="single" w:sz="4" w:space="0" w:color="auto"/>
            </w:tcBorders>
            <w:vAlign w:val="center"/>
          </w:tcPr>
          <w:p w14:paraId="500B0C91" w14:textId="12F59176" w:rsidR="00F0116F" w:rsidRPr="007C316F" w:rsidRDefault="00F0116F" w:rsidP="00F0116F">
            <w:pPr>
              <w:pStyle w:val="TableText0"/>
              <w:jc w:val="center"/>
              <w:rPr>
                <w:bCs w:val="0"/>
              </w:rPr>
            </w:pPr>
            <w:r w:rsidRPr="0093268B">
              <w:rPr>
                <w:bCs w:val="0"/>
                <w:sz w:val="2"/>
                <w:highlight w:val="black"/>
              </w:rPr>
              <w:t>redacted content</w:t>
            </w:r>
            <w:r>
              <w:rPr>
                <w:bCs w:val="0"/>
                <w:vertAlign w:val="superscript"/>
              </w:rPr>
              <w:t>1</w:t>
            </w:r>
          </w:p>
        </w:tc>
        <w:tc>
          <w:tcPr>
            <w:tcW w:w="537" w:type="pct"/>
            <w:tcBorders>
              <w:top w:val="nil"/>
              <w:left w:val="single" w:sz="4" w:space="0" w:color="auto"/>
              <w:bottom w:val="single" w:sz="4" w:space="0" w:color="auto"/>
              <w:right w:val="single" w:sz="4" w:space="0" w:color="auto"/>
            </w:tcBorders>
            <w:vAlign w:val="center"/>
          </w:tcPr>
          <w:p w14:paraId="52EDF5FC" w14:textId="58CFEF01" w:rsidR="00F0116F" w:rsidRPr="007C316F" w:rsidRDefault="00F0116F" w:rsidP="00F0116F">
            <w:pPr>
              <w:pStyle w:val="TableText0"/>
              <w:jc w:val="center"/>
              <w:rPr>
                <w:bCs w:val="0"/>
              </w:rPr>
            </w:pPr>
            <w:r w:rsidRPr="0093268B">
              <w:rPr>
                <w:bCs w:val="0"/>
                <w:sz w:val="2"/>
                <w:highlight w:val="black"/>
              </w:rPr>
              <w:t>redacted content</w:t>
            </w:r>
            <w:r>
              <w:rPr>
                <w:bCs w:val="0"/>
                <w:vertAlign w:val="superscript"/>
              </w:rPr>
              <w:t>1</w:t>
            </w:r>
          </w:p>
        </w:tc>
        <w:tc>
          <w:tcPr>
            <w:tcW w:w="537" w:type="pct"/>
            <w:tcBorders>
              <w:top w:val="nil"/>
              <w:left w:val="single" w:sz="4" w:space="0" w:color="auto"/>
              <w:bottom w:val="single" w:sz="4" w:space="0" w:color="auto"/>
              <w:right w:val="single" w:sz="4" w:space="0" w:color="auto"/>
            </w:tcBorders>
            <w:vAlign w:val="center"/>
          </w:tcPr>
          <w:p w14:paraId="0E02A030" w14:textId="70B65331" w:rsidR="00F0116F" w:rsidRPr="007C316F" w:rsidRDefault="00F0116F" w:rsidP="00F0116F">
            <w:pPr>
              <w:pStyle w:val="TableText0"/>
              <w:jc w:val="center"/>
              <w:rPr>
                <w:bCs w:val="0"/>
              </w:rPr>
            </w:pPr>
            <w:r w:rsidRPr="0093268B">
              <w:rPr>
                <w:bCs w:val="0"/>
                <w:sz w:val="2"/>
                <w:highlight w:val="black"/>
              </w:rPr>
              <w:t>redacted content</w:t>
            </w:r>
            <w:r>
              <w:rPr>
                <w:bCs w:val="0"/>
                <w:vertAlign w:val="superscript"/>
              </w:rPr>
              <w:t>1</w:t>
            </w:r>
          </w:p>
        </w:tc>
        <w:tc>
          <w:tcPr>
            <w:tcW w:w="537" w:type="pct"/>
            <w:tcBorders>
              <w:top w:val="nil"/>
              <w:left w:val="single" w:sz="4" w:space="0" w:color="auto"/>
              <w:bottom w:val="single" w:sz="4" w:space="0" w:color="auto"/>
              <w:right w:val="single" w:sz="4" w:space="0" w:color="auto"/>
            </w:tcBorders>
            <w:vAlign w:val="center"/>
          </w:tcPr>
          <w:p w14:paraId="15C80A89" w14:textId="7CDB2786" w:rsidR="00F0116F" w:rsidRPr="007C316F" w:rsidRDefault="00F0116F" w:rsidP="00F0116F">
            <w:pPr>
              <w:pStyle w:val="TableText0"/>
              <w:jc w:val="center"/>
              <w:rPr>
                <w:bCs w:val="0"/>
              </w:rPr>
            </w:pPr>
            <w:r w:rsidRPr="0093268B">
              <w:rPr>
                <w:bCs w:val="0"/>
                <w:sz w:val="2"/>
                <w:highlight w:val="black"/>
              </w:rPr>
              <w:t>redacted content</w:t>
            </w:r>
            <w:r>
              <w:rPr>
                <w:bCs w:val="0"/>
                <w:vertAlign w:val="superscript"/>
              </w:rPr>
              <w:t>2</w:t>
            </w:r>
          </w:p>
        </w:tc>
        <w:tc>
          <w:tcPr>
            <w:tcW w:w="593" w:type="pct"/>
            <w:tcBorders>
              <w:top w:val="nil"/>
              <w:left w:val="single" w:sz="4" w:space="0" w:color="auto"/>
              <w:bottom w:val="single" w:sz="4" w:space="0" w:color="auto"/>
              <w:right w:val="single" w:sz="4" w:space="0" w:color="auto"/>
            </w:tcBorders>
            <w:vAlign w:val="center"/>
          </w:tcPr>
          <w:p w14:paraId="3648ECFB" w14:textId="490DD532" w:rsidR="00F0116F" w:rsidRPr="007C316F" w:rsidRDefault="00F0116F" w:rsidP="00F0116F">
            <w:pPr>
              <w:pStyle w:val="TableText0"/>
              <w:jc w:val="center"/>
            </w:pPr>
            <w:r w:rsidRPr="0093268B">
              <w:rPr>
                <w:sz w:val="2"/>
                <w:highlight w:val="black"/>
              </w:rPr>
              <w:t>redacted content</w:t>
            </w:r>
            <w:r>
              <w:rPr>
                <w:vertAlign w:val="superscript"/>
              </w:rPr>
              <w:t>3</w:t>
            </w:r>
          </w:p>
        </w:tc>
      </w:tr>
      <w:tr w:rsidR="006F0D5C" w:rsidRPr="007C316F" w14:paraId="2BB2163F" w14:textId="77777777" w:rsidTr="00F0116F">
        <w:tc>
          <w:tcPr>
            <w:tcW w:w="1182" w:type="pct"/>
            <w:tcBorders>
              <w:top w:val="single" w:sz="4" w:space="0" w:color="auto"/>
              <w:left w:val="single" w:sz="4" w:space="0" w:color="auto"/>
              <w:bottom w:val="nil"/>
              <w:right w:val="single" w:sz="4" w:space="0" w:color="auto"/>
            </w:tcBorders>
            <w:vAlign w:val="center"/>
          </w:tcPr>
          <w:p w14:paraId="0325A362"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Subsequent uptake</w:t>
            </w:r>
          </w:p>
        </w:tc>
        <w:tc>
          <w:tcPr>
            <w:tcW w:w="542" w:type="pct"/>
            <w:tcBorders>
              <w:top w:val="single" w:sz="4" w:space="0" w:color="auto"/>
              <w:left w:val="single" w:sz="4" w:space="0" w:color="auto"/>
              <w:bottom w:val="nil"/>
              <w:right w:val="single" w:sz="4" w:space="0" w:color="auto"/>
            </w:tcBorders>
            <w:vAlign w:val="center"/>
          </w:tcPr>
          <w:p w14:paraId="55F99069" w14:textId="21A2D185"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nil"/>
              <w:right w:val="single" w:sz="4" w:space="0" w:color="auto"/>
            </w:tcBorders>
            <w:vAlign w:val="center"/>
          </w:tcPr>
          <w:p w14:paraId="6225F39F" w14:textId="5ACF6AC0"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nil"/>
              <w:right w:val="single" w:sz="4" w:space="0" w:color="auto"/>
            </w:tcBorders>
            <w:vAlign w:val="center"/>
          </w:tcPr>
          <w:p w14:paraId="650005AF" w14:textId="2F877B06"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nil"/>
              <w:right w:val="single" w:sz="4" w:space="0" w:color="auto"/>
            </w:tcBorders>
            <w:vAlign w:val="center"/>
          </w:tcPr>
          <w:p w14:paraId="4CE6EC21" w14:textId="12230DE0"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nil"/>
              <w:right w:val="single" w:sz="4" w:space="0" w:color="auto"/>
            </w:tcBorders>
            <w:vAlign w:val="center"/>
          </w:tcPr>
          <w:p w14:paraId="51FD9ADC" w14:textId="2C4ECD8E"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nil"/>
              <w:right w:val="single" w:sz="4" w:space="0" w:color="auto"/>
            </w:tcBorders>
            <w:vAlign w:val="center"/>
          </w:tcPr>
          <w:p w14:paraId="092AC0D8" w14:textId="707066FA" w:rsidR="006F0D5C" w:rsidRPr="00E91C1F" w:rsidRDefault="00102373" w:rsidP="00C5440B">
            <w:pPr>
              <w:pStyle w:val="TableText0"/>
              <w:jc w:val="center"/>
              <w:rPr>
                <w:b/>
                <w:vertAlign w:val="superscript"/>
              </w:rPr>
            </w:pPr>
            <w:r w:rsidRPr="00102373">
              <w:rPr>
                <w:b/>
                <w:sz w:val="2"/>
                <w:highlight w:val="black"/>
              </w:rPr>
              <w:t>redacted content</w:t>
            </w:r>
            <w:r w:rsidR="00E91C1F">
              <w:rPr>
                <w:b/>
                <w:vertAlign w:val="superscript"/>
              </w:rPr>
              <w:t>2</w:t>
            </w:r>
          </w:p>
        </w:tc>
        <w:tc>
          <w:tcPr>
            <w:tcW w:w="593" w:type="pct"/>
            <w:tcBorders>
              <w:top w:val="single" w:sz="4" w:space="0" w:color="auto"/>
              <w:left w:val="single" w:sz="4" w:space="0" w:color="auto"/>
              <w:bottom w:val="nil"/>
              <w:right w:val="single" w:sz="4" w:space="0" w:color="auto"/>
            </w:tcBorders>
            <w:vAlign w:val="center"/>
          </w:tcPr>
          <w:p w14:paraId="4834C68E" w14:textId="5403324F"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r>
      <w:tr w:rsidR="006F0D5C" w:rsidRPr="007C316F" w14:paraId="3375F0F6" w14:textId="77777777" w:rsidTr="00F0116F">
        <w:tc>
          <w:tcPr>
            <w:tcW w:w="1182" w:type="pct"/>
            <w:tcBorders>
              <w:top w:val="nil"/>
              <w:left w:val="single" w:sz="4" w:space="0" w:color="auto"/>
              <w:bottom w:val="single" w:sz="4" w:space="0" w:color="auto"/>
              <w:right w:val="single" w:sz="4" w:space="0" w:color="auto"/>
            </w:tcBorders>
            <w:vAlign w:val="center"/>
          </w:tcPr>
          <w:p w14:paraId="6A0C2E80" w14:textId="77777777" w:rsidR="006F0D5C" w:rsidRPr="007C316F" w:rsidRDefault="006F0D5C" w:rsidP="00C5440B">
            <w:pPr>
              <w:keepNext/>
              <w:keepLines/>
              <w:ind w:left="720" w:hanging="466"/>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With 6 month delay</w:t>
            </w:r>
          </w:p>
        </w:tc>
        <w:tc>
          <w:tcPr>
            <w:tcW w:w="542" w:type="pct"/>
            <w:tcBorders>
              <w:top w:val="nil"/>
              <w:left w:val="single" w:sz="4" w:space="0" w:color="auto"/>
              <w:bottom w:val="single" w:sz="4" w:space="0" w:color="auto"/>
              <w:right w:val="single" w:sz="4" w:space="0" w:color="auto"/>
            </w:tcBorders>
            <w:vAlign w:val="center"/>
          </w:tcPr>
          <w:p w14:paraId="7060C681" w14:textId="40C7ADB9"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nil"/>
              <w:left w:val="single" w:sz="4" w:space="0" w:color="auto"/>
              <w:bottom w:val="single" w:sz="4" w:space="0" w:color="auto"/>
              <w:right w:val="single" w:sz="4" w:space="0" w:color="auto"/>
            </w:tcBorders>
            <w:vAlign w:val="center"/>
          </w:tcPr>
          <w:p w14:paraId="4BAC332E" w14:textId="5937B8DE"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nil"/>
              <w:left w:val="single" w:sz="4" w:space="0" w:color="auto"/>
              <w:bottom w:val="single" w:sz="4" w:space="0" w:color="auto"/>
              <w:right w:val="single" w:sz="4" w:space="0" w:color="auto"/>
            </w:tcBorders>
            <w:vAlign w:val="center"/>
          </w:tcPr>
          <w:p w14:paraId="28345057" w14:textId="4B0B89A9"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nil"/>
              <w:left w:val="single" w:sz="4" w:space="0" w:color="auto"/>
              <w:bottom w:val="single" w:sz="4" w:space="0" w:color="auto"/>
              <w:right w:val="single" w:sz="4" w:space="0" w:color="auto"/>
            </w:tcBorders>
            <w:vAlign w:val="center"/>
          </w:tcPr>
          <w:p w14:paraId="79FAF145" w14:textId="48B92646"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nil"/>
              <w:left w:val="single" w:sz="4" w:space="0" w:color="auto"/>
              <w:bottom w:val="single" w:sz="4" w:space="0" w:color="auto"/>
              <w:right w:val="single" w:sz="4" w:space="0" w:color="auto"/>
            </w:tcBorders>
            <w:vAlign w:val="center"/>
          </w:tcPr>
          <w:p w14:paraId="2B06D1D7" w14:textId="0BBDD2B4"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nil"/>
              <w:left w:val="single" w:sz="4" w:space="0" w:color="auto"/>
              <w:bottom w:val="single" w:sz="4" w:space="0" w:color="auto"/>
              <w:right w:val="single" w:sz="4" w:space="0" w:color="auto"/>
            </w:tcBorders>
            <w:vAlign w:val="center"/>
          </w:tcPr>
          <w:p w14:paraId="3FACDCA1" w14:textId="64987DCE" w:rsidR="006F0D5C" w:rsidRPr="00E91C1F" w:rsidRDefault="00102373" w:rsidP="00C5440B">
            <w:pPr>
              <w:pStyle w:val="TableText0"/>
              <w:jc w:val="center"/>
              <w:rPr>
                <w:b/>
                <w:vertAlign w:val="superscript"/>
              </w:rPr>
            </w:pPr>
            <w:r w:rsidRPr="00102373">
              <w:rPr>
                <w:b/>
                <w:sz w:val="2"/>
                <w:highlight w:val="black"/>
              </w:rPr>
              <w:t>redacted content</w:t>
            </w:r>
            <w:r w:rsidR="00E91C1F">
              <w:rPr>
                <w:b/>
                <w:vertAlign w:val="superscript"/>
              </w:rPr>
              <w:t>2</w:t>
            </w:r>
          </w:p>
        </w:tc>
        <w:tc>
          <w:tcPr>
            <w:tcW w:w="593" w:type="pct"/>
            <w:tcBorders>
              <w:top w:val="nil"/>
              <w:left w:val="single" w:sz="4" w:space="0" w:color="auto"/>
              <w:bottom w:val="single" w:sz="4" w:space="0" w:color="auto"/>
              <w:right w:val="single" w:sz="4" w:space="0" w:color="auto"/>
            </w:tcBorders>
            <w:vAlign w:val="center"/>
          </w:tcPr>
          <w:p w14:paraId="6598D6D1" w14:textId="4E78E026" w:rsidR="006F0D5C" w:rsidRPr="00094CBA" w:rsidRDefault="00102373" w:rsidP="00C5440B">
            <w:pPr>
              <w:pStyle w:val="TableText0"/>
              <w:jc w:val="center"/>
              <w:rPr>
                <w:b/>
                <w:highlight w:val="darkGray"/>
                <w:vertAlign w:val="superscript"/>
              </w:rPr>
            </w:pPr>
            <w:r w:rsidRPr="00102373">
              <w:rPr>
                <w:b/>
                <w:sz w:val="2"/>
                <w:highlight w:val="black"/>
              </w:rPr>
              <w:t>redacted content</w:t>
            </w:r>
          </w:p>
        </w:tc>
      </w:tr>
      <w:tr w:rsidR="006F0D5C" w:rsidRPr="007C316F" w14:paraId="46568705"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4EA9C976"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 xml:space="preserve">Total initiating </w:t>
            </w:r>
          </w:p>
        </w:tc>
        <w:tc>
          <w:tcPr>
            <w:tcW w:w="542" w:type="pct"/>
            <w:tcBorders>
              <w:top w:val="single" w:sz="4" w:space="0" w:color="auto"/>
              <w:left w:val="single" w:sz="4" w:space="0" w:color="auto"/>
              <w:bottom w:val="single" w:sz="4" w:space="0" w:color="auto"/>
              <w:right w:val="single" w:sz="4" w:space="0" w:color="auto"/>
            </w:tcBorders>
            <w:vAlign w:val="center"/>
          </w:tcPr>
          <w:p w14:paraId="62A28144" w14:textId="29CF2181" w:rsidR="006F0D5C" w:rsidRPr="00094CBA" w:rsidRDefault="00102373" w:rsidP="00C5440B">
            <w:pPr>
              <w:pStyle w:val="TableText0"/>
              <w:jc w:val="center"/>
              <w:rPr>
                <w:bCs w:val="0"/>
                <w:vertAlign w:val="superscript"/>
              </w:rPr>
            </w:pPr>
            <w:r w:rsidRPr="00102373">
              <w:rPr>
                <w:bCs w:val="0"/>
                <w:sz w:val="2"/>
                <w:highlight w:val="black"/>
              </w:rPr>
              <w:t>redacted content</w:t>
            </w:r>
            <w:r w:rsidR="00094CBA">
              <w:rPr>
                <w:bCs w:val="0"/>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0F45FFE6" w14:textId="1AAD49F0" w:rsidR="006F0D5C" w:rsidRPr="00094CBA" w:rsidRDefault="00102373" w:rsidP="00C5440B">
            <w:pPr>
              <w:pStyle w:val="TableText0"/>
              <w:jc w:val="center"/>
              <w:rPr>
                <w:bCs w:val="0"/>
                <w:vertAlign w:val="superscript"/>
              </w:rPr>
            </w:pPr>
            <w:r w:rsidRPr="00102373">
              <w:rPr>
                <w:bCs w:val="0"/>
                <w:sz w:val="2"/>
                <w:highlight w:val="black"/>
              </w:rPr>
              <w:t>redacted content</w:t>
            </w:r>
            <w:r w:rsidR="00094CBA">
              <w:rPr>
                <w:bCs w:val="0"/>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0B76C724" w14:textId="0C540652" w:rsidR="006F0D5C" w:rsidRPr="00094CBA" w:rsidRDefault="00102373" w:rsidP="00C5440B">
            <w:pPr>
              <w:pStyle w:val="TableText0"/>
              <w:jc w:val="center"/>
              <w:rPr>
                <w:bCs w:val="0"/>
                <w:vertAlign w:val="superscript"/>
              </w:rPr>
            </w:pPr>
            <w:r w:rsidRPr="00102373">
              <w:rPr>
                <w:bCs w:val="0"/>
                <w:sz w:val="2"/>
                <w:highlight w:val="black"/>
              </w:rPr>
              <w:t>redacted content</w:t>
            </w:r>
            <w:r w:rsidR="00094CBA">
              <w:rPr>
                <w:bCs w:val="0"/>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66C26679" w14:textId="5C3BDD8D" w:rsidR="006F0D5C" w:rsidRPr="00094CBA" w:rsidRDefault="00102373" w:rsidP="00C5440B">
            <w:pPr>
              <w:pStyle w:val="TableText0"/>
              <w:jc w:val="center"/>
              <w:rPr>
                <w:bCs w:val="0"/>
                <w:vertAlign w:val="superscript"/>
              </w:rPr>
            </w:pPr>
            <w:r w:rsidRPr="00102373">
              <w:rPr>
                <w:bCs w:val="0"/>
                <w:sz w:val="2"/>
                <w:highlight w:val="black"/>
              </w:rPr>
              <w:t>redacted content</w:t>
            </w:r>
            <w:r w:rsidR="00094CBA">
              <w:rPr>
                <w:bCs w:val="0"/>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4AE22B37" w14:textId="0328FC19" w:rsidR="006F0D5C" w:rsidRPr="00094CBA" w:rsidRDefault="00102373" w:rsidP="00C5440B">
            <w:pPr>
              <w:pStyle w:val="TableText0"/>
              <w:jc w:val="center"/>
              <w:rPr>
                <w:bCs w:val="0"/>
                <w:vertAlign w:val="superscript"/>
              </w:rPr>
            </w:pPr>
            <w:r w:rsidRPr="00102373">
              <w:rPr>
                <w:bCs w:val="0"/>
                <w:sz w:val="2"/>
                <w:highlight w:val="black"/>
              </w:rPr>
              <w:t>redacted content</w:t>
            </w:r>
            <w:r w:rsidR="00094CBA">
              <w:rPr>
                <w:bCs w:val="0"/>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61A0AF1A" w14:textId="237237EB" w:rsidR="006F0D5C" w:rsidRPr="00094CBA" w:rsidRDefault="00102373" w:rsidP="00C5440B">
            <w:pPr>
              <w:pStyle w:val="TableText0"/>
              <w:jc w:val="center"/>
              <w:rPr>
                <w:bCs w:val="0"/>
                <w:vertAlign w:val="superscript"/>
              </w:rPr>
            </w:pPr>
            <w:r w:rsidRPr="00102373">
              <w:rPr>
                <w:bCs w:val="0"/>
                <w:sz w:val="2"/>
                <w:highlight w:val="black"/>
              </w:rPr>
              <w:t>redacted content</w:t>
            </w:r>
            <w:r w:rsidR="00094CBA">
              <w:rPr>
                <w:bCs w:val="0"/>
                <w:vertAlign w:val="superscript"/>
              </w:rPr>
              <w:t>1</w:t>
            </w:r>
          </w:p>
        </w:tc>
        <w:tc>
          <w:tcPr>
            <w:tcW w:w="593" w:type="pct"/>
            <w:tcBorders>
              <w:top w:val="single" w:sz="4" w:space="0" w:color="auto"/>
              <w:left w:val="single" w:sz="4" w:space="0" w:color="auto"/>
              <w:bottom w:val="single" w:sz="4" w:space="0" w:color="auto"/>
              <w:right w:val="single" w:sz="4" w:space="0" w:color="auto"/>
            </w:tcBorders>
            <w:vAlign w:val="center"/>
          </w:tcPr>
          <w:p w14:paraId="6C6A5547" w14:textId="49C19A2F" w:rsidR="006F0D5C" w:rsidRPr="00094CBA" w:rsidRDefault="00102373" w:rsidP="00C5440B">
            <w:pPr>
              <w:pStyle w:val="TableText0"/>
              <w:jc w:val="center"/>
              <w:rPr>
                <w:vertAlign w:val="superscript"/>
              </w:rPr>
            </w:pPr>
            <w:r w:rsidRPr="00102373">
              <w:rPr>
                <w:sz w:val="2"/>
                <w:highlight w:val="black"/>
              </w:rPr>
              <w:t>redacted content</w:t>
            </w:r>
            <w:r w:rsidR="00094CBA">
              <w:rPr>
                <w:vertAlign w:val="superscript"/>
              </w:rPr>
              <w:t>1</w:t>
            </w:r>
          </w:p>
        </w:tc>
      </w:tr>
      <w:tr w:rsidR="006F0D5C" w:rsidRPr="007C316F" w14:paraId="6090064E"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008698F9"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Total continuing after first year</w:t>
            </w:r>
          </w:p>
        </w:tc>
        <w:tc>
          <w:tcPr>
            <w:tcW w:w="542" w:type="pct"/>
            <w:tcBorders>
              <w:top w:val="single" w:sz="4" w:space="0" w:color="auto"/>
              <w:left w:val="single" w:sz="4" w:space="0" w:color="auto"/>
              <w:bottom w:val="single" w:sz="4" w:space="0" w:color="auto"/>
              <w:right w:val="single" w:sz="4" w:space="0" w:color="auto"/>
            </w:tcBorders>
            <w:vAlign w:val="center"/>
          </w:tcPr>
          <w:p w14:paraId="46A726E1" w14:textId="102AABB7" w:rsidR="006F0D5C" w:rsidRPr="007C316F" w:rsidRDefault="00FF1914" w:rsidP="00C5440B">
            <w:pPr>
              <w:pStyle w:val="TableText0"/>
              <w:jc w:val="center"/>
              <w:rPr>
                <w:bCs w:val="0"/>
              </w:rPr>
            </w:pPr>
            <w:r>
              <w:rPr>
                <w:bCs w:val="0"/>
              </w:rPr>
              <w:noBreakHyphen/>
            </w:r>
          </w:p>
        </w:tc>
        <w:tc>
          <w:tcPr>
            <w:tcW w:w="537" w:type="pct"/>
            <w:tcBorders>
              <w:top w:val="single" w:sz="4" w:space="0" w:color="auto"/>
              <w:left w:val="single" w:sz="4" w:space="0" w:color="auto"/>
              <w:bottom w:val="single" w:sz="4" w:space="0" w:color="auto"/>
              <w:right w:val="single" w:sz="4" w:space="0" w:color="auto"/>
            </w:tcBorders>
            <w:vAlign w:val="center"/>
          </w:tcPr>
          <w:p w14:paraId="158B55D7" w14:textId="22886599" w:rsidR="006F0D5C" w:rsidRPr="00094CBA" w:rsidRDefault="00102373" w:rsidP="00C5440B">
            <w:pPr>
              <w:pStyle w:val="TableText0"/>
              <w:jc w:val="center"/>
              <w:rPr>
                <w:vertAlign w:val="superscript"/>
              </w:rPr>
            </w:pPr>
            <w:r w:rsidRPr="00102373">
              <w:rPr>
                <w:sz w:val="2"/>
                <w:highlight w:val="black"/>
              </w:rPr>
              <w:t>redacted content</w:t>
            </w:r>
            <w:r w:rsidR="00094CBA">
              <w:rPr>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1D68DEB7" w14:textId="6BF65677" w:rsidR="006F0D5C" w:rsidRPr="00094CBA" w:rsidRDefault="00102373" w:rsidP="00C5440B">
            <w:pPr>
              <w:pStyle w:val="TableText0"/>
              <w:jc w:val="center"/>
              <w:rPr>
                <w:vertAlign w:val="superscript"/>
              </w:rPr>
            </w:pPr>
            <w:r w:rsidRPr="00102373">
              <w:rPr>
                <w:sz w:val="2"/>
                <w:highlight w:val="black"/>
              </w:rPr>
              <w:t>redacted content</w:t>
            </w:r>
            <w:r w:rsidR="00094CBA">
              <w:rPr>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5B34E281" w14:textId="4FC8D544" w:rsidR="006F0D5C" w:rsidRPr="00094CBA" w:rsidRDefault="00102373" w:rsidP="00C5440B">
            <w:pPr>
              <w:pStyle w:val="TableText0"/>
              <w:jc w:val="center"/>
              <w:rPr>
                <w:vertAlign w:val="superscript"/>
              </w:rPr>
            </w:pPr>
            <w:r w:rsidRPr="00102373">
              <w:rPr>
                <w:sz w:val="2"/>
                <w:highlight w:val="black"/>
              </w:rPr>
              <w:t>redacted content</w:t>
            </w:r>
            <w:r w:rsidR="00094CBA">
              <w:rPr>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16E24868" w14:textId="35DAC36A" w:rsidR="006F0D5C" w:rsidRPr="00094CBA" w:rsidRDefault="00102373" w:rsidP="00C5440B">
            <w:pPr>
              <w:pStyle w:val="TableText0"/>
              <w:jc w:val="center"/>
              <w:rPr>
                <w:vertAlign w:val="superscript"/>
              </w:rPr>
            </w:pPr>
            <w:r w:rsidRPr="00102373">
              <w:rPr>
                <w:sz w:val="2"/>
                <w:highlight w:val="black"/>
              </w:rPr>
              <w:t>redacted content</w:t>
            </w:r>
            <w:r w:rsidR="00094CBA">
              <w:rPr>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02007395" w14:textId="7FE4B23C" w:rsidR="006F0D5C" w:rsidRPr="00094CBA" w:rsidRDefault="00102373" w:rsidP="00C5440B">
            <w:pPr>
              <w:pStyle w:val="TableText0"/>
              <w:jc w:val="center"/>
              <w:rPr>
                <w:vertAlign w:val="superscript"/>
              </w:rPr>
            </w:pPr>
            <w:r w:rsidRPr="00102373">
              <w:rPr>
                <w:sz w:val="2"/>
                <w:highlight w:val="black"/>
              </w:rPr>
              <w:t>redacted content</w:t>
            </w:r>
            <w:r w:rsidR="00094CBA">
              <w:rPr>
                <w:vertAlign w:val="superscript"/>
              </w:rPr>
              <w:t>1</w:t>
            </w:r>
          </w:p>
        </w:tc>
        <w:tc>
          <w:tcPr>
            <w:tcW w:w="593" w:type="pct"/>
            <w:tcBorders>
              <w:top w:val="single" w:sz="4" w:space="0" w:color="auto"/>
              <w:left w:val="single" w:sz="4" w:space="0" w:color="auto"/>
              <w:bottom w:val="single" w:sz="4" w:space="0" w:color="auto"/>
              <w:right w:val="single" w:sz="4" w:space="0" w:color="auto"/>
            </w:tcBorders>
            <w:vAlign w:val="center"/>
          </w:tcPr>
          <w:p w14:paraId="665EDEA3" w14:textId="43D7CF45" w:rsidR="006F0D5C" w:rsidRPr="004459D3" w:rsidRDefault="00102373" w:rsidP="00C5440B">
            <w:pPr>
              <w:pStyle w:val="TableText0"/>
              <w:jc w:val="center"/>
              <w:rPr>
                <w:vertAlign w:val="superscript"/>
              </w:rPr>
            </w:pPr>
            <w:r w:rsidRPr="00102373">
              <w:rPr>
                <w:sz w:val="2"/>
                <w:highlight w:val="black"/>
              </w:rPr>
              <w:t>redacted content</w:t>
            </w:r>
            <w:r w:rsidR="004459D3">
              <w:rPr>
                <w:vertAlign w:val="superscript"/>
              </w:rPr>
              <w:t>3</w:t>
            </w:r>
          </w:p>
        </w:tc>
      </w:tr>
      <w:tr w:rsidR="006F0D5C" w:rsidRPr="007C316F" w14:paraId="4CFF24A8"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104ECF2E"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Total number of patients on treatment</w:t>
            </w:r>
          </w:p>
        </w:tc>
        <w:tc>
          <w:tcPr>
            <w:tcW w:w="542" w:type="pct"/>
            <w:tcBorders>
              <w:top w:val="single" w:sz="4" w:space="0" w:color="auto"/>
              <w:left w:val="single" w:sz="4" w:space="0" w:color="auto"/>
              <w:bottom w:val="single" w:sz="4" w:space="0" w:color="auto"/>
              <w:right w:val="single" w:sz="4" w:space="0" w:color="auto"/>
            </w:tcBorders>
            <w:vAlign w:val="center"/>
          </w:tcPr>
          <w:p w14:paraId="3A6EE051" w14:textId="6C9631BC"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4AA05DA4" w14:textId="487FD7A1"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05352ABB" w14:textId="2BEA2740"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63B50CB7" w14:textId="360ED927"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33B5BEF1" w14:textId="06FB9F93"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37" w:type="pct"/>
            <w:tcBorders>
              <w:top w:val="single" w:sz="4" w:space="0" w:color="auto"/>
              <w:left w:val="single" w:sz="4" w:space="0" w:color="auto"/>
              <w:bottom w:val="single" w:sz="4" w:space="0" w:color="auto"/>
              <w:right w:val="single" w:sz="4" w:space="0" w:color="auto"/>
            </w:tcBorders>
            <w:vAlign w:val="center"/>
          </w:tcPr>
          <w:p w14:paraId="5E6B040F" w14:textId="7E5DFDCA" w:rsidR="006F0D5C" w:rsidRPr="00094CBA" w:rsidRDefault="00102373" w:rsidP="00C5440B">
            <w:pPr>
              <w:pStyle w:val="TableText0"/>
              <w:jc w:val="center"/>
              <w:rPr>
                <w:b/>
                <w:vertAlign w:val="superscript"/>
              </w:rPr>
            </w:pPr>
            <w:r w:rsidRPr="00102373">
              <w:rPr>
                <w:b/>
                <w:sz w:val="2"/>
                <w:highlight w:val="black"/>
              </w:rPr>
              <w:t>redacted content</w:t>
            </w:r>
            <w:r w:rsidR="00094CBA">
              <w:rPr>
                <w:b/>
                <w:vertAlign w:val="superscript"/>
              </w:rPr>
              <w:t>1</w:t>
            </w:r>
          </w:p>
        </w:tc>
        <w:tc>
          <w:tcPr>
            <w:tcW w:w="593" w:type="pct"/>
            <w:tcBorders>
              <w:top w:val="single" w:sz="4" w:space="0" w:color="auto"/>
              <w:left w:val="single" w:sz="4" w:space="0" w:color="auto"/>
              <w:bottom w:val="single" w:sz="4" w:space="0" w:color="auto"/>
              <w:right w:val="single" w:sz="4" w:space="0" w:color="auto"/>
            </w:tcBorders>
            <w:vAlign w:val="center"/>
          </w:tcPr>
          <w:p w14:paraId="4A878B7D" w14:textId="417DA6F8" w:rsidR="006F0D5C" w:rsidRPr="00EB35D4" w:rsidRDefault="00102373" w:rsidP="00C5440B">
            <w:pPr>
              <w:pStyle w:val="TableText0"/>
              <w:jc w:val="center"/>
              <w:rPr>
                <w:b/>
                <w:vertAlign w:val="superscript"/>
              </w:rPr>
            </w:pPr>
            <w:r w:rsidRPr="00102373">
              <w:rPr>
                <w:b/>
                <w:sz w:val="2"/>
                <w:highlight w:val="black"/>
              </w:rPr>
              <w:t>redacted content</w:t>
            </w:r>
            <w:r w:rsidR="00EB35D4">
              <w:rPr>
                <w:b/>
                <w:vertAlign w:val="superscript"/>
              </w:rPr>
              <w:t>4</w:t>
            </w:r>
          </w:p>
        </w:tc>
      </w:tr>
      <w:tr w:rsidR="006F0D5C" w:rsidRPr="007C316F" w14:paraId="4E0B492E" w14:textId="77777777" w:rsidTr="0072568D">
        <w:tc>
          <w:tcPr>
            <w:tcW w:w="5000" w:type="pct"/>
            <w:gridSpan w:val="8"/>
            <w:tcBorders>
              <w:top w:val="single" w:sz="4" w:space="0" w:color="auto"/>
              <w:left w:val="single" w:sz="4" w:space="0" w:color="auto"/>
              <w:bottom w:val="single" w:sz="4" w:space="0" w:color="auto"/>
              <w:right w:val="single" w:sz="4" w:space="0" w:color="auto"/>
            </w:tcBorders>
            <w:vAlign w:val="center"/>
          </w:tcPr>
          <w:p w14:paraId="732E3099" w14:textId="77777777" w:rsidR="006F0D5C" w:rsidRPr="007C316F" w:rsidRDefault="006F0D5C" w:rsidP="00C5440B">
            <w:pPr>
              <w:pStyle w:val="TableText0"/>
            </w:pPr>
            <w:r w:rsidRPr="007C316F">
              <w:rPr>
                <w:b/>
                <w:bCs w:val="0"/>
                <w:szCs w:val="20"/>
              </w:rPr>
              <w:t>Estimated financial implications for the PBS/RPBS and the health budget</w:t>
            </w:r>
          </w:p>
        </w:tc>
      </w:tr>
      <w:tr w:rsidR="006F0D5C" w:rsidRPr="007C316F" w14:paraId="72A7EB5B"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22033D42"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Net change in PBS scripts</w:t>
            </w:r>
          </w:p>
        </w:tc>
        <w:tc>
          <w:tcPr>
            <w:tcW w:w="542" w:type="pct"/>
            <w:tcBorders>
              <w:top w:val="single" w:sz="4" w:space="0" w:color="auto"/>
              <w:left w:val="single" w:sz="4" w:space="0" w:color="auto"/>
              <w:bottom w:val="single" w:sz="4" w:space="0" w:color="auto"/>
              <w:right w:val="single" w:sz="4" w:space="0" w:color="auto"/>
            </w:tcBorders>
            <w:vAlign w:val="center"/>
          </w:tcPr>
          <w:p w14:paraId="7151D4C1" w14:textId="702BA4B4" w:rsidR="006F0D5C" w:rsidRPr="004459D3" w:rsidRDefault="00102373" w:rsidP="00C5440B">
            <w:pPr>
              <w:pStyle w:val="TableText0"/>
              <w:jc w:val="center"/>
              <w:rPr>
                <w:bCs w:val="0"/>
                <w:vertAlign w:val="superscript"/>
              </w:rPr>
            </w:pPr>
            <w:r w:rsidRPr="00102373">
              <w:rPr>
                <w:sz w:val="2"/>
                <w:highlight w:val="black"/>
              </w:rPr>
              <w:t>redacted content</w:t>
            </w:r>
            <w:r w:rsidR="004459D3">
              <w:rPr>
                <w:vertAlign w:val="superscript"/>
              </w:rPr>
              <w:t>3</w:t>
            </w:r>
          </w:p>
        </w:tc>
        <w:tc>
          <w:tcPr>
            <w:tcW w:w="537" w:type="pct"/>
            <w:tcBorders>
              <w:top w:val="single" w:sz="4" w:space="0" w:color="auto"/>
              <w:left w:val="single" w:sz="4" w:space="0" w:color="auto"/>
              <w:bottom w:val="single" w:sz="4" w:space="0" w:color="auto"/>
              <w:right w:val="single" w:sz="4" w:space="0" w:color="auto"/>
            </w:tcBorders>
            <w:vAlign w:val="center"/>
          </w:tcPr>
          <w:p w14:paraId="6B5BF0C3" w14:textId="0BB22C18" w:rsidR="006F0D5C" w:rsidRPr="00EB35D4" w:rsidRDefault="00102373" w:rsidP="00C5440B">
            <w:pPr>
              <w:pStyle w:val="TableText0"/>
              <w:jc w:val="center"/>
              <w:rPr>
                <w:vertAlign w:val="superscript"/>
              </w:rPr>
            </w:pPr>
            <w:r w:rsidRPr="00102373">
              <w:rPr>
                <w:sz w:val="2"/>
                <w:highlight w:val="black"/>
              </w:rPr>
              <w:t>redacted content</w:t>
            </w:r>
            <w:r w:rsidR="00EB35D4">
              <w:rPr>
                <w:vertAlign w:val="superscript"/>
              </w:rPr>
              <w:t>4</w:t>
            </w:r>
          </w:p>
        </w:tc>
        <w:tc>
          <w:tcPr>
            <w:tcW w:w="537" w:type="pct"/>
            <w:tcBorders>
              <w:top w:val="single" w:sz="4" w:space="0" w:color="auto"/>
              <w:left w:val="single" w:sz="4" w:space="0" w:color="auto"/>
              <w:bottom w:val="single" w:sz="4" w:space="0" w:color="auto"/>
              <w:right w:val="single" w:sz="4" w:space="0" w:color="auto"/>
            </w:tcBorders>
            <w:vAlign w:val="center"/>
          </w:tcPr>
          <w:p w14:paraId="41306466" w14:textId="67E7E080" w:rsidR="006F0D5C" w:rsidRPr="00EB35D4" w:rsidRDefault="00102373" w:rsidP="00C5440B">
            <w:pPr>
              <w:pStyle w:val="TableText0"/>
              <w:jc w:val="center"/>
              <w:rPr>
                <w:vertAlign w:val="superscript"/>
              </w:rPr>
            </w:pPr>
            <w:r w:rsidRPr="00102373">
              <w:rPr>
                <w:sz w:val="2"/>
                <w:highlight w:val="black"/>
              </w:rPr>
              <w:t>redacted content</w:t>
            </w:r>
            <w:r w:rsidR="00EB35D4">
              <w:rPr>
                <w:vertAlign w:val="superscript"/>
              </w:rPr>
              <w:t>4</w:t>
            </w:r>
          </w:p>
        </w:tc>
        <w:tc>
          <w:tcPr>
            <w:tcW w:w="537" w:type="pct"/>
            <w:tcBorders>
              <w:top w:val="single" w:sz="4" w:space="0" w:color="auto"/>
              <w:left w:val="single" w:sz="4" w:space="0" w:color="auto"/>
              <w:bottom w:val="single" w:sz="4" w:space="0" w:color="auto"/>
              <w:right w:val="single" w:sz="4" w:space="0" w:color="auto"/>
            </w:tcBorders>
            <w:vAlign w:val="center"/>
          </w:tcPr>
          <w:p w14:paraId="788864C2" w14:textId="1D6CB6FE" w:rsidR="006F0D5C" w:rsidRPr="00EB35D4" w:rsidRDefault="00102373" w:rsidP="00C5440B">
            <w:pPr>
              <w:pStyle w:val="TableText0"/>
              <w:jc w:val="center"/>
              <w:rPr>
                <w:vertAlign w:val="superscript"/>
              </w:rPr>
            </w:pPr>
            <w:r w:rsidRPr="00102373">
              <w:rPr>
                <w:sz w:val="2"/>
                <w:highlight w:val="black"/>
              </w:rPr>
              <w:t>redacted content</w:t>
            </w:r>
            <w:r w:rsidR="00FF10DA">
              <w:rPr>
                <w:vertAlign w:val="superscript"/>
              </w:rPr>
              <w:t>3</w:t>
            </w:r>
          </w:p>
        </w:tc>
        <w:tc>
          <w:tcPr>
            <w:tcW w:w="537" w:type="pct"/>
            <w:tcBorders>
              <w:top w:val="single" w:sz="4" w:space="0" w:color="auto"/>
              <w:left w:val="single" w:sz="4" w:space="0" w:color="auto"/>
              <w:bottom w:val="single" w:sz="4" w:space="0" w:color="auto"/>
              <w:right w:val="single" w:sz="4" w:space="0" w:color="auto"/>
            </w:tcBorders>
            <w:vAlign w:val="center"/>
          </w:tcPr>
          <w:p w14:paraId="238E602A" w14:textId="30C60090" w:rsidR="006F0D5C" w:rsidRPr="00FF10DA" w:rsidRDefault="00102373" w:rsidP="00C5440B">
            <w:pPr>
              <w:pStyle w:val="TableText0"/>
              <w:jc w:val="center"/>
              <w:rPr>
                <w:vertAlign w:val="superscript"/>
              </w:rPr>
            </w:pPr>
            <w:r w:rsidRPr="00102373">
              <w:rPr>
                <w:sz w:val="2"/>
                <w:highlight w:val="black"/>
              </w:rPr>
              <w:t>redacted content</w:t>
            </w:r>
            <w:r w:rsidR="00FF10DA">
              <w:rPr>
                <w:vertAlign w:val="superscript"/>
              </w:rPr>
              <w:t>3</w:t>
            </w:r>
          </w:p>
        </w:tc>
        <w:tc>
          <w:tcPr>
            <w:tcW w:w="537" w:type="pct"/>
            <w:tcBorders>
              <w:top w:val="single" w:sz="4" w:space="0" w:color="auto"/>
              <w:left w:val="single" w:sz="4" w:space="0" w:color="auto"/>
              <w:bottom w:val="single" w:sz="4" w:space="0" w:color="auto"/>
              <w:right w:val="single" w:sz="4" w:space="0" w:color="auto"/>
            </w:tcBorders>
            <w:vAlign w:val="center"/>
          </w:tcPr>
          <w:p w14:paraId="280BDE23" w14:textId="0BE02589" w:rsidR="006F0D5C" w:rsidRPr="00FF10DA" w:rsidRDefault="00102373" w:rsidP="00C5440B">
            <w:pPr>
              <w:pStyle w:val="TableText0"/>
              <w:jc w:val="center"/>
              <w:rPr>
                <w:vertAlign w:val="superscript"/>
              </w:rPr>
            </w:pPr>
            <w:r w:rsidRPr="00102373">
              <w:rPr>
                <w:sz w:val="2"/>
                <w:highlight w:val="black"/>
              </w:rPr>
              <w:t>redacted content</w:t>
            </w:r>
            <w:r w:rsidR="00FF10DA">
              <w:rPr>
                <w:vertAlign w:val="superscript"/>
              </w:rPr>
              <w:t>3</w:t>
            </w:r>
          </w:p>
        </w:tc>
        <w:tc>
          <w:tcPr>
            <w:tcW w:w="593" w:type="pct"/>
            <w:tcBorders>
              <w:top w:val="single" w:sz="4" w:space="0" w:color="auto"/>
              <w:left w:val="single" w:sz="4" w:space="0" w:color="auto"/>
              <w:bottom w:val="single" w:sz="4" w:space="0" w:color="auto"/>
              <w:right w:val="single" w:sz="4" w:space="0" w:color="auto"/>
            </w:tcBorders>
            <w:vAlign w:val="center"/>
          </w:tcPr>
          <w:p w14:paraId="6A55A500" w14:textId="4C951171" w:rsidR="006F0D5C" w:rsidRPr="00606E9A" w:rsidRDefault="00102373" w:rsidP="00C5440B">
            <w:pPr>
              <w:pStyle w:val="TableText0"/>
              <w:jc w:val="center"/>
              <w:rPr>
                <w:vertAlign w:val="superscript"/>
              </w:rPr>
            </w:pPr>
            <w:r w:rsidRPr="00102373">
              <w:rPr>
                <w:sz w:val="2"/>
                <w:highlight w:val="black"/>
              </w:rPr>
              <w:t>redacted content</w:t>
            </w:r>
            <w:r w:rsidR="00606E9A">
              <w:rPr>
                <w:vertAlign w:val="superscript"/>
              </w:rPr>
              <w:t>5</w:t>
            </w:r>
          </w:p>
        </w:tc>
      </w:tr>
      <w:tr w:rsidR="006F0D5C" w:rsidRPr="007C316F" w14:paraId="3AE017E0"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2EFCF3A7"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Net changed in RPBS scripts</w:t>
            </w:r>
          </w:p>
        </w:tc>
        <w:tc>
          <w:tcPr>
            <w:tcW w:w="542" w:type="pct"/>
            <w:tcBorders>
              <w:top w:val="single" w:sz="4" w:space="0" w:color="auto"/>
              <w:left w:val="single" w:sz="4" w:space="0" w:color="auto"/>
              <w:bottom w:val="single" w:sz="4" w:space="0" w:color="auto"/>
              <w:right w:val="single" w:sz="4" w:space="0" w:color="auto"/>
            </w:tcBorders>
            <w:vAlign w:val="center"/>
          </w:tcPr>
          <w:p w14:paraId="391C0F3B" w14:textId="77777777" w:rsidR="006F0D5C" w:rsidRPr="007C316F" w:rsidRDefault="006F0D5C" w:rsidP="00C5440B">
            <w:pPr>
              <w:pStyle w:val="TableText0"/>
              <w:jc w:val="center"/>
              <w:rPr>
                <w:bCs w:val="0"/>
              </w:rPr>
            </w:pPr>
            <w:r w:rsidRPr="007C316F">
              <w:rPr>
                <w:bCs w:val="0"/>
              </w:rPr>
              <w:t>0</w:t>
            </w:r>
          </w:p>
        </w:tc>
        <w:tc>
          <w:tcPr>
            <w:tcW w:w="537" w:type="pct"/>
            <w:tcBorders>
              <w:top w:val="single" w:sz="4" w:space="0" w:color="auto"/>
              <w:left w:val="single" w:sz="4" w:space="0" w:color="auto"/>
              <w:bottom w:val="single" w:sz="4" w:space="0" w:color="auto"/>
              <w:right w:val="single" w:sz="4" w:space="0" w:color="auto"/>
            </w:tcBorders>
            <w:vAlign w:val="center"/>
          </w:tcPr>
          <w:p w14:paraId="048121CE" w14:textId="77777777" w:rsidR="006F0D5C" w:rsidRPr="007C316F" w:rsidRDefault="006F0D5C" w:rsidP="00C5440B">
            <w:pPr>
              <w:pStyle w:val="TableText0"/>
              <w:jc w:val="center"/>
              <w:rPr>
                <w:bCs w:val="0"/>
              </w:rPr>
            </w:pPr>
            <w:r w:rsidRPr="007C316F">
              <w:rPr>
                <w:bCs w:val="0"/>
              </w:rPr>
              <w:t>0</w:t>
            </w:r>
          </w:p>
        </w:tc>
        <w:tc>
          <w:tcPr>
            <w:tcW w:w="537" w:type="pct"/>
            <w:tcBorders>
              <w:top w:val="single" w:sz="4" w:space="0" w:color="auto"/>
              <w:left w:val="single" w:sz="4" w:space="0" w:color="auto"/>
              <w:bottom w:val="single" w:sz="4" w:space="0" w:color="auto"/>
              <w:right w:val="single" w:sz="4" w:space="0" w:color="auto"/>
            </w:tcBorders>
            <w:vAlign w:val="center"/>
          </w:tcPr>
          <w:p w14:paraId="68FA875E" w14:textId="77777777" w:rsidR="006F0D5C" w:rsidRPr="007C316F" w:rsidRDefault="006F0D5C" w:rsidP="00C5440B">
            <w:pPr>
              <w:pStyle w:val="TableText0"/>
              <w:jc w:val="center"/>
              <w:rPr>
                <w:bCs w:val="0"/>
              </w:rPr>
            </w:pPr>
            <w:r w:rsidRPr="007C316F">
              <w:rPr>
                <w:bCs w:val="0"/>
              </w:rPr>
              <w:t>0</w:t>
            </w:r>
          </w:p>
        </w:tc>
        <w:tc>
          <w:tcPr>
            <w:tcW w:w="537" w:type="pct"/>
            <w:tcBorders>
              <w:top w:val="single" w:sz="4" w:space="0" w:color="auto"/>
              <w:left w:val="single" w:sz="4" w:space="0" w:color="auto"/>
              <w:bottom w:val="single" w:sz="4" w:space="0" w:color="auto"/>
              <w:right w:val="single" w:sz="4" w:space="0" w:color="auto"/>
            </w:tcBorders>
            <w:vAlign w:val="center"/>
          </w:tcPr>
          <w:p w14:paraId="6E280F71" w14:textId="77777777" w:rsidR="006F0D5C" w:rsidRPr="007C316F" w:rsidRDefault="006F0D5C" w:rsidP="00C5440B">
            <w:pPr>
              <w:pStyle w:val="TableText0"/>
              <w:jc w:val="center"/>
              <w:rPr>
                <w:bCs w:val="0"/>
              </w:rPr>
            </w:pPr>
            <w:r w:rsidRPr="007C316F">
              <w:rPr>
                <w:bCs w:val="0"/>
              </w:rPr>
              <w:t>0</w:t>
            </w:r>
          </w:p>
        </w:tc>
        <w:tc>
          <w:tcPr>
            <w:tcW w:w="537" w:type="pct"/>
            <w:tcBorders>
              <w:top w:val="single" w:sz="4" w:space="0" w:color="auto"/>
              <w:left w:val="single" w:sz="4" w:space="0" w:color="auto"/>
              <w:bottom w:val="single" w:sz="4" w:space="0" w:color="auto"/>
              <w:right w:val="single" w:sz="4" w:space="0" w:color="auto"/>
            </w:tcBorders>
            <w:vAlign w:val="center"/>
          </w:tcPr>
          <w:p w14:paraId="11E54A47" w14:textId="77777777" w:rsidR="006F0D5C" w:rsidRPr="007C316F" w:rsidRDefault="006F0D5C" w:rsidP="00C5440B">
            <w:pPr>
              <w:pStyle w:val="TableText0"/>
              <w:jc w:val="center"/>
              <w:rPr>
                <w:bCs w:val="0"/>
              </w:rPr>
            </w:pPr>
            <w:r w:rsidRPr="007C316F">
              <w:rPr>
                <w:bCs w:val="0"/>
              </w:rPr>
              <w:t>0</w:t>
            </w:r>
          </w:p>
        </w:tc>
        <w:tc>
          <w:tcPr>
            <w:tcW w:w="537" w:type="pct"/>
            <w:tcBorders>
              <w:top w:val="single" w:sz="4" w:space="0" w:color="auto"/>
              <w:left w:val="single" w:sz="4" w:space="0" w:color="auto"/>
              <w:bottom w:val="single" w:sz="4" w:space="0" w:color="auto"/>
              <w:right w:val="single" w:sz="4" w:space="0" w:color="auto"/>
            </w:tcBorders>
            <w:vAlign w:val="center"/>
          </w:tcPr>
          <w:p w14:paraId="245F52BF" w14:textId="77777777" w:rsidR="006F0D5C" w:rsidRPr="007C316F" w:rsidRDefault="006F0D5C" w:rsidP="00C5440B">
            <w:pPr>
              <w:pStyle w:val="TableText0"/>
              <w:jc w:val="center"/>
              <w:rPr>
                <w:bCs w:val="0"/>
              </w:rPr>
            </w:pPr>
            <w:r w:rsidRPr="007C316F">
              <w:rPr>
                <w:bCs w:val="0"/>
              </w:rPr>
              <w:t>0</w:t>
            </w:r>
          </w:p>
        </w:tc>
        <w:tc>
          <w:tcPr>
            <w:tcW w:w="593" w:type="pct"/>
            <w:tcBorders>
              <w:top w:val="single" w:sz="4" w:space="0" w:color="auto"/>
              <w:left w:val="single" w:sz="4" w:space="0" w:color="auto"/>
              <w:bottom w:val="single" w:sz="4" w:space="0" w:color="auto"/>
              <w:right w:val="single" w:sz="4" w:space="0" w:color="auto"/>
            </w:tcBorders>
            <w:vAlign w:val="center"/>
          </w:tcPr>
          <w:p w14:paraId="77F631C4" w14:textId="77777777" w:rsidR="006F0D5C" w:rsidRPr="007C316F" w:rsidRDefault="006F0D5C" w:rsidP="00C5440B">
            <w:pPr>
              <w:pStyle w:val="TableText0"/>
              <w:jc w:val="center"/>
            </w:pPr>
            <w:r w:rsidRPr="007C316F">
              <w:t>0</w:t>
            </w:r>
          </w:p>
        </w:tc>
      </w:tr>
      <w:tr w:rsidR="006F0D5C" w:rsidRPr="007C316F" w14:paraId="2AC77DBB"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4200C6F7"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Net change in authorities (telephone)</w:t>
            </w:r>
          </w:p>
        </w:tc>
        <w:tc>
          <w:tcPr>
            <w:tcW w:w="542" w:type="pct"/>
            <w:tcBorders>
              <w:top w:val="single" w:sz="4" w:space="0" w:color="auto"/>
              <w:left w:val="single" w:sz="4" w:space="0" w:color="auto"/>
              <w:bottom w:val="single" w:sz="4" w:space="0" w:color="auto"/>
              <w:right w:val="single" w:sz="4" w:space="0" w:color="auto"/>
            </w:tcBorders>
            <w:vAlign w:val="center"/>
          </w:tcPr>
          <w:p w14:paraId="32DDBC5C" w14:textId="3C65133A" w:rsidR="006F0D5C" w:rsidRPr="00EB35D4" w:rsidRDefault="00102373" w:rsidP="00C5440B">
            <w:pPr>
              <w:pStyle w:val="TableText0"/>
              <w:jc w:val="center"/>
              <w:rPr>
                <w:bCs w:val="0"/>
                <w:vertAlign w:val="superscript"/>
              </w:rPr>
            </w:pPr>
            <w:r w:rsidRPr="00102373">
              <w:rPr>
                <w:sz w:val="2"/>
                <w:highlight w:val="black"/>
              </w:rPr>
              <w:t>redacted content</w:t>
            </w:r>
            <w:r w:rsidR="00EB35D4">
              <w:rPr>
                <w:vertAlign w:val="superscript"/>
              </w:rPr>
              <w:t>3</w:t>
            </w:r>
          </w:p>
        </w:tc>
        <w:tc>
          <w:tcPr>
            <w:tcW w:w="537" w:type="pct"/>
            <w:tcBorders>
              <w:top w:val="single" w:sz="4" w:space="0" w:color="auto"/>
              <w:left w:val="single" w:sz="4" w:space="0" w:color="auto"/>
              <w:bottom w:val="single" w:sz="4" w:space="0" w:color="auto"/>
              <w:right w:val="single" w:sz="4" w:space="0" w:color="auto"/>
            </w:tcBorders>
            <w:vAlign w:val="center"/>
          </w:tcPr>
          <w:p w14:paraId="7F8FEBF6" w14:textId="5C1586FD" w:rsidR="006F0D5C" w:rsidRPr="00FF10DA" w:rsidRDefault="00102373" w:rsidP="00C5440B">
            <w:pPr>
              <w:pStyle w:val="TableText0"/>
              <w:jc w:val="center"/>
              <w:rPr>
                <w:bCs w:val="0"/>
                <w:vertAlign w:val="superscript"/>
              </w:rPr>
            </w:pPr>
            <w:r w:rsidRPr="00102373">
              <w:rPr>
                <w:sz w:val="2"/>
                <w:highlight w:val="black"/>
              </w:rPr>
              <w:t>redacted content</w:t>
            </w:r>
            <w:r w:rsidR="00FF10DA">
              <w:rPr>
                <w:vertAlign w:val="superscript"/>
              </w:rPr>
              <w:t>4</w:t>
            </w:r>
          </w:p>
        </w:tc>
        <w:tc>
          <w:tcPr>
            <w:tcW w:w="537" w:type="pct"/>
            <w:tcBorders>
              <w:top w:val="single" w:sz="4" w:space="0" w:color="auto"/>
              <w:left w:val="single" w:sz="4" w:space="0" w:color="auto"/>
              <w:bottom w:val="single" w:sz="4" w:space="0" w:color="auto"/>
              <w:right w:val="single" w:sz="4" w:space="0" w:color="auto"/>
            </w:tcBorders>
            <w:vAlign w:val="center"/>
          </w:tcPr>
          <w:p w14:paraId="4F5C34B4" w14:textId="30B120CD" w:rsidR="006F0D5C" w:rsidRPr="00FF10DA" w:rsidRDefault="00102373" w:rsidP="00C5440B">
            <w:pPr>
              <w:pStyle w:val="TableText0"/>
              <w:jc w:val="center"/>
              <w:rPr>
                <w:bCs w:val="0"/>
                <w:vertAlign w:val="superscript"/>
              </w:rPr>
            </w:pPr>
            <w:r w:rsidRPr="00102373">
              <w:rPr>
                <w:sz w:val="2"/>
                <w:highlight w:val="black"/>
              </w:rPr>
              <w:t>redacted content</w:t>
            </w:r>
            <w:r w:rsidR="00FF10DA">
              <w:rPr>
                <w:vertAlign w:val="superscript"/>
              </w:rPr>
              <w:t>4</w:t>
            </w:r>
          </w:p>
        </w:tc>
        <w:tc>
          <w:tcPr>
            <w:tcW w:w="537" w:type="pct"/>
            <w:tcBorders>
              <w:top w:val="single" w:sz="4" w:space="0" w:color="auto"/>
              <w:left w:val="single" w:sz="4" w:space="0" w:color="auto"/>
              <w:bottom w:val="single" w:sz="4" w:space="0" w:color="auto"/>
              <w:right w:val="single" w:sz="4" w:space="0" w:color="auto"/>
            </w:tcBorders>
            <w:vAlign w:val="center"/>
          </w:tcPr>
          <w:p w14:paraId="1F5EAC71" w14:textId="512E3A07" w:rsidR="006F0D5C" w:rsidRPr="00FF10DA" w:rsidRDefault="00102373" w:rsidP="00C5440B">
            <w:pPr>
              <w:pStyle w:val="TableText0"/>
              <w:jc w:val="center"/>
              <w:rPr>
                <w:bCs w:val="0"/>
                <w:vertAlign w:val="superscript"/>
              </w:rPr>
            </w:pPr>
            <w:r w:rsidRPr="00102373">
              <w:rPr>
                <w:sz w:val="2"/>
                <w:highlight w:val="black"/>
              </w:rPr>
              <w:t>redacted content</w:t>
            </w:r>
            <w:r w:rsidR="00FF10DA">
              <w:rPr>
                <w:vertAlign w:val="superscript"/>
              </w:rPr>
              <w:t>3</w:t>
            </w:r>
          </w:p>
        </w:tc>
        <w:tc>
          <w:tcPr>
            <w:tcW w:w="537" w:type="pct"/>
            <w:tcBorders>
              <w:top w:val="single" w:sz="4" w:space="0" w:color="auto"/>
              <w:left w:val="single" w:sz="4" w:space="0" w:color="auto"/>
              <w:bottom w:val="single" w:sz="4" w:space="0" w:color="auto"/>
              <w:right w:val="single" w:sz="4" w:space="0" w:color="auto"/>
            </w:tcBorders>
            <w:vAlign w:val="center"/>
          </w:tcPr>
          <w:p w14:paraId="0E0A36BB" w14:textId="23C59523" w:rsidR="006F0D5C" w:rsidRPr="00FF10DA" w:rsidRDefault="00102373" w:rsidP="00C5440B">
            <w:pPr>
              <w:pStyle w:val="TableText0"/>
              <w:jc w:val="center"/>
              <w:rPr>
                <w:bCs w:val="0"/>
                <w:vertAlign w:val="superscript"/>
              </w:rPr>
            </w:pPr>
            <w:r w:rsidRPr="00102373">
              <w:rPr>
                <w:sz w:val="2"/>
                <w:highlight w:val="black"/>
              </w:rPr>
              <w:t>redacted content</w:t>
            </w:r>
            <w:r w:rsidR="00FF10DA">
              <w:rPr>
                <w:vertAlign w:val="superscript"/>
              </w:rPr>
              <w:t>3</w:t>
            </w:r>
          </w:p>
        </w:tc>
        <w:tc>
          <w:tcPr>
            <w:tcW w:w="537" w:type="pct"/>
            <w:tcBorders>
              <w:top w:val="single" w:sz="4" w:space="0" w:color="auto"/>
              <w:left w:val="single" w:sz="4" w:space="0" w:color="auto"/>
              <w:bottom w:val="single" w:sz="4" w:space="0" w:color="auto"/>
              <w:right w:val="single" w:sz="4" w:space="0" w:color="auto"/>
            </w:tcBorders>
            <w:vAlign w:val="center"/>
          </w:tcPr>
          <w:p w14:paraId="38E268F1" w14:textId="3DD86BBF" w:rsidR="006F0D5C" w:rsidRPr="00FF10DA" w:rsidRDefault="00102373" w:rsidP="00C5440B">
            <w:pPr>
              <w:pStyle w:val="TableText0"/>
              <w:jc w:val="center"/>
              <w:rPr>
                <w:bCs w:val="0"/>
                <w:vertAlign w:val="superscript"/>
              </w:rPr>
            </w:pPr>
            <w:r w:rsidRPr="00102373">
              <w:rPr>
                <w:sz w:val="2"/>
                <w:highlight w:val="black"/>
              </w:rPr>
              <w:t>redacted content</w:t>
            </w:r>
            <w:r w:rsidR="00FF10DA">
              <w:rPr>
                <w:vertAlign w:val="superscript"/>
              </w:rPr>
              <w:t>3</w:t>
            </w:r>
          </w:p>
        </w:tc>
        <w:tc>
          <w:tcPr>
            <w:tcW w:w="593" w:type="pct"/>
            <w:tcBorders>
              <w:top w:val="single" w:sz="4" w:space="0" w:color="auto"/>
              <w:left w:val="single" w:sz="4" w:space="0" w:color="auto"/>
              <w:bottom w:val="single" w:sz="4" w:space="0" w:color="auto"/>
              <w:right w:val="single" w:sz="4" w:space="0" w:color="auto"/>
            </w:tcBorders>
            <w:vAlign w:val="center"/>
          </w:tcPr>
          <w:p w14:paraId="60E0CA8D" w14:textId="49109CE2" w:rsidR="006F0D5C" w:rsidRPr="00606E9A" w:rsidRDefault="00102373" w:rsidP="00C5440B">
            <w:pPr>
              <w:pStyle w:val="TableText0"/>
              <w:jc w:val="center"/>
              <w:rPr>
                <w:vertAlign w:val="superscript"/>
              </w:rPr>
            </w:pPr>
            <w:r w:rsidRPr="00102373">
              <w:rPr>
                <w:sz w:val="2"/>
                <w:highlight w:val="black"/>
              </w:rPr>
              <w:t>redacted content</w:t>
            </w:r>
            <w:r w:rsidR="00606E9A">
              <w:rPr>
                <w:vertAlign w:val="superscript"/>
              </w:rPr>
              <w:t>5</w:t>
            </w:r>
          </w:p>
        </w:tc>
      </w:tr>
      <w:tr w:rsidR="006F0D5C" w:rsidRPr="007C316F" w14:paraId="41EE2FEB"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422F4819"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Cost obinutuzumab to PBS</w:t>
            </w:r>
          </w:p>
        </w:tc>
        <w:tc>
          <w:tcPr>
            <w:tcW w:w="542" w:type="pct"/>
            <w:tcBorders>
              <w:top w:val="single" w:sz="4" w:space="0" w:color="auto"/>
              <w:left w:val="single" w:sz="4" w:space="0" w:color="auto"/>
              <w:bottom w:val="single" w:sz="4" w:space="0" w:color="auto"/>
              <w:right w:val="single" w:sz="4" w:space="0" w:color="auto"/>
            </w:tcBorders>
            <w:vAlign w:val="center"/>
          </w:tcPr>
          <w:p w14:paraId="2AEDC6C4" w14:textId="71898F33" w:rsidR="006F0D5C" w:rsidRPr="00AE33FF" w:rsidRDefault="006F0D5C" w:rsidP="00C5440B">
            <w:pPr>
              <w:pStyle w:val="TableText0"/>
              <w:jc w:val="center"/>
              <w:rPr>
                <w:bCs w:val="0"/>
                <w:vertAlign w:val="superscript"/>
              </w:rPr>
            </w:pPr>
            <w:r w:rsidRPr="007C316F">
              <w:t>$</w:t>
            </w:r>
            <w:r w:rsidR="00102373" w:rsidRPr="00102373">
              <w:rPr>
                <w:sz w:val="2"/>
                <w:highlight w:val="black"/>
              </w:rPr>
              <w:t>redacted content</w:t>
            </w:r>
            <w:r w:rsidR="00AE33FF">
              <w:rPr>
                <w:vertAlign w:val="superscript"/>
              </w:rPr>
              <w:t>6</w:t>
            </w:r>
          </w:p>
        </w:tc>
        <w:tc>
          <w:tcPr>
            <w:tcW w:w="537" w:type="pct"/>
            <w:tcBorders>
              <w:top w:val="single" w:sz="4" w:space="0" w:color="auto"/>
              <w:left w:val="single" w:sz="4" w:space="0" w:color="auto"/>
              <w:bottom w:val="single" w:sz="4" w:space="0" w:color="auto"/>
              <w:right w:val="single" w:sz="4" w:space="0" w:color="auto"/>
            </w:tcBorders>
            <w:vAlign w:val="center"/>
          </w:tcPr>
          <w:p w14:paraId="7EEF2551" w14:textId="65D13B79" w:rsidR="006F0D5C" w:rsidRPr="007C4B1A" w:rsidRDefault="006F0D5C" w:rsidP="00C5440B">
            <w:pPr>
              <w:pStyle w:val="TableText0"/>
              <w:jc w:val="center"/>
              <w:rPr>
                <w:bCs w:val="0"/>
                <w:vertAlign w:val="superscript"/>
              </w:rPr>
            </w:pPr>
            <w:r w:rsidRPr="007C316F">
              <w:t>$</w:t>
            </w:r>
            <w:r w:rsidR="00102373" w:rsidRPr="00102373">
              <w:rPr>
                <w:sz w:val="2"/>
                <w:highlight w:val="black"/>
              </w:rPr>
              <w:t>redacted content</w:t>
            </w:r>
            <w:r w:rsidR="007C4B1A">
              <w:rPr>
                <w:vertAlign w:val="superscript"/>
              </w:rPr>
              <w:t>7</w:t>
            </w:r>
          </w:p>
        </w:tc>
        <w:tc>
          <w:tcPr>
            <w:tcW w:w="537" w:type="pct"/>
            <w:tcBorders>
              <w:top w:val="single" w:sz="4" w:space="0" w:color="auto"/>
              <w:left w:val="single" w:sz="4" w:space="0" w:color="auto"/>
              <w:bottom w:val="single" w:sz="4" w:space="0" w:color="auto"/>
              <w:right w:val="single" w:sz="4" w:space="0" w:color="auto"/>
            </w:tcBorders>
            <w:vAlign w:val="center"/>
          </w:tcPr>
          <w:p w14:paraId="377785A5" w14:textId="003F665C" w:rsidR="006F0D5C" w:rsidRPr="00F763FF" w:rsidRDefault="006F0D5C" w:rsidP="00C5440B">
            <w:pPr>
              <w:pStyle w:val="TableText0"/>
              <w:jc w:val="center"/>
              <w:rPr>
                <w:bCs w:val="0"/>
                <w:vertAlign w:val="superscript"/>
              </w:rPr>
            </w:pPr>
            <w:r w:rsidRPr="007C316F">
              <w:t>$</w:t>
            </w:r>
            <w:r w:rsidR="00102373" w:rsidRPr="00102373">
              <w:rPr>
                <w:sz w:val="2"/>
                <w:highlight w:val="black"/>
              </w:rPr>
              <w:t>redacted content</w:t>
            </w:r>
            <w:r w:rsidR="00F763FF">
              <w:rPr>
                <w:vertAlign w:val="superscript"/>
              </w:rPr>
              <w:t>9</w:t>
            </w:r>
          </w:p>
        </w:tc>
        <w:tc>
          <w:tcPr>
            <w:tcW w:w="537" w:type="pct"/>
            <w:tcBorders>
              <w:top w:val="single" w:sz="4" w:space="0" w:color="auto"/>
              <w:left w:val="single" w:sz="4" w:space="0" w:color="auto"/>
              <w:bottom w:val="single" w:sz="4" w:space="0" w:color="auto"/>
              <w:right w:val="single" w:sz="4" w:space="0" w:color="auto"/>
            </w:tcBorders>
            <w:vAlign w:val="center"/>
          </w:tcPr>
          <w:p w14:paraId="7F4ED019" w14:textId="7BA1D2DB" w:rsidR="006F0D5C" w:rsidRPr="007C4B1A" w:rsidRDefault="006F0D5C" w:rsidP="00C5440B">
            <w:pPr>
              <w:pStyle w:val="TableText0"/>
              <w:jc w:val="center"/>
              <w:rPr>
                <w:bCs w:val="0"/>
                <w:vertAlign w:val="superscript"/>
              </w:rPr>
            </w:pPr>
            <w:r w:rsidRPr="007C316F">
              <w:t>$</w:t>
            </w:r>
            <w:r w:rsidR="00102373" w:rsidRPr="00102373">
              <w:rPr>
                <w:sz w:val="2"/>
                <w:highlight w:val="black"/>
              </w:rPr>
              <w:t>redacted content</w:t>
            </w:r>
            <w:r w:rsidR="007C4B1A">
              <w:rPr>
                <w:vertAlign w:val="superscript"/>
              </w:rPr>
              <w:t>7</w:t>
            </w:r>
          </w:p>
        </w:tc>
        <w:tc>
          <w:tcPr>
            <w:tcW w:w="537" w:type="pct"/>
            <w:tcBorders>
              <w:top w:val="single" w:sz="4" w:space="0" w:color="auto"/>
              <w:left w:val="single" w:sz="4" w:space="0" w:color="auto"/>
              <w:bottom w:val="single" w:sz="4" w:space="0" w:color="auto"/>
              <w:right w:val="single" w:sz="4" w:space="0" w:color="auto"/>
            </w:tcBorders>
            <w:vAlign w:val="center"/>
          </w:tcPr>
          <w:p w14:paraId="0D924207" w14:textId="7E350D72" w:rsidR="006F0D5C" w:rsidRPr="003A0D63" w:rsidRDefault="006F0D5C" w:rsidP="00C5440B">
            <w:pPr>
              <w:pStyle w:val="TableText0"/>
              <w:jc w:val="center"/>
              <w:rPr>
                <w:bCs w:val="0"/>
                <w:vertAlign w:val="superscript"/>
              </w:rPr>
            </w:pPr>
            <w:r w:rsidRPr="007C316F">
              <w:t>$</w:t>
            </w:r>
            <w:r w:rsidR="00102373" w:rsidRPr="00102373">
              <w:rPr>
                <w:sz w:val="2"/>
                <w:highlight w:val="black"/>
              </w:rPr>
              <w:t>redacted content</w:t>
            </w:r>
            <w:r w:rsidR="003A0D63">
              <w:rPr>
                <w:vertAlign w:val="superscript"/>
              </w:rPr>
              <w:t>6</w:t>
            </w:r>
          </w:p>
        </w:tc>
        <w:tc>
          <w:tcPr>
            <w:tcW w:w="537" w:type="pct"/>
            <w:tcBorders>
              <w:top w:val="single" w:sz="4" w:space="0" w:color="auto"/>
              <w:left w:val="single" w:sz="4" w:space="0" w:color="auto"/>
              <w:bottom w:val="single" w:sz="4" w:space="0" w:color="auto"/>
              <w:right w:val="single" w:sz="4" w:space="0" w:color="auto"/>
            </w:tcBorders>
            <w:vAlign w:val="center"/>
          </w:tcPr>
          <w:p w14:paraId="3EFBAC3B" w14:textId="60370351" w:rsidR="006F0D5C" w:rsidRPr="005C594D" w:rsidRDefault="006F0D5C" w:rsidP="00C5440B">
            <w:pPr>
              <w:pStyle w:val="TableText0"/>
              <w:jc w:val="center"/>
              <w:rPr>
                <w:bCs w:val="0"/>
                <w:vertAlign w:val="superscript"/>
              </w:rPr>
            </w:pPr>
            <w:r w:rsidRPr="007C316F">
              <w:t>$</w:t>
            </w:r>
            <w:r w:rsidR="00102373" w:rsidRPr="00102373">
              <w:rPr>
                <w:sz w:val="2"/>
                <w:highlight w:val="black"/>
              </w:rPr>
              <w:t>redacted content</w:t>
            </w:r>
            <w:r w:rsidR="005C594D">
              <w:rPr>
                <w:vertAlign w:val="superscript"/>
              </w:rPr>
              <w:t>8</w:t>
            </w:r>
          </w:p>
        </w:tc>
        <w:tc>
          <w:tcPr>
            <w:tcW w:w="593" w:type="pct"/>
            <w:tcBorders>
              <w:top w:val="single" w:sz="4" w:space="0" w:color="auto"/>
              <w:left w:val="single" w:sz="4" w:space="0" w:color="auto"/>
              <w:bottom w:val="single" w:sz="4" w:space="0" w:color="auto"/>
              <w:right w:val="single" w:sz="4" w:space="0" w:color="auto"/>
            </w:tcBorders>
            <w:vAlign w:val="center"/>
          </w:tcPr>
          <w:p w14:paraId="580B3B48" w14:textId="0E7A625F" w:rsidR="006F0D5C" w:rsidRPr="004C175E" w:rsidRDefault="006F0D5C" w:rsidP="00C5440B">
            <w:pPr>
              <w:pStyle w:val="TableText0"/>
              <w:jc w:val="center"/>
              <w:rPr>
                <w:vertAlign w:val="superscript"/>
              </w:rPr>
            </w:pPr>
            <w:r w:rsidRPr="007C316F">
              <w:t>$</w:t>
            </w:r>
            <w:r w:rsidR="00102373" w:rsidRPr="00102373">
              <w:rPr>
                <w:sz w:val="2"/>
                <w:highlight w:val="black"/>
              </w:rPr>
              <w:t>redacted content</w:t>
            </w:r>
            <w:r w:rsidR="004C175E">
              <w:rPr>
                <w:vertAlign w:val="superscript"/>
              </w:rPr>
              <w:t>10</w:t>
            </w:r>
          </w:p>
        </w:tc>
      </w:tr>
      <w:tr w:rsidR="006F0D5C" w:rsidRPr="007C316F" w14:paraId="61B54F21"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69B12063"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Net cost PBS (less copayments)</w:t>
            </w:r>
          </w:p>
        </w:tc>
        <w:tc>
          <w:tcPr>
            <w:tcW w:w="542" w:type="pct"/>
            <w:tcBorders>
              <w:top w:val="single" w:sz="4" w:space="0" w:color="auto"/>
              <w:left w:val="single" w:sz="4" w:space="0" w:color="auto"/>
              <w:bottom w:val="single" w:sz="4" w:space="0" w:color="auto"/>
              <w:right w:val="single" w:sz="4" w:space="0" w:color="auto"/>
            </w:tcBorders>
            <w:vAlign w:val="center"/>
          </w:tcPr>
          <w:p w14:paraId="4B3463E2" w14:textId="47EF7737" w:rsidR="006F0D5C" w:rsidRPr="00AE33FF"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AE33FF">
              <w:rPr>
                <w:b/>
                <w:vertAlign w:val="superscript"/>
              </w:rPr>
              <w:t>6</w:t>
            </w:r>
          </w:p>
        </w:tc>
        <w:tc>
          <w:tcPr>
            <w:tcW w:w="537" w:type="pct"/>
            <w:tcBorders>
              <w:top w:val="single" w:sz="4" w:space="0" w:color="auto"/>
              <w:left w:val="single" w:sz="4" w:space="0" w:color="auto"/>
              <w:bottom w:val="single" w:sz="4" w:space="0" w:color="auto"/>
              <w:right w:val="single" w:sz="4" w:space="0" w:color="auto"/>
            </w:tcBorders>
            <w:vAlign w:val="center"/>
          </w:tcPr>
          <w:p w14:paraId="33E8C0D9" w14:textId="20E5C20F" w:rsidR="006F0D5C" w:rsidRPr="003A0D63"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3A0D63">
              <w:rPr>
                <w:b/>
                <w:vertAlign w:val="superscript"/>
              </w:rPr>
              <w:t>7</w:t>
            </w:r>
          </w:p>
        </w:tc>
        <w:tc>
          <w:tcPr>
            <w:tcW w:w="537" w:type="pct"/>
            <w:tcBorders>
              <w:top w:val="single" w:sz="4" w:space="0" w:color="auto"/>
              <w:left w:val="single" w:sz="4" w:space="0" w:color="auto"/>
              <w:bottom w:val="single" w:sz="4" w:space="0" w:color="auto"/>
              <w:right w:val="single" w:sz="4" w:space="0" w:color="auto"/>
            </w:tcBorders>
            <w:vAlign w:val="center"/>
          </w:tcPr>
          <w:p w14:paraId="033B2651" w14:textId="5E2BC399" w:rsidR="006F0D5C" w:rsidRPr="00F763FF"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F763FF">
              <w:rPr>
                <w:b/>
                <w:vertAlign w:val="superscript"/>
              </w:rPr>
              <w:t>9</w:t>
            </w:r>
          </w:p>
        </w:tc>
        <w:tc>
          <w:tcPr>
            <w:tcW w:w="537" w:type="pct"/>
            <w:tcBorders>
              <w:top w:val="single" w:sz="4" w:space="0" w:color="auto"/>
              <w:left w:val="single" w:sz="4" w:space="0" w:color="auto"/>
              <w:bottom w:val="single" w:sz="4" w:space="0" w:color="auto"/>
              <w:right w:val="single" w:sz="4" w:space="0" w:color="auto"/>
            </w:tcBorders>
            <w:vAlign w:val="center"/>
          </w:tcPr>
          <w:p w14:paraId="0F39B0F8" w14:textId="06A55C9F" w:rsidR="006F0D5C" w:rsidRPr="00DC357C"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DC357C">
              <w:rPr>
                <w:b/>
                <w:vertAlign w:val="superscript"/>
              </w:rPr>
              <w:t>7</w:t>
            </w:r>
          </w:p>
        </w:tc>
        <w:tc>
          <w:tcPr>
            <w:tcW w:w="537" w:type="pct"/>
            <w:tcBorders>
              <w:top w:val="single" w:sz="4" w:space="0" w:color="auto"/>
              <w:left w:val="single" w:sz="4" w:space="0" w:color="auto"/>
              <w:bottom w:val="single" w:sz="4" w:space="0" w:color="auto"/>
              <w:right w:val="single" w:sz="4" w:space="0" w:color="auto"/>
            </w:tcBorders>
            <w:vAlign w:val="center"/>
          </w:tcPr>
          <w:p w14:paraId="3346CEC6" w14:textId="535A2603" w:rsidR="006F0D5C" w:rsidRPr="003A0D63"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3A0D63">
              <w:rPr>
                <w:b/>
                <w:vertAlign w:val="superscript"/>
              </w:rPr>
              <w:t>6</w:t>
            </w:r>
          </w:p>
        </w:tc>
        <w:tc>
          <w:tcPr>
            <w:tcW w:w="537" w:type="pct"/>
            <w:tcBorders>
              <w:top w:val="single" w:sz="4" w:space="0" w:color="auto"/>
              <w:left w:val="single" w:sz="4" w:space="0" w:color="auto"/>
              <w:bottom w:val="single" w:sz="4" w:space="0" w:color="auto"/>
              <w:right w:val="single" w:sz="4" w:space="0" w:color="auto"/>
            </w:tcBorders>
            <w:vAlign w:val="center"/>
          </w:tcPr>
          <w:p w14:paraId="3E7740A5" w14:textId="45AC6565" w:rsidR="006F0D5C" w:rsidRPr="005C594D"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5C594D">
              <w:rPr>
                <w:b/>
                <w:vertAlign w:val="superscript"/>
              </w:rPr>
              <w:t>8</w:t>
            </w:r>
          </w:p>
        </w:tc>
        <w:tc>
          <w:tcPr>
            <w:tcW w:w="593" w:type="pct"/>
            <w:tcBorders>
              <w:top w:val="single" w:sz="4" w:space="0" w:color="auto"/>
              <w:left w:val="single" w:sz="4" w:space="0" w:color="auto"/>
              <w:bottom w:val="single" w:sz="4" w:space="0" w:color="auto"/>
              <w:right w:val="single" w:sz="4" w:space="0" w:color="auto"/>
            </w:tcBorders>
            <w:vAlign w:val="center"/>
          </w:tcPr>
          <w:p w14:paraId="7FF7D50D" w14:textId="727D621E" w:rsidR="006F0D5C" w:rsidRPr="004C175E"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4C175E">
              <w:rPr>
                <w:b/>
                <w:vertAlign w:val="superscript"/>
              </w:rPr>
              <w:t>10</w:t>
            </w:r>
          </w:p>
        </w:tc>
      </w:tr>
      <w:tr w:rsidR="006F0D5C" w:rsidRPr="007C316F" w14:paraId="00D5CEC6"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03A98520" w14:textId="77777777" w:rsidR="006F0D5C" w:rsidRPr="007C316F" w:rsidRDefault="006F0D5C" w:rsidP="00C5440B">
            <w:pPr>
              <w:keepNext/>
              <w:keepLines/>
              <w:jc w:val="left"/>
              <w:rPr>
                <w:rFonts w:ascii="Arial Narrow" w:eastAsiaTheme="majorEastAsia" w:hAnsi="Arial Narrow" w:cstheme="majorBidi"/>
                <w:sz w:val="20"/>
                <w:szCs w:val="20"/>
              </w:rPr>
            </w:pPr>
            <w:r w:rsidRPr="007C316F">
              <w:rPr>
                <w:rFonts w:ascii="Arial Narrow" w:eastAsiaTheme="majorEastAsia" w:hAnsi="Arial Narrow" w:cstheme="majorBidi"/>
                <w:sz w:val="20"/>
                <w:szCs w:val="20"/>
              </w:rPr>
              <w:t>Net cost MBS (item 13950)</w:t>
            </w:r>
          </w:p>
        </w:tc>
        <w:tc>
          <w:tcPr>
            <w:tcW w:w="542" w:type="pct"/>
            <w:tcBorders>
              <w:top w:val="single" w:sz="4" w:space="0" w:color="auto"/>
              <w:left w:val="single" w:sz="4" w:space="0" w:color="auto"/>
              <w:bottom w:val="single" w:sz="4" w:space="0" w:color="auto"/>
              <w:right w:val="single" w:sz="4" w:space="0" w:color="auto"/>
            </w:tcBorders>
            <w:vAlign w:val="center"/>
          </w:tcPr>
          <w:p w14:paraId="1964D1D4" w14:textId="1B7115F3" w:rsidR="006F0D5C" w:rsidRPr="00BC3ADA" w:rsidRDefault="006F0D5C" w:rsidP="00C5440B">
            <w:pPr>
              <w:pStyle w:val="TableText0"/>
              <w:jc w:val="center"/>
              <w:rPr>
                <w:bCs w:val="0"/>
                <w:vertAlign w:val="superscript"/>
              </w:rPr>
            </w:pPr>
            <w:r w:rsidRPr="007C316F">
              <w:t>$</w:t>
            </w:r>
            <w:r w:rsidR="00102373" w:rsidRPr="00102373">
              <w:rPr>
                <w:sz w:val="2"/>
                <w:highlight w:val="black"/>
              </w:rPr>
              <w:t>redacted content</w:t>
            </w:r>
            <w:r w:rsidR="00BC3ADA">
              <w:rPr>
                <w:vertAlign w:val="superscript"/>
              </w:rPr>
              <w:t>11</w:t>
            </w:r>
          </w:p>
        </w:tc>
        <w:tc>
          <w:tcPr>
            <w:tcW w:w="537" w:type="pct"/>
            <w:tcBorders>
              <w:top w:val="single" w:sz="4" w:space="0" w:color="auto"/>
              <w:left w:val="single" w:sz="4" w:space="0" w:color="auto"/>
              <w:bottom w:val="single" w:sz="4" w:space="0" w:color="auto"/>
              <w:right w:val="single" w:sz="4" w:space="0" w:color="auto"/>
            </w:tcBorders>
            <w:vAlign w:val="center"/>
          </w:tcPr>
          <w:p w14:paraId="4BD26424" w14:textId="7C880207" w:rsidR="006F0D5C" w:rsidRPr="00BC3ADA" w:rsidRDefault="006F0D5C" w:rsidP="00C5440B">
            <w:pPr>
              <w:pStyle w:val="TableText0"/>
              <w:jc w:val="center"/>
              <w:rPr>
                <w:bCs w:val="0"/>
                <w:vertAlign w:val="superscript"/>
              </w:rPr>
            </w:pPr>
            <w:r w:rsidRPr="007C316F">
              <w:t>$</w:t>
            </w:r>
            <w:r w:rsidR="00102373" w:rsidRPr="00102373">
              <w:rPr>
                <w:sz w:val="2"/>
                <w:highlight w:val="black"/>
              </w:rPr>
              <w:t>redacted content</w:t>
            </w:r>
            <w:r w:rsidR="00BC3ADA">
              <w:rPr>
                <w:vertAlign w:val="superscript"/>
              </w:rPr>
              <w:t>11</w:t>
            </w:r>
          </w:p>
        </w:tc>
        <w:tc>
          <w:tcPr>
            <w:tcW w:w="537" w:type="pct"/>
            <w:tcBorders>
              <w:top w:val="single" w:sz="4" w:space="0" w:color="auto"/>
              <w:left w:val="single" w:sz="4" w:space="0" w:color="auto"/>
              <w:bottom w:val="single" w:sz="4" w:space="0" w:color="auto"/>
              <w:right w:val="single" w:sz="4" w:space="0" w:color="auto"/>
            </w:tcBorders>
            <w:vAlign w:val="center"/>
          </w:tcPr>
          <w:p w14:paraId="6158A6C5" w14:textId="33078271" w:rsidR="006F0D5C" w:rsidRPr="00BC3ADA" w:rsidRDefault="006F0D5C" w:rsidP="00C5440B">
            <w:pPr>
              <w:pStyle w:val="TableText0"/>
              <w:jc w:val="center"/>
              <w:rPr>
                <w:bCs w:val="0"/>
                <w:vertAlign w:val="superscript"/>
              </w:rPr>
            </w:pPr>
            <w:r w:rsidRPr="007C316F">
              <w:t>$</w:t>
            </w:r>
            <w:r w:rsidR="00102373" w:rsidRPr="00102373">
              <w:rPr>
                <w:sz w:val="2"/>
                <w:highlight w:val="black"/>
              </w:rPr>
              <w:t>redacted content</w:t>
            </w:r>
            <w:r w:rsidR="00BC3ADA">
              <w:rPr>
                <w:vertAlign w:val="superscript"/>
              </w:rPr>
              <w:t>11</w:t>
            </w:r>
          </w:p>
        </w:tc>
        <w:tc>
          <w:tcPr>
            <w:tcW w:w="537" w:type="pct"/>
            <w:tcBorders>
              <w:top w:val="single" w:sz="4" w:space="0" w:color="auto"/>
              <w:left w:val="single" w:sz="4" w:space="0" w:color="auto"/>
              <w:bottom w:val="single" w:sz="4" w:space="0" w:color="auto"/>
              <w:right w:val="single" w:sz="4" w:space="0" w:color="auto"/>
            </w:tcBorders>
            <w:vAlign w:val="center"/>
          </w:tcPr>
          <w:p w14:paraId="2102D0C6" w14:textId="7AC6540A" w:rsidR="006F0D5C" w:rsidRPr="00BC3ADA" w:rsidRDefault="006F0D5C" w:rsidP="00C5440B">
            <w:pPr>
              <w:pStyle w:val="TableText0"/>
              <w:jc w:val="center"/>
              <w:rPr>
                <w:bCs w:val="0"/>
                <w:vertAlign w:val="superscript"/>
              </w:rPr>
            </w:pPr>
            <w:r w:rsidRPr="007C316F">
              <w:t>$</w:t>
            </w:r>
            <w:r w:rsidR="00102373" w:rsidRPr="00102373">
              <w:rPr>
                <w:sz w:val="2"/>
                <w:highlight w:val="black"/>
              </w:rPr>
              <w:t>redacted content</w:t>
            </w:r>
            <w:r w:rsidR="00BC3ADA">
              <w:rPr>
                <w:vertAlign w:val="superscript"/>
              </w:rPr>
              <w:t>11</w:t>
            </w:r>
          </w:p>
        </w:tc>
        <w:tc>
          <w:tcPr>
            <w:tcW w:w="537" w:type="pct"/>
            <w:tcBorders>
              <w:top w:val="single" w:sz="4" w:space="0" w:color="auto"/>
              <w:left w:val="single" w:sz="4" w:space="0" w:color="auto"/>
              <w:bottom w:val="single" w:sz="4" w:space="0" w:color="auto"/>
              <w:right w:val="single" w:sz="4" w:space="0" w:color="auto"/>
            </w:tcBorders>
            <w:vAlign w:val="center"/>
          </w:tcPr>
          <w:p w14:paraId="0410036A" w14:textId="13B95DE9" w:rsidR="006F0D5C" w:rsidRPr="00BC3ADA" w:rsidRDefault="006F0D5C" w:rsidP="00C5440B">
            <w:pPr>
              <w:pStyle w:val="TableText0"/>
              <w:jc w:val="center"/>
              <w:rPr>
                <w:bCs w:val="0"/>
                <w:vertAlign w:val="superscript"/>
              </w:rPr>
            </w:pPr>
            <w:r w:rsidRPr="007C316F">
              <w:t>$</w:t>
            </w:r>
            <w:r w:rsidR="00102373" w:rsidRPr="00102373">
              <w:rPr>
                <w:sz w:val="2"/>
                <w:highlight w:val="black"/>
              </w:rPr>
              <w:t>redacted content</w:t>
            </w:r>
            <w:r w:rsidR="00BC3ADA">
              <w:rPr>
                <w:vertAlign w:val="superscript"/>
              </w:rPr>
              <w:t>11</w:t>
            </w:r>
          </w:p>
        </w:tc>
        <w:tc>
          <w:tcPr>
            <w:tcW w:w="537" w:type="pct"/>
            <w:tcBorders>
              <w:top w:val="single" w:sz="4" w:space="0" w:color="auto"/>
              <w:left w:val="single" w:sz="4" w:space="0" w:color="auto"/>
              <w:bottom w:val="single" w:sz="4" w:space="0" w:color="auto"/>
              <w:right w:val="single" w:sz="4" w:space="0" w:color="auto"/>
            </w:tcBorders>
            <w:vAlign w:val="center"/>
          </w:tcPr>
          <w:p w14:paraId="755FB7EC" w14:textId="4561094E" w:rsidR="006F0D5C" w:rsidRPr="00BC3ADA" w:rsidRDefault="006F0D5C" w:rsidP="00C5440B">
            <w:pPr>
              <w:pStyle w:val="TableText0"/>
              <w:jc w:val="center"/>
              <w:rPr>
                <w:bCs w:val="0"/>
                <w:vertAlign w:val="superscript"/>
              </w:rPr>
            </w:pPr>
            <w:r w:rsidRPr="007C316F">
              <w:t>$</w:t>
            </w:r>
            <w:r w:rsidR="00102373" w:rsidRPr="00102373">
              <w:rPr>
                <w:sz w:val="2"/>
                <w:highlight w:val="black"/>
              </w:rPr>
              <w:t>redacted content</w:t>
            </w:r>
            <w:r w:rsidR="00BC3ADA">
              <w:rPr>
                <w:vertAlign w:val="superscript"/>
              </w:rPr>
              <w:t>11</w:t>
            </w:r>
          </w:p>
        </w:tc>
        <w:tc>
          <w:tcPr>
            <w:tcW w:w="593" w:type="pct"/>
            <w:tcBorders>
              <w:top w:val="single" w:sz="4" w:space="0" w:color="auto"/>
              <w:left w:val="single" w:sz="4" w:space="0" w:color="auto"/>
              <w:bottom w:val="single" w:sz="4" w:space="0" w:color="auto"/>
              <w:right w:val="single" w:sz="4" w:space="0" w:color="auto"/>
            </w:tcBorders>
            <w:vAlign w:val="center"/>
          </w:tcPr>
          <w:p w14:paraId="741FBE56" w14:textId="6BF29BA5" w:rsidR="006F0D5C" w:rsidRPr="00BC3ADA" w:rsidRDefault="006F0D5C" w:rsidP="00C5440B">
            <w:pPr>
              <w:pStyle w:val="TableText0"/>
              <w:jc w:val="center"/>
              <w:rPr>
                <w:vertAlign w:val="superscript"/>
              </w:rPr>
            </w:pPr>
            <w:r w:rsidRPr="007C316F">
              <w:t>$</w:t>
            </w:r>
            <w:r w:rsidR="00102373" w:rsidRPr="00102373">
              <w:rPr>
                <w:sz w:val="2"/>
                <w:highlight w:val="black"/>
              </w:rPr>
              <w:t>redacted content</w:t>
            </w:r>
            <w:r w:rsidR="00BC3ADA">
              <w:rPr>
                <w:vertAlign w:val="superscript"/>
              </w:rPr>
              <w:t>11</w:t>
            </w:r>
          </w:p>
        </w:tc>
      </w:tr>
      <w:tr w:rsidR="006F0D5C" w:rsidRPr="007C316F" w14:paraId="0CD229F7" w14:textId="77777777" w:rsidTr="00F0116F">
        <w:tc>
          <w:tcPr>
            <w:tcW w:w="1182" w:type="pct"/>
            <w:tcBorders>
              <w:top w:val="single" w:sz="4" w:space="0" w:color="auto"/>
              <w:left w:val="single" w:sz="4" w:space="0" w:color="auto"/>
              <w:bottom w:val="single" w:sz="4" w:space="0" w:color="auto"/>
              <w:right w:val="single" w:sz="4" w:space="0" w:color="auto"/>
            </w:tcBorders>
            <w:vAlign w:val="center"/>
          </w:tcPr>
          <w:p w14:paraId="256A3A34" w14:textId="77777777" w:rsidR="006F0D5C" w:rsidRPr="007C316F" w:rsidRDefault="006F0D5C" w:rsidP="00C5440B">
            <w:pPr>
              <w:keepNext/>
              <w:keepLines/>
              <w:jc w:val="left"/>
              <w:rPr>
                <w:rFonts w:ascii="Arial Narrow" w:eastAsiaTheme="majorEastAsia" w:hAnsi="Arial Narrow" w:cstheme="majorBidi"/>
                <w:b/>
                <w:bCs/>
                <w:sz w:val="20"/>
                <w:szCs w:val="20"/>
              </w:rPr>
            </w:pPr>
            <w:r w:rsidRPr="007C316F">
              <w:rPr>
                <w:rFonts w:ascii="Arial Narrow" w:eastAsiaTheme="majorEastAsia" w:hAnsi="Arial Narrow" w:cstheme="majorBidi"/>
                <w:b/>
                <w:bCs/>
                <w:sz w:val="20"/>
                <w:szCs w:val="20"/>
              </w:rPr>
              <w:t>Net change to government budget</w:t>
            </w:r>
          </w:p>
        </w:tc>
        <w:tc>
          <w:tcPr>
            <w:tcW w:w="542" w:type="pct"/>
            <w:tcBorders>
              <w:top w:val="single" w:sz="4" w:space="0" w:color="auto"/>
              <w:left w:val="single" w:sz="4" w:space="0" w:color="auto"/>
              <w:bottom w:val="single" w:sz="4" w:space="0" w:color="auto"/>
              <w:right w:val="single" w:sz="4" w:space="0" w:color="auto"/>
            </w:tcBorders>
            <w:vAlign w:val="center"/>
          </w:tcPr>
          <w:p w14:paraId="7747A02D" w14:textId="13874B31" w:rsidR="006F0D5C" w:rsidRPr="00AE33FF"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AE33FF">
              <w:rPr>
                <w:b/>
                <w:vertAlign w:val="superscript"/>
              </w:rPr>
              <w:t>6</w:t>
            </w:r>
          </w:p>
        </w:tc>
        <w:tc>
          <w:tcPr>
            <w:tcW w:w="537" w:type="pct"/>
            <w:tcBorders>
              <w:top w:val="single" w:sz="4" w:space="0" w:color="auto"/>
              <w:left w:val="single" w:sz="4" w:space="0" w:color="auto"/>
              <w:bottom w:val="single" w:sz="4" w:space="0" w:color="auto"/>
              <w:right w:val="single" w:sz="4" w:space="0" w:color="auto"/>
            </w:tcBorders>
            <w:vAlign w:val="center"/>
          </w:tcPr>
          <w:p w14:paraId="11D8C80A" w14:textId="163E871E" w:rsidR="006F0D5C" w:rsidRPr="003A0D63"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3A0D63">
              <w:rPr>
                <w:b/>
                <w:vertAlign w:val="superscript"/>
              </w:rPr>
              <w:t>7</w:t>
            </w:r>
          </w:p>
        </w:tc>
        <w:tc>
          <w:tcPr>
            <w:tcW w:w="537" w:type="pct"/>
            <w:tcBorders>
              <w:top w:val="single" w:sz="4" w:space="0" w:color="auto"/>
              <w:left w:val="single" w:sz="4" w:space="0" w:color="auto"/>
              <w:bottom w:val="single" w:sz="4" w:space="0" w:color="auto"/>
              <w:right w:val="single" w:sz="4" w:space="0" w:color="auto"/>
            </w:tcBorders>
            <w:vAlign w:val="center"/>
          </w:tcPr>
          <w:p w14:paraId="447ECFDF" w14:textId="57753E73" w:rsidR="006F0D5C" w:rsidRPr="00E23478"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E23478">
              <w:rPr>
                <w:b/>
                <w:vertAlign w:val="superscript"/>
              </w:rPr>
              <w:t>9</w:t>
            </w:r>
          </w:p>
        </w:tc>
        <w:tc>
          <w:tcPr>
            <w:tcW w:w="537" w:type="pct"/>
            <w:tcBorders>
              <w:top w:val="single" w:sz="4" w:space="0" w:color="auto"/>
              <w:left w:val="single" w:sz="4" w:space="0" w:color="auto"/>
              <w:bottom w:val="single" w:sz="4" w:space="0" w:color="auto"/>
              <w:right w:val="single" w:sz="4" w:space="0" w:color="auto"/>
            </w:tcBorders>
            <w:vAlign w:val="center"/>
          </w:tcPr>
          <w:p w14:paraId="4FF9663E" w14:textId="6C481CED" w:rsidR="006F0D5C" w:rsidRPr="003A0D63"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3A0D63">
              <w:rPr>
                <w:b/>
                <w:vertAlign w:val="superscript"/>
              </w:rPr>
              <w:t>7</w:t>
            </w:r>
          </w:p>
        </w:tc>
        <w:tc>
          <w:tcPr>
            <w:tcW w:w="537" w:type="pct"/>
            <w:tcBorders>
              <w:top w:val="single" w:sz="4" w:space="0" w:color="auto"/>
              <w:left w:val="single" w:sz="4" w:space="0" w:color="auto"/>
              <w:bottom w:val="single" w:sz="4" w:space="0" w:color="auto"/>
              <w:right w:val="single" w:sz="4" w:space="0" w:color="auto"/>
            </w:tcBorders>
            <w:vAlign w:val="center"/>
          </w:tcPr>
          <w:p w14:paraId="2DD43643" w14:textId="4FD1C2D0" w:rsidR="006F0D5C" w:rsidRPr="003A0D63"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3A0D63">
              <w:rPr>
                <w:b/>
                <w:vertAlign w:val="superscript"/>
              </w:rPr>
              <w:t>6</w:t>
            </w:r>
          </w:p>
        </w:tc>
        <w:tc>
          <w:tcPr>
            <w:tcW w:w="537" w:type="pct"/>
            <w:tcBorders>
              <w:top w:val="single" w:sz="4" w:space="0" w:color="auto"/>
              <w:left w:val="single" w:sz="4" w:space="0" w:color="auto"/>
              <w:bottom w:val="single" w:sz="4" w:space="0" w:color="auto"/>
              <w:right w:val="single" w:sz="4" w:space="0" w:color="auto"/>
            </w:tcBorders>
            <w:vAlign w:val="center"/>
          </w:tcPr>
          <w:p w14:paraId="413264BB" w14:textId="485EC89E" w:rsidR="006F0D5C" w:rsidRPr="005C594D"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5C594D">
              <w:rPr>
                <w:b/>
                <w:vertAlign w:val="superscript"/>
              </w:rPr>
              <w:t>8</w:t>
            </w:r>
          </w:p>
        </w:tc>
        <w:tc>
          <w:tcPr>
            <w:tcW w:w="593" w:type="pct"/>
            <w:tcBorders>
              <w:top w:val="single" w:sz="4" w:space="0" w:color="auto"/>
              <w:left w:val="single" w:sz="4" w:space="0" w:color="auto"/>
              <w:bottom w:val="single" w:sz="4" w:space="0" w:color="auto"/>
              <w:right w:val="single" w:sz="4" w:space="0" w:color="auto"/>
            </w:tcBorders>
            <w:vAlign w:val="center"/>
          </w:tcPr>
          <w:p w14:paraId="454F4335" w14:textId="66053983" w:rsidR="006F0D5C" w:rsidRPr="004C175E" w:rsidRDefault="006F0D5C" w:rsidP="00C5440B">
            <w:pPr>
              <w:pStyle w:val="TableText0"/>
              <w:jc w:val="center"/>
              <w:rPr>
                <w:b/>
                <w:vertAlign w:val="superscript"/>
              </w:rPr>
            </w:pPr>
            <w:r w:rsidRPr="007C316F">
              <w:rPr>
                <w:b/>
              </w:rPr>
              <w:t>$</w:t>
            </w:r>
            <w:r w:rsidR="00102373" w:rsidRPr="00102373">
              <w:rPr>
                <w:b/>
                <w:sz w:val="2"/>
                <w:highlight w:val="black"/>
              </w:rPr>
              <w:t>redacted content</w:t>
            </w:r>
            <w:r w:rsidR="004C175E">
              <w:rPr>
                <w:b/>
                <w:vertAlign w:val="superscript"/>
              </w:rPr>
              <w:t>10</w:t>
            </w:r>
          </w:p>
        </w:tc>
      </w:tr>
    </w:tbl>
    <w:p w14:paraId="75A096CF" w14:textId="3257E31C" w:rsidR="006F0D5C" w:rsidRPr="007C316F" w:rsidRDefault="006F0D5C" w:rsidP="006F0D5C">
      <w:pPr>
        <w:pStyle w:val="FooterTableFigure"/>
      </w:pPr>
      <w:r w:rsidRPr="007C316F">
        <w:t>Source: Section 4.2.1 p160</w:t>
      </w:r>
      <w:r w:rsidR="00FF1914">
        <w:noBreakHyphen/>
      </w:r>
      <w:r w:rsidRPr="007C316F">
        <w:t>167, Table 4.16 p169, Table 4.19 p171, Tables 4.20, 4.21 p172 of the submission and compiled from Excel workbook ‘Section 4 Workbook.xlsx’.</w:t>
      </w:r>
    </w:p>
    <w:p w14:paraId="7911B66E" w14:textId="77777777" w:rsidR="00C4511C" w:rsidRDefault="006F0D5C" w:rsidP="00C4511C">
      <w:pPr>
        <w:pStyle w:val="FooterTableFigure"/>
        <w:rPr>
          <w:i/>
          <w:szCs w:val="18"/>
        </w:rPr>
      </w:pPr>
      <w:r w:rsidRPr="007C316F">
        <w:t>SLE=systemic lupus erythematosus; SOC=standard of care</w:t>
      </w:r>
    </w:p>
    <w:p w14:paraId="799ED7E6" w14:textId="71703798" w:rsidR="00C4511C" w:rsidRPr="00C4511C" w:rsidRDefault="00C4511C" w:rsidP="00C4511C">
      <w:pPr>
        <w:pStyle w:val="FooterTableFigure"/>
        <w:rPr>
          <w:i/>
        </w:rPr>
      </w:pPr>
      <w:r w:rsidRPr="00C4511C">
        <w:rPr>
          <w:i/>
        </w:rPr>
        <w:t xml:space="preserve">The redacted values correspond to the following ranges: </w:t>
      </w:r>
    </w:p>
    <w:p w14:paraId="5DCD8A97" w14:textId="265F7E33" w:rsidR="00C4511C" w:rsidRPr="00C4511C" w:rsidRDefault="00C4511C" w:rsidP="00C4511C">
      <w:pPr>
        <w:pStyle w:val="FooterTableFigure"/>
        <w:rPr>
          <w:i/>
        </w:rPr>
      </w:pPr>
      <w:r w:rsidRPr="00C4511C">
        <w:rPr>
          <w:i/>
          <w:vertAlign w:val="superscript"/>
        </w:rPr>
        <w:t>1</w:t>
      </w:r>
      <w:r w:rsidRPr="00C4511C">
        <w:rPr>
          <w:i/>
        </w:rPr>
        <w:t xml:space="preserve"> </w:t>
      </w:r>
      <w:r w:rsidR="00094CBA" w:rsidRPr="00094CBA">
        <w:rPr>
          <w:i/>
        </w:rPr>
        <w:t>500 to &lt; 5,000</w:t>
      </w:r>
    </w:p>
    <w:p w14:paraId="314A9C65" w14:textId="08DD51ED" w:rsidR="00C4511C" w:rsidRPr="00C4511C" w:rsidRDefault="00C4511C" w:rsidP="00C4511C">
      <w:pPr>
        <w:pStyle w:val="FooterTableFigure"/>
        <w:rPr>
          <w:i/>
        </w:rPr>
      </w:pPr>
      <w:r w:rsidRPr="00C4511C">
        <w:rPr>
          <w:i/>
          <w:vertAlign w:val="superscript"/>
        </w:rPr>
        <w:t>2</w:t>
      </w:r>
      <w:r w:rsidRPr="00C4511C">
        <w:rPr>
          <w:i/>
        </w:rPr>
        <w:t xml:space="preserve"> </w:t>
      </w:r>
      <w:r w:rsidR="00E91C1F" w:rsidRPr="00E91C1F">
        <w:rPr>
          <w:i/>
        </w:rPr>
        <w:t>&lt; 500</w:t>
      </w:r>
    </w:p>
    <w:p w14:paraId="165EAADB" w14:textId="70D7B027" w:rsidR="00C4511C" w:rsidRPr="00C4511C" w:rsidRDefault="00C4511C" w:rsidP="00C4511C">
      <w:pPr>
        <w:pStyle w:val="FooterTableFigure"/>
        <w:rPr>
          <w:i/>
        </w:rPr>
      </w:pPr>
      <w:r w:rsidRPr="00C4511C">
        <w:rPr>
          <w:i/>
          <w:vertAlign w:val="superscript"/>
        </w:rPr>
        <w:t>3</w:t>
      </w:r>
      <w:r w:rsidRPr="00C4511C">
        <w:rPr>
          <w:i/>
        </w:rPr>
        <w:t xml:space="preserve"> </w:t>
      </w:r>
      <w:r w:rsidR="004459D3" w:rsidRPr="004459D3">
        <w:rPr>
          <w:i/>
        </w:rPr>
        <w:t>5,000 to &lt; 10,000</w:t>
      </w:r>
    </w:p>
    <w:p w14:paraId="48CD5712" w14:textId="113965C2" w:rsidR="00C4511C" w:rsidRPr="00C4511C" w:rsidRDefault="00C4511C" w:rsidP="00C4511C">
      <w:pPr>
        <w:pStyle w:val="FooterTableFigure"/>
        <w:rPr>
          <w:i/>
        </w:rPr>
      </w:pPr>
      <w:r w:rsidRPr="00C4511C">
        <w:rPr>
          <w:i/>
          <w:vertAlign w:val="superscript"/>
        </w:rPr>
        <w:t>4</w:t>
      </w:r>
      <w:r w:rsidRPr="00C4511C">
        <w:rPr>
          <w:i/>
        </w:rPr>
        <w:t xml:space="preserve"> </w:t>
      </w:r>
      <w:r w:rsidR="00BA6098" w:rsidRPr="00BA6098">
        <w:rPr>
          <w:i/>
        </w:rPr>
        <w:t>10,000 to &lt; 20,000</w:t>
      </w:r>
    </w:p>
    <w:p w14:paraId="08921A45" w14:textId="5157C878" w:rsidR="00C4511C" w:rsidRPr="00C4511C" w:rsidRDefault="00C4511C" w:rsidP="00C4511C">
      <w:pPr>
        <w:pStyle w:val="FooterTableFigure"/>
        <w:rPr>
          <w:i/>
        </w:rPr>
      </w:pPr>
      <w:r w:rsidRPr="00C4511C">
        <w:rPr>
          <w:i/>
          <w:vertAlign w:val="superscript"/>
        </w:rPr>
        <w:t>5</w:t>
      </w:r>
      <w:r w:rsidRPr="00C4511C">
        <w:rPr>
          <w:i/>
        </w:rPr>
        <w:t xml:space="preserve"> </w:t>
      </w:r>
      <w:r w:rsidR="00606E9A" w:rsidRPr="00606E9A">
        <w:rPr>
          <w:i/>
        </w:rPr>
        <w:t>50,000 to &lt; 60,000</w:t>
      </w:r>
    </w:p>
    <w:p w14:paraId="2081CDB0" w14:textId="366D2A38" w:rsidR="00EB35D4" w:rsidRPr="00AE33FF" w:rsidRDefault="00C4511C" w:rsidP="00C4511C">
      <w:pPr>
        <w:pStyle w:val="FooterTableFigure"/>
        <w:rPr>
          <w:i/>
        </w:rPr>
      </w:pPr>
      <w:r w:rsidRPr="00C4511C">
        <w:rPr>
          <w:i/>
          <w:vertAlign w:val="superscript"/>
        </w:rPr>
        <w:t>6</w:t>
      </w:r>
      <w:r w:rsidR="00AE33FF">
        <w:rPr>
          <w:i/>
          <w:vertAlign w:val="superscript"/>
        </w:rPr>
        <w:t xml:space="preserve"> </w:t>
      </w:r>
      <w:r w:rsidR="00AE33FF" w:rsidRPr="00AE33FF">
        <w:rPr>
          <w:i/>
        </w:rPr>
        <w:t>$30 million to &lt; $40 million</w:t>
      </w:r>
    </w:p>
    <w:p w14:paraId="2BBE571F" w14:textId="4AC42EDC" w:rsidR="00EB35D4" w:rsidRPr="007C4B1A" w:rsidRDefault="00EB35D4" w:rsidP="00C4511C">
      <w:pPr>
        <w:pStyle w:val="FooterTableFigure"/>
        <w:rPr>
          <w:i/>
        </w:rPr>
      </w:pPr>
      <w:r>
        <w:rPr>
          <w:i/>
          <w:vertAlign w:val="superscript"/>
        </w:rPr>
        <w:t>7</w:t>
      </w:r>
      <w:r w:rsidR="007C4B1A">
        <w:rPr>
          <w:i/>
          <w:vertAlign w:val="superscript"/>
        </w:rPr>
        <w:t xml:space="preserve"> </w:t>
      </w:r>
      <w:r w:rsidR="007C4B1A" w:rsidRPr="007C4B1A">
        <w:rPr>
          <w:i/>
        </w:rPr>
        <w:t>$40 million to &lt; $50 million</w:t>
      </w:r>
    </w:p>
    <w:p w14:paraId="6372AE79" w14:textId="37C6E24C" w:rsidR="00EB35D4" w:rsidRPr="005C594D" w:rsidRDefault="00EB35D4" w:rsidP="00C4511C">
      <w:pPr>
        <w:pStyle w:val="FooterTableFigure"/>
        <w:rPr>
          <w:i/>
        </w:rPr>
      </w:pPr>
      <w:r>
        <w:rPr>
          <w:i/>
          <w:vertAlign w:val="superscript"/>
        </w:rPr>
        <w:t>8</w:t>
      </w:r>
      <w:r w:rsidR="005C594D">
        <w:rPr>
          <w:i/>
          <w:vertAlign w:val="superscript"/>
        </w:rPr>
        <w:t xml:space="preserve"> </w:t>
      </w:r>
      <w:r w:rsidR="005C594D" w:rsidRPr="005C594D">
        <w:rPr>
          <w:i/>
        </w:rPr>
        <w:t>$20 million to &lt; $30 million</w:t>
      </w:r>
    </w:p>
    <w:p w14:paraId="352AFCD3" w14:textId="23C61216" w:rsidR="00DC357C" w:rsidRPr="00E23478" w:rsidRDefault="00EB35D4" w:rsidP="00C4511C">
      <w:pPr>
        <w:pStyle w:val="FooterTableFigure"/>
        <w:rPr>
          <w:i/>
        </w:rPr>
      </w:pPr>
      <w:r>
        <w:rPr>
          <w:i/>
          <w:vertAlign w:val="superscript"/>
        </w:rPr>
        <w:t>9</w:t>
      </w:r>
      <w:r w:rsidR="00E23478">
        <w:rPr>
          <w:i/>
          <w:vertAlign w:val="superscript"/>
        </w:rPr>
        <w:t xml:space="preserve"> </w:t>
      </w:r>
      <w:r w:rsidR="00E23478" w:rsidRPr="00E23478">
        <w:rPr>
          <w:i/>
        </w:rPr>
        <w:t>$50 million to &lt; $60 million</w:t>
      </w:r>
    </w:p>
    <w:p w14:paraId="35D17422" w14:textId="0486D468" w:rsidR="00DC357C" w:rsidRPr="004C175E" w:rsidRDefault="00DC357C" w:rsidP="00C4511C">
      <w:pPr>
        <w:pStyle w:val="FooterTableFigure"/>
        <w:rPr>
          <w:i/>
        </w:rPr>
      </w:pPr>
      <w:r>
        <w:rPr>
          <w:i/>
          <w:vertAlign w:val="superscript"/>
        </w:rPr>
        <w:t>10</w:t>
      </w:r>
      <w:r w:rsidR="004C175E">
        <w:rPr>
          <w:i/>
          <w:vertAlign w:val="superscript"/>
        </w:rPr>
        <w:t xml:space="preserve"> </w:t>
      </w:r>
      <w:r w:rsidR="004C175E" w:rsidRPr="004C175E">
        <w:rPr>
          <w:i/>
        </w:rPr>
        <w:t>$200 million to &lt; $300 million</w:t>
      </w:r>
    </w:p>
    <w:p w14:paraId="68067C8A" w14:textId="1A95B42E" w:rsidR="00C4511C" w:rsidRPr="00C4511C" w:rsidRDefault="00DC357C" w:rsidP="00C4511C">
      <w:pPr>
        <w:pStyle w:val="FooterTableFigure"/>
        <w:rPr>
          <w:i/>
        </w:rPr>
      </w:pPr>
      <w:r>
        <w:rPr>
          <w:i/>
          <w:vertAlign w:val="superscript"/>
        </w:rPr>
        <w:t>11</w:t>
      </w:r>
      <w:r w:rsidR="00C4511C" w:rsidRPr="00C4511C">
        <w:rPr>
          <w:i/>
        </w:rPr>
        <w:t xml:space="preserve"> </w:t>
      </w:r>
      <w:r w:rsidR="00BC3ADA" w:rsidRPr="00BC3ADA">
        <w:rPr>
          <w:i/>
        </w:rPr>
        <w:t>$0 to &lt; $10 million</w:t>
      </w:r>
    </w:p>
    <w:p w14:paraId="2CC6783D" w14:textId="5BE4B22B" w:rsidR="006F0D5C" w:rsidRPr="007C316F" w:rsidRDefault="006F0D5C" w:rsidP="006F0D5C">
      <w:pPr>
        <w:pStyle w:val="FooterTableFigure"/>
      </w:pPr>
    </w:p>
    <w:p w14:paraId="54FF8B82" w14:textId="272E2F2A" w:rsidR="006F0D5C" w:rsidRPr="007C316F" w:rsidRDefault="006F0D5C" w:rsidP="006F0D5C">
      <w:pPr>
        <w:pStyle w:val="3-BodyText"/>
        <w:numPr>
          <w:ilvl w:val="1"/>
          <w:numId w:val="1"/>
        </w:numPr>
      </w:pPr>
      <w:r w:rsidRPr="007C316F">
        <w:t xml:space="preserve">The total cost to the PBS/RPBS of listing obinutuzumab was estimated </w:t>
      </w:r>
      <w:r w:rsidR="00771D0D">
        <w:t xml:space="preserve">(by the submission) </w:t>
      </w:r>
      <w:r w:rsidRPr="007C316F">
        <w:t xml:space="preserve">to be </w:t>
      </w:r>
      <w:r w:rsidR="00BC3ADA" w:rsidRPr="00BC3ADA">
        <w:t>$20 million to &lt; $30 million</w:t>
      </w:r>
      <w:r w:rsidRPr="007C316F">
        <w:t xml:space="preserve"> in Year 6, and a total of </w:t>
      </w:r>
      <w:r w:rsidR="00BC3ADA" w:rsidRPr="00BC3ADA">
        <w:t>$200 million to &lt; $300 million</w:t>
      </w:r>
      <w:r w:rsidRPr="007C316F">
        <w:t xml:space="preserve"> in the first 6 years of listing.</w:t>
      </w:r>
    </w:p>
    <w:p w14:paraId="0AC1CA54" w14:textId="34F231F6" w:rsidR="00C70534" w:rsidRDefault="006F0D5C">
      <w:pPr>
        <w:pStyle w:val="3-BodyText"/>
        <w:numPr>
          <w:ilvl w:val="1"/>
          <w:numId w:val="1"/>
        </w:numPr>
      </w:pPr>
      <w:r w:rsidRPr="007C316F" w:rsidDel="0697AB80">
        <w:lastRenderedPageBreak/>
        <w:t xml:space="preserve">The </w:t>
      </w:r>
      <w:r w:rsidR="00FC769D" w:rsidRPr="007C316F">
        <w:t>evaluation considered that the</w:t>
      </w:r>
      <w:r w:rsidRPr="007C316F" w:rsidDel="0697AB80">
        <w:t xml:space="preserve"> financial estimates were likely </w:t>
      </w:r>
      <w:r w:rsidRPr="00D7192B" w:rsidDel="0697AB80">
        <w:t>overestimated</w:t>
      </w:r>
      <w:r w:rsidRPr="007C316F" w:rsidDel="0697AB80">
        <w:t xml:space="preserve"> due to</w:t>
      </w:r>
      <w:r w:rsidR="00D7192B">
        <w:t xml:space="preserve"> </w:t>
      </w:r>
      <w:r w:rsidR="00B62535">
        <w:t>a</w:t>
      </w:r>
      <w:r w:rsidRPr="007C316F" w:rsidDel="0697AB80">
        <w:t xml:space="preserve"> likely overestimate of the numbers of patients with class III/IV±V lupus nephritis that required immunosuppression. A recent systematic review of Australian studies (Roper 2025) estimated the incidence of lupus nephritis in Australia to be 1.02 per 100,000 persons and prevalence to be 11.20 per 100,000 persons. This would result in up to 241 </w:t>
      </w:r>
      <w:r w:rsidRPr="00351459" w:rsidDel="0697AB80">
        <w:t>incident lupus nephritis patients annually and 2,453 prevalent lupus nephritis patients in Year 1, compared with 450</w:t>
      </w:r>
      <w:r w:rsidR="00FF1914" w:rsidRPr="00351459">
        <w:noBreakHyphen/>
      </w:r>
      <w:r w:rsidRPr="00351459" w:rsidDel="0697AB80">
        <w:t xml:space="preserve">486 incident lupus nephritis patients and 8,265 lupus nephritis prevalent patients in the submission. Alternatively, Nakagawa 2025 identified 16% of SLE cases treated in Monash Health Lupus Clinic as class III/IV±V lupus nephritis and received induction therapy, which would </w:t>
      </w:r>
      <w:r w:rsidR="0037250F" w:rsidRPr="00351459">
        <w:t>result in</w:t>
      </w:r>
      <w:r w:rsidR="0037250F" w:rsidRPr="00351459" w:rsidDel="0697AB80">
        <w:t xml:space="preserve"> </w:t>
      </w:r>
      <w:r w:rsidRPr="00351459" w:rsidDel="0697AB80">
        <w:t>180</w:t>
      </w:r>
      <w:r w:rsidR="00FF1914" w:rsidRPr="00351459">
        <w:noBreakHyphen/>
      </w:r>
      <w:r w:rsidRPr="00351459" w:rsidDel="0697AB80">
        <w:t>195 eligible incident patients and 3,306 eligible prevalent</w:t>
      </w:r>
      <w:r w:rsidRPr="007C316F" w:rsidDel="0697AB80">
        <w:t xml:space="preserve"> patients. </w:t>
      </w:r>
      <w:r w:rsidR="004D20EE">
        <w:t xml:space="preserve">The </w:t>
      </w:r>
      <w:r w:rsidR="00170E50">
        <w:t>evaluation</w:t>
      </w:r>
      <w:r w:rsidR="004D20EE">
        <w:t xml:space="preserve"> </w:t>
      </w:r>
      <w:r w:rsidR="002621E0">
        <w:t>considered that, w</w:t>
      </w:r>
      <w:r w:rsidRPr="007C316F" w:rsidDel="0697AB80">
        <w:t>hile there is limited Australian data, it may be more reasonable to assume a smaller population</w:t>
      </w:r>
      <w:r w:rsidR="002621E0">
        <w:t xml:space="preserve"> than estimated in the submission</w:t>
      </w:r>
      <w:r w:rsidRPr="007C316F" w:rsidDel="0697AB80">
        <w:t>.</w:t>
      </w:r>
      <w:r w:rsidR="004B5765" w:rsidRPr="007C316F">
        <w:t xml:space="preserve"> The Sub</w:t>
      </w:r>
      <w:r w:rsidR="00FF1914">
        <w:noBreakHyphen/>
      </w:r>
      <w:r w:rsidR="004B5765" w:rsidRPr="007C316F">
        <w:t xml:space="preserve">Committees </w:t>
      </w:r>
      <w:r w:rsidR="00E22318" w:rsidRPr="007C316F">
        <w:t xml:space="preserve">agreed that </w:t>
      </w:r>
      <w:r w:rsidR="00046FAC" w:rsidRPr="007C316F">
        <w:t xml:space="preserve">the prevalence estimates used for SLE </w:t>
      </w:r>
      <w:r w:rsidR="00DC39C6" w:rsidRPr="007C316F">
        <w:t xml:space="preserve">were likely overestimated as they were </w:t>
      </w:r>
      <w:r w:rsidR="004B5765" w:rsidRPr="007C316F">
        <w:t>heavily weighted towards a large study of childbearing women in NSW</w:t>
      </w:r>
      <w:r w:rsidR="006F2CB8" w:rsidRPr="007C316F">
        <w:t xml:space="preserve"> (Shand 2013)</w:t>
      </w:r>
      <w:r w:rsidR="004B5765" w:rsidRPr="007C316F">
        <w:t xml:space="preserve"> and exceeded recent global and Australian estimates</w:t>
      </w:r>
      <w:r w:rsidR="00DC39C6" w:rsidRPr="007C316F">
        <w:t>.</w:t>
      </w:r>
      <w:r w:rsidR="00A75FA4" w:rsidRPr="007C316F">
        <w:t xml:space="preserve"> </w:t>
      </w:r>
      <w:r w:rsidR="00F96955">
        <w:t>The pre</w:t>
      </w:r>
      <w:r w:rsidR="00FF1914">
        <w:noBreakHyphen/>
      </w:r>
      <w:r w:rsidR="00F96955">
        <w:t xml:space="preserve">PBAC response disagreed with the omission of Shand </w:t>
      </w:r>
      <w:r w:rsidR="0083665C">
        <w:t xml:space="preserve">2013 </w:t>
      </w:r>
      <w:r w:rsidR="00F96955">
        <w:t>on the basis that it captures an important population cohort of women of child</w:t>
      </w:r>
      <w:r w:rsidR="00FF1914">
        <w:noBreakHyphen/>
      </w:r>
      <w:r w:rsidR="00F96955">
        <w:t>bearing age.</w:t>
      </w:r>
      <w:r w:rsidR="004B761D" w:rsidRPr="004B761D">
        <w:t xml:space="preserve"> </w:t>
      </w:r>
      <w:r w:rsidR="00F24344">
        <w:t>The pre</w:t>
      </w:r>
      <w:r w:rsidR="00FF1914">
        <w:noBreakHyphen/>
      </w:r>
      <w:r w:rsidR="00F24344">
        <w:t xml:space="preserve">PBAC response </w:t>
      </w:r>
      <w:r w:rsidR="006B76B9">
        <w:t xml:space="preserve">further </w:t>
      </w:r>
      <w:r w:rsidR="00F24344">
        <w:t xml:space="preserve">argued that Roper 2025 reported a lower SLE prevalence than some international estimates with the authors acknowledging it was </w:t>
      </w:r>
      <w:r w:rsidR="00F24344" w:rsidRPr="00240FEA">
        <w:t xml:space="preserve">lower than </w:t>
      </w:r>
      <w:r w:rsidR="00F24344">
        <w:t xml:space="preserve">some </w:t>
      </w:r>
      <w:r w:rsidR="00F24344" w:rsidRPr="00240FEA">
        <w:t>contemporary US (65–81 per 100</w:t>
      </w:r>
      <w:r w:rsidR="001A711F">
        <w:t>,</w:t>
      </w:r>
      <w:r w:rsidR="00F24344" w:rsidRPr="00240FEA">
        <w:t>000) or UK (97–107 per 100</w:t>
      </w:r>
      <w:r w:rsidR="001A711F">
        <w:t>,</w:t>
      </w:r>
      <w:r w:rsidR="00F24344" w:rsidRPr="00240FEA">
        <w:t>000) estimates</w:t>
      </w:r>
      <w:r w:rsidR="000C6B8F">
        <w:t xml:space="preserve">. However, the PBAC noted the </w:t>
      </w:r>
      <w:r w:rsidR="00841BD6">
        <w:t xml:space="preserve">authors also acknowledged </w:t>
      </w:r>
      <w:r w:rsidR="00F24344">
        <w:t>it was</w:t>
      </w:r>
      <w:r w:rsidR="00F24344" w:rsidRPr="00240FEA">
        <w:t xml:space="preserve"> higher than a recent global estimate of 43.7 per 100</w:t>
      </w:r>
      <w:r w:rsidR="00B6285A">
        <w:t>,</w:t>
      </w:r>
      <w:r w:rsidR="00F24344" w:rsidRPr="00240FEA">
        <w:t>000</w:t>
      </w:r>
      <w:r w:rsidR="00F24344">
        <w:t>. The authors also noted the limitations such as the age of the studies and the reliance on s</w:t>
      </w:r>
      <w:r w:rsidR="00F24344" w:rsidRPr="00721EBF">
        <w:t>ingle hospital or clinician sources</w:t>
      </w:r>
      <w:r w:rsidR="00F24344">
        <w:t>.</w:t>
      </w:r>
    </w:p>
    <w:p w14:paraId="5FBD6A2E" w14:textId="0D5AAAEE" w:rsidR="006F0D5C" w:rsidRPr="007C316F" w:rsidRDefault="004B761D" w:rsidP="00F65E63">
      <w:pPr>
        <w:pStyle w:val="3-BodyText"/>
        <w:numPr>
          <w:ilvl w:val="1"/>
          <w:numId w:val="1"/>
        </w:numPr>
      </w:pPr>
      <w:r w:rsidRPr="004B761D">
        <w:t xml:space="preserve">The PBAC </w:t>
      </w:r>
      <w:r w:rsidR="00E9147E">
        <w:t xml:space="preserve">agreed with the </w:t>
      </w:r>
      <w:r w:rsidR="00E9147E" w:rsidRPr="007C316F">
        <w:t>Sub</w:t>
      </w:r>
      <w:r w:rsidR="00FF1914">
        <w:noBreakHyphen/>
      </w:r>
      <w:r w:rsidR="00E9147E" w:rsidRPr="007C316F">
        <w:t xml:space="preserve">Committees </w:t>
      </w:r>
      <w:r w:rsidR="00E9147E">
        <w:t xml:space="preserve">that </w:t>
      </w:r>
      <w:r w:rsidR="00AE7D5E">
        <w:t xml:space="preserve">including Shand 2013 </w:t>
      </w:r>
      <w:r w:rsidR="006F02A1">
        <w:t xml:space="preserve">overestimated </w:t>
      </w:r>
      <w:r w:rsidR="008A7C3B">
        <w:t xml:space="preserve">general </w:t>
      </w:r>
      <w:r w:rsidR="006F02A1">
        <w:t>SLE prevalence</w:t>
      </w:r>
      <w:r w:rsidR="00C41B64">
        <w:t>. On balance, the PBAC</w:t>
      </w:r>
      <w:r w:rsidR="006F02A1">
        <w:t xml:space="preserve"> </w:t>
      </w:r>
      <w:r w:rsidRPr="004B761D">
        <w:t>considered that the SLE prevalence rate from the Roper 2025 meta</w:t>
      </w:r>
      <w:r w:rsidR="00FF1914">
        <w:noBreakHyphen/>
      </w:r>
      <w:r w:rsidRPr="004B761D">
        <w:t xml:space="preserve">analysis </w:t>
      </w:r>
      <w:r w:rsidR="008A7C3B">
        <w:t>(</w:t>
      </w:r>
      <w:r w:rsidRPr="004B761D">
        <w:t>of 57.86 per 100,000</w:t>
      </w:r>
      <w:r w:rsidR="008A7C3B">
        <w:t>)</w:t>
      </w:r>
      <w:r w:rsidRPr="004B761D">
        <w:t xml:space="preserve"> should be applied in the financial estimates</w:t>
      </w:r>
      <w:r w:rsidR="00B375C9">
        <w:t>,</w:t>
      </w:r>
      <w:r w:rsidR="004476FC">
        <w:t xml:space="preserve"> along with the proportion of SLE patients who develop lupus nephritis of 40% as per the submission</w:t>
      </w:r>
      <w:r w:rsidRPr="004B761D">
        <w:t>.</w:t>
      </w:r>
      <w:r w:rsidR="00B6321A">
        <w:t xml:space="preserve"> </w:t>
      </w:r>
      <w:r w:rsidR="008219D4">
        <w:t>T</w:t>
      </w:r>
      <w:r w:rsidR="00634D5C">
        <w:t>he PBAC acknowledged t</w:t>
      </w:r>
      <w:r w:rsidR="00B6321A">
        <w:t>he limitations</w:t>
      </w:r>
      <w:r w:rsidR="008219D4">
        <w:t xml:space="preserve"> of Roper 2025</w:t>
      </w:r>
      <w:r w:rsidR="0034246A">
        <w:t xml:space="preserve">, </w:t>
      </w:r>
      <w:r w:rsidR="008219D4">
        <w:t>but</w:t>
      </w:r>
      <w:r w:rsidR="0034246A">
        <w:t xml:space="preserve"> </w:t>
      </w:r>
      <w:r w:rsidR="00634D5C">
        <w:t>considered it was the best estimate currently available</w:t>
      </w:r>
      <w:r w:rsidR="00357A67">
        <w:t>.</w:t>
      </w:r>
      <w:r w:rsidR="00634D5C">
        <w:t xml:space="preserve"> </w:t>
      </w:r>
      <w:r w:rsidR="007C06C7">
        <w:t>While the pre</w:t>
      </w:r>
      <w:r w:rsidR="00FF1914">
        <w:noBreakHyphen/>
      </w:r>
      <w:r w:rsidR="007C06C7">
        <w:t>PBAC</w:t>
      </w:r>
      <w:r w:rsidR="00D318F3">
        <w:t xml:space="preserve"> </w:t>
      </w:r>
      <w:r w:rsidR="007C06C7">
        <w:t xml:space="preserve">response </w:t>
      </w:r>
      <w:r w:rsidR="00B02030">
        <w:t xml:space="preserve">had </w:t>
      </w:r>
      <w:r w:rsidR="007C06C7">
        <w:t>argued that the prevalence should be higher, t</w:t>
      </w:r>
      <w:r w:rsidR="00371B5C" w:rsidRPr="00371B5C">
        <w:t xml:space="preserve">he PBAC </w:t>
      </w:r>
      <w:r w:rsidR="00D318F3">
        <w:t>considere</w:t>
      </w:r>
      <w:r w:rsidR="00371B5C" w:rsidRPr="00371B5C">
        <w:t>d that</w:t>
      </w:r>
      <w:r w:rsidR="00D318F3">
        <w:t>, on the other hand, substantially</w:t>
      </w:r>
      <w:r w:rsidR="00371B5C" w:rsidRPr="00371B5C">
        <w:t xml:space="preserve"> lower estimates could be plausible (</w:t>
      </w:r>
      <w:r w:rsidR="007C47A6">
        <w:t>e.g</w:t>
      </w:r>
      <w:r w:rsidR="00371B5C" w:rsidRPr="00371B5C">
        <w:t>. the estimate that 16% of SLE patients develop class III/IV LN from Nakagawa 2025 appeared plausible</w:t>
      </w:r>
      <w:r w:rsidR="00660858">
        <w:t>, and also noting the limitations of Hanly 2016</w:t>
      </w:r>
      <w:r w:rsidR="00371B5C" w:rsidRPr="00371B5C">
        <w:t>)</w:t>
      </w:r>
      <w:r w:rsidR="007C47A6">
        <w:t>.</w:t>
      </w:r>
      <w:r w:rsidR="00371B5C" w:rsidRPr="00371B5C">
        <w:t xml:space="preserve"> </w:t>
      </w:r>
      <w:r w:rsidR="00357A67">
        <w:t xml:space="preserve">The PBAC also </w:t>
      </w:r>
      <w:r w:rsidR="003F29BC">
        <w:t xml:space="preserve">noted </w:t>
      </w:r>
      <w:r w:rsidR="00634D5C">
        <w:t xml:space="preserve">the </w:t>
      </w:r>
      <w:r w:rsidR="006E6EA4">
        <w:t xml:space="preserve">approach of </w:t>
      </w:r>
      <w:r w:rsidR="0059727A">
        <w:t>us</w:t>
      </w:r>
      <w:r w:rsidR="006E6EA4">
        <w:t>ing the SLE prevalence from Roper 2025</w:t>
      </w:r>
      <w:r w:rsidR="00634D5C">
        <w:t xml:space="preserve"> </w:t>
      </w:r>
      <w:r w:rsidR="0059727A">
        <w:t>and</w:t>
      </w:r>
      <w:r w:rsidR="006E6EA4">
        <w:t xml:space="preserve"> </w:t>
      </w:r>
      <w:r w:rsidR="00357F68">
        <w:t>assuming</w:t>
      </w:r>
      <w:r w:rsidR="0059727A">
        <w:t xml:space="preserve"> </w:t>
      </w:r>
      <w:r w:rsidR="006E6EA4">
        <w:t xml:space="preserve">40% </w:t>
      </w:r>
      <w:r w:rsidR="006E6EA4" w:rsidRPr="006E6EA4">
        <w:t xml:space="preserve">of </w:t>
      </w:r>
      <w:r w:rsidR="00357F68">
        <w:t>these</w:t>
      </w:r>
      <w:r w:rsidR="006E6EA4" w:rsidRPr="006E6EA4">
        <w:t xml:space="preserve"> </w:t>
      </w:r>
      <w:r w:rsidR="00E13FF9">
        <w:t xml:space="preserve">patients </w:t>
      </w:r>
      <w:r w:rsidR="006E6EA4" w:rsidRPr="006E6EA4">
        <w:t xml:space="preserve">develop </w:t>
      </w:r>
      <w:r w:rsidR="0059727A">
        <w:t>lupus nephritis</w:t>
      </w:r>
      <w:r w:rsidR="00A27B61">
        <w:t xml:space="preserve"> (i.e. resulting in an overall lupus nephritis prevalence of 23.1)</w:t>
      </w:r>
      <w:r w:rsidR="0059727A">
        <w:t xml:space="preserve">, resulted in </w:t>
      </w:r>
      <w:r w:rsidR="00357F68">
        <w:t xml:space="preserve">a </w:t>
      </w:r>
      <w:r w:rsidR="0059727A">
        <w:t xml:space="preserve">higher </w:t>
      </w:r>
      <w:r w:rsidR="00357F68">
        <w:t xml:space="preserve">number of </w:t>
      </w:r>
      <w:r w:rsidR="00C44A6E">
        <w:t xml:space="preserve">patients than </w:t>
      </w:r>
      <w:r w:rsidR="00357F68">
        <w:t xml:space="preserve">directly </w:t>
      </w:r>
      <w:r w:rsidR="00C44A6E">
        <w:t xml:space="preserve">using the </w:t>
      </w:r>
      <w:r w:rsidR="00641E5E">
        <w:t xml:space="preserve">lupus nephritis incidence </w:t>
      </w:r>
      <w:r w:rsidR="00B70C5A">
        <w:t xml:space="preserve">and prevalence </w:t>
      </w:r>
      <w:r w:rsidR="00641E5E">
        <w:t>rate</w:t>
      </w:r>
      <w:r w:rsidR="00B70C5A">
        <w:t>s</w:t>
      </w:r>
      <w:r w:rsidR="00641E5E">
        <w:t xml:space="preserve"> from Roper 2025</w:t>
      </w:r>
      <w:r w:rsidR="00917BE2" w:rsidRPr="00917BE2">
        <w:t xml:space="preserve"> </w:t>
      </w:r>
      <w:r w:rsidR="00917BE2">
        <w:t>which reported a lupus nephritis prevalence of 11.2 per 100,000</w:t>
      </w:r>
      <w:r w:rsidR="00641E5E">
        <w:t>).</w:t>
      </w:r>
    </w:p>
    <w:p w14:paraId="7A61FD09" w14:textId="6692FFBA" w:rsidR="006F0D5C" w:rsidRPr="007C316F" w:rsidRDefault="00E022EE" w:rsidP="00F65E63">
      <w:pPr>
        <w:pStyle w:val="3-BodyText"/>
        <w:numPr>
          <w:ilvl w:val="1"/>
          <w:numId w:val="1"/>
        </w:numPr>
      </w:pPr>
      <w:r w:rsidRPr="00E022EE">
        <w:t xml:space="preserve">The evaluation </w:t>
      </w:r>
      <w:r>
        <w:t xml:space="preserve">also </w:t>
      </w:r>
      <w:r w:rsidRPr="00E022EE">
        <w:t xml:space="preserve">considered that the financial estimates were likely overestimated </w:t>
      </w:r>
      <w:r>
        <w:t>as n</w:t>
      </w:r>
      <w:r w:rsidR="006F0D5C" w:rsidRPr="007C316F" w:rsidDel="0697AB80">
        <w:t xml:space="preserve">o cost offsets, such as changes in SOC or downstream therapies, were included in the analysis. </w:t>
      </w:r>
      <w:r w:rsidR="00BD59DA">
        <w:t>The PBAC considered that there may be offsets for reduced use of anifrolumab</w:t>
      </w:r>
      <w:r w:rsidR="00617E83">
        <w:t xml:space="preserve"> (given the restriction would prohibit concurrent use of the two </w:t>
      </w:r>
      <w:r w:rsidR="00617E83">
        <w:lastRenderedPageBreak/>
        <w:t>therapies)</w:t>
      </w:r>
      <w:r w:rsidR="00BD59DA">
        <w:t>, though noted these would be difficult to quantify</w:t>
      </w:r>
      <w:r w:rsidR="00617E83">
        <w:t xml:space="preserve"> </w:t>
      </w:r>
      <w:r w:rsidR="00CB0EF6">
        <w:t>(</w:t>
      </w:r>
      <w:r w:rsidR="004D4771">
        <w:t xml:space="preserve">e.g. there is potential for </w:t>
      </w:r>
      <w:r w:rsidR="00CB0EF6" w:rsidRPr="00CB0EF6">
        <w:t>sequencing of the two therapies given the relapsing–remitting nature of the condition</w:t>
      </w:r>
      <w:r w:rsidR="004D4771">
        <w:t xml:space="preserve">, </w:t>
      </w:r>
      <w:r w:rsidR="002F254B">
        <w:t>with</w:t>
      </w:r>
      <w:r w:rsidR="004D4771">
        <w:t xml:space="preserve"> the an</w:t>
      </w:r>
      <w:r w:rsidR="00CB0EF6" w:rsidRPr="00CB0EF6">
        <w:t>ifrolumab Product Information stat</w:t>
      </w:r>
      <w:r w:rsidR="002F254B">
        <w:t>ing</w:t>
      </w:r>
      <w:r w:rsidR="00CB0EF6" w:rsidRPr="00CB0EF6">
        <w:t xml:space="preserve"> ‘the safety and efficacy of anifrolumab have not been evaluated in patients with severe active lupus nephritis’</w:t>
      </w:r>
      <w:r w:rsidR="004D4771">
        <w:t>).</w:t>
      </w:r>
    </w:p>
    <w:p w14:paraId="1C353C1B" w14:textId="14517C93" w:rsidR="006F0D5C" w:rsidRPr="007C316F" w:rsidRDefault="006F0D5C" w:rsidP="7448E857">
      <w:pPr>
        <w:pStyle w:val="3-BodyText"/>
      </w:pPr>
      <w:r w:rsidRPr="007C316F" w:rsidDel="0697AB80">
        <w:t xml:space="preserve">The </w:t>
      </w:r>
      <w:r w:rsidR="00A35153" w:rsidRPr="007C316F">
        <w:t>evaluation considered that the</w:t>
      </w:r>
      <w:r w:rsidR="004103A6">
        <w:t>re were some parameters in the</w:t>
      </w:r>
      <w:r w:rsidRPr="007C316F" w:rsidDel="0697AB80">
        <w:t xml:space="preserve"> financial estimates </w:t>
      </w:r>
      <w:r w:rsidR="004103A6">
        <w:t xml:space="preserve">that </w:t>
      </w:r>
      <w:r w:rsidRPr="007C316F" w:rsidDel="0697AB80">
        <w:t xml:space="preserve">were likely </w:t>
      </w:r>
      <w:r w:rsidRPr="007C316F" w:rsidDel="0697AB80">
        <w:rPr>
          <w:u w:val="single"/>
        </w:rPr>
        <w:t>underestimated</w:t>
      </w:r>
      <w:r w:rsidRPr="007C316F" w:rsidDel="0697AB80">
        <w:t>:</w:t>
      </w:r>
    </w:p>
    <w:p w14:paraId="414FA429" w14:textId="3707003D" w:rsidR="006F0D5C" w:rsidRPr="007C316F" w:rsidRDefault="006F0D5C" w:rsidP="006F0D5C">
      <w:pPr>
        <w:pStyle w:val="ListParagraph"/>
        <w:ind w:left="1276"/>
        <w:jc w:val="both"/>
      </w:pPr>
      <w:r w:rsidRPr="007C316F" w:rsidDel="0697AB80">
        <w:t xml:space="preserve">The low uptake rates. The </w:t>
      </w:r>
      <w:r w:rsidRPr="007C316F" w:rsidDel="1F7C0A44">
        <w:t>Advisory Board Minutes 2025</w:t>
      </w:r>
      <w:r w:rsidRPr="007C316F" w:rsidDel="2ECCF8EF">
        <w:t xml:space="preserve"> </w:t>
      </w:r>
      <w:r w:rsidRPr="007C316F" w:rsidDel="0697AB80">
        <w:t xml:space="preserve">indicated </w:t>
      </w:r>
      <w:r w:rsidRPr="00351459" w:rsidDel="0697AB80">
        <w:t xml:space="preserve">that </w:t>
      </w:r>
      <w:r w:rsidR="00102373" w:rsidRPr="00102373">
        <w:rPr>
          <w:sz w:val="2"/>
          <w:highlight w:val="black"/>
        </w:rPr>
        <w:t>redacted content</w:t>
      </w:r>
      <w:r w:rsidRPr="00351459" w:rsidDel="0697AB80">
        <w:t>% of</w:t>
      </w:r>
      <w:r w:rsidRPr="007C316F" w:rsidDel="0697AB80">
        <w:t xml:space="preserve"> eligible patients would receive obinutuzumab, whereas the uptake rates ranged from </w:t>
      </w:r>
      <w:r w:rsidR="00102373" w:rsidRPr="00102373">
        <w:rPr>
          <w:sz w:val="2"/>
          <w:highlight w:val="black"/>
        </w:rPr>
        <w:t>redacted content</w:t>
      </w:r>
      <w:r w:rsidRPr="007C316F" w:rsidDel="0697AB80">
        <w:t xml:space="preserve">% to </w:t>
      </w:r>
      <w:r w:rsidR="00102373" w:rsidRPr="00102373">
        <w:rPr>
          <w:sz w:val="2"/>
          <w:highlight w:val="black"/>
        </w:rPr>
        <w:t>redacted content</w:t>
      </w:r>
      <w:r w:rsidRPr="007C316F" w:rsidDel="0697AB80">
        <w:t>% depending upon line of treatment and year. However, due to the cumulative nature of the uptake rates (patients remained eligible for treatment in subsequent years) and restricted treatment duration (maximum 3 years), this likely had a limited impact upon the financial estimates, with 93.1% of the total eligible population (</w:t>
      </w:r>
      <w:r w:rsidR="00A93C1F" w:rsidRPr="00A93C1F">
        <w:t>5,000 to &lt; 10,000</w:t>
      </w:r>
      <w:r w:rsidRPr="007C316F" w:rsidDel="0697AB80">
        <w:t>/</w:t>
      </w:r>
      <w:r w:rsidR="00A93C1F" w:rsidRPr="00A93C1F">
        <w:t>5,000 to &lt; 10,000</w:t>
      </w:r>
      <w:r w:rsidRPr="007C316F" w:rsidDel="0697AB80">
        <w:t>patients) initiating treatment</w:t>
      </w:r>
      <w:r w:rsidR="001C57B3" w:rsidRPr="007C316F">
        <w:t xml:space="preserve"> over </w:t>
      </w:r>
      <w:r w:rsidR="0061006B" w:rsidRPr="007C316F">
        <w:t>six years</w:t>
      </w:r>
      <w:r w:rsidRPr="007C316F" w:rsidDel="0697AB80">
        <w:t>.</w:t>
      </w:r>
      <w:r w:rsidR="00B82B2A" w:rsidRPr="007C316F">
        <w:t xml:space="preserve"> The Sub</w:t>
      </w:r>
      <w:r w:rsidR="00FF1914">
        <w:noBreakHyphen/>
      </w:r>
      <w:r w:rsidR="00B82B2A" w:rsidRPr="007C316F">
        <w:t xml:space="preserve">Committees </w:t>
      </w:r>
      <w:r w:rsidR="00F144F2">
        <w:t xml:space="preserve">and the PBAC </w:t>
      </w:r>
      <w:r w:rsidR="00B82B2A" w:rsidRPr="007C316F">
        <w:t>agreed with the evaluation</w:t>
      </w:r>
      <w:r w:rsidR="00AC3D7F" w:rsidRPr="007C316F">
        <w:t xml:space="preserve"> that the uptake rates </w:t>
      </w:r>
      <w:r w:rsidR="00825040" w:rsidRPr="007C316F">
        <w:t>were</w:t>
      </w:r>
      <w:r w:rsidR="00D07FFD" w:rsidRPr="007C316F">
        <w:t xml:space="preserve"> likely underestimated</w:t>
      </w:r>
      <w:r w:rsidR="00A83BF4" w:rsidRPr="007C316F">
        <w:t>, particularly, for both incident patients</w:t>
      </w:r>
      <w:r w:rsidR="00D07FFD" w:rsidRPr="007C316F">
        <w:t xml:space="preserve"> </w:t>
      </w:r>
      <w:r w:rsidR="00070C7F" w:rsidRPr="007C316F">
        <w:t>and pat</w:t>
      </w:r>
      <w:r w:rsidR="005F2E40" w:rsidRPr="007C316F">
        <w:t>ients eligible for subsequent treatment</w:t>
      </w:r>
      <w:r w:rsidR="008F4692">
        <w:t xml:space="preserve"> following SOC with no response or worsening d</w:t>
      </w:r>
      <w:r w:rsidR="003A7F58">
        <w:t>i</w:t>
      </w:r>
      <w:r w:rsidR="008F4692">
        <w:t>sease</w:t>
      </w:r>
      <w:r w:rsidR="00372CBB" w:rsidRPr="007C316F">
        <w:t>, given that triple therapy is expected to become the standard of care in Australia</w:t>
      </w:r>
      <w:r w:rsidR="004B43EC" w:rsidRPr="007C316F">
        <w:t>.</w:t>
      </w:r>
      <w:r w:rsidR="00D07FFD" w:rsidRPr="007C316F">
        <w:t xml:space="preserve"> </w:t>
      </w:r>
      <w:r w:rsidR="00B323CF">
        <w:t xml:space="preserve">Refer to paragraph </w:t>
      </w:r>
      <w:r w:rsidR="00B323CF">
        <w:fldChar w:fldCharType="begin"/>
      </w:r>
      <w:r w:rsidR="00B323CF">
        <w:instrText xml:space="preserve"> REF _Ref225934390 \r \h </w:instrText>
      </w:r>
      <w:r w:rsidR="00B323CF">
        <w:fldChar w:fldCharType="separate"/>
      </w:r>
      <w:r w:rsidR="00B323CF">
        <w:t>6.75</w:t>
      </w:r>
      <w:r w:rsidR="00B323CF">
        <w:fldChar w:fldCharType="end"/>
      </w:r>
      <w:r w:rsidR="00B323CF">
        <w:t>.</w:t>
      </w:r>
    </w:p>
    <w:p w14:paraId="32E621E4" w14:textId="77777777" w:rsidR="006F0D5C" w:rsidRPr="007C316F" w:rsidRDefault="006F0D5C" w:rsidP="00D60716">
      <w:pPr>
        <w:pStyle w:val="ListParagraph"/>
        <w:ind w:left="1276"/>
        <w:jc w:val="both"/>
      </w:pPr>
      <w:r w:rsidRPr="007C316F" w:rsidDel="0697AB80">
        <w:t>No adverse event costs were included in the financial estimates. However, the economic analysis demonstrated that these costs had a minor impact on the overall cost of obinutuzumab treatment.</w:t>
      </w:r>
    </w:p>
    <w:p w14:paraId="3CBFEA30" w14:textId="40FC0CE1" w:rsidR="00370BD6" w:rsidRDefault="00370BD6" w:rsidP="3448EE22">
      <w:pPr>
        <w:pStyle w:val="3-BodyText"/>
      </w:pPr>
      <w:r w:rsidRPr="00370BD6">
        <w:t>Treatment duration was capped at a maximum of 3 years</w:t>
      </w:r>
      <w:r w:rsidR="00844171">
        <w:t xml:space="preserve"> in the financial estimates </w:t>
      </w:r>
      <w:r w:rsidR="00FB09AA">
        <w:t>(</w:t>
      </w:r>
      <w:r w:rsidR="0013638E">
        <w:t xml:space="preserve">consistent with the </w:t>
      </w:r>
      <w:r w:rsidR="00FB09AA">
        <w:t xml:space="preserve">economic model) despite no maximum treatment duration being included </w:t>
      </w:r>
      <w:r w:rsidRPr="00370BD6">
        <w:t>in the requested restriction</w:t>
      </w:r>
      <w:r w:rsidR="00C31F0E">
        <w:t xml:space="preserve">. </w:t>
      </w:r>
      <w:r w:rsidRPr="00370BD6">
        <w:t xml:space="preserve">However, the financials estimated </w:t>
      </w:r>
      <w:r w:rsidR="00B649C1">
        <w:t xml:space="preserve">a higher </w:t>
      </w:r>
      <w:r w:rsidR="008E093B">
        <w:t xml:space="preserve">average </w:t>
      </w:r>
      <w:r w:rsidR="00B649C1">
        <w:t>number of doses per patient</w:t>
      </w:r>
      <w:r w:rsidRPr="00370BD6">
        <w:t xml:space="preserve"> </w:t>
      </w:r>
      <w:r w:rsidR="003C202A">
        <w:t>compared with</w:t>
      </w:r>
      <w:r w:rsidRPr="00370BD6">
        <w:t xml:space="preserve"> the economic </w:t>
      </w:r>
      <w:r w:rsidR="003C202A">
        <w:t>model</w:t>
      </w:r>
      <w:r w:rsidRPr="00370BD6">
        <w:t xml:space="preserve"> (8.15 doses per person compared with 6.84 doses</w:t>
      </w:r>
      <w:r w:rsidR="003C202A">
        <w:t xml:space="preserve"> in the economics</w:t>
      </w:r>
      <w:r w:rsidRPr="00370BD6">
        <w:t>)</w:t>
      </w:r>
      <w:r w:rsidR="00852A3D">
        <w:t>. This was because</w:t>
      </w:r>
      <w:r w:rsidRPr="00370BD6">
        <w:t xml:space="preserve"> </w:t>
      </w:r>
      <w:r w:rsidR="000B759C">
        <w:t>the financial estimates</w:t>
      </w:r>
      <w:r w:rsidRPr="00370BD6">
        <w:t xml:space="preserve"> assumed all patients accrued at least one </w:t>
      </w:r>
      <w:r w:rsidR="00025F23">
        <w:t xml:space="preserve">full </w:t>
      </w:r>
      <w:r w:rsidRPr="00370BD6">
        <w:t>year of treatment (5 doses</w:t>
      </w:r>
      <w:r w:rsidR="00852A3D">
        <w:t>) with</w:t>
      </w:r>
      <w:r w:rsidR="00DD4A6C">
        <w:t xml:space="preserve"> </w:t>
      </w:r>
      <w:r w:rsidR="00E877C1">
        <w:t>the</w:t>
      </w:r>
      <w:r w:rsidR="00F03B19">
        <w:t xml:space="preserve"> discontinuation rate at 12 months </w:t>
      </w:r>
      <w:r w:rsidR="00DD4A6C">
        <w:t xml:space="preserve">based on </w:t>
      </w:r>
      <w:r w:rsidR="00DD4A6C" w:rsidRPr="00DD4A6C">
        <w:t>the</w:t>
      </w:r>
      <w:r w:rsidR="00E877C1" w:rsidRPr="00DD4A6C">
        <w:t xml:space="preserve"> Week 76 continuation rate from REGENCY</w:t>
      </w:r>
      <w:r w:rsidR="008F5152">
        <w:t xml:space="preserve"> </w:t>
      </w:r>
      <w:r w:rsidR="00073FF3">
        <w:t xml:space="preserve">of 78.7% </w:t>
      </w:r>
      <w:r w:rsidR="008F5152">
        <w:t>(</w:t>
      </w:r>
      <w:r w:rsidR="00DD4A6C">
        <w:t>n</w:t>
      </w:r>
      <w:r w:rsidRPr="00DD4A6C">
        <w:t>o further discontinuations occurred</w:t>
      </w:r>
      <w:r w:rsidRPr="00370BD6">
        <w:t xml:space="preserve"> beyond the second year of treatment </w:t>
      </w:r>
      <w:r w:rsidR="008F5152">
        <w:t>until the 3 year treatment cap)</w:t>
      </w:r>
      <w:r w:rsidRPr="00370BD6">
        <w:t>.</w:t>
      </w:r>
      <w:r w:rsidR="00ED4980">
        <w:t xml:space="preserve"> </w:t>
      </w:r>
      <w:r w:rsidR="006539DF">
        <w:t>On the other hand, the economic</w:t>
      </w:r>
      <w:r w:rsidR="000A24D2">
        <w:t xml:space="preserve"> model assumed a </w:t>
      </w:r>
      <w:r w:rsidR="000A24D2" w:rsidRPr="000A24D2">
        <w:t>six</w:t>
      </w:r>
      <w:r w:rsidR="00FF1914">
        <w:noBreakHyphen/>
      </w:r>
      <w:r w:rsidR="000A24D2" w:rsidRPr="000A24D2">
        <w:t xml:space="preserve">monthly treatment discontinuation rate </w:t>
      </w:r>
      <w:r w:rsidR="000A24D2">
        <w:t xml:space="preserve">(of </w:t>
      </w:r>
      <w:r w:rsidR="000A24D2" w:rsidRPr="000A24D2">
        <w:t>6.8%</w:t>
      </w:r>
      <w:r w:rsidR="000A24D2">
        <w:t xml:space="preserve">) </w:t>
      </w:r>
      <w:r w:rsidR="000A24D2" w:rsidRPr="000A24D2">
        <w:t xml:space="preserve">based on the proportion of patients that discontinued obinutuzumab treatment at 76 weeks (for reasons other than death) </w:t>
      </w:r>
      <w:r w:rsidR="000A24D2">
        <w:t>converted to a six</w:t>
      </w:r>
      <w:r w:rsidR="00FF1914">
        <w:noBreakHyphen/>
      </w:r>
      <w:r w:rsidR="000A24D2">
        <w:t>monthly probability</w:t>
      </w:r>
      <w:r w:rsidR="00133C4F">
        <w:t xml:space="preserve"> (and also applied the 3 year treatment cap)</w:t>
      </w:r>
      <w:r w:rsidR="000A24D2">
        <w:t xml:space="preserve">. </w:t>
      </w:r>
      <w:r w:rsidR="00ED4980">
        <w:t>The PBAC considered that treatment duration in the financial estimates should be updated to be consistent with the economic model</w:t>
      </w:r>
      <w:r w:rsidR="00DF3280">
        <w:t xml:space="preserve"> given it was </w:t>
      </w:r>
      <w:r w:rsidR="009C7A08">
        <w:t>more closely aligned with</w:t>
      </w:r>
      <w:r w:rsidR="00DF3280">
        <w:t xml:space="preserve"> the trial data</w:t>
      </w:r>
      <w:r w:rsidR="558BA8D9">
        <w:t xml:space="preserve"> (Table 12)</w:t>
      </w:r>
      <w:r w:rsidR="00ED4980">
        <w:t xml:space="preserve">. </w:t>
      </w:r>
    </w:p>
    <w:p w14:paraId="41AEFF58" w14:textId="4CB7A84A" w:rsidR="006F0D5C" w:rsidRPr="007C316F" w:rsidRDefault="006F0D5C" w:rsidP="006F0D5C">
      <w:pPr>
        <w:pStyle w:val="3-BodyText"/>
        <w:numPr>
          <w:ilvl w:val="1"/>
          <w:numId w:val="1"/>
        </w:numPr>
      </w:pPr>
      <w:bookmarkStart w:id="83" w:name="_Ref225910392"/>
      <w:r w:rsidRPr="007C316F">
        <w:t xml:space="preserve">Overall, the </w:t>
      </w:r>
      <w:r w:rsidR="00DC39C6" w:rsidRPr="007C316F">
        <w:t>evaluation considered that the</w:t>
      </w:r>
      <w:r w:rsidRPr="007C316F">
        <w:t xml:space="preserve"> financial estimates were likely </w:t>
      </w:r>
      <w:r w:rsidRPr="007C316F">
        <w:rPr>
          <w:u w:val="single"/>
        </w:rPr>
        <w:t>overestimated.</w:t>
      </w:r>
      <w:bookmarkEnd w:id="83"/>
    </w:p>
    <w:p w14:paraId="15DF20F2" w14:textId="73E4D1F8" w:rsidR="006D16FC" w:rsidRPr="007C316F" w:rsidRDefault="00556DA9" w:rsidP="5F5EFE71">
      <w:pPr>
        <w:pStyle w:val="3-BodyText"/>
      </w:pPr>
      <w:bookmarkStart w:id="84" w:name="_Ref225934390"/>
      <w:r>
        <w:t xml:space="preserve">The </w:t>
      </w:r>
      <w:r w:rsidR="01AC8415" w:rsidRPr="007C316F">
        <w:t>S</w:t>
      </w:r>
      <w:r w:rsidR="58D9BD00" w:rsidRPr="007C316F">
        <w:t>ub</w:t>
      </w:r>
      <w:r w:rsidR="00FF1914">
        <w:noBreakHyphen/>
      </w:r>
      <w:r w:rsidR="01AC8415" w:rsidRPr="007C316F">
        <w:t>C</w:t>
      </w:r>
      <w:r w:rsidR="58D9BD00" w:rsidRPr="007C316F">
        <w:t>ommittees</w:t>
      </w:r>
      <w:r w:rsidR="004E3264">
        <w:t xml:space="preserve"> noted</w:t>
      </w:r>
      <w:r w:rsidR="00395DFA" w:rsidRPr="007C316F">
        <w:t xml:space="preserve"> </w:t>
      </w:r>
      <w:r w:rsidR="007665A3">
        <w:t xml:space="preserve">the </w:t>
      </w:r>
      <w:r w:rsidR="00610F1A">
        <w:t xml:space="preserve">results of the </w:t>
      </w:r>
      <w:r w:rsidR="007665A3">
        <w:t xml:space="preserve">following </w:t>
      </w:r>
      <w:r w:rsidR="6E530405" w:rsidRPr="007C316F">
        <w:t xml:space="preserve">sensitivity analyses </w:t>
      </w:r>
      <w:r w:rsidR="7B5055C3" w:rsidRPr="007C316F">
        <w:t>to the baseline estimates model</w:t>
      </w:r>
      <w:r w:rsidR="006D16FC" w:rsidRPr="007C316F">
        <w:t>:</w:t>
      </w:r>
      <w:bookmarkEnd w:id="84"/>
    </w:p>
    <w:p w14:paraId="44006894" w14:textId="3196123C" w:rsidR="00DE5810" w:rsidRPr="007C316F" w:rsidRDefault="00906655" w:rsidP="00C816B2">
      <w:pPr>
        <w:pStyle w:val="3-BodyText"/>
        <w:numPr>
          <w:ilvl w:val="0"/>
          <w:numId w:val="12"/>
        </w:numPr>
      </w:pPr>
      <w:r w:rsidRPr="007C316F">
        <w:lastRenderedPageBreak/>
        <w:t xml:space="preserve">the </w:t>
      </w:r>
      <w:r w:rsidR="00164E95">
        <w:t xml:space="preserve">SLE </w:t>
      </w:r>
      <w:r w:rsidRPr="007C316F">
        <w:t>prevalence</w:t>
      </w:r>
      <w:r w:rsidR="009B1E56" w:rsidRPr="007C316F">
        <w:t xml:space="preserve"> </w:t>
      </w:r>
      <w:r w:rsidR="001D0398" w:rsidRPr="007C316F">
        <w:t xml:space="preserve">was </w:t>
      </w:r>
      <w:r w:rsidR="009B1E56" w:rsidRPr="007C316F">
        <w:t>adjusted to 46 per 100</w:t>
      </w:r>
      <w:r w:rsidR="00226A2B" w:rsidRPr="007C316F">
        <w:t>,000</w:t>
      </w:r>
      <w:r w:rsidR="003326FB" w:rsidRPr="007C316F">
        <w:t>, which was</w:t>
      </w:r>
      <w:r w:rsidR="00426AB5" w:rsidRPr="007C316F">
        <w:t xml:space="preserve"> derived by omitting</w:t>
      </w:r>
      <w:r w:rsidR="003326FB" w:rsidRPr="007C316F">
        <w:t xml:space="preserve"> </w:t>
      </w:r>
      <w:r w:rsidR="00426AB5" w:rsidRPr="007C316F">
        <w:t>the</w:t>
      </w:r>
      <w:r w:rsidR="003326FB" w:rsidRPr="007C316F">
        <w:t xml:space="preserve"> Shand</w:t>
      </w:r>
      <w:r w:rsidR="00426AB5" w:rsidRPr="007C316F">
        <w:t xml:space="preserve"> 2013 </w:t>
      </w:r>
      <w:r w:rsidR="003326FB" w:rsidRPr="007C316F">
        <w:t>study</w:t>
      </w:r>
      <w:r w:rsidR="00426AB5" w:rsidRPr="007C316F">
        <w:t>. The Sub</w:t>
      </w:r>
      <w:r w:rsidR="00FF1914">
        <w:noBreakHyphen/>
      </w:r>
      <w:r w:rsidR="00426AB5" w:rsidRPr="007C316F">
        <w:t>Committe</w:t>
      </w:r>
      <w:r w:rsidR="00066414" w:rsidRPr="007C316F">
        <w:t>es noted that the adjusted prevalence is</w:t>
      </w:r>
      <w:r w:rsidR="003326FB" w:rsidRPr="007C316F">
        <w:t xml:space="preserve"> more comparable to the global prevalence.</w:t>
      </w:r>
      <w:r w:rsidR="004364C2" w:rsidRPr="007C316F">
        <w:t xml:space="preserve"> </w:t>
      </w:r>
      <w:r w:rsidR="00F62684">
        <w:t>This change r</w:t>
      </w:r>
      <w:r w:rsidR="004364C2" w:rsidRPr="007C316F">
        <w:t xml:space="preserve">educed the cost to </w:t>
      </w:r>
      <w:r w:rsidR="00F175B1">
        <w:t xml:space="preserve">the </w:t>
      </w:r>
      <w:r w:rsidR="00AC7B76">
        <w:t>R/</w:t>
      </w:r>
      <w:r w:rsidR="004364C2" w:rsidRPr="007C316F">
        <w:t xml:space="preserve">PBS by </w:t>
      </w:r>
      <w:r w:rsidR="00AC7B76">
        <w:t xml:space="preserve">around </w:t>
      </w:r>
      <w:r w:rsidR="004364C2" w:rsidRPr="007C316F">
        <w:t>42%</w:t>
      </w:r>
      <w:r w:rsidR="000B44A4">
        <w:t xml:space="preserve"> (Scenario 1)</w:t>
      </w:r>
      <w:r w:rsidR="00164E95">
        <w:t xml:space="preserve">. However, the PBAC considered the SLE </w:t>
      </w:r>
      <w:r w:rsidR="00164E95" w:rsidRPr="007C316F">
        <w:t>prevalence</w:t>
      </w:r>
      <w:r w:rsidR="00164E95">
        <w:t xml:space="preserve"> should be based on</w:t>
      </w:r>
      <w:r w:rsidR="00610F1A" w:rsidRPr="00610F1A">
        <w:t xml:space="preserve"> the Roper 2025 meta</w:t>
      </w:r>
      <w:r w:rsidR="00FF1914">
        <w:noBreakHyphen/>
      </w:r>
      <w:r w:rsidR="00610F1A" w:rsidRPr="00610F1A">
        <w:t xml:space="preserve">analysis </w:t>
      </w:r>
      <w:r w:rsidR="00FC1BD2">
        <w:t>(</w:t>
      </w:r>
      <w:r w:rsidR="00610F1A" w:rsidRPr="00610F1A">
        <w:t>57.86 per 100,000</w:t>
      </w:r>
      <w:r w:rsidR="00FC1BD2">
        <w:t>)</w:t>
      </w:r>
      <w:r w:rsidR="004A2BFF">
        <w:t xml:space="preserve">, which reduced the cost to the </w:t>
      </w:r>
      <w:r w:rsidR="00AC7B76">
        <w:t>R/</w:t>
      </w:r>
      <w:r w:rsidR="004A2BFF">
        <w:t xml:space="preserve">PBS </w:t>
      </w:r>
      <w:r w:rsidR="00AC7B76">
        <w:t>by around 32%.</w:t>
      </w:r>
      <w:r w:rsidR="00B717DE">
        <w:t xml:space="preserve"> </w:t>
      </w:r>
    </w:p>
    <w:p w14:paraId="20A97A60" w14:textId="0BEEDC04" w:rsidR="00C4739E" w:rsidRDefault="00980FC5" w:rsidP="00C4739E">
      <w:pPr>
        <w:pStyle w:val="3-BodyText"/>
        <w:numPr>
          <w:ilvl w:val="0"/>
          <w:numId w:val="12"/>
        </w:numPr>
      </w:pPr>
      <w:r w:rsidRPr="007C316F">
        <w:t xml:space="preserve">the </w:t>
      </w:r>
      <w:r w:rsidR="00237D25" w:rsidRPr="007C316F">
        <w:t xml:space="preserve">uptake rates </w:t>
      </w:r>
      <w:r w:rsidR="000A7F22" w:rsidRPr="007C316F">
        <w:t>for the incident patients</w:t>
      </w:r>
      <w:r w:rsidR="00614F3B" w:rsidRPr="007C316F">
        <w:t xml:space="preserve"> increased</w:t>
      </w:r>
      <w:r w:rsidR="00B51D98" w:rsidRPr="007C316F">
        <w:t xml:space="preserve"> to </w:t>
      </w:r>
      <w:r w:rsidR="00102373" w:rsidRPr="00102373">
        <w:rPr>
          <w:sz w:val="2"/>
          <w:highlight w:val="black"/>
        </w:rPr>
        <w:t>redacted content</w:t>
      </w:r>
      <w:r w:rsidR="00B51D98" w:rsidRPr="007C316F">
        <w:t>%</w:t>
      </w:r>
      <w:r w:rsidR="008739F7" w:rsidRPr="007C316F">
        <w:t xml:space="preserve"> to</w:t>
      </w:r>
      <w:r w:rsidR="0091444B" w:rsidRPr="007C316F">
        <w:t xml:space="preserve"> </w:t>
      </w:r>
      <w:r w:rsidR="00102373" w:rsidRPr="00102373">
        <w:rPr>
          <w:sz w:val="2"/>
          <w:highlight w:val="black"/>
        </w:rPr>
        <w:t>redacted content</w:t>
      </w:r>
      <w:r w:rsidR="0091444B" w:rsidRPr="007C316F">
        <w:t>% for year</w:t>
      </w:r>
      <w:r w:rsidR="00F90CFC" w:rsidRPr="007C316F">
        <w:t>s</w:t>
      </w:r>
      <w:r w:rsidR="0091444B" w:rsidRPr="007C316F">
        <w:t xml:space="preserve"> </w:t>
      </w:r>
      <w:r w:rsidR="0091444B" w:rsidRPr="002E1978">
        <w:t xml:space="preserve">2 to 6; and uptake rates for </w:t>
      </w:r>
      <w:r w:rsidR="008D5FC6" w:rsidRPr="002E1978">
        <w:t xml:space="preserve">patients </w:t>
      </w:r>
      <w:r w:rsidR="004A799B" w:rsidRPr="002E1978">
        <w:t xml:space="preserve">with no response or worsening on </w:t>
      </w:r>
      <w:r w:rsidR="001C3CC8" w:rsidRPr="002E1978">
        <w:t xml:space="preserve">standard therapy </w:t>
      </w:r>
      <w:r w:rsidR="004A799B" w:rsidRPr="002E1978">
        <w:t xml:space="preserve">(i.e. receiving obinutuzumab as subsequent treatment) </w:t>
      </w:r>
      <w:r w:rsidR="008D5FC6" w:rsidRPr="002E1978">
        <w:t xml:space="preserve">to </w:t>
      </w:r>
      <w:r w:rsidR="00102373" w:rsidRPr="00102373">
        <w:rPr>
          <w:sz w:val="2"/>
          <w:highlight w:val="black"/>
        </w:rPr>
        <w:t>redacted content</w:t>
      </w:r>
      <w:r w:rsidR="00FF1914" w:rsidRPr="002E1978">
        <w:noBreakHyphen/>
      </w:r>
      <w:r w:rsidR="00102373" w:rsidRPr="00102373">
        <w:rPr>
          <w:sz w:val="2"/>
          <w:highlight w:val="black"/>
        </w:rPr>
        <w:t>redacted content</w:t>
      </w:r>
      <w:r w:rsidR="00A35296" w:rsidRPr="002E1978">
        <w:t>% for year</w:t>
      </w:r>
      <w:r w:rsidR="00F90CFC" w:rsidRPr="002E1978">
        <w:t>s</w:t>
      </w:r>
      <w:r w:rsidR="00A35296" w:rsidRPr="002E1978">
        <w:t xml:space="preserve"> 1 to 6</w:t>
      </w:r>
      <w:r w:rsidR="002C45B9" w:rsidRPr="002E1978">
        <w:t xml:space="preserve"> (Scenario 2)</w:t>
      </w:r>
      <w:r w:rsidR="00A35296" w:rsidRPr="002E1978">
        <w:t>.</w:t>
      </w:r>
      <w:r w:rsidR="00FF1914" w:rsidRPr="002E1978">
        <w:rPr>
          <w:rStyle w:val="FootnoteReference"/>
        </w:rPr>
        <w:t xml:space="preserve"> </w:t>
      </w:r>
      <w:r w:rsidR="00D87470" w:rsidRPr="002E1978">
        <w:t>The Sub</w:t>
      </w:r>
      <w:r w:rsidR="00FF1914" w:rsidRPr="002E1978">
        <w:noBreakHyphen/>
      </w:r>
      <w:r w:rsidR="00D87470" w:rsidRPr="002E1978">
        <w:t xml:space="preserve">Committees considered </w:t>
      </w:r>
      <w:r w:rsidR="002B6C9D" w:rsidRPr="002E1978">
        <w:t>these adjustments</w:t>
      </w:r>
      <w:r w:rsidR="002B6C9D" w:rsidRPr="007C316F">
        <w:t xml:space="preserve"> </w:t>
      </w:r>
      <w:r w:rsidR="000A54FF" w:rsidRPr="007C316F">
        <w:t>would be more</w:t>
      </w:r>
      <w:r w:rsidR="002B6C9D" w:rsidRPr="007C316F">
        <w:t xml:space="preserve"> appropriate, given </w:t>
      </w:r>
      <w:r w:rsidR="00847EAD" w:rsidRPr="007C316F">
        <w:t xml:space="preserve">the increasing acceptance of </w:t>
      </w:r>
      <w:r w:rsidR="00447DB1" w:rsidRPr="007C316F">
        <w:t>triple therapy in Australia.</w:t>
      </w:r>
      <w:r w:rsidR="004364C2" w:rsidRPr="007C316F">
        <w:t xml:space="preserve"> </w:t>
      </w:r>
      <w:r w:rsidR="00F62684">
        <w:t>This change i</w:t>
      </w:r>
      <w:r w:rsidR="004364C2" w:rsidRPr="007C316F">
        <w:t xml:space="preserve">ncreased cost to </w:t>
      </w:r>
      <w:r w:rsidR="00F175B1">
        <w:t xml:space="preserve">the </w:t>
      </w:r>
      <w:r w:rsidR="004364C2" w:rsidRPr="007C316F">
        <w:t xml:space="preserve">PBS by </w:t>
      </w:r>
      <w:r w:rsidR="00E81378" w:rsidRPr="007C316F">
        <w:t xml:space="preserve">around </w:t>
      </w:r>
      <w:r w:rsidR="005A631B">
        <w:t>5</w:t>
      </w:r>
      <w:r w:rsidR="004364C2" w:rsidRPr="007C316F">
        <w:t>%</w:t>
      </w:r>
      <w:r w:rsidR="002F6A11">
        <w:t>.</w:t>
      </w:r>
      <w:r w:rsidR="00C54B27">
        <w:t xml:space="preserve"> However, the PBAC considered the </w:t>
      </w:r>
      <w:r w:rsidR="00D33B86">
        <w:t xml:space="preserve">following </w:t>
      </w:r>
      <w:r w:rsidR="00C54B27">
        <w:t xml:space="preserve">uptake rates </w:t>
      </w:r>
      <w:r w:rsidR="00D33B86">
        <w:t>would be appropriate:</w:t>
      </w:r>
    </w:p>
    <w:p w14:paraId="37EF5511" w14:textId="6AC3E3D3" w:rsidR="004C6ABB" w:rsidRDefault="00C4739E" w:rsidP="00C4739E">
      <w:pPr>
        <w:pStyle w:val="3-BodyText"/>
        <w:numPr>
          <w:ilvl w:val="1"/>
          <w:numId w:val="12"/>
        </w:numPr>
      </w:pPr>
      <w:r>
        <w:t xml:space="preserve">uptake </w:t>
      </w:r>
      <w:r w:rsidR="004C6ABB">
        <w:t>w</w:t>
      </w:r>
      <w:r w:rsidR="00C54B27">
        <w:t>ould</w:t>
      </w:r>
      <w:r w:rsidR="004C6ABB">
        <w:t xml:space="preserve"> likely</w:t>
      </w:r>
      <w:r w:rsidR="00C54B27">
        <w:t xml:space="preserve"> be </w:t>
      </w:r>
      <w:r w:rsidR="00EF0C1D">
        <w:t xml:space="preserve">higher for prevalent patients </w:t>
      </w:r>
      <w:r w:rsidR="00A5664A">
        <w:t>in</w:t>
      </w:r>
      <w:r w:rsidR="00377F9B">
        <w:t xml:space="preserve"> Year 1 </w:t>
      </w:r>
      <w:r w:rsidR="00A5664A">
        <w:t xml:space="preserve">(initial uptake) and </w:t>
      </w:r>
      <w:r w:rsidR="004C6ABB">
        <w:t xml:space="preserve">should be increased </w:t>
      </w:r>
      <w:r w:rsidR="00377F9B">
        <w:t xml:space="preserve">from </w:t>
      </w:r>
      <w:r w:rsidR="00102373" w:rsidRPr="00102373">
        <w:rPr>
          <w:sz w:val="2"/>
          <w:highlight w:val="black"/>
        </w:rPr>
        <w:t>redacted content</w:t>
      </w:r>
      <w:r w:rsidR="00377F9B">
        <w:t xml:space="preserve">% to </w:t>
      </w:r>
      <w:r w:rsidR="00102373" w:rsidRPr="00102373">
        <w:rPr>
          <w:sz w:val="2"/>
          <w:highlight w:val="black"/>
        </w:rPr>
        <w:t>redacted content</w:t>
      </w:r>
      <w:r w:rsidR="00377F9B">
        <w:t>%</w:t>
      </w:r>
      <w:r w:rsidR="00E34DC6">
        <w:t>, reflecting high initial uptake.</w:t>
      </w:r>
    </w:p>
    <w:p w14:paraId="1560425E" w14:textId="71D01183" w:rsidR="0007015E" w:rsidRDefault="001E4F6C" w:rsidP="00C4739E">
      <w:pPr>
        <w:pStyle w:val="3-BodyText"/>
        <w:numPr>
          <w:ilvl w:val="1"/>
          <w:numId w:val="12"/>
        </w:numPr>
      </w:pPr>
      <w:r>
        <w:t>i</w:t>
      </w:r>
      <w:r w:rsidR="002A2AE7">
        <w:t xml:space="preserve">nitial uptake among incident patients </w:t>
      </w:r>
      <w:r w:rsidR="0044207C" w:rsidRPr="0044207C">
        <w:t xml:space="preserve">should be adjusted to </w:t>
      </w:r>
      <w:r w:rsidR="00102373" w:rsidRPr="00102373">
        <w:rPr>
          <w:sz w:val="2"/>
          <w:highlight w:val="black"/>
        </w:rPr>
        <w:t>redacted content</w:t>
      </w:r>
      <w:r w:rsidR="0044207C" w:rsidRPr="0044207C">
        <w:t xml:space="preserve">%, </w:t>
      </w:r>
      <w:r w:rsidR="00102373" w:rsidRPr="00102373">
        <w:rPr>
          <w:sz w:val="2"/>
          <w:highlight w:val="black"/>
        </w:rPr>
        <w:t>redacted content</w:t>
      </w:r>
      <w:r w:rsidR="0044207C" w:rsidRPr="0044207C">
        <w:t xml:space="preserve">%, </w:t>
      </w:r>
      <w:r w:rsidR="00102373" w:rsidRPr="00102373">
        <w:rPr>
          <w:sz w:val="2"/>
          <w:highlight w:val="black"/>
        </w:rPr>
        <w:t>redacted content</w:t>
      </w:r>
      <w:r w:rsidR="0044207C" w:rsidRPr="0044207C">
        <w:t xml:space="preserve">%, </w:t>
      </w:r>
      <w:r w:rsidR="00102373" w:rsidRPr="00102373">
        <w:rPr>
          <w:sz w:val="2"/>
          <w:highlight w:val="black"/>
        </w:rPr>
        <w:t>redacted content</w:t>
      </w:r>
      <w:r w:rsidR="0044207C" w:rsidRPr="0044207C">
        <w:t xml:space="preserve">% and </w:t>
      </w:r>
      <w:r w:rsidR="00102373" w:rsidRPr="00102373">
        <w:rPr>
          <w:sz w:val="2"/>
          <w:highlight w:val="black"/>
        </w:rPr>
        <w:t>redacted content</w:t>
      </w:r>
      <w:r w:rsidR="0044207C" w:rsidRPr="0044207C">
        <w:t xml:space="preserve">% for </w:t>
      </w:r>
      <w:r w:rsidR="00CB02F5">
        <w:t>Y</w:t>
      </w:r>
      <w:r w:rsidR="0044207C" w:rsidRPr="0044207C">
        <w:t>ears 2 to 6</w:t>
      </w:r>
      <w:r w:rsidR="004528D3">
        <w:t xml:space="preserve"> to reflect more gradual uptake in Years </w:t>
      </w:r>
      <w:r w:rsidR="009B56DD">
        <w:t>2</w:t>
      </w:r>
      <w:r w:rsidR="004528D3">
        <w:t xml:space="preserve"> to 3, then </w:t>
      </w:r>
      <w:r w:rsidR="00DF6765">
        <w:t>high uptake in Year 4 onwards</w:t>
      </w:r>
      <w:r w:rsidR="0044207C" w:rsidRPr="0044207C">
        <w:t xml:space="preserve">. </w:t>
      </w:r>
      <w:r w:rsidR="00BA0099">
        <w:t xml:space="preserve">The PBAC considered that a maximum uptake of </w:t>
      </w:r>
      <w:r w:rsidR="00102373" w:rsidRPr="00102373">
        <w:rPr>
          <w:sz w:val="2"/>
          <w:highlight w:val="black"/>
        </w:rPr>
        <w:t>redacted content</w:t>
      </w:r>
      <w:r w:rsidR="00BA0099">
        <w:t xml:space="preserve">% was appropriate in this group as </w:t>
      </w:r>
      <w:r w:rsidR="00BA0099" w:rsidRPr="00BA0099">
        <w:t xml:space="preserve">some prescribers </w:t>
      </w:r>
      <w:r w:rsidR="00BA0099">
        <w:t xml:space="preserve">would likely </w:t>
      </w:r>
      <w:r w:rsidR="00BA0099" w:rsidRPr="00BA0099">
        <w:t xml:space="preserve">prefer to </w:t>
      </w:r>
      <w:r w:rsidR="006965BF">
        <w:t xml:space="preserve">start </w:t>
      </w:r>
      <w:r w:rsidR="003A55FD">
        <w:t>with standard therapy</w:t>
      </w:r>
      <w:r w:rsidR="00BA0099" w:rsidRPr="00BA0099">
        <w:t xml:space="preserve"> and escalate as required</w:t>
      </w:r>
      <w:r w:rsidR="00BA0099">
        <w:t>.</w:t>
      </w:r>
    </w:p>
    <w:p w14:paraId="778ACA2B" w14:textId="0F828C0D" w:rsidR="002F6A11" w:rsidRDefault="001E4F6C" w:rsidP="00C4739E">
      <w:pPr>
        <w:pStyle w:val="3-BodyText"/>
        <w:numPr>
          <w:ilvl w:val="1"/>
          <w:numId w:val="12"/>
        </w:numPr>
      </w:pPr>
      <w:r>
        <w:t>s</w:t>
      </w:r>
      <w:r w:rsidR="008D19AF">
        <w:t xml:space="preserve">ubsequent uptake </w:t>
      </w:r>
      <w:r w:rsidR="006474C4">
        <w:t xml:space="preserve">following </w:t>
      </w:r>
      <w:r w:rsidR="00E2695C">
        <w:t xml:space="preserve">lack of response to standard therapy should be </w:t>
      </w:r>
      <w:r w:rsidR="003C13DD" w:rsidRPr="003C13DD">
        <w:t xml:space="preserve">adjusted to </w:t>
      </w:r>
      <w:r w:rsidR="00102373" w:rsidRPr="00102373">
        <w:rPr>
          <w:sz w:val="2"/>
          <w:highlight w:val="black"/>
        </w:rPr>
        <w:t>redacted content</w:t>
      </w:r>
      <w:r w:rsidR="003C13DD" w:rsidRPr="003C13DD">
        <w:t xml:space="preserve">% in Year 1, </w:t>
      </w:r>
      <w:r w:rsidR="00102373" w:rsidRPr="00102373">
        <w:rPr>
          <w:sz w:val="2"/>
          <w:highlight w:val="black"/>
        </w:rPr>
        <w:t>redacted content</w:t>
      </w:r>
      <w:r w:rsidR="003C13DD" w:rsidRPr="003C13DD">
        <w:t xml:space="preserve">% in Year 2, </w:t>
      </w:r>
      <w:r w:rsidR="000E4E72">
        <w:t xml:space="preserve">then </w:t>
      </w:r>
      <w:r w:rsidR="00102373" w:rsidRPr="00102373">
        <w:rPr>
          <w:sz w:val="2"/>
          <w:highlight w:val="black"/>
        </w:rPr>
        <w:t>redacted content</w:t>
      </w:r>
      <w:r w:rsidR="003C13DD" w:rsidRPr="003C13DD">
        <w:t>% in Years 3 to 6</w:t>
      </w:r>
      <w:r w:rsidR="003C13DD">
        <w:t xml:space="preserve"> reflecting</w:t>
      </w:r>
      <w:r w:rsidR="002A1B49">
        <w:t xml:space="preserve"> high clinical need and </w:t>
      </w:r>
      <w:r w:rsidR="000E4E72">
        <w:t xml:space="preserve">a </w:t>
      </w:r>
      <w:r w:rsidR="002A1B49">
        <w:t>lack of alternative options in this</w:t>
      </w:r>
      <w:r w:rsidR="003C13DD">
        <w:t xml:space="preserve"> </w:t>
      </w:r>
      <w:r w:rsidR="008D19AF">
        <w:t>group</w:t>
      </w:r>
      <w:r w:rsidR="00A331DD">
        <w:t>.</w:t>
      </w:r>
    </w:p>
    <w:p w14:paraId="51A5E3BD" w14:textId="2C4F2D68" w:rsidR="00980FC5" w:rsidRPr="007C316F" w:rsidRDefault="00F175B1" w:rsidP="00C816B2">
      <w:pPr>
        <w:pStyle w:val="3-BodyText"/>
        <w:numPr>
          <w:ilvl w:val="0"/>
          <w:numId w:val="12"/>
        </w:numPr>
      </w:pPr>
      <w:r>
        <w:t>A combination of Scenarios 1 and 2. This change reduced the cost to the PBS by around 38%</w:t>
      </w:r>
      <w:r w:rsidR="00B617DC">
        <w:t xml:space="preserve"> with the Sub</w:t>
      </w:r>
      <w:r w:rsidR="00FF1914">
        <w:noBreakHyphen/>
      </w:r>
      <w:r w:rsidR="00B617DC">
        <w:t xml:space="preserve">Committee’s preferred prevalence rate of </w:t>
      </w:r>
      <w:r w:rsidR="00B617DC" w:rsidRPr="007C316F">
        <w:t>46 per 100,000</w:t>
      </w:r>
      <w:r w:rsidR="002E0586">
        <w:t xml:space="preserve"> (</w:t>
      </w:r>
      <w:r w:rsidR="00B617DC">
        <w:t xml:space="preserve">or around 27% with the PBAC’s preferred prevalence rate of </w:t>
      </w:r>
      <w:r w:rsidR="00946F76">
        <w:t>57.86</w:t>
      </w:r>
      <w:r w:rsidR="00B617DC" w:rsidRPr="007C316F">
        <w:t xml:space="preserve"> per 100,000</w:t>
      </w:r>
      <w:r w:rsidR="002E0586">
        <w:t>) at the price proposed by the sponsor</w:t>
      </w:r>
      <w:r>
        <w:t xml:space="preserve">. </w:t>
      </w:r>
    </w:p>
    <w:p w14:paraId="5462DD70" w14:textId="476164EF" w:rsidR="00430343" w:rsidRDefault="00430343" w:rsidP="00733EEE">
      <w:pPr>
        <w:pStyle w:val="3-BodyText"/>
      </w:pPr>
      <w:r>
        <w:t>The submission did not propose an RSA.</w:t>
      </w:r>
    </w:p>
    <w:p w14:paraId="0109D13E" w14:textId="77777777" w:rsidR="0099214E" w:rsidRDefault="0099214E" w:rsidP="0099214E">
      <w:pPr>
        <w:pStyle w:val="3-BodyText"/>
        <w:numPr>
          <w:ilvl w:val="0"/>
          <w:numId w:val="0"/>
        </w:numPr>
        <w:ind w:left="720"/>
      </w:pPr>
    </w:p>
    <w:p w14:paraId="4F29664C" w14:textId="5AD8FDF0" w:rsidR="00A14839" w:rsidRPr="00372631" w:rsidRDefault="00A14839" w:rsidP="0099214E">
      <w:pPr>
        <w:spacing w:after="200" w:line="276" w:lineRule="auto"/>
        <w:ind w:left="530" w:firstLine="150"/>
        <w:rPr>
          <w:rFonts w:cstheme="minorHAnsi"/>
          <w:i/>
        </w:rPr>
      </w:pPr>
      <w:r w:rsidRPr="00A14839">
        <w:rPr>
          <w:rFonts w:cstheme="minorHAnsi"/>
          <w:i/>
        </w:rPr>
        <w:t>For more detail on PBAC’s view, see section 7 PBAC outcome</w:t>
      </w:r>
    </w:p>
    <w:p w14:paraId="00C5B326" w14:textId="77777777" w:rsidR="00C27AE8" w:rsidRPr="00C27AE8" w:rsidRDefault="00C27AE8" w:rsidP="00C27AE8">
      <w:pPr>
        <w:keepNext/>
        <w:numPr>
          <w:ilvl w:val="0"/>
          <w:numId w:val="1"/>
        </w:numPr>
        <w:spacing w:before="240" w:after="120"/>
        <w:jc w:val="left"/>
        <w:outlineLvl w:val="0"/>
        <w:rPr>
          <w:rFonts w:asciiTheme="minorHAnsi" w:hAnsiTheme="minorHAnsi"/>
          <w:b/>
          <w:snapToGrid w:val="0"/>
          <w:sz w:val="32"/>
          <w:szCs w:val="32"/>
        </w:rPr>
      </w:pPr>
      <w:bookmarkStart w:id="85" w:name="_Hlk76381249"/>
      <w:r w:rsidRPr="00C27AE8">
        <w:rPr>
          <w:rFonts w:asciiTheme="minorHAnsi" w:hAnsiTheme="minorHAnsi"/>
          <w:b/>
          <w:snapToGrid w:val="0"/>
          <w:sz w:val="32"/>
          <w:szCs w:val="32"/>
        </w:rPr>
        <w:t>PBAC Outcome</w:t>
      </w:r>
    </w:p>
    <w:p w14:paraId="55760160" w14:textId="2B6DD35F" w:rsidR="002B688A" w:rsidRDefault="002131E0" w:rsidP="001C6D5A">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recommended </w:t>
      </w:r>
      <w:r w:rsidR="00F93DE5" w:rsidRPr="00F93DE5">
        <w:rPr>
          <w:rFonts w:asciiTheme="minorHAnsi" w:hAnsiTheme="minorHAnsi"/>
          <w:snapToGrid w:val="0"/>
          <w:lang w:val="en-GB" w:eastAsia="en-US"/>
        </w:rPr>
        <w:t>obinutuzumab for the treatment of patients with active class III or IV lupus nephritis</w:t>
      </w:r>
      <w:r w:rsidR="00B121DD">
        <w:rPr>
          <w:rFonts w:asciiTheme="minorHAnsi" w:hAnsiTheme="minorHAnsi"/>
          <w:snapToGrid w:val="0"/>
          <w:lang w:val="en-GB" w:eastAsia="en-US"/>
        </w:rPr>
        <w:t xml:space="preserve"> </w:t>
      </w:r>
      <w:r w:rsidR="00F93DE5" w:rsidRPr="00F93DE5">
        <w:rPr>
          <w:rFonts w:asciiTheme="minorHAnsi" w:hAnsiTheme="minorHAnsi"/>
          <w:snapToGrid w:val="0"/>
          <w:lang w:val="en-GB" w:eastAsia="en-US"/>
        </w:rPr>
        <w:t>with or without class V who are receiving standard therapy with mycophenolate mofetil (MMF) and corticosteroid</w:t>
      </w:r>
      <w:r w:rsidR="00F93DE5">
        <w:rPr>
          <w:rFonts w:asciiTheme="minorHAnsi" w:hAnsiTheme="minorHAnsi"/>
          <w:snapToGrid w:val="0"/>
          <w:lang w:val="en-GB" w:eastAsia="en-US"/>
        </w:rPr>
        <w:t xml:space="preserve">, </w:t>
      </w:r>
      <w:r w:rsidR="00C27AE8" w:rsidRPr="00C27AE8">
        <w:rPr>
          <w:rFonts w:asciiTheme="minorHAnsi" w:hAnsiTheme="minorHAnsi"/>
          <w:snapToGrid w:val="0"/>
          <w:lang w:val="en-GB" w:eastAsia="en-US"/>
        </w:rPr>
        <w:t>on the basis that it should be available only under special arrangements under Section 100</w:t>
      </w:r>
      <w:r w:rsidR="002114C6" w:rsidDel="00D4251E">
        <w:rPr>
          <w:rFonts w:asciiTheme="minorHAnsi" w:hAnsiTheme="minorHAnsi"/>
          <w:snapToGrid w:val="0"/>
          <w:lang w:val="en-GB" w:eastAsia="en-US"/>
        </w:rPr>
        <w:t xml:space="preserve"> under the Highly Specialised Drugs (HSD) program</w:t>
      </w:r>
      <w:r w:rsidR="002114C6">
        <w:rPr>
          <w:rFonts w:asciiTheme="minorHAnsi" w:hAnsiTheme="minorHAnsi"/>
          <w:snapToGrid w:val="0"/>
          <w:lang w:val="en-GB" w:eastAsia="en-US"/>
        </w:rPr>
        <w:t xml:space="preserve">. </w:t>
      </w:r>
      <w:r w:rsidR="006C546E" w:rsidRPr="006C546E">
        <w:rPr>
          <w:rFonts w:asciiTheme="minorHAnsi" w:hAnsiTheme="minorHAnsi"/>
          <w:snapToGrid w:val="0"/>
          <w:lang w:val="en-GB" w:eastAsia="en-US"/>
        </w:rPr>
        <w:t xml:space="preserve">The PBAC </w:t>
      </w:r>
      <w:r w:rsidR="005D7EAE">
        <w:rPr>
          <w:rFonts w:asciiTheme="minorHAnsi" w:hAnsiTheme="minorHAnsi"/>
          <w:snapToGrid w:val="0"/>
          <w:lang w:val="en-GB" w:eastAsia="en-US"/>
        </w:rPr>
        <w:t xml:space="preserve">considered that obinutuzumab was </w:t>
      </w:r>
      <w:r w:rsidR="005D7EAE">
        <w:rPr>
          <w:rFonts w:asciiTheme="minorHAnsi" w:hAnsiTheme="minorHAnsi"/>
          <w:snapToGrid w:val="0"/>
          <w:lang w:val="en-GB" w:eastAsia="en-US"/>
        </w:rPr>
        <w:lastRenderedPageBreak/>
        <w:t>associated with</w:t>
      </w:r>
      <w:r w:rsidR="006C546E" w:rsidRPr="006C546E">
        <w:rPr>
          <w:rFonts w:asciiTheme="minorHAnsi" w:hAnsiTheme="minorHAnsi"/>
          <w:snapToGrid w:val="0"/>
          <w:lang w:val="en-GB" w:eastAsia="en-US"/>
        </w:rPr>
        <w:t xml:space="preserve"> improvements in complete renal response (CRR), CRR with prednisone taper and proteinuric response </w:t>
      </w:r>
      <w:r w:rsidR="005D7EAE">
        <w:rPr>
          <w:rFonts w:asciiTheme="minorHAnsi" w:hAnsiTheme="minorHAnsi"/>
          <w:snapToGrid w:val="0"/>
          <w:lang w:val="en-GB" w:eastAsia="en-US"/>
        </w:rPr>
        <w:t>compared with</w:t>
      </w:r>
      <w:r w:rsidR="0090708A" w:rsidRPr="0090708A">
        <w:rPr>
          <w:rFonts w:asciiTheme="minorHAnsi" w:hAnsiTheme="minorHAnsi"/>
          <w:snapToGrid w:val="0"/>
          <w:lang w:val="en-GB" w:eastAsia="en-US"/>
        </w:rPr>
        <w:t xml:space="preserve"> standard therapy</w:t>
      </w:r>
      <w:r w:rsidR="00296D15">
        <w:rPr>
          <w:rFonts w:asciiTheme="minorHAnsi" w:hAnsiTheme="minorHAnsi"/>
          <w:snapToGrid w:val="0"/>
          <w:lang w:val="en-GB" w:eastAsia="en-US"/>
        </w:rPr>
        <w:t xml:space="preserve"> alone</w:t>
      </w:r>
      <w:r w:rsidR="0090708A">
        <w:rPr>
          <w:rFonts w:asciiTheme="minorHAnsi" w:hAnsiTheme="minorHAnsi"/>
          <w:snapToGrid w:val="0"/>
          <w:lang w:val="en-GB" w:eastAsia="en-US"/>
        </w:rPr>
        <w:t>.</w:t>
      </w:r>
      <w:r w:rsidR="006C546E" w:rsidRPr="006C546E">
        <w:rPr>
          <w:rFonts w:asciiTheme="minorHAnsi" w:hAnsiTheme="minorHAnsi"/>
          <w:snapToGrid w:val="0"/>
          <w:lang w:val="en-GB" w:eastAsia="en-US"/>
        </w:rPr>
        <w:t xml:space="preserve"> </w:t>
      </w:r>
      <w:r w:rsidR="00C74268" w:rsidRPr="00C74268">
        <w:rPr>
          <w:rFonts w:asciiTheme="minorHAnsi" w:hAnsiTheme="minorHAnsi"/>
          <w:snapToGrid w:val="0"/>
          <w:lang w:val="en-GB" w:eastAsia="en-US"/>
        </w:rPr>
        <w:t>The PBAC considered the submission’s economic model included some assumptions that were uncertain and overly optimistic</w:t>
      </w:r>
      <w:r w:rsidR="002E356C">
        <w:rPr>
          <w:rFonts w:asciiTheme="minorHAnsi" w:hAnsiTheme="minorHAnsi"/>
          <w:snapToGrid w:val="0"/>
          <w:lang w:val="en-GB" w:eastAsia="en-US"/>
        </w:rPr>
        <w:t xml:space="preserve"> with regard to the extrapolated benefits beyond the trial period</w:t>
      </w:r>
      <w:r w:rsidR="00415577">
        <w:rPr>
          <w:rFonts w:asciiTheme="minorHAnsi" w:hAnsiTheme="minorHAnsi"/>
          <w:snapToGrid w:val="0"/>
          <w:lang w:val="en-GB" w:eastAsia="en-US"/>
        </w:rPr>
        <w:t>, such as long</w:t>
      </w:r>
      <w:r w:rsidR="00FF1914">
        <w:rPr>
          <w:rFonts w:asciiTheme="minorHAnsi" w:hAnsiTheme="minorHAnsi"/>
          <w:snapToGrid w:val="0"/>
          <w:lang w:val="en-GB" w:eastAsia="en-US"/>
        </w:rPr>
        <w:noBreakHyphen/>
      </w:r>
      <w:r w:rsidR="00415577">
        <w:rPr>
          <w:rFonts w:asciiTheme="minorHAnsi" w:hAnsiTheme="minorHAnsi"/>
          <w:snapToGrid w:val="0"/>
          <w:lang w:val="en-GB" w:eastAsia="en-US"/>
        </w:rPr>
        <w:t>term impacts on kidney dialysis, transplant and mor</w:t>
      </w:r>
      <w:r w:rsidR="008B3B10">
        <w:rPr>
          <w:rFonts w:asciiTheme="minorHAnsi" w:hAnsiTheme="minorHAnsi"/>
          <w:snapToGrid w:val="0"/>
          <w:lang w:val="en-GB" w:eastAsia="en-US"/>
        </w:rPr>
        <w:t>t</w:t>
      </w:r>
      <w:r w:rsidR="00415577">
        <w:rPr>
          <w:rFonts w:asciiTheme="minorHAnsi" w:hAnsiTheme="minorHAnsi"/>
          <w:snapToGrid w:val="0"/>
          <w:lang w:val="en-GB" w:eastAsia="en-US"/>
        </w:rPr>
        <w:t>ality</w:t>
      </w:r>
      <w:r w:rsidR="00C74268" w:rsidRPr="00C74268">
        <w:rPr>
          <w:rFonts w:asciiTheme="minorHAnsi" w:hAnsiTheme="minorHAnsi"/>
          <w:snapToGrid w:val="0"/>
          <w:lang w:val="en-GB" w:eastAsia="en-US"/>
        </w:rPr>
        <w:t xml:space="preserve">. As such, the PBAC’s recommendation was based on, among other matters, its assessment that the cost effectiveness of </w:t>
      </w:r>
      <w:r w:rsidR="002E356C">
        <w:rPr>
          <w:rFonts w:asciiTheme="minorHAnsi" w:hAnsiTheme="minorHAnsi"/>
          <w:snapToGrid w:val="0"/>
          <w:lang w:val="en-GB" w:eastAsia="en-US"/>
        </w:rPr>
        <w:t>obinutuzumab</w:t>
      </w:r>
      <w:r w:rsidR="00C74268" w:rsidRPr="00C74268">
        <w:rPr>
          <w:rFonts w:asciiTheme="minorHAnsi" w:hAnsiTheme="minorHAnsi"/>
          <w:snapToGrid w:val="0"/>
          <w:lang w:val="en-GB" w:eastAsia="en-US"/>
        </w:rPr>
        <w:t xml:space="preserve"> would be acceptable with a price reduction using an economic model respecified by the PBAC</w:t>
      </w:r>
      <w:r w:rsidR="006C136E">
        <w:rPr>
          <w:rFonts w:asciiTheme="minorHAnsi" w:hAnsiTheme="minorHAnsi"/>
          <w:snapToGrid w:val="0"/>
          <w:lang w:val="en-GB" w:eastAsia="en-US"/>
        </w:rPr>
        <w:t xml:space="preserve">. </w:t>
      </w:r>
      <w:r w:rsidR="00FB32CF" w:rsidRPr="00FB32CF">
        <w:rPr>
          <w:rFonts w:asciiTheme="minorHAnsi" w:hAnsiTheme="minorHAnsi"/>
          <w:snapToGrid w:val="0"/>
          <w:lang w:val="en-GB" w:eastAsia="en-US"/>
        </w:rPr>
        <w:t xml:space="preserve">The PBAC considered </w:t>
      </w:r>
      <w:r w:rsidR="00712793">
        <w:rPr>
          <w:rFonts w:asciiTheme="minorHAnsi" w:hAnsiTheme="minorHAnsi"/>
          <w:snapToGrid w:val="0"/>
          <w:lang w:val="en-GB" w:eastAsia="en-US"/>
        </w:rPr>
        <w:t xml:space="preserve">that revisions were also required to the submission’s financial estimates around the prevalence and uptake assumptions, </w:t>
      </w:r>
      <w:r w:rsidR="00FB32CF" w:rsidRPr="00FB32CF">
        <w:rPr>
          <w:rFonts w:asciiTheme="minorHAnsi" w:hAnsiTheme="minorHAnsi"/>
          <w:snapToGrid w:val="0"/>
          <w:lang w:val="en-GB" w:eastAsia="en-US"/>
        </w:rPr>
        <w:t xml:space="preserve">and </w:t>
      </w:r>
      <w:r w:rsidR="00CD52FD">
        <w:rPr>
          <w:rFonts w:asciiTheme="minorHAnsi" w:hAnsiTheme="minorHAnsi"/>
          <w:snapToGrid w:val="0"/>
          <w:lang w:val="en-GB" w:eastAsia="en-US"/>
        </w:rPr>
        <w:t xml:space="preserve">also advised that </w:t>
      </w:r>
      <w:r w:rsidR="00FB32CF" w:rsidRPr="00FB32CF">
        <w:rPr>
          <w:rFonts w:asciiTheme="minorHAnsi" w:hAnsiTheme="minorHAnsi"/>
          <w:snapToGrid w:val="0"/>
          <w:lang w:val="en-GB" w:eastAsia="en-US"/>
        </w:rPr>
        <w:t>a risk</w:t>
      </w:r>
      <w:r w:rsidR="00FF1914">
        <w:rPr>
          <w:rFonts w:asciiTheme="minorHAnsi" w:hAnsiTheme="minorHAnsi"/>
          <w:snapToGrid w:val="0"/>
          <w:lang w:val="en-GB" w:eastAsia="en-US"/>
        </w:rPr>
        <w:noBreakHyphen/>
      </w:r>
      <w:r w:rsidR="00FB32CF" w:rsidRPr="00FB32CF">
        <w:rPr>
          <w:rFonts w:asciiTheme="minorHAnsi" w:hAnsiTheme="minorHAnsi"/>
          <w:snapToGrid w:val="0"/>
          <w:lang w:val="en-GB" w:eastAsia="en-US"/>
        </w:rPr>
        <w:t xml:space="preserve">sharing arrangement was </w:t>
      </w:r>
      <w:r w:rsidR="00CD52FD">
        <w:rPr>
          <w:rFonts w:asciiTheme="minorHAnsi" w:hAnsiTheme="minorHAnsi"/>
          <w:snapToGrid w:val="0"/>
          <w:lang w:val="en-GB" w:eastAsia="en-US"/>
        </w:rPr>
        <w:t>required</w:t>
      </w:r>
      <w:r w:rsidR="00CD52FD" w:rsidRPr="00FB32CF">
        <w:rPr>
          <w:rFonts w:asciiTheme="minorHAnsi" w:hAnsiTheme="minorHAnsi"/>
          <w:snapToGrid w:val="0"/>
          <w:lang w:val="en-GB" w:eastAsia="en-US"/>
        </w:rPr>
        <w:t xml:space="preserve"> </w:t>
      </w:r>
      <w:r w:rsidR="00CD52FD">
        <w:rPr>
          <w:rFonts w:asciiTheme="minorHAnsi" w:hAnsiTheme="minorHAnsi"/>
          <w:snapToGrid w:val="0"/>
          <w:lang w:val="en-GB" w:eastAsia="en-US"/>
        </w:rPr>
        <w:t>given the uncertain duration of treatment.</w:t>
      </w:r>
      <w:r w:rsidR="00B16702">
        <w:rPr>
          <w:rFonts w:asciiTheme="minorHAnsi" w:hAnsiTheme="minorHAnsi"/>
          <w:snapToGrid w:val="0"/>
          <w:lang w:val="en-GB" w:eastAsia="en-US"/>
        </w:rPr>
        <w:t xml:space="preserve"> </w:t>
      </w:r>
    </w:p>
    <w:p w14:paraId="3FAFF718" w14:textId="0AF5A78E" w:rsidR="001E0433" w:rsidRPr="00624794" w:rsidRDefault="00990D89" w:rsidP="00D60716">
      <w:pPr>
        <w:pStyle w:val="3-BodyText"/>
        <w:widowControl w:val="0"/>
        <w:numPr>
          <w:ilvl w:val="1"/>
          <w:numId w:val="1"/>
        </w:numPr>
        <w:spacing w:after="120"/>
        <w:rPr>
          <w:snapToGrid w:val="0"/>
          <w:lang w:val="en-GB" w:eastAsia="en-US"/>
        </w:rPr>
      </w:pPr>
      <w:r w:rsidRPr="00032A8E">
        <w:rPr>
          <w:snapToGrid w:val="0"/>
          <w:lang w:val="en-GB" w:eastAsia="en-US"/>
        </w:rPr>
        <w:t xml:space="preserve">The PBAC </w:t>
      </w:r>
      <w:r w:rsidR="00A4770E">
        <w:rPr>
          <w:rFonts w:cs="Times New Roman"/>
        </w:rPr>
        <w:t>welcomed</w:t>
      </w:r>
      <w:r w:rsidR="00A4770E" w:rsidRPr="00032A8E" w:rsidDel="00A4770E">
        <w:rPr>
          <w:snapToGrid w:val="0"/>
          <w:lang w:val="en-GB" w:eastAsia="en-US"/>
        </w:rPr>
        <w:t xml:space="preserve"> </w:t>
      </w:r>
      <w:r w:rsidR="00ED72E2" w:rsidRPr="00032A8E">
        <w:rPr>
          <w:snapToGrid w:val="0"/>
          <w:lang w:val="en-GB" w:eastAsia="en-US"/>
        </w:rPr>
        <w:t xml:space="preserve">input from </w:t>
      </w:r>
      <w:r w:rsidR="00661D0F" w:rsidRPr="00032A8E">
        <w:rPr>
          <w:snapToGrid w:val="0"/>
          <w:lang w:val="en-GB" w:eastAsia="en-US"/>
        </w:rPr>
        <w:t xml:space="preserve">health care professionals and </w:t>
      </w:r>
      <w:r w:rsidR="00C17EBC" w:rsidRPr="00032A8E">
        <w:rPr>
          <w:snapToGrid w:val="0"/>
          <w:lang w:val="en-GB" w:eastAsia="en-US"/>
        </w:rPr>
        <w:t xml:space="preserve">consumer and medical organisations </w:t>
      </w:r>
      <w:r w:rsidR="00FD36AB" w:rsidRPr="00830DA8">
        <w:rPr>
          <w:snapToGrid w:val="0"/>
          <w:lang w:val="en-GB" w:eastAsia="en-US"/>
        </w:rPr>
        <w:t>highlight</w:t>
      </w:r>
      <w:r w:rsidR="00415577">
        <w:rPr>
          <w:snapToGrid w:val="0"/>
          <w:lang w:val="en-GB" w:eastAsia="en-US"/>
        </w:rPr>
        <w:t>ing</w:t>
      </w:r>
      <w:r w:rsidR="00FD36AB" w:rsidRPr="00830DA8">
        <w:rPr>
          <w:snapToGrid w:val="0"/>
          <w:lang w:val="en-GB" w:eastAsia="en-US"/>
        </w:rPr>
        <w:t xml:space="preserve"> the </w:t>
      </w:r>
      <w:r w:rsidR="00E63449">
        <w:rPr>
          <w:snapToGrid w:val="0"/>
          <w:lang w:val="en-GB" w:eastAsia="en-US"/>
        </w:rPr>
        <w:t xml:space="preserve">high </w:t>
      </w:r>
      <w:r w:rsidR="00FD36AB" w:rsidRPr="00830DA8">
        <w:rPr>
          <w:snapToGrid w:val="0"/>
          <w:lang w:val="en-GB" w:eastAsia="en-US"/>
        </w:rPr>
        <w:t>clinical need for effective therapies for lupus nephritis.</w:t>
      </w:r>
      <w:r w:rsidR="00534183" w:rsidRPr="00830DA8">
        <w:rPr>
          <w:snapToGrid w:val="0"/>
          <w:lang w:val="en-GB" w:eastAsia="en-US"/>
        </w:rPr>
        <w:t xml:space="preserve"> </w:t>
      </w:r>
      <w:r w:rsidR="00101A05" w:rsidRPr="00830DA8">
        <w:rPr>
          <w:snapToGrid w:val="0"/>
          <w:lang w:val="en-GB" w:eastAsia="en-US"/>
        </w:rPr>
        <w:t>The inpu</w:t>
      </w:r>
      <w:r w:rsidR="00101A05" w:rsidRPr="00032A8E">
        <w:rPr>
          <w:snapToGrid w:val="0"/>
          <w:lang w:val="en-GB" w:eastAsia="en-US"/>
        </w:rPr>
        <w:t>t outlined that</w:t>
      </w:r>
      <w:r w:rsidR="00C17EBC" w:rsidRPr="00032A8E">
        <w:rPr>
          <w:snapToGrid w:val="0"/>
          <w:lang w:val="en-GB" w:eastAsia="en-US"/>
        </w:rPr>
        <w:t xml:space="preserve"> </w:t>
      </w:r>
      <w:r w:rsidR="000B5911" w:rsidRPr="00032A8E">
        <w:rPr>
          <w:snapToGrid w:val="0"/>
          <w:lang w:val="en-GB" w:eastAsia="en-US"/>
        </w:rPr>
        <w:t xml:space="preserve">lupus nephritis </w:t>
      </w:r>
      <w:r w:rsidR="005D1DC8">
        <w:rPr>
          <w:snapToGrid w:val="0"/>
          <w:lang w:val="en-GB" w:eastAsia="en-US"/>
        </w:rPr>
        <w:t xml:space="preserve">is </w:t>
      </w:r>
      <w:r w:rsidR="005D1DC8" w:rsidRPr="00032A8E">
        <w:rPr>
          <w:snapToGrid w:val="0"/>
          <w:lang w:val="en-GB" w:eastAsia="en-US"/>
        </w:rPr>
        <w:t xml:space="preserve">more prevalent among </w:t>
      </w:r>
      <w:r w:rsidR="00936FF3">
        <w:rPr>
          <w:snapToGrid w:val="0"/>
          <w:lang w:val="en-GB" w:eastAsia="en-US"/>
        </w:rPr>
        <w:t xml:space="preserve">young women, </w:t>
      </w:r>
      <w:r w:rsidR="005D1DC8" w:rsidRPr="00032A8E">
        <w:rPr>
          <w:snapToGrid w:val="0"/>
          <w:lang w:val="en-GB" w:eastAsia="en-US"/>
        </w:rPr>
        <w:t>First Nations people and individuals of Asian and African ancestry</w:t>
      </w:r>
      <w:r w:rsidR="00CA58D6" w:rsidRPr="00032A8E">
        <w:rPr>
          <w:snapToGrid w:val="0"/>
          <w:lang w:val="en-GB" w:eastAsia="en-US"/>
        </w:rPr>
        <w:t xml:space="preserve">. </w:t>
      </w:r>
      <w:r w:rsidR="005B3323" w:rsidRPr="00032A8E">
        <w:rPr>
          <w:rFonts w:eastAsia="Times New Roman" w:cs="Arial"/>
          <w:snapToGrid w:val="0"/>
          <w:szCs w:val="24"/>
          <w:lang w:val="en-GB" w:eastAsia="en-US"/>
        </w:rPr>
        <w:t xml:space="preserve">The </w:t>
      </w:r>
      <w:r w:rsidR="00147903">
        <w:rPr>
          <w:rFonts w:eastAsia="Times New Roman" w:cs="Arial"/>
          <w:snapToGrid w:val="0"/>
          <w:szCs w:val="24"/>
          <w:lang w:val="en-GB" w:eastAsia="en-US"/>
        </w:rPr>
        <w:t xml:space="preserve">input </w:t>
      </w:r>
      <w:r w:rsidR="00E63449">
        <w:rPr>
          <w:rFonts w:eastAsia="Times New Roman" w:cs="Arial"/>
          <w:snapToGrid w:val="0"/>
          <w:szCs w:val="24"/>
          <w:lang w:val="en-GB" w:eastAsia="en-US"/>
        </w:rPr>
        <w:t>describ</w:t>
      </w:r>
      <w:r w:rsidR="00147903">
        <w:rPr>
          <w:rFonts w:eastAsia="Times New Roman" w:cs="Arial"/>
          <w:snapToGrid w:val="0"/>
          <w:szCs w:val="24"/>
          <w:lang w:val="en-GB" w:eastAsia="en-US"/>
        </w:rPr>
        <w:t>ed the impact on y</w:t>
      </w:r>
      <w:r w:rsidR="005B3323" w:rsidRPr="00032A8E">
        <w:rPr>
          <w:rFonts w:eastAsia="Times New Roman" w:cs="Arial"/>
          <w:snapToGrid w:val="0"/>
          <w:szCs w:val="24"/>
          <w:lang w:val="en-GB" w:eastAsia="en-US"/>
        </w:rPr>
        <w:t>oung women including the desire to maintain fertility and keep disease activity under control.</w:t>
      </w:r>
      <w:r w:rsidR="00032A8E" w:rsidRPr="00032A8E">
        <w:rPr>
          <w:rFonts w:eastAsia="Times New Roman" w:cs="Arial"/>
          <w:snapToGrid w:val="0"/>
          <w:szCs w:val="24"/>
          <w:lang w:val="en-GB" w:eastAsia="en-US"/>
        </w:rPr>
        <w:t xml:space="preserve"> </w:t>
      </w:r>
      <w:r w:rsidR="009966A7" w:rsidRPr="00032A8E">
        <w:rPr>
          <w:snapToGrid w:val="0"/>
          <w:lang w:val="en-GB" w:eastAsia="en-US"/>
        </w:rPr>
        <w:t xml:space="preserve">The PBAC </w:t>
      </w:r>
      <w:r w:rsidR="00C542CE">
        <w:rPr>
          <w:snapToGrid w:val="0"/>
          <w:lang w:val="en-GB" w:eastAsia="en-US"/>
        </w:rPr>
        <w:t xml:space="preserve">also </w:t>
      </w:r>
      <w:r w:rsidR="00E46C1B">
        <w:rPr>
          <w:snapToGrid w:val="0"/>
          <w:lang w:val="en-GB" w:eastAsia="en-US"/>
        </w:rPr>
        <w:t>acknowledg</w:t>
      </w:r>
      <w:r w:rsidR="00E46C1B" w:rsidRPr="00032A8E">
        <w:rPr>
          <w:snapToGrid w:val="0"/>
          <w:lang w:val="en-GB" w:eastAsia="en-US"/>
        </w:rPr>
        <w:t xml:space="preserve">ed </w:t>
      </w:r>
      <w:r w:rsidR="00E46C1B">
        <w:rPr>
          <w:snapToGrid w:val="0"/>
          <w:lang w:val="en-GB" w:eastAsia="en-US"/>
        </w:rPr>
        <w:t xml:space="preserve">the </w:t>
      </w:r>
      <w:r w:rsidR="00EC4E9C" w:rsidRPr="00032A8E">
        <w:rPr>
          <w:snapToGrid w:val="0"/>
          <w:lang w:val="en-GB" w:eastAsia="en-US"/>
        </w:rPr>
        <w:t xml:space="preserve">disease burden </w:t>
      </w:r>
      <w:r w:rsidR="007C6C38">
        <w:rPr>
          <w:snapToGrid w:val="0"/>
          <w:lang w:val="en-GB" w:eastAsia="en-US"/>
        </w:rPr>
        <w:t xml:space="preserve">in </w:t>
      </w:r>
      <w:r w:rsidR="007C6C38" w:rsidRPr="00032A8E">
        <w:rPr>
          <w:snapToGrid w:val="0"/>
          <w:lang w:val="en-GB" w:eastAsia="en-US"/>
        </w:rPr>
        <w:t xml:space="preserve">First Nations people </w:t>
      </w:r>
      <w:r w:rsidR="00E46C1B">
        <w:rPr>
          <w:snapToGrid w:val="0"/>
          <w:lang w:val="en-GB" w:eastAsia="en-US"/>
        </w:rPr>
        <w:t>who experience</w:t>
      </w:r>
      <w:r w:rsidR="002F2765">
        <w:rPr>
          <w:snapToGrid w:val="0"/>
          <w:lang w:val="en-GB" w:eastAsia="en-US"/>
        </w:rPr>
        <w:t xml:space="preserve"> </w:t>
      </w:r>
      <w:r w:rsidR="00EC4E9C" w:rsidRPr="00032A8E">
        <w:rPr>
          <w:snapToGrid w:val="0"/>
          <w:lang w:val="en-GB" w:eastAsia="en-US"/>
        </w:rPr>
        <w:t xml:space="preserve">more severe disease, </w:t>
      </w:r>
      <w:r w:rsidR="00EC4E9C" w:rsidRPr="00624794">
        <w:rPr>
          <w:snapToGrid w:val="0"/>
          <w:lang w:val="en-GB" w:eastAsia="en-US"/>
        </w:rPr>
        <w:t>increased morbidity and higher mortality rates compared to patients who are not of First Nations descent</w:t>
      </w:r>
      <w:r w:rsidR="00982CD1" w:rsidRPr="00624794">
        <w:rPr>
          <w:snapToGrid w:val="0"/>
          <w:lang w:val="en-GB" w:eastAsia="en-US"/>
        </w:rPr>
        <w:t>.</w:t>
      </w:r>
      <w:r w:rsidR="00AF39F9" w:rsidRPr="00624794">
        <w:rPr>
          <w:snapToGrid w:val="0"/>
          <w:lang w:val="en-GB" w:eastAsia="en-US"/>
        </w:rPr>
        <w:t xml:space="preserve"> </w:t>
      </w:r>
    </w:p>
    <w:p w14:paraId="0ABB3538" w14:textId="11D2B2EB" w:rsidR="007A0D8B" w:rsidRPr="00C31452" w:rsidRDefault="001E0433" w:rsidP="00530638">
      <w:pPr>
        <w:widowControl w:val="0"/>
        <w:numPr>
          <w:ilvl w:val="1"/>
          <w:numId w:val="1"/>
        </w:numPr>
        <w:spacing w:after="120"/>
        <w:rPr>
          <w:rFonts w:asciiTheme="minorHAnsi" w:hAnsiTheme="minorHAnsi"/>
          <w:snapToGrid w:val="0"/>
          <w:lang w:val="en-GB" w:eastAsia="en-US"/>
        </w:rPr>
      </w:pPr>
      <w:r w:rsidRPr="00C31452">
        <w:rPr>
          <w:snapToGrid w:val="0"/>
          <w:lang w:val="en-GB" w:eastAsia="en-US"/>
        </w:rPr>
        <w:t xml:space="preserve">The input outlined the </w:t>
      </w:r>
      <w:r w:rsidR="00624794" w:rsidRPr="00C31452">
        <w:rPr>
          <w:snapToGrid w:val="0"/>
          <w:lang w:val="en-GB" w:eastAsia="en-US"/>
        </w:rPr>
        <w:t xml:space="preserve">limitations of current therapies, including </w:t>
      </w:r>
      <w:r w:rsidRPr="00C31452">
        <w:rPr>
          <w:snapToGrid w:val="0"/>
          <w:lang w:val="en-GB" w:eastAsia="en-US"/>
        </w:rPr>
        <w:t>poor response</w:t>
      </w:r>
      <w:r w:rsidR="00624794" w:rsidRPr="00C31452">
        <w:rPr>
          <w:snapToGrid w:val="0"/>
          <w:lang w:val="en-GB" w:eastAsia="en-US"/>
        </w:rPr>
        <w:t xml:space="preserve"> rates. </w:t>
      </w:r>
      <w:r w:rsidR="00233412">
        <w:rPr>
          <w:snapToGrid w:val="0"/>
          <w:lang w:val="en-GB" w:eastAsia="en-US"/>
        </w:rPr>
        <w:t>O</w:t>
      </w:r>
      <w:r w:rsidR="00B856FB" w:rsidRPr="00B856FB">
        <w:rPr>
          <w:snapToGrid w:val="0"/>
          <w:lang w:val="en-GB" w:eastAsia="en-US"/>
        </w:rPr>
        <w:t>binutuzumab</w:t>
      </w:r>
      <w:r w:rsidR="00233412">
        <w:rPr>
          <w:snapToGrid w:val="0"/>
          <w:lang w:val="en-GB" w:eastAsia="en-US"/>
        </w:rPr>
        <w:t xml:space="preserve"> was described as </w:t>
      </w:r>
      <w:r w:rsidR="00B856FB" w:rsidRPr="00B856FB">
        <w:rPr>
          <w:snapToGrid w:val="0"/>
          <w:lang w:val="en-GB" w:eastAsia="en-US"/>
        </w:rPr>
        <w:t xml:space="preserve">an important additional treatment option, particularly due to </w:t>
      </w:r>
      <w:r w:rsidR="002938EE">
        <w:rPr>
          <w:snapToGrid w:val="0"/>
          <w:lang w:val="en-GB" w:eastAsia="en-US"/>
        </w:rPr>
        <w:t>increased</w:t>
      </w:r>
      <w:r w:rsidR="002938EE" w:rsidRPr="00B856FB">
        <w:rPr>
          <w:snapToGrid w:val="0"/>
          <w:lang w:val="en-GB" w:eastAsia="en-US"/>
        </w:rPr>
        <w:t xml:space="preserve"> </w:t>
      </w:r>
      <w:r w:rsidR="00B856FB" w:rsidRPr="00B856FB">
        <w:rPr>
          <w:snapToGrid w:val="0"/>
          <w:lang w:val="en-GB" w:eastAsia="en-US"/>
        </w:rPr>
        <w:t xml:space="preserve">rates of renal response </w:t>
      </w:r>
      <w:r w:rsidR="005467D6">
        <w:rPr>
          <w:snapToGrid w:val="0"/>
          <w:lang w:val="en-GB" w:eastAsia="en-US"/>
        </w:rPr>
        <w:t xml:space="preserve">and reductions in flares </w:t>
      </w:r>
      <w:r w:rsidR="00B856FB" w:rsidRPr="00B856FB">
        <w:rPr>
          <w:snapToGrid w:val="0"/>
          <w:lang w:val="en-GB" w:eastAsia="en-US"/>
        </w:rPr>
        <w:t>when added to standard therapy</w:t>
      </w:r>
      <w:r w:rsidR="00233412">
        <w:rPr>
          <w:snapToGrid w:val="0"/>
          <w:lang w:val="en-GB" w:eastAsia="en-US"/>
        </w:rPr>
        <w:t xml:space="preserve">. </w:t>
      </w:r>
      <w:r w:rsidR="00AF39F9" w:rsidRPr="00C31452">
        <w:rPr>
          <w:rFonts w:asciiTheme="minorHAnsi" w:hAnsiTheme="minorHAnsi"/>
          <w:snapToGrid w:val="0"/>
          <w:lang w:val="en-GB" w:eastAsia="en-US"/>
        </w:rPr>
        <w:t xml:space="preserve">The </w:t>
      </w:r>
      <w:r w:rsidR="009F3E98">
        <w:rPr>
          <w:rFonts w:asciiTheme="minorHAnsi" w:hAnsiTheme="minorHAnsi"/>
          <w:snapToGrid w:val="0"/>
          <w:lang w:val="en-GB" w:eastAsia="en-US"/>
        </w:rPr>
        <w:t>input outlined that</w:t>
      </w:r>
      <w:r w:rsidR="00516610" w:rsidRPr="00C31452">
        <w:rPr>
          <w:rFonts w:asciiTheme="minorHAnsi" w:hAnsiTheme="minorHAnsi"/>
          <w:snapToGrid w:val="0"/>
          <w:lang w:val="en-GB" w:eastAsia="en-US"/>
        </w:rPr>
        <w:t xml:space="preserve"> a</w:t>
      </w:r>
      <w:r w:rsidR="005166B6" w:rsidRPr="00C31452">
        <w:rPr>
          <w:rFonts w:asciiTheme="minorHAnsi" w:hAnsiTheme="minorHAnsi"/>
          <w:snapToGrid w:val="0"/>
          <w:lang w:val="en-GB" w:eastAsia="en-US"/>
        </w:rPr>
        <w:t xml:space="preserve">n </w:t>
      </w:r>
      <w:r w:rsidR="00F719A4" w:rsidRPr="00C31452">
        <w:rPr>
          <w:rFonts w:asciiTheme="minorHAnsi" w:hAnsiTheme="minorHAnsi"/>
          <w:snapToGrid w:val="0"/>
          <w:lang w:val="en-GB" w:eastAsia="en-US"/>
        </w:rPr>
        <w:t xml:space="preserve">important </w:t>
      </w:r>
      <w:r w:rsidR="005166B6" w:rsidRPr="00C31452">
        <w:rPr>
          <w:rFonts w:asciiTheme="minorHAnsi" w:hAnsiTheme="minorHAnsi"/>
          <w:snapToGrid w:val="0"/>
          <w:lang w:val="en-GB" w:eastAsia="en-US"/>
        </w:rPr>
        <w:t>additional benefit of</w:t>
      </w:r>
      <w:r w:rsidR="00EB1207" w:rsidRPr="00C31452">
        <w:rPr>
          <w:rFonts w:asciiTheme="minorHAnsi" w:hAnsiTheme="minorHAnsi"/>
          <w:snapToGrid w:val="0"/>
          <w:lang w:val="en-GB" w:eastAsia="en-US"/>
        </w:rPr>
        <w:t xml:space="preserve"> </w:t>
      </w:r>
      <w:r w:rsidR="005166B6" w:rsidRPr="00C31452">
        <w:rPr>
          <w:rFonts w:asciiTheme="minorHAnsi" w:hAnsiTheme="minorHAnsi"/>
          <w:snapToGrid w:val="0"/>
          <w:lang w:val="en-GB" w:eastAsia="en-US"/>
        </w:rPr>
        <w:t xml:space="preserve">obinutuzumab is the </w:t>
      </w:r>
      <w:r w:rsidR="00233412">
        <w:rPr>
          <w:rFonts w:asciiTheme="minorHAnsi" w:hAnsiTheme="minorHAnsi"/>
          <w:snapToGrid w:val="0"/>
          <w:lang w:val="en-GB" w:eastAsia="en-US"/>
        </w:rPr>
        <w:t xml:space="preserve">potential for </w:t>
      </w:r>
      <w:r w:rsidR="003506E5" w:rsidRPr="00C31452">
        <w:rPr>
          <w:rFonts w:asciiTheme="minorHAnsi" w:hAnsiTheme="minorHAnsi"/>
          <w:snapToGrid w:val="0"/>
          <w:lang w:val="en-GB" w:eastAsia="en-US"/>
        </w:rPr>
        <w:t xml:space="preserve">improved </w:t>
      </w:r>
      <w:r w:rsidR="00A144E1" w:rsidRPr="00C31452">
        <w:rPr>
          <w:rFonts w:asciiTheme="minorHAnsi" w:hAnsiTheme="minorHAnsi"/>
          <w:snapToGrid w:val="0"/>
          <w:lang w:val="en-GB" w:eastAsia="en-US"/>
        </w:rPr>
        <w:t>quality of life</w:t>
      </w:r>
      <w:r w:rsidR="003506E5" w:rsidRPr="00C31452">
        <w:rPr>
          <w:rFonts w:asciiTheme="minorHAnsi" w:hAnsiTheme="minorHAnsi"/>
          <w:snapToGrid w:val="0"/>
          <w:lang w:val="en-GB" w:eastAsia="en-US"/>
        </w:rPr>
        <w:t xml:space="preserve"> </w:t>
      </w:r>
      <w:r w:rsidR="00F719A4" w:rsidRPr="00C31452">
        <w:rPr>
          <w:rFonts w:asciiTheme="minorHAnsi" w:hAnsiTheme="minorHAnsi"/>
          <w:snapToGrid w:val="0"/>
          <w:lang w:val="en-GB" w:eastAsia="en-US"/>
        </w:rPr>
        <w:t xml:space="preserve">due to </w:t>
      </w:r>
      <w:r w:rsidR="00B228D2" w:rsidRPr="00B228D2">
        <w:rPr>
          <w:rFonts w:asciiTheme="minorHAnsi" w:hAnsiTheme="minorHAnsi"/>
          <w:snapToGrid w:val="0"/>
          <w:lang w:val="en-GB" w:eastAsia="en-US"/>
        </w:rPr>
        <w:t xml:space="preserve">reductions in corticosteroid doses, and </w:t>
      </w:r>
      <w:r w:rsidR="00530638">
        <w:rPr>
          <w:rFonts w:asciiTheme="minorHAnsi" w:hAnsiTheme="minorHAnsi"/>
          <w:snapToGrid w:val="0"/>
          <w:lang w:val="en-GB" w:eastAsia="en-US"/>
        </w:rPr>
        <w:t xml:space="preserve">thus reductions </w:t>
      </w:r>
      <w:r w:rsidR="00B228D2" w:rsidRPr="00B228D2">
        <w:rPr>
          <w:rFonts w:asciiTheme="minorHAnsi" w:hAnsiTheme="minorHAnsi"/>
          <w:snapToGrid w:val="0"/>
          <w:lang w:val="en-GB" w:eastAsia="en-US"/>
        </w:rPr>
        <w:t>corticosteroid</w:t>
      </w:r>
      <w:r w:rsidR="00FF1914">
        <w:rPr>
          <w:rFonts w:asciiTheme="minorHAnsi" w:hAnsiTheme="minorHAnsi"/>
          <w:snapToGrid w:val="0"/>
          <w:lang w:val="en-GB" w:eastAsia="en-US"/>
        </w:rPr>
        <w:noBreakHyphen/>
      </w:r>
      <w:r w:rsidR="00B228D2" w:rsidRPr="00B228D2">
        <w:rPr>
          <w:rFonts w:asciiTheme="minorHAnsi" w:hAnsiTheme="minorHAnsi"/>
          <w:snapToGrid w:val="0"/>
          <w:lang w:val="en-GB" w:eastAsia="en-US"/>
        </w:rPr>
        <w:t>related toxicitie</w:t>
      </w:r>
      <w:r w:rsidR="00CD6583">
        <w:rPr>
          <w:rFonts w:asciiTheme="minorHAnsi" w:hAnsiTheme="minorHAnsi"/>
          <w:snapToGrid w:val="0"/>
          <w:lang w:val="en-GB" w:eastAsia="en-US"/>
        </w:rPr>
        <w:t xml:space="preserve">s. </w:t>
      </w:r>
      <w:r w:rsidR="00AF4EEB" w:rsidRPr="00C31452">
        <w:rPr>
          <w:rFonts w:asciiTheme="minorHAnsi" w:hAnsiTheme="minorHAnsi"/>
          <w:snapToGrid w:val="0"/>
          <w:lang w:val="en-GB" w:eastAsia="en-US"/>
        </w:rPr>
        <w:t xml:space="preserve">The PBAC noted the consumer inputs highlighted </w:t>
      </w:r>
      <w:r w:rsidR="00863250" w:rsidRPr="00C31452">
        <w:rPr>
          <w:rFonts w:asciiTheme="minorHAnsi" w:hAnsiTheme="minorHAnsi"/>
          <w:snapToGrid w:val="0"/>
          <w:lang w:val="en-GB" w:eastAsia="en-US"/>
        </w:rPr>
        <w:t>i</w:t>
      </w:r>
      <w:r w:rsidR="00AF4EEB" w:rsidRPr="00C31452">
        <w:rPr>
          <w:rFonts w:asciiTheme="minorHAnsi" w:hAnsiTheme="minorHAnsi"/>
          <w:snapToGrid w:val="0"/>
          <w:lang w:val="en-GB" w:eastAsia="en-US"/>
        </w:rPr>
        <w:t>ntravenous administration and reliance on infusion services</w:t>
      </w:r>
      <w:r w:rsidR="00863250" w:rsidRPr="00C31452">
        <w:rPr>
          <w:rFonts w:asciiTheme="minorHAnsi" w:hAnsiTheme="minorHAnsi"/>
          <w:snapToGrid w:val="0"/>
          <w:lang w:val="en-GB" w:eastAsia="en-US"/>
        </w:rPr>
        <w:t xml:space="preserve"> </w:t>
      </w:r>
      <w:r w:rsidR="00AF4EEB" w:rsidRPr="00C31452">
        <w:rPr>
          <w:rFonts w:asciiTheme="minorHAnsi" w:hAnsiTheme="minorHAnsi"/>
          <w:snapToGrid w:val="0"/>
          <w:lang w:val="en-GB" w:eastAsia="en-US"/>
        </w:rPr>
        <w:t>as potential barriers for patients in regional and remote areas, with associated travel and accommodation costs.</w:t>
      </w:r>
    </w:p>
    <w:p w14:paraId="4205395F" w14:textId="2BF389AC" w:rsidR="00AA1998" w:rsidRPr="001D6DDF" w:rsidRDefault="00AA1998" w:rsidP="001D6DDF">
      <w:pPr>
        <w:widowControl w:val="0"/>
        <w:numPr>
          <w:ilvl w:val="1"/>
          <w:numId w:val="1"/>
        </w:numPr>
        <w:spacing w:after="120"/>
        <w:rPr>
          <w:snapToGrid w:val="0"/>
          <w:lang w:val="en-GB" w:eastAsia="en-US"/>
        </w:rPr>
      </w:pPr>
      <w:bookmarkStart w:id="86" w:name="_Ref224568371"/>
      <w:bookmarkStart w:id="87" w:name="_Ref224569865"/>
      <w:bookmarkStart w:id="88" w:name="_Ref224583460"/>
      <w:bookmarkStart w:id="89" w:name="_Ref224738607"/>
      <w:r w:rsidRPr="001D6DDF">
        <w:rPr>
          <w:snapToGrid w:val="0"/>
          <w:lang w:val="en-GB" w:eastAsia="en-US"/>
        </w:rPr>
        <w:t>With regard</w:t>
      </w:r>
      <w:r w:rsidR="00D44FC6" w:rsidRPr="001D6DDF">
        <w:rPr>
          <w:snapToGrid w:val="0"/>
          <w:lang w:val="en-GB" w:eastAsia="en-US"/>
        </w:rPr>
        <w:t>s</w:t>
      </w:r>
      <w:r w:rsidRPr="001D6DDF">
        <w:rPr>
          <w:snapToGrid w:val="0"/>
          <w:lang w:val="en-GB" w:eastAsia="en-US"/>
        </w:rPr>
        <w:t xml:space="preserve"> to the requested restriction, the PBAC advised that:</w:t>
      </w:r>
      <w:bookmarkEnd w:id="86"/>
      <w:r w:rsidRPr="001D6DDF">
        <w:rPr>
          <w:snapToGrid w:val="0"/>
          <w:lang w:val="en-GB" w:eastAsia="en-US"/>
        </w:rPr>
        <w:t xml:space="preserve"> </w:t>
      </w:r>
      <w:bookmarkEnd w:id="87"/>
      <w:bookmarkEnd w:id="88"/>
      <w:bookmarkEnd w:id="89"/>
    </w:p>
    <w:p w14:paraId="4A2FFD78" w14:textId="4341E75C" w:rsidR="005D789D" w:rsidRPr="004E5795" w:rsidRDefault="0005404F" w:rsidP="00651437">
      <w:pPr>
        <w:widowControl w:val="0"/>
        <w:numPr>
          <w:ilvl w:val="0"/>
          <w:numId w:val="14"/>
        </w:numPr>
        <w:ind w:left="1276" w:hanging="425"/>
        <w:contextualSpacing/>
        <w:rPr>
          <w:rFonts w:asciiTheme="minorHAnsi" w:hAnsiTheme="minorHAnsi"/>
          <w:snapToGrid w:val="0"/>
          <w:lang w:val="en-GB"/>
        </w:rPr>
      </w:pPr>
      <w:r w:rsidRPr="004E5795">
        <w:rPr>
          <w:rFonts w:asciiTheme="minorHAnsi" w:hAnsiTheme="minorHAnsi"/>
          <w:snapToGrid w:val="0"/>
          <w:lang w:val="en-GB"/>
        </w:rPr>
        <w:t>Use in combination with anifrolumab should be precluded</w:t>
      </w:r>
      <w:r w:rsidR="00AC1E62">
        <w:rPr>
          <w:rFonts w:asciiTheme="minorHAnsi" w:hAnsiTheme="minorHAnsi"/>
          <w:snapToGrid w:val="0"/>
          <w:lang w:val="en-GB"/>
        </w:rPr>
        <w:t xml:space="preserve"> </w:t>
      </w:r>
      <w:r w:rsidR="00AC1E62" w:rsidRPr="00AC1E62">
        <w:rPr>
          <w:rFonts w:asciiTheme="minorHAnsi" w:hAnsiTheme="minorHAnsi"/>
          <w:snapToGrid w:val="0"/>
          <w:lang w:val="en-GB"/>
        </w:rPr>
        <w:t xml:space="preserve">given the lack of data for combination therapy (and noting </w:t>
      </w:r>
      <w:r w:rsidR="002F48A6">
        <w:rPr>
          <w:rFonts w:asciiTheme="minorHAnsi" w:hAnsiTheme="minorHAnsi"/>
          <w:snapToGrid w:val="0"/>
          <w:lang w:val="en-GB"/>
        </w:rPr>
        <w:t xml:space="preserve">that </w:t>
      </w:r>
      <w:r w:rsidR="00AC1E62" w:rsidRPr="00AC1E62">
        <w:rPr>
          <w:rFonts w:asciiTheme="minorHAnsi" w:hAnsiTheme="minorHAnsi"/>
          <w:snapToGrid w:val="0"/>
          <w:lang w:val="en-GB"/>
        </w:rPr>
        <w:t xml:space="preserve">the anifrolumab </w:t>
      </w:r>
      <w:r w:rsidR="002F48A6">
        <w:rPr>
          <w:rFonts w:asciiTheme="minorHAnsi" w:hAnsiTheme="minorHAnsi"/>
          <w:snapToGrid w:val="0"/>
          <w:lang w:val="en-GB"/>
        </w:rPr>
        <w:t>TGA</w:t>
      </w:r>
      <w:r w:rsidR="00AC1E62" w:rsidRPr="00AC1E62">
        <w:rPr>
          <w:rFonts w:asciiTheme="minorHAnsi" w:hAnsiTheme="minorHAnsi"/>
          <w:snapToGrid w:val="0"/>
          <w:lang w:val="en-GB"/>
        </w:rPr>
        <w:t xml:space="preserve"> Product Information states ‘the safety and efficacy of anifrolumab have not been evaluated in patients with severe active lupus nephritis</w:t>
      </w:r>
      <w:r w:rsidR="00534FAF">
        <w:rPr>
          <w:rFonts w:asciiTheme="minorHAnsi" w:hAnsiTheme="minorHAnsi"/>
          <w:snapToGrid w:val="0"/>
          <w:lang w:val="en-GB"/>
        </w:rPr>
        <w:t>’</w:t>
      </w:r>
      <w:r w:rsidR="00AC1E62" w:rsidRPr="00AC1E62">
        <w:rPr>
          <w:rFonts w:asciiTheme="minorHAnsi" w:hAnsiTheme="minorHAnsi"/>
          <w:snapToGrid w:val="0"/>
          <w:lang w:val="en-GB"/>
        </w:rPr>
        <w:t>)</w:t>
      </w:r>
      <w:r w:rsidR="00021B92">
        <w:rPr>
          <w:rFonts w:asciiTheme="minorHAnsi" w:hAnsiTheme="minorHAnsi"/>
          <w:snapToGrid w:val="0"/>
          <w:lang w:val="en-GB"/>
        </w:rPr>
        <w:t xml:space="preserve">. </w:t>
      </w:r>
      <w:r w:rsidR="00F52F42" w:rsidRPr="00F52F42">
        <w:t xml:space="preserve">The PBAC </w:t>
      </w:r>
      <w:r w:rsidR="000610D4">
        <w:t xml:space="preserve">noted that </w:t>
      </w:r>
      <w:r w:rsidR="00C1306F">
        <w:t xml:space="preserve">there is </w:t>
      </w:r>
      <w:r w:rsidR="00F52F42" w:rsidRPr="00F52F42">
        <w:t xml:space="preserve">potential </w:t>
      </w:r>
      <w:r w:rsidR="00C1306F">
        <w:t xml:space="preserve">for </w:t>
      </w:r>
      <w:r w:rsidR="00F52F42" w:rsidRPr="00F52F42">
        <w:t xml:space="preserve">sequencing </w:t>
      </w:r>
      <w:r w:rsidR="00C1306F">
        <w:t>of the two therapies (</w:t>
      </w:r>
      <w:r w:rsidR="00F52F42" w:rsidRPr="00F52F42">
        <w:t>obinutuzumab and anifrolumab</w:t>
      </w:r>
      <w:r w:rsidR="00C1306F">
        <w:t>)</w:t>
      </w:r>
      <w:r w:rsidR="00492864">
        <w:t xml:space="preserve"> given </w:t>
      </w:r>
      <w:r w:rsidR="00F52F42" w:rsidRPr="00F52F42">
        <w:t>the relapsing</w:t>
      </w:r>
      <w:r w:rsidR="00F52F42" w:rsidRPr="004E5795">
        <w:rPr>
          <w:rFonts w:cs="Calibri"/>
        </w:rPr>
        <w:t>–</w:t>
      </w:r>
      <w:r w:rsidR="00F52F42" w:rsidRPr="00F52F42">
        <w:t>remitting nature of the condition. The PBAC considered that the proposed restriction provided sufficient flexibility to accommodate clinically appropriate treatment breaks, retreatment and switching.</w:t>
      </w:r>
    </w:p>
    <w:p w14:paraId="273072F8" w14:textId="3CED8BF8" w:rsidR="00312B91" w:rsidRPr="00C816B2" w:rsidRDefault="00312B91" w:rsidP="00651437">
      <w:pPr>
        <w:pStyle w:val="3-BodyText"/>
        <w:widowControl w:val="0"/>
        <w:numPr>
          <w:ilvl w:val="0"/>
          <w:numId w:val="10"/>
        </w:numPr>
        <w:spacing w:before="0" w:after="0"/>
        <w:ind w:left="1276" w:hanging="425"/>
        <w:contextualSpacing/>
        <w:rPr>
          <w:rFonts w:eastAsia="Times New Roman" w:cs="Arial"/>
          <w:snapToGrid w:val="0"/>
          <w:szCs w:val="24"/>
          <w:lang w:val="en-GB" w:eastAsia="en-US"/>
        </w:rPr>
      </w:pPr>
      <w:r w:rsidRPr="00C816B2">
        <w:rPr>
          <w:rFonts w:eastAsia="Times New Roman" w:cs="Arial"/>
          <w:snapToGrid w:val="0"/>
          <w:szCs w:val="24"/>
          <w:lang w:val="en-GB" w:eastAsia="en-US"/>
        </w:rPr>
        <w:t>The restriction should be age agnostic, as proposed by the submission.</w:t>
      </w:r>
    </w:p>
    <w:p w14:paraId="6E425B9B" w14:textId="6C3758D5" w:rsidR="00C27AE8" w:rsidRPr="00AD060D" w:rsidRDefault="00BD21D4" w:rsidP="001A68CA">
      <w:pPr>
        <w:widowControl w:val="0"/>
        <w:numPr>
          <w:ilvl w:val="0"/>
          <w:numId w:val="14"/>
        </w:numPr>
        <w:ind w:left="1276" w:hanging="425"/>
        <w:rPr>
          <w:rFonts w:asciiTheme="minorHAnsi" w:hAnsiTheme="minorHAnsi"/>
          <w:snapToGrid w:val="0"/>
          <w:lang w:val="en-GB" w:eastAsia="en-US"/>
        </w:rPr>
      </w:pPr>
      <w:r w:rsidRPr="00C816B2">
        <w:rPr>
          <w:snapToGrid w:val="0"/>
          <w:lang w:val="en-GB" w:eastAsia="en-US"/>
        </w:rPr>
        <w:t>The</w:t>
      </w:r>
      <w:r w:rsidRPr="00C816B2">
        <w:rPr>
          <w:snapToGrid w:val="0"/>
          <w:lang w:val="en-GB"/>
        </w:rPr>
        <w:t xml:space="preserve"> PBAC did not support specifying particular specialist types (e.g. nephrologist </w:t>
      </w:r>
      <w:r w:rsidRPr="00AD060D">
        <w:rPr>
          <w:snapToGrid w:val="0"/>
          <w:lang w:val="en-GB"/>
        </w:rPr>
        <w:t xml:space="preserve">or rheumatologist only), to allow flexibility in clinical practice and access, </w:t>
      </w:r>
      <w:r w:rsidRPr="00AD060D">
        <w:rPr>
          <w:snapToGrid w:val="0"/>
          <w:lang w:val="en-GB"/>
        </w:rPr>
        <w:lastRenderedPageBreak/>
        <w:t>including in rural and regional settings.</w:t>
      </w:r>
    </w:p>
    <w:p w14:paraId="69AFED34" w14:textId="08DD412E" w:rsidR="001A68CA" w:rsidRPr="00AD060D" w:rsidRDefault="00C07A1D" w:rsidP="00F20508">
      <w:pPr>
        <w:widowControl w:val="0"/>
        <w:numPr>
          <w:ilvl w:val="0"/>
          <w:numId w:val="14"/>
        </w:numPr>
        <w:ind w:left="1276" w:hanging="425"/>
        <w:rPr>
          <w:rFonts w:asciiTheme="minorHAnsi" w:hAnsiTheme="minorHAnsi"/>
          <w:snapToGrid w:val="0"/>
          <w:lang w:val="en-GB" w:eastAsia="en-US"/>
        </w:rPr>
      </w:pPr>
      <w:r w:rsidRPr="00AD060D">
        <w:rPr>
          <w:snapToGrid w:val="0"/>
          <w:lang w:val="en-GB"/>
        </w:rPr>
        <w:t xml:space="preserve">The </w:t>
      </w:r>
      <w:r w:rsidR="00072259" w:rsidRPr="00AD060D">
        <w:rPr>
          <w:snapToGrid w:val="0"/>
          <w:lang w:val="en-GB"/>
        </w:rPr>
        <w:t xml:space="preserve">listing should </w:t>
      </w:r>
      <w:r w:rsidR="00B130AA">
        <w:rPr>
          <w:snapToGrid w:val="0"/>
          <w:lang w:val="en-GB"/>
        </w:rPr>
        <w:t>consist</w:t>
      </w:r>
      <w:r w:rsidR="00072259" w:rsidRPr="00AD060D">
        <w:rPr>
          <w:snapToGrid w:val="0"/>
          <w:lang w:val="en-GB"/>
        </w:rPr>
        <w:t xml:space="preserve"> of three phases: </w:t>
      </w:r>
      <w:r w:rsidR="00F434B2">
        <w:rPr>
          <w:snapToGrid w:val="0"/>
          <w:lang w:val="en-GB"/>
        </w:rPr>
        <w:t>an</w:t>
      </w:r>
      <w:r w:rsidR="00072259" w:rsidRPr="00AD060D">
        <w:rPr>
          <w:snapToGrid w:val="0"/>
          <w:lang w:val="en-GB"/>
        </w:rPr>
        <w:t xml:space="preserve"> </w:t>
      </w:r>
      <w:r w:rsidRPr="00AD060D">
        <w:rPr>
          <w:snapToGrid w:val="0"/>
          <w:lang w:val="en-GB"/>
        </w:rPr>
        <w:t xml:space="preserve">initial treatment phase </w:t>
      </w:r>
      <w:r w:rsidR="00F434B2">
        <w:rPr>
          <w:snapToGrid w:val="0"/>
          <w:lang w:val="en-GB"/>
        </w:rPr>
        <w:t>with</w:t>
      </w:r>
      <w:r w:rsidRPr="00AD060D">
        <w:rPr>
          <w:snapToGrid w:val="0"/>
          <w:lang w:val="en-GB"/>
        </w:rPr>
        <w:t xml:space="preserve"> </w:t>
      </w:r>
      <w:r w:rsidR="008F784E" w:rsidRPr="00AD060D">
        <w:rPr>
          <w:snapToGrid w:val="0"/>
          <w:lang w:val="en-GB"/>
        </w:rPr>
        <w:t>one</w:t>
      </w:r>
      <w:r w:rsidR="0031442F" w:rsidRPr="00AD060D">
        <w:rPr>
          <w:snapToGrid w:val="0"/>
          <w:lang w:val="en-GB"/>
        </w:rPr>
        <w:t xml:space="preserve"> repeat (to cover the dose</w:t>
      </w:r>
      <w:r w:rsidR="00072259" w:rsidRPr="00AD060D">
        <w:rPr>
          <w:snapToGrid w:val="0"/>
          <w:lang w:val="en-GB"/>
        </w:rPr>
        <w:t>s</w:t>
      </w:r>
      <w:r w:rsidR="0031442F" w:rsidRPr="00AD060D">
        <w:rPr>
          <w:snapToGrid w:val="0"/>
          <w:lang w:val="en-GB"/>
        </w:rPr>
        <w:t xml:space="preserve"> at Day 1 and Week 2); </w:t>
      </w:r>
      <w:r w:rsidR="00F434B2">
        <w:rPr>
          <w:snapToGrid w:val="0"/>
          <w:lang w:val="en-GB"/>
        </w:rPr>
        <w:t>a</w:t>
      </w:r>
      <w:r w:rsidR="0031442F" w:rsidRPr="00AD060D">
        <w:rPr>
          <w:snapToGrid w:val="0"/>
          <w:lang w:val="en-GB"/>
        </w:rPr>
        <w:t xml:space="preserve"> first continuing </w:t>
      </w:r>
      <w:r w:rsidR="008D436B" w:rsidRPr="00AD060D">
        <w:rPr>
          <w:snapToGrid w:val="0"/>
          <w:lang w:val="en-GB"/>
        </w:rPr>
        <w:t>treatment phase</w:t>
      </w:r>
      <w:r w:rsidR="0031442F" w:rsidRPr="00AD060D">
        <w:rPr>
          <w:snapToGrid w:val="0"/>
          <w:lang w:val="en-GB"/>
        </w:rPr>
        <w:t xml:space="preserve"> </w:t>
      </w:r>
      <w:r w:rsidR="00F434B2">
        <w:rPr>
          <w:snapToGrid w:val="0"/>
          <w:lang w:val="en-GB"/>
        </w:rPr>
        <w:t>with</w:t>
      </w:r>
      <w:r w:rsidR="008F784E" w:rsidRPr="00AD060D">
        <w:rPr>
          <w:snapToGrid w:val="0"/>
          <w:lang w:val="en-GB"/>
        </w:rPr>
        <w:t xml:space="preserve"> one repeat (to cover the dose</w:t>
      </w:r>
      <w:r w:rsidR="00072259" w:rsidRPr="00AD060D">
        <w:rPr>
          <w:snapToGrid w:val="0"/>
          <w:lang w:val="en-GB"/>
        </w:rPr>
        <w:t>s</w:t>
      </w:r>
      <w:r w:rsidR="008F784E" w:rsidRPr="00AD060D">
        <w:rPr>
          <w:snapToGrid w:val="0"/>
          <w:lang w:val="en-GB"/>
        </w:rPr>
        <w:t xml:space="preserve"> at Wee</w:t>
      </w:r>
      <w:r w:rsidR="00072259" w:rsidRPr="00AD060D">
        <w:rPr>
          <w:snapToGrid w:val="0"/>
          <w:lang w:val="en-GB"/>
        </w:rPr>
        <w:t>ks</w:t>
      </w:r>
      <w:r w:rsidR="008F784E" w:rsidRPr="00AD060D">
        <w:rPr>
          <w:snapToGrid w:val="0"/>
          <w:lang w:val="en-GB"/>
        </w:rPr>
        <w:t xml:space="preserve"> 24 and 26); </w:t>
      </w:r>
      <w:r w:rsidR="00DF3F4F">
        <w:rPr>
          <w:snapToGrid w:val="0"/>
          <w:lang w:val="en-GB"/>
        </w:rPr>
        <w:t xml:space="preserve">and </w:t>
      </w:r>
      <w:r w:rsidR="00F434B2">
        <w:rPr>
          <w:snapToGrid w:val="0"/>
          <w:lang w:val="en-GB"/>
        </w:rPr>
        <w:t>a</w:t>
      </w:r>
      <w:r w:rsidR="00072259" w:rsidRPr="00AD060D">
        <w:rPr>
          <w:snapToGrid w:val="0"/>
          <w:lang w:val="en-GB"/>
        </w:rPr>
        <w:t xml:space="preserve"> </w:t>
      </w:r>
      <w:r w:rsidR="008F784E" w:rsidRPr="00AD060D">
        <w:rPr>
          <w:snapToGrid w:val="0"/>
          <w:lang w:val="en-GB"/>
        </w:rPr>
        <w:t xml:space="preserve">subsequent continuing </w:t>
      </w:r>
      <w:r w:rsidR="008D436B" w:rsidRPr="00AD060D">
        <w:rPr>
          <w:snapToGrid w:val="0"/>
          <w:lang w:val="en-GB"/>
        </w:rPr>
        <w:t>treatment phase</w:t>
      </w:r>
      <w:r w:rsidR="008F784E" w:rsidRPr="00AD060D">
        <w:rPr>
          <w:snapToGrid w:val="0"/>
          <w:lang w:val="en-GB"/>
        </w:rPr>
        <w:t xml:space="preserve"> </w:t>
      </w:r>
      <w:r w:rsidR="00F434B2">
        <w:rPr>
          <w:snapToGrid w:val="0"/>
          <w:lang w:val="en-GB"/>
        </w:rPr>
        <w:t>with</w:t>
      </w:r>
      <w:r w:rsidR="008F784E" w:rsidRPr="00AD060D">
        <w:rPr>
          <w:snapToGrid w:val="0"/>
          <w:lang w:val="en-GB"/>
        </w:rPr>
        <w:t xml:space="preserve"> no repeats</w:t>
      </w:r>
      <w:r w:rsidR="00E113AB">
        <w:rPr>
          <w:snapToGrid w:val="0"/>
          <w:lang w:val="en-GB"/>
        </w:rPr>
        <w:t>.</w:t>
      </w:r>
      <w:r w:rsidR="00D0095D">
        <w:rPr>
          <w:snapToGrid w:val="0"/>
          <w:lang w:val="en-GB"/>
        </w:rPr>
        <w:t xml:space="preserve"> </w:t>
      </w:r>
      <w:r w:rsidR="00E113AB">
        <w:rPr>
          <w:snapToGrid w:val="0"/>
          <w:lang w:val="en-GB"/>
        </w:rPr>
        <w:t>T</w:t>
      </w:r>
      <w:r w:rsidR="00DE0FD1">
        <w:rPr>
          <w:snapToGrid w:val="0"/>
          <w:lang w:val="en-GB"/>
        </w:rPr>
        <w:t>his would cover the maintenance dosing</w:t>
      </w:r>
      <w:r w:rsidR="0040689B">
        <w:rPr>
          <w:snapToGrid w:val="0"/>
          <w:lang w:val="en-GB"/>
        </w:rPr>
        <w:t xml:space="preserve"> that would occur every six months thereafter, starting at week 52</w:t>
      </w:r>
      <w:r w:rsidR="008F784E" w:rsidRPr="00AD060D">
        <w:rPr>
          <w:snapToGrid w:val="0"/>
          <w:lang w:val="en-GB"/>
        </w:rPr>
        <w:t xml:space="preserve">. </w:t>
      </w:r>
    </w:p>
    <w:p w14:paraId="62EFA7EF" w14:textId="62349115" w:rsidR="000E17A2" w:rsidRPr="00AD060D" w:rsidRDefault="000E17A2" w:rsidP="00F20508">
      <w:pPr>
        <w:widowControl w:val="0"/>
        <w:numPr>
          <w:ilvl w:val="0"/>
          <w:numId w:val="14"/>
        </w:numPr>
        <w:ind w:left="1276" w:hanging="425"/>
        <w:contextualSpacing/>
        <w:rPr>
          <w:rFonts w:asciiTheme="minorHAnsi" w:hAnsiTheme="minorHAnsi"/>
          <w:snapToGrid w:val="0"/>
          <w:lang w:val="en-GB" w:eastAsia="en-US"/>
        </w:rPr>
      </w:pPr>
      <w:r w:rsidRPr="00AD060D">
        <w:rPr>
          <w:snapToGrid w:val="0"/>
          <w:lang w:val="en-GB"/>
        </w:rPr>
        <w:t xml:space="preserve">Prior to initiation of obinutuzumab, </w:t>
      </w:r>
      <w:r w:rsidR="00705600">
        <w:rPr>
          <w:snapToGrid w:val="0"/>
          <w:lang w:val="en-GB"/>
        </w:rPr>
        <w:t xml:space="preserve">the </w:t>
      </w:r>
      <w:r w:rsidRPr="00AD060D">
        <w:rPr>
          <w:snapToGrid w:val="0"/>
          <w:lang w:val="en-GB"/>
        </w:rPr>
        <w:t>patient must have a confirmed diagnosis of active class III or IV lupus nephritis with or without class V disease</w:t>
      </w:r>
      <w:r w:rsidR="00D31A72">
        <w:rPr>
          <w:snapToGrid w:val="0"/>
          <w:lang w:val="en-GB"/>
        </w:rPr>
        <w:t>,</w:t>
      </w:r>
      <w:r w:rsidRPr="00AD060D">
        <w:rPr>
          <w:snapToGrid w:val="0"/>
          <w:lang w:val="en-GB"/>
        </w:rPr>
        <w:t xml:space="preserve"> confirmed by renal biopsy. </w:t>
      </w:r>
      <w:r w:rsidR="00705600">
        <w:rPr>
          <w:snapToGrid w:val="0"/>
          <w:lang w:val="en-GB"/>
        </w:rPr>
        <w:t>The p</w:t>
      </w:r>
      <w:r w:rsidRPr="00AD060D">
        <w:rPr>
          <w:snapToGrid w:val="0"/>
          <w:lang w:val="en-GB"/>
        </w:rPr>
        <w:t xml:space="preserve">atient must </w:t>
      </w:r>
      <w:r w:rsidR="00984176">
        <w:rPr>
          <w:snapToGrid w:val="0"/>
          <w:lang w:val="en-GB"/>
        </w:rPr>
        <w:t>not</w:t>
      </w:r>
      <w:r w:rsidRPr="00AD060D">
        <w:rPr>
          <w:snapToGrid w:val="0"/>
          <w:lang w:val="en-GB"/>
        </w:rPr>
        <w:t xml:space="preserve"> have </w:t>
      </w:r>
      <w:r w:rsidR="004A2745" w:rsidRPr="004A2745">
        <w:rPr>
          <w:snapToGrid w:val="0"/>
          <w:lang w:val="en-GB"/>
        </w:rPr>
        <w:t xml:space="preserve">severe renal impairment </w:t>
      </w:r>
      <w:r w:rsidR="008F5E3E">
        <w:rPr>
          <w:snapToGrid w:val="0"/>
          <w:lang w:val="en-GB"/>
        </w:rPr>
        <w:t xml:space="preserve">demonstrated by </w:t>
      </w:r>
      <w:r w:rsidRPr="00AD060D">
        <w:rPr>
          <w:snapToGrid w:val="0"/>
          <w:lang w:val="en-GB"/>
        </w:rPr>
        <w:t>an eGFR of &lt;30 mL/min/1.73 m</w:t>
      </w:r>
      <w:r w:rsidRPr="00AD060D">
        <w:rPr>
          <w:snapToGrid w:val="0"/>
          <w:vertAlign w:val="superscript"/>
          <w:lang w:val="en-GB"/>
        </w:rPr>
        <w:t>2</w:t>
      </w:r>
      <w:r w:rsidR="002E52A9">
        <w:rPr>
          <w:snapToGrid w:val="0"/>
          <w:lang w:val="en-GB"/>
        </w:rPr>
        <w:t>.</w:t>
      </w:r>
      <w:r w:rsidR="008F5E3E">
        <w:rPr>
          <w:snapToGrid w:val="0"/>
          <w:lang w:val="en-GB"/>
        </w:rPr>
        <w:t xml:space="preserve"> </w:t>
      </w:r>
      <w:r w:rsidR="008F5E3E" w:rsidRPr="00AD060D">
        <w:rPr>
          <w:snapToGrid w:val="0"/>
          <w:lang w:val="en-GB"/>
        </w:rPr>
        <w:t>The PBAC considered it was unnecessary to specify that the patient must not have end stage kidney disease requiring dialysis or renal transplantation.</w:t>
      </w:r>
      <w:r w:rsidR="00032B77">
        <w:rPr>
          <w:snapToGrid w:val="0"/>
          <w:lang w:val="en-GB"/>
        </w:rPr>
        <w:t xml:space="preserve"> The patient must</w:t>
      </w:r>
      <w:r w:rsidR="003D1692">
        <w:rPr>
          <w:snapToGrid w:val="0"/>
          <w:lang w:val="en-GB"/>
        </w:rPr>
        <w:t xml:space="preserve"> also</w:t>
      </w:r>
      <w:r w:rsidR="00032B77">
        <w:rPr>
          <w:snapToGrid w:val="0"/>
          <w:lang w:val="en-GB"/>
        </w:rPr>
        <w:t xml:space="preserve"> have </w:t>
      </w:r>
      <w:r w:rsidR="001E15AD" w:rsidRPr="001E15AD">
        <w:rPr>
          <w:snapToGrid w:val="0"/>
          <w:lang w:val="en-GB"/>
        </w:rPr>
        <w:t>(</w:t>
      </w:r>
      <w:r w:rsidRPr="00AD060D">
        <w:rPr>
          <w:snapToGrid w:val="0"/>
          <w:lang w:val="en-GB"/>
        </w:rPr>
        <w:t xml:space="preserve">or </w:t>
      </w:r>
      <w:r w:rsidR="001E15AD" w:rsidRPr="001E15AD">
        <w:rPr>
          <w:snapToGrid w:val="0"/>
          <w:lang w:val="en-GB"/>
        </w:rPr>
        <w:t>previously had) a</w:t>
      </w:r>
      <w:r w:rsidR="005979DD">
        <w:rPr>
          <w:snapToGrid w:val="0"/>
          <w:lang w:val="en-GB"/>
        </w:rPr>
        <w:t xml:space="preserve"> </w:t>
      </w:r>
      <w:r w:rsidRPr="001E15AD">
        <w:rPr>
          <w:snapToGrid w:val="0"/>
          <w:lang w:val="en-GB"/>
        </w:rPr>
        <w:t>UPCR</w:t>
      </w:r>
      <w:r w:rsidRPr="00AD060D">
        <w:rPr>
          <w:snapToGrid w:val="0"/>
          <w:lang w:val="en-GB"/>
        </w:rPr>
        <w:t xml:space="preserve"> of at least 113</w:t>
      </w:r>
      <w:r>
        <w:t> </w:t>
      </w:r>
      <w:r w:rsidRPr="00AD060D">
        <w:rPr>
          <w:snapToGrid w:val="0"/>
          <w:lang w:val="en-GB"/>
        </w:rPr>
        <w:t xml:space="preserve">mg/mmol (equivalent to 1g/g). </w:t>
      </w:r>
    </w:p>
    <w:p w14:paraId="6356140A" w14:textId="651811F7" w:rsidR="008D436B" w:rsidRPr="00AD060D" w:rsidRDefault="00787931" w:rsidP="00F20508">
      <w:pPr>
        <w:widowControl w:val="0"/>
        <w:numPr>
          <w:ilvl w:val="0"/>
          <w:numId w:val="14"/>
        </w:numPr>
        <w:ind w:left="1276" w:hanging="425"/>
        <w:contextualSpacing/>
        <w:rPr>
          <w:rFonts w:asciiTheme="minorHAnsi" w:hAnsiTheme="minorHAnsi"/>
          <w:snapToGrid w:val="0"/>
          <w:lang w:val="en-GB" w:eastAsia="en-US"/>
        </w:rPr>
      </w:pPr>
      <w:r>
        <w:rPr>
          <w:snapToGrid w:val="0"/>
          <w:lang w:val="en-GB"/>
        </w:rPr>
        <w:t>T</w:t>
      </w:r>
      <w:r w:rsidRPr="00AD060D">
        <w:rPr>
          <w:snapToGrid w:val="0"/>
          <w:lang w:val="en-GB"/>
        </w:rPr>
        <w:t>o continue treatment in each treatment phase</w:t>
      </w:r>
      <w:r>
        <w:rPr>
          <w:snapToGrid w:val="0"/>
          <w:lang w:val="en-GB"/>
        </w:rPr>
        <w:t>, the p</w:t>
      </w:r>
      <w:r w:rsidR="00C3618B" w:rsidRPr="00AD060D">
        <w:rPr>
          <w:snapToGrid w:val="0"/>
          <w:lang w:val="en-GB"/>
        </w:rPr>
        <w:t xml:space="preserve">atient </w:t>
      </w:r>
      <w:r w:rsidR="00910F9A" w:rsidRPr="00910F9A">
        <w:rPr>
          <w:snapToGrid w:val="0"/>
          <w:lang w:val="en-GB"/>
        </w:rPr>
        <w:t xml:space="preserve">must </w:t>
      </w:r>
      <w:r w:rsidR="001107F6">
        <w:rPr>
          <w:snapToGrid w:val="0"/>
          <w:lang w:val="en-GB"/>
        </w:rPr>
        <w:t>at the very least,</w:t>
      </w:r>
      <w:r w:rsidR="00910F9A" w:rsidRPr="00910F9A">
        <w:rPr>
          <w:snapToGrid w:val="0"/>
          <w:lang w:val="en-GB"/>
        </w:rPr>
        <w:t xml:space="preserve"> not have </w:t>
      </w:r>
      <w:r w:rsidR="00DF306B">
        <w:rPr>
          <w:snapToGrid w:val="0"/>
          <w:lang w:val="en-GB"/>
        </w:rPr>
        <w:t xml:space="preserve">sustained </w:t>
      </w:r>
      <w:r w:rsidR="00910F9A" w:rsidRPr="00910F9A">
        <w:rPr>
          <w:snapToGrid w:val="0"/>
          <w:lang w:val="en-GB"/>
        </w:rPr>
        <w:t>clinically significant</w:t>
      </w:r>
      <w:r w:rsidR="00DF306B">
        <w:rPr>
          <w:snapToGrid w:val="0"/>
          <w:lang w:val="en-GB"/>
        </w:rPr>
        <w:t xml:space="preserve"> </w:t>
      </w:r>
      <w:r w:rsidR="00910F9A" w:rsidRPr="00910F9A">
        <w:rPr>
          <w:snapToGrid w:val="0"/>
          <w:lang w:val="en-GB"/>
        </w:rPr>
        <w:t xml:space="preserve">worsening in </w:t>
      </w:r>
      <w:r w:rsidR="004D4D82">
        <w:rPr>
          <w:snapToGrid w:val="0"/>
          <w:lang w:val="en-GB"/>
        </w:rPr>
        <w:t xml:space="preserve">UPCR and/or </w:t>
      </w:r>
      <w:r w:rsidR="00DF306B">
        <w:rPr>
          <w:snapToGrid w:val="0"/>
          <w:lang w:val="en-GB"/>
        </w:rPr>
        <w:t>e</w:t>
      </w:r>
      <w:r w:rsidR="004D4D82">
        <w:rPr>
          <w:snapToGrid w:val="0"/>
          <w:lang w:val="en-GB"/>
        </w:rPr>
        <w:t>G</w:t>
      </w:r>
      <w:r w:rsidR="00DF306B">
        <w:rPr>
          <w:snapToGrid w:val="0"/>
          <w:lang w:val="en-GB"/>
        </w:rPr>
        <w:t>F</w:t>
      </w:r>
      <w:r w:rsidR="004D4D82">
        <w:rPr>
          <w:snapToGrid w:val="0"/>
          <w:lang w:val="en-GB"/>
        </w:rPr>
        <w:t>R</w:t>
      </w:r>
      <w:r w:rsidR="00723FE6" w:rsidRPr="00AD060D">
        <w:rPr>
          <w:snapToGrid w:val="0"/>
          <w:lang w:val="en-GB"/>
        </w:rPr>
        <w:t xml:space="preserve">. </w:t>
      </w:r>
      <w:r w:rsidR="00306263">
        <w:rPr>
          <w:snapToGrid w:val="0"/>
          <w:lang w:val="en-GB"/>
        </w:rPr>
        <w:t>To be eligible for</w:t>
      </w:r>
      <w:r w:rsidR="00BF7557" w:rsidRPr="00AD060D">
        <w:rPr>
          <w:snapToGrid w:val="0"/>
          <w:lang w:val="en-GB"/>
        </w:rPr>
        <w:t xml:space="preserve"> the Week 24 dose</w:t>
      </w:r>
      <w:r w:rsidR="00CD2E7B">
        <w:rPr>
          <w:snapToGrid w:val="0"/>
          <w:lang w:val="en-GB"/>
        </w:rPr>
        <w:t xml:space="preserve"> (first continuing </w:t>
      </w:r>
      <w:r w:rsidR="003E4756">
        <w:rPr>
          <w:snapToGrid w:val="0"/>
          <w:lang w:val="en-GB"/>
        </w:rPr>
        <w:t>treatment phase)</w:t>
      </w:r>
      <w:r w:rsidR="00723FE6" w:rsidRPr="00AD060D">
        <w:rPr>
          <w:snapToGrid w:val="0"/>
          <w:lang w:val="en-GB"/>
        </w:rPr>
        <w:t>, patients must</w:t>
      </w:r>
      <w:r w:rsidR="008440AD">
        <w:rPr>
          <w:snapToGrid w:val="0"/>
          <w:lang w:val="en-GB"/>
        </w:rPr>
        <w:t xml:space="preserve"> </w:t>
      </w:r>
      <w:r w:rsidR="006F7ED0" w:rsidRPr="006F7ED0">
        <w:rPr>
          <w:snapToGrid w:val="0"/>
          <w:lang w:val="en-GB"/>
        </w:rPr>
        <w:t>not have clinically significant, sustained worsening in UPCR and/or eGFR</w:t>
      </w:r>
      <w:r w:rsidR="001107F6">
        <w:rPr>
          <w:snapToGrid w:val="0"/>
          <w:lang w:val="en-GB"/>
        </w:rPr>
        <w:t xml:space="preserve">, </w:t>
      </w:r>
      <w:r w:rsidR="00B01107">
        <w:rPr>
          <w:snapToGrid w:val="0"/>
          <w:lang w:val="en-GB"/>
        </w:rPr>
        <w:t>as determined by the treating physician</w:t>
      </w:r>
      <w:r w:rsidR="008D5504" w:rsidRPr="00AD060D">
        <w:rPr>
          <w:snapToGrid w:val="0"/>
          <w:lang w:val="en-GB"/>
        </w:rPr>
        <w:t xml:space="preserve">. </w:t>
      </w:r>
      <w:r w:rsidR="001107F6">
        <w:rPr>
          <w:snapToGrid w:val="0"/>
          <w:lang w:val="en-GB"/>
        </w:rPr>
        <w:t xml:space="preserve">Prescribing doctors will need to </w:t>
      </w:r>
      <w:r w:rsidR="00780545">
        <w:rPr>
          <w:snapToGrid w:val="0"/>
          <w:lang w:val="en-GB"/>
        </w:rPr>
        <w:t>document</w:t>
      </w:r>
      <w:r w:rsidR="00DA53E9">
        <w:rPr>
          <w:snapToGrid w:val="0"/>
          <w:lang w:val="en-GB"/>
        </w:rPr>
        <w:t xml:space="preserve"> UPCR and eGFR at baseline and during therapy</w:t>
      </w:r>
      <w:r w:rsidR="00780545">
        <w:rPr>
          <w:snapToGrid w:val="0"/>
          <w:lang w:val="en-GB"/>
        </w:rPr>
        <w:t xml:space="preserve"> on the patient’s records</w:t>
      </w:r>
      <w:r w:rsidR="00DA53E9">
        <w:rPr>
          <w:snapToGrid w:val="0"/>
          <w:lang w:val="en-GB"/>
        </w:rPr>
        <w:t xml:space="preserve">, </w:t>
      </w:r>
      <w:r w:rsidR="00DA53E9" w:rsidDel="00780545">
        <w:rPr>
          <w:snapToGrid w:val="0"/>
          <w:lang w:val="en-GB"/>
        </w:rPr>
        <w:t>to</w:t>
      </w:r>
      <w:r w:rsidR="00DA53E9">
        <w:rPr>
          <w:snapToGrid w:val="0"/>
          <w:lang w:val="en-GB"/>
        </w:rPr>
        <w:t xml:space="preserve"> </w:t>
      </w:r>
      <w:r w:rsidR="00780545">
        <w:rPr>
          <w:snapToGrid w:val="0"/>
          <w:lang w:val="en-GB"/>
        </w:rPr>
        <w:t xml:space="preserve">determine that the patient is responding to treatment. </w:t>
      </w:r>
      <w:r w:rsidR="00306263">
        <w:rPr>
          <w:snapToGrid w:val="0"/>
          <w:lang w:val="en-GB"/>
        </w:rPr>
        <w:t>To be eligible for</w:t>
      </w:r>
      <w:r w:rsidR="008D5504" w:rsidRPr="00AD060D">
        <w:rPr>
          <w:snapToGrid w:val="0"/>
          <w:lang w:val="en-GB"/>
        </w:rPr>
        <w:t xml:space="preserve"> the </w:t>
      </w:r>
      <w:r w:rsidR="00C3618B" w:rsidRPr="00AD060D">
        <w:rPr>
          <w:snapToGrid w:val="0"/>
          <w:lang w:val="en-GB"/>
        </w:rPr>
        <w:t>Week 52</w:t>
      </w:r>
      <w:r w:rsidR="008D5504" w:rsidRPr="00AD060D">
        <w:rPr>
          <w:snapToGrid w:val="0"/>
          <w:lang w:val="en-GB"/>
        </w:rPr>
        <w:t xml:space="preserve"> dose</w:t>
      </w:r>
      <w:r w:rsidR="00C3618B" w:rsidRPr="00AD060D">
        <w:rPr>
          <w:snapToGrid w:val="0"/>
          <w:lang w:val="en-GB"/>
        </w:rPr>
        <w:t xml:space="preserve"> (and every subsequent dose</w:t>
      </w:r>
      <w:r w:rsidR="008C0F16">
        <w:rPr>
          <w:snapToGrid w:val="0"/>
          <w:lang w:val="en-GB"/>
        </w:rPr>
        <w:t xml:space="preserve"> i.e. the subsequent continuing treatment phase</w:t>
      </w:r>
      <w:r w:rsidR="00C3618B" w:rsidRPr="00AD060D">
        <w:rPr>
          <w:snapToGrid w:val="0"/>
          <w:lang w:val="en-GB"/>
        </w:rPr>
        <w:t>)</w:t>
      </w:r>
      <w:r w:rsidR="008D5504" w:rsidRPr="00AD060D">
        <w:rPr>
          <w:snapToGrid w:val="0"/>
          <w:lang w:val="en-GB"/>
        </w:rPr>
        <w:t xml:space="preserve">, </w:t>
      </w:r>
      <w:r w:rsidR="008C0F16">
        <w:rPr>
          <w:snapToGrid w:val="0"/>
          <w:lang w:val="en-GB"/>
        </w:rPr>
        <w:t>the</w:t>
      </w:r>
      <w:r w:rsidR="008D5504" w:rsidRPr="00AD060D">
        <w:rPr>
          <w:snapToGrid w:val="0"/>
          <w:lang w:val="en-GB"/>
        </w:rPr>
        <w:t xml:space="preserve"> </w:t>
      </w:r>
      <w:r w:rsidR="006253DA">
        <w:rPr>
          <w:snapToGrid w:val="0"/>
          <w:lang w:val="en-GB"/>
        </w:rPr>
        <w:t>p</w:t>
      </w:r>
      <w:r w:rsidR="006253DA" w:rsidRPr="006253DA">
        <w:rPr>
          <w:snapToGrid w:val="0"/>
          <w:lang w:val="en-GB"/>
        </w:rPr>
        <w:t xml:space="preserve">atient must not have </w:t>
      </w:r>
      <w:r w:rsidR="00CA4C90">
        <w:rPr>
          <w:snapToGrid w:val="0"/>
          <w:lang w:val="en-GB"/>
        </w:rPr>
        <w:t xml:space="preserve">demonstrated </w:t>
      </w:r>
      <w:r w:rsidR="006253DA" w:rsidRPr="006253DA">
        <w:rPr>
          <w:snapToGrid w:val="0"/>
          <w:lang w:val="en-GB"/>
        </w:rPr>
        <w:t xml:space="preserve">evidence of clinically significant worsening of the condition, demonstrated by either (i) an increase in UPCR or (ii) a reduction in eGFR from baseline </w:t>
      </w:r>
      <w:r w:rsidR="000E02E4">
        <w:rPr>
          <w:snapToGrid w:val="0"/>
          <w:lang w:val="en-GB"/>
        </w:rPr>
        <w:t>values</w:t>
      </w:r>
      <w:r w:rsidR="00AB6F9D">
        <w:rPr>
          <w:snapToGrid w:val="0"/>
          <w:lang w:val="en-GB"/>
        </w:rPr>
        <w:t xml:space="preserve">, </w:t>
      </w:r>
      <w:r w:rsidR="006253DA" w:rsidRPr="006253DA">
        <w:rPr>
          <w:snapToGrid w:val="0"/>
          <w:lang w:val="en-GB"/>
        </w:rPr>
        <w:t>due to persisting active class III or IV lupus nephritis based on 2 measurements 3 months apart</w:t>
      </w:r>
      <w:r w:rsidR="00FB4649" w:rsidRPr="00AD060D">
        <w:rPr>
          <w:snapToGrid w:val="0"/>
          <w:lang w:val="en-GB"/>
        </w:rPr>
        <w:t>.</w:t>
      </w:r>
      <w:r w:rsidR="00C3618B" w:rsidRPr="00AD060D">
        <w:rPr>
          <w:snapToGrid w:val="0"/>
          <w:lang w:val="en-GB"/>
        </w:rPr>
        <w:t> </w:t>
      </w:r>
      <w:r w:rsidR="00AB6F9D">
        <w:rPr>
          <w:snapToGrid w:val="0"/>
          <w:lang w:val="en-GB"/>
        </w:rPr>
        <w:t xml:space="preserve">This aligned with the clinical data </w:t>
      </w:r>
      <w:r w:rsidR="00BC0BC6">
        <w:rPr>
          <w:snapToGrid w:val="0"/>
          <w:lang w:val="en-GB"/>
        </w:rPr>
        <w:t xml:space="preserve">in the submission, noting that </w:t>
      </w:r>
      <w:r w:rsidR="003F1F3A">
        <w:rPr>
          <w:snapToGrid w:val="0"/>
          <w:lang w:val="en-GB"/>
        </w:rPr>
        <w:t xml:space="preserve">response to treatment could take up to </w:t>
      </w:r>
      <w:r w:rsidR="00FA0284">
        <w:rPr>
          <w:snapToGrid w:val="0"/>
          <w:lang w:val="en-GB"/>
        </w:rPr>
        <w:t>52 weeks.</w:t>
      </w:r>
    </w:p>
    <w:p w14:paraId="1A4FEF7C" w14:textId="62DE0C9E" w:rsidR="008D436B" w:rsidRPr="00C816B2" w:rsidRDefault="00B55D2A" w:rsidP="006469DF">
      <w:pPr>
        <w:widowControl w:val="0"/>
        <w:numPr>
          <w:ilvl w:val="0"/>
          <w:numId w:val="14"/>
        </w:numPr>
        <w:ind w:left="1276" w:hanging="425"/>
        <w:rPr>
          <w:rFonts w:asciiTheme="minorHAnsi" w:hAnsiTheme="minorHAnsi"/>
          <w:snapToGrid w:val="0"/>
          <w:lang w:val="en-GB" w:eastAsia="en-US"/>
        </w:rPr>
      </w:pPr>
      <w:r w:rsidRPr="00F20508">
        <w:rPr>
          <w:rFonts w:asciiTheme="minorHAnsi" w:hAnsiTheme="minorHAnsi"/>
          <w:snapToGrid w:val="0"/>
          <w:lang w:val="en-GB"/>
        </w:rPr>
        <w:t>G</w:t>
      </w:r>
      <w:r w:rsidR="008D436B" w:rsidRPr="00F20508">
        <w:rPr>
          <w:rFonts w:asciiTheme="minorHAnsi" w:hAnsiTheme="minorHAnsi"/>
          <w:snapToGrid w:val="0"/>
          <w:lang w:val="en-GB"/>
        </w:rPr>
        <w:t>randfather</w:t>
      </w:r>
      <w:r w:rsidR="00F800FA" w:rsidRPr="00F20508">
        <w:rPr>
          <w:rFonts w:asciiTheme="minorHAnsi" w:hAnsiTheme="minorHAnsi"/>
          <w:snapToGrid w:val="0"/>
          <w:lang w:val="en-GB"/>
        </w:rPr>
        <w:t>ed</w:t>
      </w:r>
      <w:r w:rsidRPr="00AD060D">
        <w:rPr>
          <w:snapToGrid w:val="0"/>
          <w:lang w:val="en-GB"/>
        </w:rPr>
        <w:t xml:space="preserve"> patients would be able to access obinutuzumab through the initial treatment phase</w:t>
      </w:r>
      <w:r w:rsidR="0059469D">
        <w:rPr>
          <w:snapToGrid w:val="0"/>
          <w:lang w:val="en-GB"/>
        </w:rPr>
        <w:t xml:space="preserve"> and would then be expected to transition through the first continuing, and subsequent continuing treatment phases</w:t>
      </w:r>
      <w:r w:rsidR="002D7032">
        <w:rPr>
          <w:snapToGrid w:val="0"/>
          <w:lang w:val="en-GB"/>
        </w:rPr>
        <w:t xml:space="preserve"> thereafter</w:t>
      </w:r>
      <w:r w:rsidR="00AD060D">
        <w:rPr>
          <w:snapToGrid w:val="0"/>
          <w:lang w:val="en-GB"/>
        </w:rPr>
        <w:t>.</w:t>
      </w:r>
      <w:r w:rsidR="005E0F84">
        <w:rPr>
          <w:snapToGrid w:val="0"/>
          <w:lang w:val="en-GB"/>
        </w:rPr>
        <w:t xml:space="preserve"> </w:t>
      </w:r>
      <w:r w:rsidR="00980318">
        <w:rPr>
          <w:snapToGrid w:val="0"/>
          <w:lang w:val="en-GB"/>
        </w:rPr>
        <w:t xml:space="preserve">The sponsor had not provided further information on when the compassionate access program </w:t>
      </w:r>
      <w:r w:rsidR="00EA7DCA">
        <w:rPr>
          <w:snapToGrid w:val="0"/>
          <w:lang w:val="en-GB"/>
        </w:rPr>
        <w:t xml:space="preserve">would be initiated. </w:t>
      </w:r>
    </w:p>
    <w:p w14:paraId="1E65C0A7" w14:textId="7168832A" w:rsidR="00C058CB" w:rsidRPr="00C816B2" w:rsidRDefault="00C058CB" w:rsidP="00F20508">
      <w:pPr>
        <w:widowControl w:val="0"/>
        <w:numPr>
          <w:ilvl w:val="0"/>
          <w:numId w:val="14"/>
        </w:numPr>
        <w:spacing w:after="120"/>
        <w:ind w:left="1276" w:hanging="425"/>
        <w:rPr>
          <w:rFonts w:asciiTheme="minorHAnsi" w:hAnsiTheme="minorHAnsi"/>
          <w:snapToGrid w:val="0"/>
          <w:lang w:val="en-GB" w:eastAsia="en-US"/>
        </w:rPr>
      </w:pPr>
      <w:r>
        <w:rPr>
          <w:snapToGrid w:val="0"/>
          <w:lang w:val="en-GB"/>
        </w:rPr>
        <w:t>The restrictions proposed would be listed as S100</w:t>
      </w:r>
      <w:r w:rsidR="00296A41">
        <w:rPr>
          <w:snapToGrid w:val="0"/>
          <w:lang w:val="en-GB"/>
        </w:rPr>
        <w:t xml:space="preserve"> </w:t>
      </w:r>
      <w:r>
        <w:rPr>
          <w:snapToGrid w:val="0"/>
          <w:lang w:val="en-GB"/>
        </w:rPr>
        <w:t>(HSD) non</w:t>
      </w:r>
      <w:r w:rsidR="00FF1914">
        <w:rPr>
          <w:snapToGrid w:val="0"/>
          <w:lang w:val="en-GB"/>
        </w:rPr>
        <w:noBreakHyphen/>
      </w:r>
      <w:r w:rsidR="005B134D">
        <w:rPr>
          <w:snapToGrid w:val="0"/>
          <w:lang w:val="en-GB"/>
        </w:rPr>
        <w:t>complex authority required (</w:t>
      </w:r>
      <w:r>
        <w:rPr>
          <w:snapToGrid w:val="0"/>
          <w:lang w:val="en-GB"/>
        </w:rPr>
        <w:t>CAR</w:t>
      </w:r>
      <w:r w:rsidR="005B134D">
        <w:rPr>
          <w:snapToGrid w:val="0"/>
          <w:lang w:val="en-GB"/>
        </w:rPr>
        <w:t>)</w:t>
      </w:r>
      <w:r>
        <w:rPr>
          <w:snapToGrid w:val="0"/>
          <w:lang w:val="en-GB"/>
        </w:rPr>
        <w:t xml:space="preserve"> items</w:t>
      </w:r>
      <w:r w:rsidR="005B134D">
        <w:rPr>
          <w:snapToGrid w:val="0"/>
          <w:lang w:val="en-GB"/>
        </w:rPr>
        <w:t xml:space="preserve">, dispensed in hospital setting </w:t>
      </w:r>
      <w:r w:rsidR="00296A41">
        <w:rPr>
          <w:snapToGrid w:val="0"/>
          <w:lang w:val="en-GB"/>
        </w:rPr>
        <w:t>(</w:t>
      </w:r>
      <w:r w:rsidR="005B134D">
        <w:rPr>
          <w:snapToGrid w:val="0"/>
          <w:lang w:val="en-GB"/>
        </w:rPr>
        <w:t>but not in the community pharmaci</w:t>
      </w:r>
      <w:r w:rsidR="0031450B">
        <w:rPr>
          <w:snapToGrid w:val="0"/>
          <w:lang w:val="en-GB"/>
        </w:rPr>
        <w:t>es</w:t>
      </w:r>
      <w:r w:rsidR="00296A41">
        <w:rPr>
          <w:snapToGrid w:val="0"/>
          <w:lang w:val="en-GB"/>
        </w:rPr>
        <w:t>)</w:t>
      </w:r>
      <w:r w:rsidR="0031450B">
        <w:rPr>
          <w:snapToGrid w:val="0"/>
          <w:lang w:val="en-GB"/>
        </w:rPr>
        <w:t>,</w:t>
      </w:r>
      <w:r w:rsidR="00296A41">
        <w:rPr>
          <w:snapToGrid w:val="0"/>
          <w:lang w:val="en-GB"/>
        </w:rPr>
        <w:t xml:space="preserve"> due to</w:t>
      </w:r>
      <w:r w:rsidR="0031450B">
        <w:rPr>
          <w:snapToGrid w:val="0"/>
          <w:lang w:val="en-GB"/>
        </w:rPr>
        <w:t xml:space="preserve"> </w:t>
      </w:r>
      <w:r w:rsidR="00E45D24">
        <w:rPr>
          <w:snapToGrid w:val="0"/>
          <w:lang w:val="en-GB"/>
        </w:rPr>
        <w:t xml:space="preserve">the requirement for the IV </w:t>
      </w:r>
      <w:r w:rsidR="006B6E06">
        <w:rPr>
          <w:snapToGrid w:val="0"/>
          <w:lang w:val="en-GB"/>
        </w:rPr>
        <w:t xml:space="preserve">infusion </w:t>
      </w:r>
      <w:r w:rsidR="00296A41">
        <w:rPr>
          <w:snapToGrid w:val="0"/>
          <w:lang w:val="en-GB"/>
        </w:rPr>
        <w:t>to be administered within a hospital setting.</w:t>
      </w:r>
      <w:r>
        <w:rPr>
          <w:snapToGrid w:val="0"/>
          <w:lang w:val="en-GB"/>
        </w:rPr>
        <w:t xml:space="preserve"> </w:t>
      </w:r>
    </w:p>
    <w:p w14:paraId="656BABAE" w14:textId="4F9C7ACA" w:rsidR="008947B7" w:rsidRPr="00315032" w:rsidRDefault="008947B7" w:rsidP="00315032">
      <w:pPr>
        <w:widowControl w:val="0"/>
        <w:numPr>
          <w:ilvl w:val="1"/>
          <w:numId w:val="1"/>
        </w:numPr>
        <w:spacing w:after="120"/>
        <w:rPr>
          <w:snapToGrid w:val="0"/>
          <w:lang w:val="en-GB" w:eastAsia="en-US"/>
        </w:rPr>
      </w:pPr>
      <w:r>
        <w:rPr>
          <w:rFonts w:asciiTheme="minorHAnsi" w:hAnsiTheme="minorHAnsi"/>
          <w:snapToGrid w:val="0"/>
          <w:lang w:val="en-GB" w:eastAsia="en-US"/>
        </w:rPr>
        <w:t xml:space="preserve">The PBAC accepted the </w:t>
      </w:r>
      <w:r w:rsidR="002D2A0C">
        <w:rPr>
          <w:rFonts w:asciiTheme="minorHAnsi" w:hAnsiTheme="minorHAnsi"/>
          <w:snapToGrid w:val="0"/>
          <w:lang w:val="en-GB" w:eastAsia="en-US"/>
        </w:rPr>
        <w:t xml:space="preserve">proposed </w:t>
      </w:r>
      <w:r>
        <w:rPr>
          <w:rFonts w:asciiTheme="minorHAnsi" w:hAnsiTheme="minorHAnsi"/>
          <w:snapToGrid w:val="0"/>
          <w:lang w:val="en-GB" w:eastAsia="en-US"/>
        </w:rPr>
        <w:t>clinical place (</w:t>
      </w:r>
      <w:r w:rsidR="008649CB">
        <w:rPr>
          <w:rFonts w:asciiTheme="minorHAnsi" w:hAnsiTheme="minorHAnsi"/>
          <w:snapToGrid w:val="0"/>
          <w:lang w:val="en-GB" w:eastAsia="en-US"/>
        </w:rPr>
        <w:t xml:space="preserve">patients with </w:t>
      </w:r>
      <w:r w:rsidRPr="000003F9">
        <w:rPr>
          <w:rFonts w:asciiTheme="minorHAnsi" w:hAnsiTheme="minorHAnsi"/>
          <w:snapToGrid w:val="0"/>
          <w:lang w:val="en-GB" w:eastAsia="en-US"/>
        </w:rPr>
        <w:t xml:space="preserve">Class III/IV </w:t>
      </w:r>
      <w:r w:rsidR="00C149DF">
        <w:rPr>
          <w:rFonts w:asciiTheme="minorHAnsi" w:hAnsiTheme="minorHAnsi"/>
          <w:snapToGrid w:val="0"/>
          <w:lang w:val="en-GB" w:eastAsia="en-US"/>
        </w:rPr>
        <w:t>lupus nephritis</w:t>
      </w:r>
      <w:r>
        <w:rPr>
          <w:rFonts w:asciiTheme="minorHAnsi" w:hAnsiTheme="minorHAnsi"/>
          <w:snapToGrid w:val="0"/>
          <w:lang w:val="en-GB" w:eastAsia="en-US"/>
        </w:rPr>
        <w:t xml:space="preserve"> identified </w:t>
      </w:r>
      <w:r w:rsidRPr="000003F9">
        <w:rPr>
          <w:rFonts w:asciiTheme="minorHAnsi" w:hAnsiTheme="minorHAnsi"/>
          <w:snapToGrid w:val="0"/>
          <w:lang w:val="en-GB" w:eastAsia="en-US"/>
        </w:rPr>
        <w:t>via kidney biopsy</w:t>
      </w:r>
      <w:r>
        <w:rPr>
          <w:rFonts w:asciiTheme="minorHAnsi" w:hAnsiTheme="minorHAnsi"/>
          <w:snapToGrid w:val="0"/>
          <w:lang w:val="en-GB" w:eastAsia="en-US"/>
        </w:rPr>
        <w:t xml:space="preserve">) </w:t>
      </w:r>
      <w:r w:rsidR="0026530F">
        <w:rPr>
          <w:rFonts w:asciiTheme="minorHAnsi" w:hAnsiTheme="minorHAnsi"/>
          <w:snapToGrid w:val="0"/>
          <w:lang w:val="en-GB" w:eastAsia="en-US"/>
        </w:rPr>
        <w:t xml:space="preserve">noting it was clearly defined </w:t>
      </w:r>
      <w:r>
        <w:rPr>
          <w:rFonts w:asciiTheme="minorHAnsi" w:hAnsiTheme="minorHAnsi"/>
          <w:snapToGrid w:val="0"/>
          <w:lang w:val="en-GB" w:eastAsia="en-US"/>
        </w:rPr>
        <w:t>and c</w:t>
      </w:r>
      <w:r w:rsidRPr="000003F9">
        <w:rPr>
          <w:rFonts w:asciiTheme="minorHAnsi" w:hAnsiTheme="minorHAnsi"/>
          <w:snapToGrid w:val="0"/>
          <w:lang w:val="en-GB" w:eastAsia="en-US"/>
        </w:rPr>
        <w:t>onsistent with</w:t>
      </w:r>
      <w:r w:rsidR="00837636">
        <w:rPr>
          <w:rFonts w:asciiTheme="minorHAnsi" w:hAnsiTheme="minorHAnsi"/>
          <w:snapToGrid w:val="0"/>
          <w:lang w:val="en-GB" w:eastAsia="en-US"/>
        </w:rPr>
        <w:t xml:space="preserve"> International</w:t>
      </w:r>
      <w:r w:rsidRPr="000003F9">
        <w:rPr>
          <w:rFonts w:asciiTheme="minorHAnsi" w:hAnsiTheme="minorHAnsi"/>
          <w:snapToGrid w:val="0"/>
          <w:lang w:val="en-GB" w:eastAsia="en-US"/>
        </w:rPr>
        <w:t xml:space="preserve"> guidelines</w:t>
      </w:r>
      <w:r w:rsidR="00D22240">
        <w:rPr>
          <w:rFonts w:asciiTheme="minorHAnsi" w:hAnsiTheme="minorHAnsi"/>
          <w:snapToGrid w:val="0"/>
          <w:lang w:val="en-GB" w:eastAsia="en-US"/>
        </w:rPr>
        <w:t xml:space="preserve"> (</w:t>
      </w:r>
      <w:r w:rsidR="00837636">
        <w:rPr>
          <w:rFonts w:asciiTheme="minorHAnsi" w:hAnsiTheme="minorHAnsi"/>
          <w:snapToGrid w:val="0"/>
          <w:lang w:val="en-GB" w:eastAsia="en-US"/>
        </w:rPr>
        <w:t xml:space="preserve">which recommend </w:t>
      </w:r>
      <w:r w:rsidR="00D22240" w:rsidRPr="00D22240">
        <w:rPr>
          <w:rFonts w:asciiTheme="minorHAnsi" w:hAnsiTheme="minorHAnsi"/>
          <w:snapToGrid w:val="0"/>
          <w:lang w:val="en-GB" w:eastAsia="en-US"/>
        </w:rPr>
        <w:t xml:space="preserve">initial treatment with </w:t>
      </w:r>
      <w:r w:rsidR="00D22240">
        <w:rPr>
          <w:rFonts w:asciiTheme="minorHAnsi" w:hAnsiTheme="minorHAnsi"/>
          <w:snapToGrid w:val="0"/>
          <w:lang w:val="en-GB" w:eastAsia="en-US"/>
        </w:rPr>
        <w:t xml:space="preserve">a </w:t>
      </w:r>
      <w:r w:rsidR="00D22240" w:rsidRPr="00D22240">
        <w:rPr>
          <w:rFonts w:asciiTheme="minorHAnsi" w:hAnsiTheme="minorHAnsi"/>
          <w:snapToGrid w:val="0"/>
          <w:lang w:val="en-GB" w:eastAsia="en-US"/>
        </w:rPr>
        <w:t>biologic or small molecule agent in a triple therapy regimen</w:t>
      </w:r>
      <w:r w:rsidR="00D22240">
        <w:rPr>
          <w:rFonts w:asciiTheme="minorHAnsi" w:hAnsiTheme="minorHAnsi"/>
          <w:snapToGrid w:val="0"/>
          <w:lang w:val="en-GB" w:eastAsia="en-US"/>
        </w:rPr>
        <w:t>)</w:t>
      </w:r>
      <w:r>
        <w:rPr>
          <w:rFonts w:asciiTheme="minorHAnsi" w:hAnsiTheme="minorHAnsi"/>
          <w:snapToGrid w:val="0"/>
          <w:lang w:val="en-GB" w:eastAsia="en-US"/>
        </w:rPr>
        <w:t>.</w:t>
      </w:r>
      <w:r w:rsidR="00BF403C">
        <w:rPr>
          <w:rFonts w:asciiTheme="minorHAnsi" w:hAnsiTheme="minorHAnsi"/>
          <w:snapToGrid w:val="0"/>
          <w:lang w:val="en-GB" w:eastAsia="en-US"/>
        </w:rPr>
        <w:t xml:space="preserve"> </w:t>
      </w:r>
      <w:r w:rsidR="009E02F4">
        <w:rPr>
          <w:snapToGrid w:val="0"/>
          <w:lang w:val="en-GB" w:eastAsia="en-US"/>
        </w:rPr>
        <w:t xml:space="preserve">The PBAC noted that the </w:t>
      </w:r>
      <w:r w:rsidR="009E02F4" w:rsidRPr="00400211">
        <w:rPr>
          <w:snapToGrid w:val="0"/>
          <w:lang w:val="en-GB" w:eastAsia="en-US"/>
        </w:rPr>
        <w:t>requested dosing schedule</w:t>
      </w:r>
      <w:r w:rsidR="00106786">
        <w:rPr>
          <w:snapToGrid w:val="0"/>
          <w:lang w:val="en-GB" w:eastAsia="en-US"/>
        </w:rPr>
        <w:t xml:space="preserve"> of </w:t>
      </w:r>
      <w:r w:rsidR="009E02F4" w:rsidRPr="00400211">
        <w:rPr>
          <w:snapToGrid w:val="0"/>
          <w:lang w:val="en-GB" w:eastAsia="en-US"/>
        </w:rPr>
        <w:t>administration at Day 1 and Week 2, followed by doses at Weeks 24, 26 and 52, and six</w:t>
      </w:r>
      <w:r w:rsidR="009E02F4" w:rsidRPr="00400211">
        <w:rPr>
          <w:rFonts w:ascii="Cambria Math" w:hAnsi="Cambria Math" w:cs="Cambria Math"/>
          <w:snapToGrid w:val="0"/>
          <w:lang w:val="en-GB" w:eastAsia="en-US"/>
        </w:rPr>
        <w:t>‑</w:t>
      </w:r>
      <w:r w:rsidR="009E02F4" w:rsidRPr="00400211">
        <w:rPr>
          <w:snapToGrid w:val="0"/>
          <w:lang w:val="en-GB" w:eastAsia="en-US"/>
        </w:rPr>
        <w:t xml:space="preserve">monthly dosing thereafter </w:t>
      </w:r>
      <w:r w:rsidR="009E02F4">
        <w:rPr>
          <w:snapToGrid w:val="0"/>
          <w:lang w:val="en-GB" w:eastAsia="en-US"/>
        </w:rPr>
        <w:t xml:space="preserve">was </w:t>
      </w:r>
      <w:r w:rsidR="009E02F4" w:rsidRPr="00400211">
        <w:rPr>
          <w:snapToGrid w:val="0"/>
          <w:lang w:val="en-GB" w:eastAsia="en-US"/>
        </w:rPr>
        <w:t xml:space="preserve">aligned with the </w:t>
      </w:r>
      <w:r w:rsidR="00991A33">
        <w:rPr>
          <w:snapToGrid w:val="0"/>
          <w:lang w:val="en-GB" w:eastAsia="en-US"/>
        </w:rPr>
        <w:lastRenderedPageBreak/>
        <w:t>REGEN</w:t>
      </w:r>
      <w:r w:rsidR="00C836C2">
        <w:rPr>
          <w:snapToGrid w:val="0"/>
          <w:lang w:val="en-GB" w:eastAsia="en-US"/>
        </w:rPr>
        <w:t>C</w:t>
      </w:r>
      <w:r w:rsidR="00991A33">
        <w:rPr>
          <w:snapToGrid w:val="0"/>
          <w:lang w:val="en-GB" w:eastAsia="en-US"/>
        </w:rPr>
        <w:t xml:space="preserve">Y </w:t>
      </w:r>
      <w:r w:rsidR="009E02F4" w:rsidRPr="00400211">
        <w:rPr>
          <w:snapToGrid w:val="0"/>
          <w:lang w:val="en-GB" w:eastAsia="en-US"/>
        </w:rPr>
        <w:t>trial</w:t>
      </w:r>
      <w:r w:rsidR="008C7EC8">
        <w:rPr>
          <w:snapToGrid w:val="0"/>
          <w:lang w:val="en-GB" w:eastAsia="en-US"/>
        </w:rPr>
        <w:t xml:space="preserve"> and the ACM Minutes</w:t>
      </w:r>
      <w:r w:rsidR="00F615FE">
        <w:rPr>
          <w:snapToGrid w:val="0"/>
          <w:lang w:val="en-GB" w:eastAsia="en-US"/>
        </w:rPr>
        <w:t xml:space="preserve">. </w:t>
      </w:r>
      <w:r w:rsidR="00BF403C" w:rsidRPr="009E4EDF">
        <w:rPr>
          <w:snapToGrid w:val="0"/>
          <w:lang w:val="en-GB" w:eastAsia="en-US"/>
        </w:rPr>
        <w:t xml:space="preserve">The PBAC noted </w:t>
      </w:r>
      <w:r w:rsidR="00201E96">
        <w:rPr>
          <w:snapToGrid w:val="0"/>
          <w:lang w:val="en-GB" w:eastAsia="en-US"/>
        </w:rPr>
        <w:t>t</w:t>
      </w:r>
      <w:r w:rsidR="00BF403C" w:rsidRPr="00315032">
        <w:rPr>
          <w:snapToGrid w:val="0"/>
          <w:lang w:val="en-GB" w:eastAsia="en-US"/>
        </w:rPr>
        <w:t>he ACM advised that obinutuzumab treatment should be continued for a total of 52 weeks, with re</w:t>
      </w:r>
      <w:r w:rsidR="00BF403C" w:rsidRPr="00315032">
        <w:rPr>
          <w:rFonts w:ascii="Cambria Math" w:hAnsi="Cambria Math" w:cs="Cambria Math"/>
          <w:snapToGrid w:val="0"/>
          <w:lang w:val="en-GB" w:eastAsia="en-US"/>
        </w:rPr>
        <w:t>‑</w:t>
      </w:r>
      <w:r w:rsidR="00BF403C" w:rsidRPr="00315032">
        <w:rPr>
          <w:snapToGrid w:val="0"/>
          <w:lang w:val="en-GB" w:eastAsia="en-US"/>
        </w:rPr>
        <w:t>evaluation of renal response at Week</w:t>
      </w:r>
      <w:r w:rsidR="00BF403C" w:rsidRPr="00315032">
        <w:rPr>
          <w:rFonts w:cs="Calibri"/>
          <w:snapToGrid w:val="0"/>
          <w:lang w:val="en-GB" w:eastAsia="en-US"/>
        </w:rPr>
        <w:t> </w:t>
      </w:r>
      <w:r w:rsidR="00BF403C" w:rsidRPr="00315032">
        <w:rPr>
          <w:snapToGrid w:val="0"/>
          <w:lang w:val="en-GB" w:eastAsia="en-US"/>
        </w:rPr>
        <w:t>72, and that treatment should be discontinued if no renal response is observed at that re</w:t>
      </w:r>
      <w:r w:rsidR="00BF403C" w:rsidRPr="00315032">
        <w:rPr>
          <w:rFonts w:ascii="Cambria Math" w:hAnsi="Cambria Math" w:cs="Cambria Math"/>
          <w:snapToGrid w:val="0"/>
          <w:lang w:val="en-GB" w:eastAsia="en-US"/>
        </w:rPr>
        <w:t>‑</w:t>
      </w:r>
      <w:r w:rsidR="00BF403C" w:rsidRPr="00315032">
        <w:rPr>
          <w:snapToGrid w:val="0"/>
          <w:lang w:val="en-GB" w:eastAsia="en-US"/>
        </w:rPr>
        <w:t>evaluation.</w:t>
      </w:r>
    </w:p>
    <w:p w14:paraId="128D82F2" w14:textId="51B0C719" w:rsidR="00290946" w:rsidRPr="00B91B3C" w:rsidRDefault="004E59E2" w:rsidP="00290946">
      <w:pPr>
        <w:pStyle w:val="3-BodyText"/>
        <w:rPr>
          <w:rFonts w:eastAsia="Times New Roman" w:cs="Arial"/>
          <w:snapToGrid w:val="0"/>
          <w:szCs w:val="24"/>
          <w:lang w:val="en-GB" w:eastAsia="en-US"/>
        </w:rPr>
      </w:pPr>
      <w:r>
        <w:rPr>
          <w:snapToGrid w:val="0"/>
          <w:lang w:val="en-GB" w:eastAsia="en-US"/>
        </w:rPr>
        <w:t xml:space="preserve">The PBAC considered that the proposed comparator of </w:t>
      </w:r>
      <w:r w:rsidRPr="00F93DE5">
        <w:rPr>
          <w:snapToGrid w:val="0"/>
          <w:lang w:val="en-GB" w:eastAsia="en-US"/>
        </w:rPr>
        <w:t xml:space="preserve">standard therapy with mycophenolate mofetil (MMF) and </w:t>
      </w:r>
      <w:r w:rsidR="00BE4074">
        <w:rPr>
          <w:snapToGrid w:val="0"/>
          <w:lang w:val="en-GB" w:eastAsia="en-US"/>
        </w:rPr>
        <w:t xml:space="preserve">a </w:t>
      </w:r>
      <w:r w:rsidRPr="00F93DE5">
        <w:rPr>
          <w:snapToGrid w:val="0"/>
          <w:lang w:val="en-GB" w:eastAsia="en-US"/>
        </w:rPr>
        <w:t>corticosteroid</w:t>
      </w:r>
      <w:r>
        <w:rPr>
          <w:snapToGrid w:val="0"/>
          <w:lang w:val="en-GB" w:eastAsia="en-US"/>
        </w:rPr>
        <w:t xml:space="preserve"> was </w:t>
      </w:r>
      <w:r w:rsidR="005D6B3F">
        <w:rPr>
          <w:snapToGrid w:val="0"/>
          <w:lang w:val="en-GB" w:eastAsia="en-US"/>
        </w:rPr>
        <w:t xml:space="preserve">acceptable as </w:t>
      </w:r>
      <w:r w:rsidR="00894971" w:rsidRPr="00894971">
        <w:rPr>
          <w:snapToGrid w:val="0"/>
          <w:lang w:val="en-GB" w:eastAsia="en-US"/>
        </w:rPr>
        <w:t xml:space="preserve">voclosporin </w:t>
      </w:r>
      <w:r w:rsidR="00B54944">
        <w:rPr>
          <w:snapToGrid w:val="0"/>
          <w:lang w:val="en-GB" w:eastAsia="en-US"/>
        </w:rPr>
        <w:t xml:space="preserve">and belimumab are not widely used </w:t>
      </w:r>
      <w:r w:rsidR="00B0489A">
        <w:rPr>
          <w:snapToGrid w:val="0"/>
          <w:lang w:val="en-GB" w:eastAsia="en-US"/>
        </w:rPr>
        <w:t>(</w:t>
      </w:r>
      <w:r w:rsidR="00B0489A" w:rsidRPr="00894971">
        <w:rPr>
          <w:snapToGrid w:val="0"/>
          <w:lang w:val="en-GB" w:eastAsia="en-US"/>
        </w:rPr>
        <w:t>voclosporin</w:t>
      </w:r>
      <w:r w:rsidR="00B0489A">
        <w:rPr>
          <w:snapToGrid w:val="0"/>
          <w:lang w:val="en-GB" w:eastAsia="en-US"/>
        </w:rPr>
        <w:t xml:space="preserve"> </w:t>
      </w:r>
      <w:r w:rsidR="00106168">
        <w:rPr>
          <w:snapToGrid w:val="0"/>
          <w:lang w:val="en-GB" w:eastAsia="en-US"/>
        </w:rPr>
        <w:t xml:space="preserve">is </w:t>
      </w:r>
      <w:r w:rsidR="00894971" w:rsidRPr="00894971">
        <w:rPr>
          <w:snapToGrid w:val="0"/>
          <w:lang w:val="en-GB" w:eastAsia="en-US"/>
        </w:rPr>
        <w:t>not TGA registered</w:t>
      </w:r>
      <w:r w:rsidR="00894971">
        <w:rPr>
          <w:snapToGrid w:val="0"/>
          <w:lang w:val="en-GB" w:eastAsia="en-US"/>
        </w:rPr>
        <w:t xml:space="preserve"> </w:t>
      </w:r>
      <w:r w:rsidR="00270BA9">
        <w:rPr>
          <w:snapToGrid w:val="0"/>
          <w:lang w:val="en-GB" w:eastAsia="en-US"/>
        </w:rPr>
        <w:t xml:space="preserve">and </w:t>
      </w:r>
      <w:r w:rsidR="00894971" w:rsidRPr="00894971">
        <w:rPr>
          <w:snapToGrid w:val="0"/>
          <w:lang w:val="en-GB" w:eastAsia="en-US"/>
        </w:rPr>
        <w:t xml:space="preserve">belimumab is not </w:t>
      </w:r>
      <w:r w:rsidR="00106168">
        <w:rPr>
          <w:snapToGrid w:val="0"/>
          <w:lang w:val="en-GB" w:eastAsia="en-US"/>
        </w:rPr>
        <w:t>PBS</w:t>
      </w:r>
      <w:r w:rsidR="00FF1914">
        <w:rPr>
          <w:snapToGrid w:val="0"/>
          <w:lang w:val="en-GB" w:eastAsia="en-US"/>
        </w:rPr>
        <w:noBreakHyphen/>
      </w:r>
      <w:r w:rsidR="00894971" w:rsidRPr="00894971">
        <w:rPr>
          <w:snapToGrid w:val="0"/>
          <w:lang w:val="en-GB" w:eastAsia="en-US"/>
        </w:rPr>
        <w:t>listed</w:t>
      </w:r>
      <w:r w:rsidR="00B0489A">
        <w:rPr>
          <w:snapToGrid w:val="0"/>
          <w:lang w:val="en-GB" w:eastAsia="en-US"/>
        </w:rPr>
        <w:t>)</w:t>
      </w:r>
      <w:r w:rsidR="00894971">
        <w:rPr>
          <w:snapToGrid w:val="0"/>
          <w:lang w:val="en-GB" w:eastAsia="en-US"/>
        </w:rPr>
        <w:t>.</w:t>
      </w:r>
      <w:r w:rsidR="00270BA9">
        <w:rPr>
          <w:snapToGrid w:val="0"/>
          <w:lang w:val="en-GB" w:eastAsia="en-US"/>
        </w:rPr>
        <w:t xml:space="preserve"> </w:t>
      </w:r>
      <w:r w:rsidR="00290946" w:rsidRPr="00290946">
        <w:rPr>
          <w:rFonts w:eastAsia="Times New Roman" w:cs="Arial"/>
          <w:snapToGrid w:val="0"/>
          <w:szCs w:val="24"/>
          <w:lang w:val="en-GB" w:eastAsia="en-US"/>
        </w:rPr>
        <w:t xml:space="preserve">The PBAC considered that </w:t>
      </w:r>
      <w:r w:rsidR="00290946">
        <w:rPr>
          <w:rFonts w:eastAsia="Times New Roman" w:cs="Arial"/>
          <w:snapToGrid w:val="0"/>
          <w:szCs w:val="24"/>
          <w:lang w:val="en-GB" w:eastAsia="en-US"/>
        </w:rPr>
        <w:t xml:space="preserve">the submission should have explored </w:t>
      </w:r>
      <w:r w:rsidR="00290946" w:rsidRPr="00290946">
        <w:rPr>
          <w:rFonts w:eastAsia="Times New Roman" w:cs="Arial"/>
          <w:snapToGrid w:val="0"/>
          <w:szCs w:val="24"/>
          <w:lang w:val="en-GB" w:eastAsia="en-US"/>
        </w:rPr>
        <w:t>rituximab as a potential comparator</w:t>
      </w:r>
      <w:r w:rsidR="002166FA">
        <w:rPr>
          <w:rFonts w:eastAsia="Times New Roman" w:cs="Arial"/>
          <w:snapToGrid w:val="0"/>
          <w:szCs w:val="24"/>
          <w:lang w:val="en-GB" w:eastAsia="en-US"/>
        </w:rPr>
        <w:t xml:space="preserve"> (refer to paragraph </w:t>
      </w:r>
      <w:r w:rsidR="002166FA">
        <w:rPr>
          <w:rFonts w:eastAsia="Times New Roman" w:cs="Arial"/>
          <w:snapToGrid w:val="0"/>
          <w:szCs w:val="24"/>
          <w:lang w:val="en-GB" w:eastAsia="en-US"/>
        </w:rPr>
        <w:fldChar w:fldCharType="begin"/>
      </w:r>
      <w:r w:rsidR="002166FA">
        <w:rPr>
          <w:rFonts w:eastAsia="Times New Roman" w:cs="Arial"/>
          <w:snapToGrid w:val="0"/>
          <w:szCs w:val="24"/>
          <w:lang w:val="en-GB" w:eastAsia="en-US"/>
        </w:rPr>
        <w:instrText xml:space="preserve"> REF _Ref224829707 \r \h </w:instrText>
      </w:r>
      <w:r w:rsidR="002166FA">
        <w:rPr>
          <w:rFonts w:eastAsia="Times New Roman" w:cs="Arial"/>
          <w:snapToGrid w:val="0"/>
          <w:szCs w:val="24"/>
          <w:lang w:val="en-GB" w:eastAsia="en-US"/>
        </w:rPr>
      </w:r>
      <w:r w:rsidR="002166FA">
        <w:rPr>
          <w:rFonts w:eastAsia="Times New Roman" w:cs="Arial"/>
          <w:snapToGrid w:val="0"/>
          <w:szCs w:val="24"/>
          <w:lang w:val="en-GB" w:eastAsia="en-US"/>
        </w:rPr>
        <w:fldChar w:fldCharType="separate"/>
      </w:r>
      <w:r w:rsidR="002255D9">
        <w:rPr>
          <w:rFonts w:eastAsia="Times New Roman" w:cs="Arial"/>
          <w:snapToGrid w:val="0"/>
          <w:szCs w:val="24"/>
          <w:lang w:val="en-GB" w:eastAsia="en-US"/>
        </w:rPr>
        <w:t>5.4</w:t>
      </w:r>
      <w:r w:rsidR="002166FA">
        <w:rPr>
          <w:rFonts w:eastAsia="Times New Roman" w:cs="Arial"/>
          <w:snapToGrid w:val="0"/>
          <w:szCs w:val="24"/>
          <w:lang w:val="en-GB" w:eastAsia="en-US"/>
        </w:rPr>
        <w:fldChar w:fldCharType="end"/>
      </w:r>
      <w:r w:rsidR="002166FA">
        <w:rPr>
          <w:rFonts w:eastAsia="Times New Roman" w:cs="Arial"/>
          <w:snapToGrid w:val="0"/>
          <w:szCs w:val="24"/>
          <w:lang w:val="en-GB" w:eastAsia="en-US"/>
        </w:rPr>
        <w:t>)</w:t>
      </w:r>
      <w:r w:rsidR="00290946" w:rsidRPr="00290946">
        <w:rPr>
          <w:rFonts w:eastAsia="Times New Roman" w:cs="Arial"/>
          <w:snapToGrid w:val="0"/>
          <w:szCs w:val="24"/>
          <w:lang w:val="en-GB" w:eastAsia="en-US"/>
        </w:rPr>
        <w:t>. While the PBAC noted rituximab failed to meet its primary endpoint in the LUNAR trial, real world registry data were available (</w:t>
      </w:r>
      <w:r w:rsidR="00324278">
        <w:rPr>
          <w:rFonts w:eastAsia="Times New Roman" w:cs="Arial"/>
          <w:snapToGrid w:val="0"/>
          <w:szCs w:val="24"/>
          <w:lang w:val="en-GB" w:eastAsia="en-US"/>
        </w:rPr>
        <w:t>i.e.</w:t>
      </w:r>
      <w:r w:rsidR="00290946" w:rsidRPr="00290946">
        <w:rPr>
          <w:rFonts w:eastAsia="Times New Roman" w:cs="Arial"/>
          <w:snapToGrid w:val="0"/>
          <w:szCs w:val="24"/>
          <w:lang w:val="en-GB" w:eastAsia="en-US"/>
        </w:rPr>
        <w:t xml:space="preserve"> BILAG</w:t>
      </w:r>
      <w:r w:rsidR="00FF1914">
        <w:rPr>
          <w:rFonts w:eastAsia="Times New Roman" w:cs="Arial"/>
          <w:snapToGrid w:val="0"/>
          <w:szCs w:val="24"/>
          <w:lang w:val="en-GB" w:eastAsia="en-US"/>
        </w:rPr>
        <w:noBreakHyphen/>
      </w:r>
      <w:r w:rsidR="00290946" w:rsidRPr="00290946">
        <w:rPr>
          <w:rFonts w:eastAsia="Times New Roman" w:cs="Arial"/>
          <w:snapToGrid w:val="0"/>
          <w:szCs w:val="24"/>
          <w:lang w:val="en-GB" w:eastAsia="en-US"/>
        </w:rPr>
        <w:t xml:space="preserve">BR) </w:t>
      </w:r>
      <w:r w:rsidR="00C35C1A">
        <w:rPr>
          <w:rFonts w:eastAsia="Times New Roman" w:cs="Arial"/>
          <w:snapToGrid w:val="0"/>
          <w:szCs w:val="24"/>
          <w:lang w:val="en-GB" w:eastAsia="en-US"/>
        </w:rPr>
        <w:t>that</w:t>
      </w:r>
      <w:r w:rsidR="00290946" w:rsidRPr="00290946">
        <w:rPr>
          <w:rFonts w:eastAsia="Times New Roman" w:cs="Arial"/>
          <w:snapToGrid w:val="0"/>
          <w:szCs w:val="24"/>
          <w:lang w:val="en-GB" w:eastAsia="en-US"/>
        </w:rPr>
        <w:t xml:space="preserve"> showed</w:t>
      </w:r>
      <w:r w:rsidR="00B559AF">
        <w:rPr>
          <w:rFonts w:eastAsia="Times New Roman" w:cs="Arial"/>
          <w:snapToGrid w:val="0"/>
          <w:szCs w:val="24"/>
          <w:lang w:val="en-GB" w:eastAsia="en-US"/>
        </w:rPr>
        <w:t xml:space="preserve"> improvements in</w:t>
      </w:r>
      <w:r w:rsidR="00290946" w:rsidRPr="00290946">
        <w:rPr>
          <w:rFonts w:eastAsia="Times New Roman" w:cs="Arial"/>
          <w:snapToGrid w:val="0"/>
          <w:szCs w:val="24"/>
          <w:lang w:val="en-GB" w:eastAsia="en-US"/>
        </w:rPr>
        <w:t xml:space="preserve"> renal response in patients with treatment</w:t>
      </w:r>
      <w:r w:rsidR="00290946" w:rsidRPr="00290946">
        <w:rPr>
          <w:rFonts w:ascii="Cambria Math" w:eastAsia="Times New Roman" w:hAnsi="Cambria Math" w:cs="Cambria Math"/>
          <w:snapToGrid w:val="0"/>
          <w:szCs w:val="24"/>
          <w:lang w:val="en-GB" w:eastAsia="en-US"/>
        </w:rPr>
        <w:t>‑</w:t>
      </w:r>
      <w:r w:rsidR="00290946" w:rsidRPr="00290946">
        <w:rPr>
          <w:rFonts w:eastAsia="Times New Roman" w:cs="Arial"/>
          <w:snapToGrid w:val="0"/>
          <w:szCs w:val="24"/>
          <w:lang w:val="en-GB" w:eastAsia="en-US"/>
        </w:rPr>
        <w:t>resistant lupus nephritis</w:t>
      </w:r>
      <w:r w:rsidR="00781DAD">
        <w:rPr>
          <w:rFonts w:eastAsia="Times New Roman" w:cs="Arial"/>
          <w:snapToGrid w:val="0"/>
          <w:szCs w:val="24"/>
          <w:lang w:val="en-GB" w:eastAsia="en-US"/>
        </w:rPr>
        <w:t xml:space="preserve"> (a subset of the population proposed for </w:t>
      </w:r>
      <w:r w:rsidR="00BE4D8F">
        <w:rPr>
          <w:rFonts w:eastAsia="Times New Roman" w:cs="Arial"/>
          <w:snapToGrid w:val="0"/>
          <w:szCs w:val="24"/>
          <w:lang w:val="en-GB" w:eastAsia="en-US"/>
        </w:rPr>
        <w:t>obinutuzumab)</w:t>
      </w:r>
      <w:r w:rsidR="00290946" w:rsidRPr="00B91B3C">
        <w:rPr>
          <w:rFonts w:eastAsia="Times New Roman" w:cs="Arial"/>
          <w:snapToGrid w:val="0"/>
          <w:szCs w:val="24"/>
          <w:lang w:val="en-GB" w:eastAsia="en-US"/>
        </w:rPr>
        <w:t>.</w:t>
      </w:r>
      <w:r w:rsidR="007650E8" w:rsidRPr="00B91B3C">
        <w:rPr>
          <w:snapToGrid w:val="0"/>
          <w:lang w:val="en-GB" w:eastAsia="en-US"/>
        </w:rPr>
        <w:t xml:space="preserve"> </w:t>
      </w:r>
      <w:r w:rsidR="00722928">
        <w:rPr>
          <w:snapToGrid w:val="0"/>
          <w:lang w:val="en-GB" w:eastAsia="en-US"/>
        </w:rPr>
        <w:t xml:space="preserve">The extent of use of rituximab for this indication in current Australian practice was unknown. </w:t>
      </w:r>
      <w:r w:rsidR="00B865FA">
        <w:rPr>
          <w:snapToGrid w:val="0"/>
          <w:lang w:val="en-GB" w:eastAsia="en-US"/>
        </w:rPr>
        <w:t>A published</w:t>
      </w:r>
      <w:r w:rsidR="0011306C">
        <w:rPr>
          <w:snapToGrid w:val="0"/>
          <w:lang w:val="en-GB" w:eastAsia="en-US"/>
        </w:rPr>
        <w:t xml:space="preserve"> analysis of the </w:t>
      </w:r>
      <w:r w:rsidR="007657F4">
        <w:rPr>
          <w:snapToGrid w:val="0"/>
          <w:lang w:val="en-GB" w:eastAsia="en-US"/>
        </w:rPr>
        <w:t xml:space="preserve">ALRB </w:t>
      </w:r>
      <w:r w:rsidR="00B865FA">
        <w:rPr>
          <w:snapToGrid w:val="0"/>
          <w:lang w:val="en-GB" w:eastAsia="en-US"/>
        </w:rPr>
        <w:t>d</w:t>
      </w:r>
      <w:r w:rsidR="00B865FA" w:rsidRPr="00B865FA">
        <w:rPr>
          <w:snapToGrid w:val="0"/>
          <w:lang w:val="en-GB" w:eastAsia="en-US"/>
        </w:rPr>
        <w:t>ata</w:t>
      </w:r>
      <w:r w:rsidR="00B865FA">
        <w:rPr>
          <w:snapToGrid w:val="0"/>
          <w:lang w:val="en-GB" w:eastAsia="en-US"/>
        </w:rPr>
        <w:t xml:space="preserve"> (</w:t>
      </w:r>
      <w:r w:rsidR="00B865FA" w:rsidRPr="00B865FA">
        <w:rPr>
          <w:snapToGrid w:val="0"/>
          <w:lang w:val="en-GB" w:eastAsia="en-US"/>
        </w:rPr>
        <w:t>Nakagawa 2025</w:t>
      </w:r>
      <w:r w:rsidR="000B1817">
        <w:rPr>
          <w:snapToGrid w:val="0"/>
          <w:lang w:val="en-GB" w:eastAsia="en-US"/>
        </w:rPr>
        <w:t xml:space="preserve">, refer to paragraph </w:t>
      </w:r>
      <w:r w:rsidR="000B1817">
        <w:rPr>
          <w:snapToGrid w:val="0"/>
          <w:lang w:val="en-GB" w:eastAsia="en-US"/>
        </w:rPr>
        <w:fldChar w:fldCharType="begin"/>
      </w:r>
      <w:r w:rsidR="000B1817">
        <w:rPr>
          <w:snapToGrid w:val="0"/>
          <w:lang w:val="en-GB" w:eastAsia="en-US"/>
        </w:rPr>
        <w:instrText xml:space="preserve"> REF _Ref224831677 \r \h </w:instrText>
      </w:r>
      <w:r w:rsidR="000B1817">
        <w:rPr>
          <w:snapToGrid w:val="0"/>
          <w:lang w:val="en-GB" w:eastAsia="en-US"/>
        </w:rPr>
      </w:r>
      <w:r w:rsidR="000B1817">
        <w:rPr>
          <w:snapToGrid w:val="0"/>
          <w:lang w:val="en-GB" w:eastAsia="en-US"/>
        </w:rPr>
        <w:fldChar w:fldCharType="separate"/>
      </w:r>
      <w:r w:rsidR="002255D9">
        <w:rPr>
          <w:snapToGrid w:val="0"/>
          <w:lang w:val="en-GB" w:eastAsia="en-US"/>
        </w:rPr>
        <w:t>4.8</w:t>
      </w:r>
      <w:r w:rsidR="000B1817">
        <w:rPr>
          <w:snapToGrid w:val="0"/>
          <w:lang w:val="en-GB" w:eastAsia="en-US"/>
        </w:rPr>
        <w:fldChar w:fldCharType="end"/>
      </w:r>
      <w:r w:rsidR="000B1817">
        <w:rPr>
          <w:snapToGrid w:val="0"/>
          <w:lang w:val="en-GB" w:eastAsia="en-US"/>
        </w:rPr>
        <w:t>)</w:t>
      </w:r>
      <w:r w:rsidR="00B865FA" w:rsidRPr="00B865FA">
        <w:rPr>
          <w:snapToGrid w:val="0"/>
          <w:lang w:val="en-GB" w:eastAsia="en-US"/>
        </w:rPr>
        <w:t xml:space="preserve"> found</w:t>
      </w:r>
      <w:r w:rsidR="00265D22">
        <w:rPr>
          <w:snapToGrid w:val="0"/>
          <w:lang w:val="en-GB" w:eastAsia="en-US"/>
        </w:rPr>
        <w:t xml:space="preserve"> limited use of rituximab</w:t>
      </w:r>
      <w:r w:rsidR="0018349C">
        <w:rPr>
          <w:snapToGrid w:val="0"/>
          <w:lang w:val="en-GB" w:eastAsia="en-US"/>
        </w:rPr>
        <w:t>,</w:t>
      </w:r>
      <w:r w:rsidR="00265D22">
        <w:rPr>
          <w:snapToGrid w:val="0"/>
          <w:lang w:val="en-GB" w:eastAsia="en-US"/>
        </w:rPr>
        <w:t xml:space="preserve"> however this was </w:t>
      </w:r>
      <w:r w:rsidR="008B2C6B">
        <w:rPr>
          <w:snapToGrid w:val="0"/>
          <w:lang w:val="en-GB" w:eastAsia="en-US"/>
        </w:rPr>
        <w:t>based on</w:t>
      </w:r>
      <w:r w:rsidR="00265D22">
        <w:rPr>
          <w:snapToGrid w:val="0"/>
          <w:lang w:val="en-GB" w:eastAsia="en-US"/>
        </w:rPr>
        <w:t xml:space="preserve"> a single</w:t>
      </w:r>
      <w:r w:rsidR="000D1AF2">
        <w:rPr>
          <w:snapToGrid w:val="0"/>
          <w:lang w:val="en-GB" w:eastAsia="en-US"/>
        </w:rPr>
        <w:t xml:space="preserve"> </w:t>
      </w:r>
      <w:r w:rsidR="00265D22">
        <w:rPr>
          <w:snapToGrid w:val="0"/>
          <w:lang w:val="en-GB" w:eastAsia="en-US"/>
        </w:rPr>
        <w:t xml:space="preserve">centre </w:t>
      </w:r>
      <w:r w:rsidR="000D1AF2">
        <w:rPr>
          <w:snapToGrid w:val="0"/>
          <w:lang w:val="en-GB" w:eastAsia="en-US"/>
        </w:rPr>
        <w:t xml:space="preserve">with data collected prior to </w:t>
      </w:r>
      <w:r w:rsidR="00760950">
        <w:rPr>
          <w:snapToGrid w:val="0"/>
          <w:lang w:val="en-GB" w:eastAsia="en-US"/>
        </w:rPr>
        <w:t>rituximab be</w:t>
      </w:r>
      <w:r w:rsidR="00D74479">
        <w:rPr>
          <w:snapToGrid w:val="0"/>
          <w:lang w:val="en-GB" w:eastAsia="en-US"/>
        </w:rPr>
        <w:t xml:space="preserve">coming </w:t>
      </w:r>
      <w:r w:rsidR="00862534">
        <w:rPr>
          <w:snapToGrid w:val="0"/>
          <w:lang w:val="en-GB" w:eastAsia="en-US"/>
        </w:rPr>
        <w:t>an</w:t>
      </w:r>
      <w:r w:rsidR="00760950">
        <w:rPr>
          <w:snapToGrid w:val="0"/>
          <w:lang w:val="en-GB" w:eastAsia="en-US"/>
        </w:rPr>
        <w:t xml:space="preserve"> unrestricted </w:t>
      </w:r>
      <w:r w:rsidR="00862534">
        <w:rPr>
          <w:snapToGrid w:val="0"/>
          <w:lang w:val="en-GB" w:eastAsia="en-US"/>
        </w:rPr>
        <w:t xml:space="preserve">benefit </w:t>
      </w:r>
      <w:r w:rsidR="00760950">
        <w:rPr>
          <w:snapToGrid w:val="0"/>
          <w:lang w:val="en-GB" w:eastAsia="en-US"/>
        </w:rPr>
        <w:t>on the PBS.</w:t>
      </w:r>
      <w:r w:rsidR="00322AF6">
        <w:rPr>
          <w:snapToGrid w:val="0"/>
          <w:lang w:val="en-GB" w:eastAsia="en-US"/>
        </w:rPr>
        <w:t xml:space="preserve"> The PBAC also noted the Izcovich 2025 meta</w:t>
      </w:r>
      <w:r w:rsidR="00FF1914">
        <w:rPr>
          <w:snapToGrid w:val="0"/>
          <w:lang w:val="en-GB" w:eastAsia="en-US"/>
        </w:rPr>
        <w:noBreakHyphen/>
      </w:r>
      <w:r w:rsidR="00322AF6">
        <w:rPr>
          <w:snapToGrid w:val="0"/>
          <w:lang w:val="en-GB" w:eastAsia="en-US"/>
        </w:rPr>
        <w:t xml:space="preserve">analysis which suggested that rituximab was inferior to voclosporin, belimumab and obinutuzumab. </w:t>
      </w:r>
      <w:r w:rsidR="007650E8" w:rsidRPr="00B91B3C">
        <w:rPr>
          <w:snapToGrid w:val="0"/>
          <w:lang w:val="en-GB" w:eastAsia="en-US"/>
        </w:rPr>
        <w:t xml:space="preserve">The PBAC considered that the impact of </w:t>
      </w:r>
      <w:r w:rsidR="00B91B3C" w:rsidRPr="00B91B3C">
        <w:rPr>
          <w:snapToGrid w:val="0"/>
          <w:lang w:val="en-GB" w:eastAsia="en-US"/>
        </w:rPr>
        <w:t>ex</w:t>
      </w:r>
      <w:r w:rsidR="007650E8" w:rsidRPr="00B91B3C">
        <w:rPr>
          <w:snapToGrid w:val="0"/>
          <w:lang w:val="en-GB" w:eastAsia="en-US"/>
        </w:rPr>
        <w:t xml:space="preserve">cluding rituximab as a comparator on the clinical claim and economic analysis </w:t>
      </w:r>
      <w:r w:rsidR="00B91B3C" w:rsidRPr="00B91B3C">
        <w:rPr>
          <w:snapToGrid w:val="0"/>
          <w:lang w:val="en-GB" w:eastAsia="en-US"/>
        </w:rPr>
        <w:t>wa</w:t>
      </w:r>
      <w:r w:rsidR="007650E8" w:rsidRPr="00B91B3C">
        <w:rPr>
          <w:snapToGrid w:val="0"/>
          <w:lang w:val="en-GB" w:eastAsia="en-US"/>
        </w:rPr>
        <w:t>s un</w:t>
      </w:r>
      <w:r w:rsidR="004464EC">
        <w:rPr>
          <w:snapToGrid w:val="0"/>
          <w:lang w:val="en-GB" w:eastAsia="en-US"/>
        </w:rPr>
        <w:t>known</w:t>
      </w:r>
      <w:r w:rsidR="00322AF6">
        <w:rPr>
          <w:snapToGrid w:val="0"/>
          <w:lang w:val="en-GB" w:eastAsia="en-US"/>
        </w:rPr>
        <w:t>, but accepted that rituximab was likely inferior in efficacy to obinutuzumab and that an indirect treatment comparison would be unlikely to be informative</w:t>
      </w:r>
      <w:r w:rsidR="007650E8" w:rsidRPr="00B91B3C">
        <w:rPr>
          <w:snapToGrid w:val="0"/>
          <w:lang w:val="en-GB" w:eastAsia="en-US"/>
        </w:rPr>
        <w:t>.</w:t>
      </w:r>
    </w:p>
    <w:p w14:paraId="39A33D4D" w14:textId="413CFC0D" w:rsidR="008F7D82" w:rsidRPr="008F7D82" w:rsidRDefault="00064D2A" w:rsidP="00735080">
      <w:pPr>
        <w:pStyle w:val="3-BodyText"/>
        <w:rPr>
          <w:snapToGrid w:val="0"/>
          <w:lang w:val="en-GB" w:eastAsia="en-US"/>
        </w:rPr>
      </w:pPr>
      <w:r w:rsidRPr="008F2A8D">
        <w:rPr>
          <w:snapToGrid w:val="0"/>
          <w:lang w:val="en-GB" w:eastAsia="en-US"/>
        </w:rPr>
        <w:t xml:space="preserve">The PBAC </w:t>
      </w:r>
      <w:r w:rsidR="00735080">
        <w:rPr>
          <w:rFonts w:eastAsia="Times New Roman" w:cs="Arial"/>
          <w:snapToGrid w:val="0"/>
          <w:szCs w:val="24"/>
          <w:lang w:val="en-GB" w:eastAsia="en-US"/>
        </w:rPr>
        <w:t>noted</w:t>
      </w:r>
      <w:r w:rsidRPr="008F2A8D">
        <w:rPr>
          <w:snapToGrid w:val="0"/>
          <w:lang w:val="en-GB" w:eastAsia="en-US"/>
        </w:rPr>
        <w:t xml:space="preserve"> the primary evidence was </w:t>
      </w:r>
      <w:r w:rsidR="00D84E0D">
        <w:rPr>
          <w:snapToGrid w:val="0"/>
          <w:lang w:val="en-GB" w:eastAsia="en-US"/>
        </w:rPr>
        <w:t>the R</w:t>
      </w:r>
      <w:r w:rsidR="00E174F1">
        <w:rPr>
          <w:snapToGrid w:val="0"/>
          <w:lang w:val="en-GB" w:eastAsia="en-US"/>
        </w:rPr>
        <w:t>EGENCY</w:t>
      </w:r>
      <w:r w:rsidR="00D84E0D">
        <w:rPr>
          <w:snapToGrid w:val="0"/>
          <w:lang w:val="en-GB" w:eastAsia="en-US"/>
        </w:rPr>
        <w:t xml:space="preserve"> trial</w:t>
      </w:r>
      <w:r w:rsidR="00167012">
        <w:rPr>
          <w:snapToGrid w:val="0"/>
          <w:lang w:val="en-GB" w:eastAsia="en-US"/>
        </w:rPr>
        <w:t xml:space="preserve">, a </w:t>
      </w:r>
      <w:r w:rsidR="00F3667D">
        <w:rPr>
          <w:snapToGrid w:val="0"/>
          <w:lang w:val="en-GB" w:eastAsia="en-US"/>
        </w:rPr>
        <w:t>randomised controlled</w:t>
      </w:r>
      <w:r w:rsidR="00167012">
        <w:rPr>
          <w:snapToGrid w:val="0"/>
          <w:lang w:val="en-GB" w:eastAsia="en-US"/>
        </w:rPr>
        <w:t xml:space="preserve"> trial</w:t>
      </w:r>
      <w:r w:rsidR="009E1611">
        <w:rPr>
          <w:snapToGrid w:val="0"/>
          <w:lang w:val="en-GB" w:eastAsia="en-US"/>
        </w:rPr>
        <w:t xml:space="preserve"> that was considered to have a l</w:t>
      </w:r>
      <w:r w:rsidR="003A7521">
        <w:rPr>
          <w:snapToGrid w:val="0"/>
          <w:lang w:val="en-GB" w:eastAsia="en-US"/>
        </w:rPr>
        <w:t xml:space="preserve">ow risk of bias. </w:t>
      </w:r>
      <w:r w:rsidR="0069344D">
        <w:t xml:space="preserve">The REGENCY trial </w:t>
      </w:r>
      <w:r w:rsidR="004C7B4B">
        <w:t xml:space="preserve">found </w:t>
      </w:r>
      <w:r w:rsidR="00817EDA">
        <w:t xml:space="preserve">statistically </w:t>
      </w:r>
      <w:r w:rsidR="004C7B4B" w:rsidRPr="008F2A8D">
        <w:rPr>
          <w:snapToGrid w:val="0"/>
          <w:lang w:val="en-GB" w:eastAsia="en-US"/>
        </w:rPr>
        <w:t>significant improvements in CRR, CRR with prednisone taper and proteinuric response at week 76</w:t>
      </w:r>
      <w:r w:rsidR="00020FFA">
        <w:rPr>
          <w:snapToGrid w:val="0"/>
          <w:lang w:val="en-GB" w:eastAsia="en-US"/>
        </w:rPr>
        <w:t xml:space="preserve">. The PBAC considered the improvements observed were </w:t>
      </w:r>
      <w:r w:rsidR="00EB3975" w:rsidRPr="00EB3975">
        <w:t>likely clinically meaningful given the proposed minimally clinically important difference (MCID ≥10% absolute difference in CRR at Week 52)</w:t>
      </w:r>
      <w:r w:rsidR="0078773F">
        <w:t xml:space="preserve"> was met </w:t>
      </w:r>
      <w:r w:rsidR="0019054C">
        <w:t>(</w:t>
      </w:r>
      <w:r w:rsidR="00596B5A">
        <w:t>i.</w:t>
      </w:r>
      <w:r w:rsidR="0019054C">
        <w:t>e. 13.4% difference in CRR</w:t>
      </w:r>
      <w:r w:rsidR="004E5ABE">
        <w:t xml:space="preserve"> </w:t>
      </w:r>
      <w:r w:rsidR="00AC5120">
        <w:t>at week 7</w:t>
      </w:r>
      <w:r w:rsidR="002A2D44">
        <w:t>6</w:t>
      </w:r>
      <w:r w:rsidR="00AC5120">
        <w:t xml:space="preserve">, </w:t>
      </w:r>
      <w:r w:rsidR="004E5ABE">
        <w:t>with a 45.8% respon</w:t>
      </w:r>
      <w:r w:rsidR="002C620E">
        <w:t>der</w:t>
      </w:r>
      <w:r w:rsidR="004E5ABE">
        <w:t xml:space="preserve"> rate</w:t>
      </w:r>
      <w:r w:rsidR="00D82727">
        <w:t xml:space="preserve"> in the obinutuzumab arm</w:t>
      </w:r>
      <w:r w:rsidR="004E5ABE">
        <w:t>)</w:t>
      </w:r>
      <w:r w:rsidR="00EB3975" w:rsidRPr="00EB3975">
        <w:t>.</w:t>
      </w:r>
      <w:r w:rsidR="002C620E" w:rsidRPr="002C620E">
        <w:t xml:space="preserve"> </w:t>
      </w:r>
      <w:r w:rsidR="002C620E">
        <w:t xml:space="preserve">The PBAC </w:t>
      </w:r>
      <w:r w:rsidR="00B50A83">
        <w:t>consider</w:t>
      </w:r>
      <w:r w:rsidR="003B107A">
        <w:t xml:space="preserve">ed </w:t>
      </w:r>
      <w:r w:rsidR="002C620E">
        <w:t xml:space="preserve">that the </w:t>
      </w:r>
      <w:r w:rsidR="002C620E" w:rsidRPr="002C620E">
        <w:t>NOBILITY trial</w:t>
      </w:r>
      <w:r w:rsidR="002C620E">
        <w:t xml:space="preserve"> </w:t>
      </w:r>
      <w:r w:rsidR="00B50A83">
        <w:t>was supportive of these outcomes</w:t>
      </w:r>
      <w:r w:rsidR="00092938">
        <w:t>.</w:t>
      </w:r>
      <w:r w:rsidR="00581D62">
        <w:t xml:space="preserve"> </w:t>
      </w:r>
    </w:p>
    <w:p w14:paraId="7E954E6D" w14:textId="7AB7F541" w:rsidR="008F7D82" w:rsidRPr="008F7D82" w:rsidRDefault="005B187A" w:rsidP="00735080">
      <w:pPr>
        <w:pStyle w:val="3-BodyText"/>
        <w:rPr>
          <w:snapToGrid w:val="0"/>
          <w:lang w:val="en-GB" w:eastAsia="en-US"/>
        </w:rPr>
      </w:pPr>
      <w:r>
        <w:t xml:space="preserve">The </w:t>
      </w:r>
      <w:r w:rsidR="00E444B4">
        <w:t>P</w:t>
      </w:r>
      <w:r>
        <w:t xml:space="preserve">BAC </w:t>
      </w:r>
      <w:r w:rsidR="00092938">
        <w:t xml:space="preserve">considered </w:t>
      </w:r>
      <w:r>
        <w:t xml:space="preserve">that the evidence </w:t>
      </w:r>
      <w:r w:rsidR="00726D77">
        <w:t xml:space="preserve">suggested </w:t>
      </w:r>
      <w:r w:rsidR="004B4255">
        <w:t xml:space="preserve">that </w:t>
      </w:r>
      <w:r w:rsidR="00D804CB">
        <w:t xml:space="preserve">the </w:t>
      </w:r>
      <w:r w:rsidR="004B4255">
        <w:t xml:space="preserve">safety </w:t>
      </w:r>
      <w:r w:rsidR="00E444B4">
        <w:t xml:space="preserve">of </w:t>
      </w:r>
      <w:r w:rsidR="00E444B4" w:rsidRPr="00F93DE5">
        <w:rPr>
          <w:snapToGrid w:val="0"/>
          <w:lang w:val="en-GB" w:eastAsia="en-US"/>
        </w:rPr>
        <w:t>obinutuzumab</w:t>
      </w:r>
      <w:r w:rsidR="00E444B4">
        <w:t xml:space="preserve"> </w:t>
      </w:r>
      <w:r w:rsidR="004B4255">
        <w:t>was inferior</w:t>
      </w:r>
      <w:r w:rsidR="00E444B4">
        <w:t xml:space="preserve"> relative to standard therapy with </w:t>
      </w:r>
      <w:r w:rsidR="00F3508B">
        <w:t xml:space="preserve">the REGENCY trial reporting </w:t>
      </w:r>
      <w:r w:rsidR="00ED5895">
        <w:t>higher rates of</w:t>
      </w:r>
      <w:r w:rsidR="00F3508B">
        <w:t>:</w:t>
      </w:r>
      <w:r w:rsidR="00ED5895">
        <w:t xml:space="preserve"> </w:t>
      </w:r>
      <w:r w:rsidR="0081542E">
        <w:t xml:space="preserve">serious adverse events </w:t>
      </w:r>
      <w:r w:rsidR="007119E4">
        <w:t>(32.4% versus 18.2%, respectively)</w:t>
      </w:r>
      <w:r w:rsidR="00740B61">
        <w:t>, Grade 3</w:t>
      </w:r>
      <w:r w:rsidR="00FF1914">
        <w:noBreakHyphen/>
      </w:r>
      <w:r w:rsidR="00740B61">
        <w:t>5 infection</w:t>
      </w:r>
      <w:r w:rsidR="008061AD">
        <w:t>s</w:t>
      </w:r>
      <w:r w:rsidR="00740B61">
        <w:t xml:space="preserve"> (15.4% versus 6.8%)</w:t>
      </w:r>
      <w:r w:rsidR="007119E4">
        <w:t xml:space="preserve"> and </w:t>
      </w:r>
      <w:r w:rsidR="00ED5895">
        <w:t>infusion</w:t>
      </w:r>
      <w:r w:rsidR="00FF1914">
        <w:noBreakHyphen/>
      </w:r>
      <w:r w:rsidR="00ED5895">
        <w:t xml:space="preserve">related </w:t>
      </w:r>
      <w:r w:rsidR="00740B61">
        <w:t>reactions</w:t>
      </w:r>
      <w:r w:rsidR="004867EC">
        <w:t>(15.4% versus 11.4%)</w:t>
      </w:r>
      <w:r w:rsidR="00ED5895">
        <w:t xml:space="preserve">. </w:t>
      </w:r>
    </w:p>
    <w:p w14:paraId="0CFB5F08" w14:textId="22564D40" w:rsidR="005A102E" w:rsidRPr="003A7521" w:rsidRDefault="00B164D9" w:rsidP="003A7521">
      <w:pPr>
        <w:pStyle w:val="3-BodyText"/>
        <w:rPr>
          <w:snapToGrid w:val="0"/>
          <w:lang w:val="en-GB" w:eastAsia="en-US"/>
        </w:rPr>
      </w:pPr>
      <w:r>
        <w:t xml:space="preserve">Overall, </w:t>
      </w:r>
      <w:r w:rsidR="005B187A">
        <w:t>t</w:t>
      </w:r>
      <w:r w:rsidR="009521D9">
        <w:t>he PBAC considered that</w:t>
      </w:r>
      <w:r w:rsidR="003B107A">
        <w:t xml:space="preserve"> the s</w:t>
      </w:r>
      <w:r w:rsidR="003A7521">
        <w:t>ubmission</w:t>
      </w:r>
      <w:r w:rsidR="003A7521">
        <w:rPr>
          <w:snapToGrid w:val="0"/>
          <w:lang w:val="en-GB" w:eastAsia="en-US"/>
        </w:rPr>
        <w:t>’s</w:t>
      </w:r>
      <w:r w:rsidR="00395941">
        <w:t xml:space="preserve"> claim of </w:t>
      </w:r>
      <w:r w:rsidR="00395941" w:rsidRPr="00395941">
        <w:t>superior comparative effectiveness</w:t>
      </w:r>
      <w:r w:rsidR="00395941">
        <w:t xml:space="preserve"> and inferior safety </w:t>
      </w:r>
      <w:r w:rsidR="00595F3D">
        <w:t xml:space="preserve">versus </w:t>
      </w:r>
      <w:r w:rsidR="00D762B0">
        <w:t>standard therapy was</w:t>
      </w:r>
      <w:r w:rsidR="00395941">
        <w:t xml:space="preserve"> reasonable</w:t>
      </w:r>
      <w:r w:rsidR="002F457E">
        <w:t>.</w:t>
      </w:r>
      <w:r w:rsidR="00F50AB5">
        <w:t xml:space="preserve"> </w:t>
      </w:r>
      <w:r w:rsidR="002F457E">
        <w:t xml:space="preserve">However, the PBAC also considered that </w:t>
      </w:r>
      <w:r w:rsidR="00D0025D">
        <w:t xml:space="preserve">limitations of the evidence included </w:t>
      </w:r>
      <w:r w:rsidR="009334D1">
        <w:t xml:space="preserve">the lack of </w:t>
      </w:r>
      <w:r w:rsidR="00F50AB5" w:rsidRPr="00F50AB5">
        <w:t xml:space="preserve">longer term </w:t>
      </w:r>
      <w:r w:rsidR="00115638">
        <w:t xml:space="preserve">comparative </w:t>
      </w:r>
      <w:r w:rsidR="00F50AB5" w:rsidRPr="00F50AB5">
        <w:t xml:space="preserve">evidence </w:t>
      </w:r>
      <w:r w:rsidR="00F50AB5">
        <w:t>beyond 76 weeks</w:t>
      </w:r>
      <w:r w:rsidR="008F7D82">
        <w:t xml:space="preserve"> </w:t>
      </w:r>
      <w:r w:rsidR="00044869">
        <w:t>and</w:t>
      </w:r>
      <w:r w:rsidR="009334D1">
        <w:t xml:space="preserve"> </w:t>
      </w:r>
      <w:r w:rsidR="00341F5A">
        <w:t xml:space="preserve">absence of </w:t>
      </w:r>
      <w:r w:rsidR="00044869">
        <w:t xml:space="preserve">evidence presented for </w:t>
      </w:r>
      <w:r w:rsidR="00044869" w:rsidRPr="00044869">
        <w:t>younger</w:t>
      </w:r>
      <w:r w:rsidR="002B4EB7">
        <w:t xml:space="preserve"> (&lt;18 years) and</w:t>
      </w:r>
      <w:r w:rsidR="0051613E">
        <w:t xml:space="preserve"> </w:t>
      </w:r>
      <w:r w:rsidR="00044869" w:rsidRPr="00044869">
        <w:t>older (&gt;75yrs)</w:t>
      </w:r>
      <w:r w:rsidR="0051613E">
        <w:t xml:space="preserve"> patients. </w:t>
      </w:r>
    </w:p>
    <w:p w14:paraId="343D804D" w14:textId="3A599FA0" w:rsidR="00C500DE" w:rsidRPr="00C500DE" w:rsidRDefault="005A102E" w:rsidP="00417CAD">
      <w:pPr>
        <w:pStyle w:val="3-BodyText"/>
        <w:rPr>
          <w:snapToGrid w:val="0"/>
        </w:rPr>
      </w:pPr>
      <w:r w:rsidRPr="005A102E">
        <w:rPr>
          <w:rFonts w:eastAsia="Times New Roman" w:cs="Arial"/>
          <w:snapToGrid w:val="0"/>
          <w:szCs w:val="24"/>
          <w:lang w:val="en-GB" w:eastAsia="en-US"/>
        </w:rPr>
        <w:t xml:space="preserve">The PBAC </w:t>
      </w:r>
      <w:r w:rsidR="00430245">
        <w:rPr>
          <w:rFonts w:eastAsia="Times New Roman" w:cs="Arial"/>
          <w:snapToGrid w:val="0"/>
          <w:szCs w:val="24"/>
          <w:lang w:val="en-GB" w:eastAsia="en-US"/>
        </w:rPr>
        <w:t>not</w:t>
      </w:r>
      <w:r w:rsidR="00430245" w:rsidRPr="005A102E">
        <w:rPr>
          <w:rFonts w:eastAsia="Times New Roman" w:cs="Arial"/>
          <w:snapToGrid w:val="0"/>
          <w:szCs w:val="24"/>
          <w:lang w:val="en-GB" w:eastAsia="en-US"/>
        </w:rPr>
        <w:t xml:space="preserve">ed </w:t>
      </w:r>
      <w:r w:rsidRPr="005A102E">
        <w:rPr>
          <w:rFonts w:eastAsia="Times New Roman" w:cs="Arial"/>
          <w:snapToGrid w:val="0"/>
          <w:szCs w:val="24"/>
          <w:lang w:val="en-GB" w:eastAsia="en-US"/>
        </w:rPr>
        <w:t xml:space="preserve">that the economic model </w:t>
      </w:r>
      <w:r w:rsidR="00902F06">
        <w:rPr>
          <w:rFonts w:eastAsia="Times New Roman" w:cs="Arial"/>
          <w:snapToGrid w:val="0"/>
          <w:szCs w:val="24"/>
          <w:lang w:val="en-GB" w:eastAsia="en-US"/>
        </w:rPr>
        <w:t>(as corrected by the evaluat</w:t>
      </w:r>
      <w:r w:rsidR="00CE797A">
        <w:rPr>
          <w:rFonts w:eastAsia="Times New Roman" w:cs="Arial"/>
          <w:snapToGrid w:val="0"/>
          <w:szCs w:val="24"/>
          <w:lang w:val="en-GB" w:eastAsia="en-US"/>
        </w:rPr>
        <w:t>ion</w:t>
      </w:r>
      <w:r w:rsidR="00902F06">
        <w:rPr>
          <w:rFonts w:eastAsia="Times New Roman" w:cs="Arial"/>
          <w:snapToGrid w:val="0"/>
          <w:szCs w:val="24"/>
          <w:lang w:val="en-GB" w:eastAsia="en-US"/>
        </w:rPr>
        <w:t xml:space="preserve"> and a</w:t>
      </w:r>
      <w:r w:rsidR="002D1079">
        <w:rPr>
          <w:rFonts w:eastAsia="Times New Roman" w:cs="Arial"/>
          <w:snapToGrid w:val="0"/>
          <w:szCs w:val="24"/>
          <w:lang w:val="en-GB" w:eastAsia="en-US"/>
        </w:rPr>
        <w:t>ccepted</w:t>
      </w:r>
      <w:r w:rsidR="00902F06">
        <w:rPr>
          <w:rFonts w:eastAsia="Times New Roman" w:cs="Arial"/>
          <w:snapToGrid w:val="0"/>
          <w:szCs w:val="24"/>
          <w:lang w:val="en-GB" w:eastAsia="en-US"/>
        </w:rPr>
        <w:t xml:space="preserve"> in the PSCR) </w:t>
      </w:r>
      <w:r w:rsidR="005831F1">
        <w:rPr>
          <w:rFonts w:eastAsia="Times New Roman" w:cs="Arial"/>
          <w:snapToGrid w:val="0"/>
          <w:szCs w:val="24"/>
          <w:lang w:val="en-GB" w:eastAsia="en-US"/>
        </w:rPr>
        <w:t>resulted in an ICER of</w:t>
      </w:r>
      <w:r w:rsidRPr="005A102E">
        <w:rPr>
          <w:rFonts w:eastAsia="Times New Roman" w:cs="Arial"/>
          <w:snapToGrid w:val="0"/>
          <w:szCs w:val="24"/>
          <w:lang w:val="en-GB" w:eastAsia="en-US"/>
        </w:rPr>
        <w:t xml:space="preserve"> </w:t>
      </w:r>
      <w:r w:rsidR="00082E3C" w:rsidRPr="00082E3C">
        <w:rPr>
          <w:rFonts w:eastAsia="Times New Roman" w:cs="Arial"/>
          <w:snapToGrid w:val="0"/>
          <w:szCs w:val="24"/>
          <w:lang w:val="en-GB" w:eastAsia="en-US"/>
        </w:rPr>
        <w:t>$35,000 to &lt; $45,000</w:t>
      </w:r>
      <w:r w:rsidRPr="005A102E">
        <w:rPr>
          <w:rFonts w:eastAsia="Times New Roman" w:cs="Arial"/>
          <w:snapToGrid w:val="0"/>
          <w:szCs w:val="24"/>
          <w:lang w:val="en-GB" w:eastAsia="en-US"/>
        </w:rPr>
        <w:t xml:space="preserve"> per QALY gained. </w:t>
      </w:r>
      <w:r w:rsidR="0070534C">
        <w:rPr>
          <w:rFonts w:eastAsia="Times New Roman" w:cs="Arial"/>
          <w:snapToGrid w:val="0"/>
          <w:szCs w:val="24"/>
          <w:lang w:val="en-GB" w:eastAsia="en-US"/>
        </w:rPr>
        <w:t>T</w:t>
      </w:r>
      <w:r w:rsidR="0070534C" w:rsidRPr="0070534C">
        <w:rPr>
          <w:rFonts w:eastAsia="Times New Roman" w:cs="Arial"/>
          <w:snapToGrid w:val="0"/>
          <w:szCs w:val="24"/>
          <w:lang w:val="en-GB" w:eastAsia="en-US"/>
        </w:rPr>
        <w:t xml:space="preserve">he </w:t>
      </w:r>
      <w:r w:rsidR="00F04E67">
        <w:rPr>
          <w:rFonts w:eastAsia="Times New Roman" w:cs="Arial"/>
          <w:snapToGrid w:val="0"/>
          <w:szCs w:val="24"/>
          <w:lang w:val="en-GB" w:eastAsia="en-US"/>
        </w:rPr>
        <w:t xml:space="preserve">PBAC </w:t>
      </w:r>
      <w:r w:rsidR="00FB6272">
        <w:rPr>
          <w:rFonts w:eastAsia="Times New Roman" w:cs="Arial"/>
          <w:snapToGrid w:val="0"/>
          <w:szCs w:val="24"/>
          <w:lang w:val="en-GB" w:eastAsia="en-US"/>
        </w:rPr>
        <w:t>consider</w:t>
      </w:r>
      <w:r w:rsidR="00FB6272" w:rsidRPr="0070534C">
        <w:rPr>
          <w:rFonts w:eastAsia="Times New Roman" w:cs="Arial"/>
          <w:snapToGrid w:val="0"/>
          <w:szCs w:val="24"/>
          <w:lang w:val="en-GB" w:eastAsia="en-US"/>
        </w:rPr>
        <w:t xml:space="preserve">ed </w:t>
      </w:r>
      <w:r w:rsidR="0070534C" w:rsidRPr="0070534C">
        <w:rPr>
          <w:rFonts w:eastAsia="Times New Roman" w:cs="Arial"/>
          <w:snapToGrid w:val="0"/>
          <w:szCs w:val="24"/>
          <w:lang w:val="en-GB" w:eastAsia="en-US"/>
        </w:rPr>
        <w:t xml:space="preserve">that the </w:t>
      </w:r>
      <w:r w:rsidR="002329E9">
        <w:rPr>
          <w:rFonts w:eastAsia="Times New Roman" w:cs="Arial"/>
          <w:snapToGrid w:val="0"/>
          <w:szCs w:val="24"/>
          <w:lang w:val="en-GB" w:eastAsia="en-US"/>
        </w:rPr>
        <w:t xml:space="preserve">key uncertainties with the economic model were </w:t>
      </w:r>
      <w:r w:rsidR="00756A60">
        <w:rPr>
          <w:rFonts w:eastAsia="Times New Roman" w:cs="Arial"/>
          <w:snapToGrid w:val="0"/>
          <w:szCs w:val="24"/>
          <w:lang w:val="en-GB" w:eastAsia="en-US"/>
        </w:rPr>
        <w:t xml:space="preserve">the </w:t>
      </w:r>
      <w:r w:rsidR="0070534C" w:rsidRPr="0070534C">
        <w:rPr>
          <w:rFonts w:eastAsia="Times New Roman" w:cs="Arial"/>
          <w:snapToGrid w:val="0"/>
          <w:szCs w:val="24"/>
          <w:lang w:val="en-GB" w:eastAsia="en-US"/>
        </w:rPr>
        <w:lastRenderedPageBreak/>
        <w:t>assumptions regarding long</w:t>
      </w:r>
      <w:r w:rsidR="0070534C" w:rsidRPr="0070534C">
        <w:rPr>
          <w:rFonts w:ascii="Cambria Math" w:eastAsia="Times New Roman" w:hAnsi="Cambria Math" w:cs="Cambria Math"/>
          <w:snapToGrid w:val="0"/>
          <w:szCs w:val="24"/>
          <w:lang w:val="en-GB" w:eastAsia="en-US"/>
        </w:rPr>
        <w:t>‑</w:t>
      </w:r>
      <w:r w:rsidR="0070534C" w:rsidRPr="0070534C">
        <w:rPr>
          <w:rFonts w:eastAsia="Times New Roman" w:cs="Arial"/>
          <w:snapToGrid w:val="0"/>
          <w:szCs w:val="24"/>
          <w:lang w:val="en-GB" w:eastAsia="en-US"/>
        </w:rPr>
        <w:t>term outcomes following response, including the relationship between renal response</w:t>
      </w:r>
      <w:r w:rsidR="001F023F">
        <w:rPr>
          <w:rFonts w:eastAsia="Times New Roman" w:cs="Arial"/>
          <w:snapToGrid w:val="0"/>
          <w:szCs w:val="24"/>
          <w:lang w:val="en-GB" w:eastAsia="en-US"/>
        </w:rPr>
        <w:t xml:space="preserve"> at Month 18</w:t>
      </w:r>
      <w:r w:rsidR="0070534C" w:rsidRPr="0070534C">
        <w:rPr>
          <w:rFonts w:eastAsia="Times New Roman" w:cs="Arial"/>
          <w:snapToGrid w:val="0"/>
          <w:szCs w:val="24"/>
          <w:lang w:val="en-GB" w:eastAsia="en-US"/>
        </w:rPr>
        <w:t xml:space="preserve"> and </w:t>
      </w:r>
      <w:r w:rsidR="001F023F">
        <w:rPr>
          <w:rFonts w:eastAsia="Times New Roman" w:cs="Arial"/>
          <w:snapToGrid w:val="0"/>
          <w:szCs w:val="24"/>
          <w:lang w:val="en-GB" w:eastAsia="en-US"/>
        </w:rPr>
        <w:t>long</w:t>
      </w:r>
      <w:r w:rsidR="00FF1914">
        <w:rPr>
          <w:rFonts w:eastAsia="Times New Roman" w:cs="Arial"/>
          <w:snapToGrid w:val="0"/>
          <w:szCs w:val="24"/>
          <w:lang w:val="en-GB" w:eastAsia="en-US"/>
        </w:rPr>
        <w:noBreakHyphen/>
      </w:r>
      <w:r w:rsidR="001F023F">
        <w:rPr>
          <w:rFonts w:eastAsia="Times New Roman" w:cs="Arial"/>
          <w:snapToGrid w:val="0"/>
          <w:szCs w:val="24"/>
          <w:lang w:val="en-GB" w:eastAsia="en-US"/>
        </w:rPr>
        <w:t xml:space="preserve">term </w:t>
      </w:r>
      <w:r w:rsidR="0070534C" w:rsidRPr="0070534C">
        <w:rPr>
          <w:rFonts w:eastAsia="Times New Roman" w:cs="Arial"/>
          <w:snapToGrid w:val="0"/>
          <w:szCs w:val="24"/>
          <w:lang w:val="en-GB" w:eastAsia="en-US"/>
        </w:rPr>
        <w:t>progression to end</w:t>
      </w:r>
      <w:r w:rsidR="0070534C" w:rsidRPr="0070534C">
        <w:rPr>
          <w:rFonts w:ascii="Cambria Math" w:eastAsia="Times New Roman" w:hAnsi="Cambria Math" w:cs="Cambria Math"/>
          <w:snapToGrid w:val="0"/>
          <w:szCs w:val="24"/>
          <w:lang w:val="en-GB" w:eastAsia="en-US"/>
        </w:rPr>
        <w:t>‑</w:t>
      </w:r>
      <w:r w:rsidR="0070534C" w:rsidRPr="0070534C">
        <w:rPr>
          <w:rFonts w:eastAsia="Times New Roman" w:cs="Arial"/>
          <w:snapToGrid w:val="0"/>
          <w:szCs w:val="24"/>
          <w:lang w:val="en-GB" w:eastAsia="en-US"/>
        </w:rPr>
        <w:t>stage kidney disease</w:t>
      </w:r>
      <w:r w:rsidR="006D17EE">
        <w:rPr>
          <w:rFonts w:eastAsia="Times New Roman" w:cs="Arial"/>
          <w:snapToGrid w:val="0"/>
          <w:szCs w:val="24"/>
          <w:lang w:val="en-GB" w:eastAsia="en-US"/>
        </w:rPr>
        <w:t xml:space="preserve"> (</w:t>
      </w:r>
      <w:r w:rsidR="000839F0">
        <w:rPr>
          <w:rFonts w:eastAsia="Times New Roman" w:cs="Arial"/>
          <w:snapToGrid w:val="0"/>
          <w:szCs w:val="24"/>
          <w:lang w:val="en-GB" w:eastAsia="en-US"/>
        </w:rPr>
        <w:t>which result</w:t>
      </w:r>
      <w:r w:rsidR="00151136">
        <w:rPr>
          <w:rFonts w:eastAsia="Times New Roman" w:cs="Arial"/>
          <w:snapToGrid w:val="0"/>
          <w:szCs w:val="24"/>
          <w:lang w:val="en-GB" w:eastAsia="en-US"/>
        </w:rPr>
        <w:t>ed</w:t>
      </w:r>
      <w:r w:rsidR="00934C6D">
        <w:rPr>
          <w:rFonts w:eastAsia="Times New Roman" w:cs="Arial"/>
          <w:snapToGrid w:val="0"/>
          <w:szCs w:val="24"/>
          <w:lang w:val="en-GB" w:eastAsia="en-US"/>
        </w:rPr>
        <w:t xml:space="preserve"> in </w:t>
      </w:r>
      <w:r w:rsidR="00306229">
        <w:rPr>
          <w:rFonts w:eastAsia="Times New Roman" w:cs="Arial"/>
          <w:snapToGrid w:val="0"/>
          <w:szCs w:val="24"/>
          <w:lang w:val="en-GB" w:eastAsia="en-US"/>
        </w:rPr>
        <w:t xml:space="preserve">lower rates of dialysis, death and lower </w:t>
      </w:r>
      <w:r w:rsidR="00554337">
        <w:rPr>
          <w:rFonts w:eastAsia="Times New Roman" w:cs="Arial"/>
          <w:snapToGrid w:val="0"/>
          <w:szCs w:val="24"/>
          <w:lang w:val="en-GB" w:eastAsia="en-US"/>
        </w:rPr>
        <w:t>long</w:t>
      </w:r>
      <w:r w:rsidR="00FF1914">
        <w:rPr>
          <w:rFonts w:eastAsia="Times New Roman" w:cs="Arial"/>
          <w:snapToGrid w:val="0"/>
          <w:szCs w:val="24"/>
          <w:lang w:val="en-GB" w:eastAsia="en-US"/>
        </w:rPr>
        <w:noBreakHyphen/>
      </w:r>
      <w:r w:rsidR="00554337">
        <w:rPr>
          <w:rFonts w:eastAsia="Times New Roman" w:cs="Arial"/>
          <w:snapToGrid w:val="0"/>
          <w:szCs w:val="24"/>
          <w:lang w:val="en-GB" w:eastAsia="en-US"/>
        </w:rPr>
        <w:t xml:space="preserve">term </w:t>
      </w:r>
      <w:r w:rsidR="0070534C" w:rsidRPr="0070534C">
        <w:rPr>
          <w:rFonts w:eastAsia="Times New Roman" w:cs="Arial"/>
          <w:snapToGrid w:val="0"/>
          <w:szCs w:val="24"/>
          <w:lang w:val="en-GB" w:eastAsia="en-US"/>
        </w:rPr>
        <w:t>health</w:t>
      </w:r>
      <w:r w:rsidR="0070534C" w:rsidRPr="0070534C">
        <w:rPr>
          <w:rFonts w:ascii="Cambria Math" w:eastAsia="Times New Roman" w:hAnsi="Cambria Math" w:cs="Cambria Math"/>
          <w:snapToGrid w:val="0"/>
          <w:szCs w:val="24"/>
          <w:lang w:val="en-GB" w:eastAsia="en-US"/>
        </w:rPr>
        <w:t>‑</w:t>
      </w:r>
      <w:r w:rsidR="0070534C" w:rsidRPr="0070534C">
        <w:rPr>
          <w:rFonts w:eastAsia="Times New Roman" w:cs="Arial"/>
          <w:snapToGrid w:val="0"/>
          <w:szCs w:val="24"/>
          <w:lang w:val="en-GB" w:eastAsia="en-US"/>
        </w:rPr>
        <w:t>state utilities</w:t>
      </w:r>
      <w:r w:rsidR="00880A90">
        <w:rPr>
          <w:rFonts w:eastAsia="Times New Roman" w:cs="Arial"/>
          <w:snapToGrid w:val="0"/>
          <w:szCs w:val="24"/>
          <w:lang w:val="en-GB" w:eastAsia="en-US"/>
        </w:rPr>
        <w:t xml:space="preserve"> and </w:t>
      </w:r>
      <w:r w:rsidR="0070534C" w:rsidRPr="0070534C">
        <w:rPr>
          <w:rFonts w:eastAsia="Times New Roman" w:cs="Arial"/>
          <w:snapToGrid w:val="0"/>
          <w:szCs w:val="24"/>
          <w:lang w:val="en-GB" w:eastAsia="en-US"/>
        </w:rPr>
        <w:t>costs</w:t>
      </w:r>
      <w:r w:rsidR="00934C6D">
        <w:rPr>
          <w:rFonts w:eastAsia="Times New Roman" w:cs="Arial"/>
          <w:snapToGrid w:val="0"/>
          <w:szCs w:val="24"/>
          <w:lang w:val="en-GB" w:eastAsia="en-US"/>
        </w:rPr>
        <w:t xml:space="preserve"> in the obinutuzumab arm</w:t>
      </w:r>
      <w:r w:rsidR="00306229">
        <w:rPr>
          <w:rFonts w:eastAsia="Times New Roman" w:cs="Arial"/>
          <w:snapToGrid w:val="0"/>
          <w:szCs w:val="24"/>
          <w:lang w:val="en-GB" w:eastAsia="en-US"/>
        </w:rPr>
        <w:t>)</w:t>
      </w:r>
      <w:r w:rsidR="0070534C" w:rsidRPr="0070534C">
        <w:rPr>
          <w:rFonts w:eastAsia="Times New Roman" w:cs="Arial"/>
          <w:snapToGrid w:val="0"/>
          <w:szCs w:val="24"/>
          <w:lang w:val="en-GB" w:eastAsia="en-US"/>
        </w:rPr>
        <w:t>.</w:t>
      </w:r>
      <w:r w:rsidR="004C3C41" w:rsidRPr="004C3C41">
        <w:rPr>
          <w:rFonts w:eastAsia="Times New Roman" w:cs="Arial"/>
          <w:snapToGrid w:val="0"/>
          <w:szCs w:val="24"/>
          <w:lang w:val="en-GB" w:eastAsia="en-US"/>
        </w:rPr>
        <w:t xml:space="preserve"> </w:t>
      </w:r>
      <w:r w:rsidR="00880A90">
        <w:rPr>
          <w:rFonts w:eastAsia="Times New Roman" w:cs="Arial"/>
          <w:snapToGrid w:val="0"/>
          <w:szCs w:val="24"/>
          <w:lang w:val="en-GB" w:eastAsia="en-US"/>
        </w:rPr>
        <w:t xml:space="preserve">The PBAC also considered that the assumption that </w:t>
      </w:r>
      <w:r w:rsidR="00CE0B6E" w:rsidRPr="00CE0B6E">
        <w:rPr>
          <w:rFonts w:eastAsia="Times New Roman" w:cs="Arial"/>
          <w:snapToGrid w:val="0"/>
          <w:szCs w:val="24"/>
          <w:lang w:val="en-GB" w:eastAsia="en-US"/>
        </w:rPr>
        <w:t>responder</w:t>
      </w:r>
      <w:r w:rsidR="001511AE">
        <w:rPr>
          <w:rFonts w:eastAsia="Times New Roman" w:cs="Arial"/>
          <w:snapToGrid w:val="0"/>
          <w:szCs w:val="24"/>
          <w:lang w:val="en-GB" w:eastAsia="en-US"/>
        </w:rPr>
        <w:t>s</w:t>
      </w:r>
      <w:r w:rsidR="00CE0B6E" w:rsidRPr="00CE0B6E">
        <w:rPr>
          <w:rFonts w:eastAsia="Times New Roman" w:cs="Arial"/>
          <w:snapToGrid w:val="0"/>
          <w:szCs w:val="24"/>
          <w:lang w:val="en-GB" w:eastAsia="en-US"/>
        </w:rPr>
        <w:t xml:space="preserve"> </w:t>
      </w:r>
      <w:r w:rsidR="001D6EA6">
        <w:rPr>
          <w:rFonts w:eastAsia="Times New Roman" w:cs="Arial"/>
          <w:snapToGrid w:val="0"/>
          <w:szCs w:val="24"/>
          <w:lang w:val="en-GB" w:eastAsia="en-US"/>
        </w:rPr>
        <w:t>who received obinutuzumab</w:t>
      </w:r>
      <w:r w:rsidR="001D6EA6" w:rsidRPr="00CE0B6E">
        <w:rPr>
          <w:rFonts w:eastAsia="Times New Roman" w:cs="Arial"/>
          <w:snapToGrid w:val="0"/>
          <w:szCs w:val="24"/>
          <w:lang w:val="en-GB" w:eastAsia="en-US"/>
        </w:rPr>
        <w:t xml:space="preserve"> </w:t>
      </w:r>
      <w:r w:rsidR="00CE0B6E" w:rsidRPr="00CE0B6E">
        <w:rPr>
          <w:rFonts w:eastAsia="Times New Roman" w:cs="Arial"/>
          <w:snapToGrid w:val="0"/>
          <w:szCs w:val="24"/>
          <w:lang w:val="en-GB" w:eastAsia="en-US"/>
        </w:rPr>
        <w:t>ha</w:t>
      </w:r>
      <w:r w:rsidR="00CE0B6E">
        <w:rPr>
          <w:rFonts w:eastAsia="Times New Roman" w:cs="Arial"/>
          <w:snapToGrid w:val="0"/>
          <w:szCs w:val="24"/>
          <w:lang w:val="en-GB" w:eastAsia="en-US"/>
        </w:rPr>
        <w:t>ve</w:t>
      </w:r>
      <w:r w:rsidR="00CE0B6E" w:rsidRPr="00CE0B6E">
        <w:rPr>
          <w:rFonts w:eastAsia="Times New Roman" w:cs="Arial"/>
          <w:snapToGrid w:val="0"/>
          <w:szCs w:val="24"/>
          <w:lang w:val="en-GB" w:eastAsia="en-US"/>
        </w:rPr>
        <w:t xml:space="preserve"> additional benefit</w:t>
      </w:r>
      <w:r w:rsidR="00CE0B6E">
        <w:rPr>
          <w:rFonts w:eastAsia="Times New Roman" w:cs="Arial"/>
          <w:snapToGrid w:val="0"/>
          <w:szCs w:val="24"/>
          <w:lang w:val="en-GB" w:eastAsia="en-US"/>
        </w:rPr>
        <w:t xml:space="preserve">s </w:t>
      </w:r>
      <w:r w:rsidR="002F0D0C" w:rsidRPr="00CE0B6E">
        <w:rPr>
          <w:rFonts w:eastAsia="Times New Roman" w:cs="Arial"/>
          <w:snapToGrid w:val="0"/>
          <w:szCs w:val="24"/>
          <w:lang w:val="en-GB" w:eastAsia="en-US"/>
        </w:rPr>
        <w:t>beyond 18</w:t>
      </w:r>
      <w:r w:rsidR="002F0D0C">
        <w:rPr>
          <w:rFonts w:eastAsia="Times New Roman" w:cs="Arial"/>
          <w:snapToGrid w:val="0"/>
          <w:szCs w:val="24"/>
          <w:lang w:val="en-GB" w:eastAsia="en-US"/>
        </w:rPr>
        <w:t xml:space="preserve"> </w:t>
      </w:r>
      <w:r w:rsidR="002F0D0C" w:rsidRPr="002F30EA">
        <w:rPr>
          <w:rFonts w:eastAsia="Times New Roman" w:cs="Arial"/>
          <w:snapToGrid w:val="0"/>
          <w:szCs w:val="24"/>
          <w:lang w:val="en-GB" w:eastAsia="en-US"/>
        </w:rPr>
        <w:t xml:space="preserve">months </w:t>
      </w:r>
      <w:r w:rsidR="00CE0B6E" w:rsidRPr="002F30EA">
        <w:rPr>
          <w:rFonts w:eastAsia="Times New Roman" w:cs="Arial"/>
          <w:snapToGrid w:val="0"/>
          <w:szCs w:val="24"/>
          <w:lang w:val="en-GB" w:eastAsia="en-US"/>
        </w:rPr>
        <w:t>compared with responder</w:t>
      </w:r>
      <w:r w:rsidR="001511AE" w:rsidRPr="002F30EA">
        <w:rPr>
          <w:rFonts w:eastAsia="Times New Roman" w:cs="Arial"/>
          <w:snapToGrid w:val="0"/>
          <w:szCs w:val="24"/>
          <w:lang w:val="en-GB" w:eastAsia="en-US"/>
        </w:rPr>
        <w:t>s</w:t>
      </w:r>
      <w:r w:rsidR="00CE0B6E" w:rsidRPr="002F30EA">
        <w:rPr>
          <w:rFonts w:eastAsia="Times New Roman" w:cs="Arial"/>
          <w:snapToGrid w:val="0"/>
          <w:szCs w:val="24"/>
          <w:lang w:val="en-GB" w:eastAsia="en-US"/>
        </w:rPr>
        <w:t xml:space="preserve"> </w:t>
      </w:r>
      <w:r w:rsidR="001D6EA6" w:rsidRPr="002F30EA">
        <w:rPr>
          <w:rFonts w:eastAsia="Times New Roman" w:cs="Arial"/>
          <w:snapToGrid w:val="0"/>
          <w:szCs w:val="24"/>
          <w:lang w:val="en-GB" w:eastAsia="en-US"/>
        </w:rPr>
        <w:t xml:space="preserve">who </w:t>
      </w:r>
      <w:r w:rsidR="00751D1D" w:rsidRPr="002F30EA">
        <w:rPr>
          <w:rFonts w:eastAsia="Times New Roman" w:cs="Arial"/>
          <w:snapToGrid w:val="0"/>
          <w:szCs w:val="24"/>
          <w:lang w:val="en-GB" w:eastAsia="en-US"/>
        </w:rPr>
        <w:t>receiv</w:t>
      </w:r>
      <w:r w:rsidR="001D6EA6" w:rsidRPr="002F30EA">
        <w:rPr>
          <w:rFonts w:eastAsia="Times New Roman" w:cs="Arial"/>
          <w:snapToGrid w:val="0"/>
          <w:szCs w:val="24"/>
          <w:lang w:val="en-GB" w:eastAsia="en-US"/>
        </w:rPr>
        <w:t>ed</w:t>
      </w:r>
      <w:r w:rsidR="00751D1D" w:rsidRPr="002F30EA">
        <w:rPr>
          <w:rFonts w:eastAsia="Times New Roman" w:cs="Arial"/>
          <w:snapToGrid w:val="0"/>
          <w:szCs w:val="24"/>
          <w:lang w:val="en-GB" w:eastAsia="en-US"/>
        </w:rPr>
        <w:t xml:space="preserve"> standard therapies</w:t>
      </w:r>
      <w:r w:rsidR="003D75CB" w:rsidRPr="002F30EA">
        <w:rPr>
          <w:rFonts w:eastAsia="Times New Roman" w:cs="Arial"/>
          <w:snapToGrid w:val="0"/>
          <w:szCs w:val="24"/>
          <w:lang w:val="en-GB" w:eastAsia="en-US"/>
        </w:rPr>
        <w:t xml:space="preserve"> </w:t>
      </w:r>
      <w:r w:rsidR="00CE0B6E" w:rsidRPr="002F30EA">
        <w:rPr>
          <w:rFonts w:eastAsia="Times New Roman" w:cs="Arial"/>
          <w:snapToGrid w:val="0"/>
          <w:szCs w:val="24"/>
          <w:lang w:val="en-GB" w:eastAsia="en-US"/>
        </w:rPr>
        <w:t xml:space="preserve">was </w:t>
      </w:r>
      <w:r w:rsidR="00665913" w:rsidRPr="002F30EA">
        <w:rPr>
          <w:rFonts w:eastAsia="Times New Roman" w:cs="Arial"/>
          <w:snapToGrid w:val="0"/>
          <w:szCs w:val="24"/>
          <w:lang w:val="en-GB" w:eastAsia="en-US"/>
        </w:rPr>
        <w:t>uncertain</w:t>
      </w:r>
      <w:r w:rsidR="001632EA" w:rsidRPr="002F30EA">
        <w:rPr>
          <w:rFonts w:eastAsia="Times New Roman" w:cs="Arial"/>
          <w:snapToGrid w:val="0"/>
          <w:szCs w:val="24"/>
          <w:lang w:val="en-GB" w:eastAsia="en-US"/>
        </w:rPr>
        <w:t xml:space="preserve"> and that removal of this benefit in its entirety would be conservative</w:t>
      </w:r>
      <w:r w:rsidR="00CE0B6E" w:rsidRPr="002F30EA">
        <w:rPr>
          <w:rFonts w:eastAsia="Times New Roman" w:cs="Arial"/>
          <w:snapToGrid w:val="0"/>
          <w:szCs w:val="24"/>
          <w:lang w:val="en-GB" w:eastAsia="en-US"/>
        </w:rPr>
        <w:t xml:space="preserve">. </w:t>
      </w:r>
      <w:r w:rsidR="003B2F59" w:rsidRPr="002F30EA">
        <w:rPr>
          <w:rFonts w:eastAsia="Times New Roman" w:cs="Arial"/>
          <w:snapToGrid w:val="0"/>
          <w:szCs w:val="24"/>
          <w:lang w:val="en-GB" w:eastAsia="en-US"/>
        </w:rPr>
        <w:t>Further, the PBAC</w:t>
      </w:r>
      <w:r w:rsidR="0077413A" w:rsidRPr="002F30EA">
        <w:rPr>
          <w:rFonts w:eastAsia="Times New Roman" w:cs="Arial"/>
          <w:snapToGrid w:val="0"/>
          <w:szCs w:val="24"/>
          <w:lang w:val="en-GB" w:eastAsia="en-US"/>
        </w:rPr>
        <w:t xml:space="preserve"> noted the</w:t>
      </w:r>
      <w:r w:rsidR="003B2F59" w:rsidRPr="002F30EA">
        <w:rPr>
          <w:rFonts w:eastAsia="Times New Roman" w:cs="Arial"/>
          <w:snapToGrid w:val="0"/>
          <w:szCs w:val="24"/>
          <w:lang w:val="en-GB" w:eastAsia="en-US"/>
        </w:rPr>
        <w:t xml:space="preserve"> </w:t>
      </w:r>
      <w:r w:rsidR="0077413A" w:rsidRPr="002F30EA">
        <w:rPr>
          <w:rFonts w:eastAsia="Times New Roman" w:cs="Arial"/>
          <w:snapToGrid w:val="0"/>
          <w:szCs w:val="24"/>
          <w:lang w:val="en-GB" w:eastAsia="en-US"/>
        </w:rPr>
        <w:t>utility decrement between complete response and active</w:t>
      </w:r>
      <w:r w:rsidR="0077413A">
        <w:rPr>
          <w:rFonts w:eastAsia="Times New Roman" w:cs="Arial"/>
          <w:snapToGrid w:val="0"/>
          <w:szCs w:val="24"/>
          <w:lang w:val="en-GB" w:eastAsia="en-US"/>
        </w:rPr>
        <w:t xml:space="preserve"> disease</w:t>
      </w:r>
      <w:r w:rsidR="0077413A" w:rsidRPr="0077413A">
        <w:rPr>
          <w:rFonts w:eastAsia="Times New Roman" w:cs="Arial"/>
          <w:snapToGrid w:val="0"/>
          <w:szCs w:val="24"/>
          <w:lang w:val="en-GB" w:eastAsia="en-US"/>
        </w:rPr>
        <w:t xml:space="preserve"> was a key driver of the model</w:t>
      </w:r>
      <w:r w:rsidR="0077413A">
        <w:rPr>
          <w:rFonts w:eastAsia="Times New Roman" w:cs="Arial"/>
          <w:snapToGrid w:val="0"/>
          <w:szCs w:val="24"/>
          <w:lang w:val="en-GB" w:eastAsia="en-US"/>
        </w:rPr>
        <w:t xml:space="preserve"> and</w:t>
      </w:r>
      <w:r w:rsidR="0077413A" w:rsidRPr="0077413A">
        <w:rPr>
          <w:rFonts w:eastAsia="Times New Roman" w:cs="Arial"/>
          <w:snapToGrid w:val="0"/>
          <w:szCs w:val="24"/>
          <w:lang w:val="en-GB" w:eastAsia="en-US"/>
        </w:rPr>
        <w:t xml:space="preserve"> </w:t>
      </w:r>
      <w:r w:rsidR="003B2F59">
        <w:rPr>
          <w:rFonts w:eastAsia="Times New Roman" w:cs="Arial"/>
          <w:snapToGrid w:val="0"/>
          <w:szCs w:val="24"/>
          <w:lang w:val="en-GB" w:eastAsia="en-US"/>
        </w:rPr>
        <w:t xml:space="preserve">considered </w:t>
      </w:r>
      <w:r w:rsidR="003B2F59" w:rsidRPr="003B2F59">
        <w:rPr>
          <w:rFonts w:eastAsia="Times New Roman" w:cs="Arial"/>
          <w:snapToGrid w:val="0"/>
          <w:szCs w:val="24"/>
          <w:lang w:val="en-GB" w:eastAsia="en-US"/>
        </w:rPr>
        <w:t>the assumption of a sustained utility difference over time was not well supported, given that patients with lupus nephritis typically experience alternating periods of active disease and remission throughout their lifetimes.</w:t>
      </w:r>
      <w:r w:rsidR="003B2F59">
        <w:rPr>
          <w:rFonts w:eastAsia="Times New Roman" w:cs="Arial"/>
          <w:snapToGrid w:val="0"/>
          <w:szCs w:val="24"/>
          <w:lang w:val="en-GB" w:eastAsia="en-US"/>
        </w:rPr>
        <w:t xml:space="preserve"> </w:t>
      </w:r>
    </w:p>
    <w:p w14:paraId="41913040" w14:textId="1FF279F5" w:rsidR="00CF61DE" w:rsidRPr="00CF61DE" w:rsidRDefault="00C500DE" w:rsidP="00417CAD">
      <w:pPr>
        <w:pStyle w:val="3-BodyText"/>
        <w:rPr>
          <w:snapToGrid w:val="0"/>
        </w:rPr>
      </w:pPr>
      <w:bookmarkStart w:id="90" w:name="_Ref224906074"/>
      <w:r>
        <w:rPr>
          <w:rFonts w:eastAsia="Times New Roman" w:cs="Arial"/>
          <w:snapToGrid w:val="0"/>
          <w:szCs w:val="24"/>
          <w:lang w:val="en-GB" w:eastAsia="en-US"/>
        </w:rPr>
        <w:t>Overall</w:t>
      </w:r>
      <w:r w:rsidR="005D6A12">
        <w:rPr>
          <w:rFonts w:eastAsia="Times New Roman" w:cs="Arial"/>
          <w:snapToGrid w:val="0"/>
          <w:szCs w:val="24"/>
          <w:lang w:val="en-GB" w:eastAsia="en-US"/>
        </w:rPr>
        <w:t>, the PBAC considered that the most appropriate model parameters were:</w:t>
      </w:r>
      <w:bookmarkEnd w:id="90"/>
      <w:r w:rsidR="005D6A12">
        <w:rPr>
          <w:rFonts w:eastAsia="Times New Roman" w:cs="Arial"/>
          <w:snapToGrid w:val="0"/>
          <w:szCs w:val="24"/>
          <w:lang w:val="en-GB" w:eastAsia="en-US"/>
        </w:rPr>
        <w:t xml:space="preserve"> </w:t>
      </w:r>
    </w:p>
    <w:p w14:paraId="2CE04070" w14:textId="7F6C91A7" w:rsidR="00CF61DE" w:rsidRPr="00CF61DE" w:rsidRDefault="002F33B4" w:rsidP="008876B4">
      <w:pPr>
        <w:pStyle w:val="3-BodyText"/>
        <w:numPr>
          <w:ilvl w:val="0"/>
          <w:numId w:val="10"/>
        </w:numPr>
        <w:ind w:left="1276" w:hanging="425"/>
        <w:rPr>
          <w:snapToGrid w:val="0"/>
        </w:rPr>
      </w:pPr>
      <w:r>
        <w:rPr>
          <w:rFonts w:eastAsia="Times New Roman" w:cs="Arial"/>
          <w:snapToGrid w:val="0"/>
          <w:szCs w:val="24"/>
          <w:lang w:val="en-GB" w:eastAsia="en-US"/>
        </w:rPr>
        <w:t xml:space="preserve">a </w:t>
      </w:r>
      <w:r w:rsidR="005A102E" w:rsidRPr="005A102E">
        <w:rPr>
          <w:rFonts w:eastAsia="Times New Roman" w:cs="Arial"/>
          <w:snapToGrid w:val="0"/>
          <w:szCs w:val="24"/>
          <w:lang w:val="en-GB" w:eastAsia="en-US"/>
        </w:rPr>
        <w:t xml:space="preserve">time horizon </w:t>
      </w:r>
      <w:r>
        <w:rPr>
          <w:rFonts w:eastAsia="Times New Roman" w:cs="Arial"/>
          <w:snapToGrid w:val="0"/>
          <w:szCs w:val="24"/>
          <w:lang w:val="en-GB" w:eastAsia="en-US"/>
        </w:rPr>
        <w:t>of 15 years (compared with</w:t>
      </w:r>
      <w:r w:rsidR="005A102E" w:rsidRPr="005A102E">
        <w:rPr>
          <w:rFonts w:eastAsia="Times New Roman" w:cs="Arial"/>
          <w:snapToGrid w:val="0"/>
          <w:szCs w:val="24"/>
          <w:lang w:val="en-GB" w:eastAsia="en-US"/>
        </w:rPr>
        <w:t xml:space="preserve"> 20 years </w:t>
      </w:r>
      <w:r>
        <w:rPr>
          <w:rFonts w:eastAsia="Times New Roman" w:cs="Arial"/>
          <w:snapToGrid w:val="0"/>
          <w:szCs w:val="24"/>
          <w:lang w:val="en-GB" w:eastAsia="en-US"/>
        </w:rPr>
        <w:t>in the submission base case)</w:t>
      </w:r>
      <w:r w:rsidR="005D6A12">
        <w:rPr>
          <w:rFonts w:eastAsia="Times New Roman" w:cs="Arial"/>
          <w:snapToGrid w:val="0"/>
          <w:szCs w:val="24"/>
          <w:lang w:val="en-GB" w:eastAsia="en-US"/>
        </w:rPr>
        <w:t>;</w:t>
      </w:r>
      <w:r w:rsidR="005A102E" w:rsidRPr="005A102E">
        <w:rPr>
          <w:rFonts w:eastAsia="Times New Roman" w:cs="Arial"/>
          <w:snapToGrid w:val="0"/>
          <w:szCs w:val="24"/>
          <w:lang w:val="en-GB" w:eastAsia="en-US"/>
        </w:rPr>
        <w:t xml:space="preserve"> </w:t>
      </w:r>
    </w:p>
    <w:p w14:paraId="4DD5691E" w14:textId="3EF5CB39" w:rsidR="00CF61DE" w:rsidRPr="00CF61DE" w:rsidRDefault="005A102E" w:rsidP="008876B4">
      <w:pPr>
        <w:pStyle w:val="3-BodyText"/>
        <w:numPr>
          <w:ilvl w:val="0"/>
          <w:numId w:val="10"/>
        </w:numPr>
        <w:ind w:left="1276" w:hanging="425"/>
        <w:rPr>
          <w:snapToGrid w:val="0"/>
        </w:rPr>
      </w:pPr>
      <w:r w:rsidRPr="005A102E">
        <w:rPr>
          <w:rFonts w:eastAsia="Times New Roman" w:cs="Arial"/>
          <w:snapToGrid w:val="0"/>
          <w:szCs w:val="24"/>
          <w:lang w:val="en-GB" w:eastAsia="en-US"/>
        </w:rPr>
        <w:t>remov</w:t>
      </w:r>
      <w:r w:rsidR="002F33B4">
        <w:rPr>
          <w:rFonts w:eastAsia="Times New Roman" w:cs="Arial"/>
          <w:snapToGrid w:val="0"/>
          <w:szCs w:val="24"/>
          <w:lang w:val="en-GB" w:eastAsia="en-US"/>
        </w:rPr>
        <w:t>al of</w:t>
      </w:r>
      <w:r w:rsidR="00B41EF8">
        <w:rPr>
          <w:rFonts w:eastAsia="Times New Roman" w:cs="Arial"/>
          <w:snapToGrid w:val="0"/>
          <w:szCs w:val="24"/>
          <w:lang w:val="en-GB" w:eastAsia="en-US"/>
        </w:rPr>
        <w:t xml:space="preserve"> </w:t>
      </w:r>
      <w:r w:rsidRPr="005A102E">
        <w:rPr>
          <w:rFonts w:eastAsia="Times New Roman" w:cs="Arial"/>
          <w:snapToGrid w:val="0"/>
          <w:szCs w:val="24"/>
          <w:lang w:val="en-GB" w:eastAsia="en-US"/>
        </w:rPr>
        <w:t xml:space="preserve">the assumption that </w:t>
      </w:r>
      <w:r w:rsidR="00DE4D86">
        <w:rPr>
          <w:rFonts w:eastAsia="Times New Roman" w:cs="Arial"/>
          <w:snapToGrid w:val="0"/>
          <w:szCs w:val="24"/>
          <w:lang w:val="en-GB" w:eastAsia="en-US"/>
        </w:rPr>
        <w:t>responders</w:t>
      </w:r>
      <w:r w:rsidRPr="005A102E">
        <w:rPr>
          <w:rFonts w:eastAsia="Times New Roman" w:cs="Arial"/>
          <w:snapToGrid w:val="0"/>
          <w:szCs w:val="24"/>
          <w:lang w:val="en-GB" w:eastAsia="en-US"/>
        </w:rPr>
        <w:t xml:space="preserve"> </w:t>
      </w:r>
      <w:r w:rsidR="00D12206">
        <w:rPr>
          <w:rFonts w:eastAsia="Times New Roman" w:cs="Arial"/>
          <w:snapToGrid w:val="0"/>
          <w:szCs w:val="24"/>
          <w:lang w:val="en-GB" w:eastAsia="en-US"/>
        </w:rPr>
        <w:t xml:space="preserve">on </w:t>
      </w:r>
      <w:r w:rsidRPr="005A102E">
        <w:rPr>
          <w:rFonts w:eastAsia="Times New Roman" w:cs="Arial"/>
          <w:snapToGrid w:val="0"/>
          <w:szCs w:val="24"/>
          <w:lang w:val="en-GB" w:eastAsia="en-US"/>
        </w:rPr>
        <w:t xml:space="preserve">obinutuzumab </w:t>
      </w:r>
      <w:r w:rsidR="00476770">
        <w:rPr>
          <w:rFonts w:eastAsia="Times New Roman" w:cs="Arial"/>
          <w:snapToGrid w:val="0"/>
          <w:szCs w:val="24"/>
          <w:lang w:val="en-GB" w:eastAsia="en-US"/>
        </w:rPr>
        <w:t xml:space="preserve">receive </w:t>
      </w:r>
      <w:r w:rsidRPr="005A102E">
        <w:rPr>
          <w:rFonts w:eastAsia="Times New Roman" w:cs="Arial"/>
          <w:snapToGrid w:val="0"/>
          <w:szCs w:val="24"/>
          <w:lang w:val="en-GB" w:eastAsia="en-US"/>
        </w:rPr>
        <w:t xml:space="preserve">an additional reduction in dialysis risk compared with responders </w:t>
      </w:r>
      <w:r w:rsidR="00992C93">
        <w:rPr>
          <w:rFonts w:eastAsia="Times New Roman" w:cs="Arial"/>
          <w:snapToGrid w:val="0"/>
          <w:szCs w:val="24"/>
          <w:lang w:val="en-GB" w:eastAsia="en-US"/>
        </w:rPr>
        <w:t>on</w:t>
      </w:r>
      <w:r w:rsidR="00992C93" w:rsidRPr="005A102E">
        <w:rPr>
          <w:rFonts w:eastAsia="Times New Roman" w:cs="Arial"/>
          <w:snapToGrid w:val="0"/>
          <w:szCs w:val="24"/>
          <w:lang w:val="en-GB" w:eastAsia="en-US"/>
        </w:rPr>
        <w:t xml:space="preserve"> </w:t>
      </w:r>
      <w:r w:rsidRPr="005A102E">
        <w:rPr>
          <w:rFonts w:eastAsia="Times New Roman" w:cs="Arial"/>
          <w:snapToGrid w:val="0"/>
          <w:szCs w:val="24"/>
          <w:lang w:val="en-GB" w:eastAsia="en-US"/>
        </w:rPr>
        <w:t xml:space="preserve">standard </w:t>
      </w:r>
      <w:r w:rsidR="008A0A38">
        <w:rPr>
          <w:rFonts w:eastAsia="Times New Roman" w:cs="Arial"/>
          <w:snapToGrid w:val="0"/>
          <w:szCs w:val="24"/>
          <w:lang w:val="en-GB" w:eastAsia="en-US"/>
        </w:rPr>
        <w:t>therap</w:t>
      </w:r>
      <w:r w:rsidR="00992C93">
        <w:rPr>
          <w:rFonts w:eastAsia="Times New Roman" w:cs="Arial"/>
          <w:snapToGrid w:val="0"/>
          <w:szCs w:val="24"/>
          <w:lang w:val="en-GB" w:eastAsia="en-US"/>
        </w:rPr>
        <w:t>y</w:t>
      </w:r>
      <w:r w:rsidR="001632EA">
        <w:rPr>
          <w:rFonts w:eastAsia="Times New Roman" w:cs="Arial"/>
          <w:snapToGrid w:val="0"/>
          <w:szCs w:val="24"/>
          <w:lang w:val="en-GB" w:eastAsia="en-US"/>
        </w:rPr>
        <w:t xml:space="preserve"> (noting this would be conservative)</w:t>
      </w:r>
      <w:r w:rsidR="00C23EAC">
        <w:rPr>
          <w:rFonts w:eastAsia="Times New Roman" w:cs="Arial"/>
          <w:snapToGrid w:val="0"/>
          <w:szCs w:val="24"/>
          <w:lang w:val="en-GB" w:eastAsia="en-US"/>
        </w:rPr>
        <w:t>;</w:t>
      </w:r>
      <w:r w:rsidRPr="005A102E">
        <w:rPr>
          <w:rFonts w:eastAsia="Times New Roman" w:cs="Arial"/>
          <w:snapToGrid w:val="0"/>
          <w:szCs w:val="24"/>
          <w:lang w:val="en-GB" w:eastAsia="en-US"/>
        </w:rPr>
        <w:t xml:space="preserve"> and </w:t>
      </w:r>
    </w:p>
    <w:p w14:paraId="63BFF458" w14:textId="07738B18" w:rsidR="00CF61DE" w:rsidRPr="00CF61DE" w:rsidRDefault="006758EB" w:rsidP="008876B4">
      <w:pPr>
        <w:pStyle w:val="3-BodyText"/>
        <w:numPr>
          <w:ilvl w:val="0"/>
          <w:numId w:val="10"/>
        </w:numPr>
        <w:ind w:left="1276" w:hanging="425"/>
        <w:rPr>
          <w:snapToGrid w:val="0"/>
        </w:rPr>
      </w:pPr>
      <w:r>
        <w:rPr>
          <w:rFonts w:eastAsia="Times New Roman" w:cs="Arial"/>
          <w:snapToGrid w:val="0"/>
          <w:szCs w:val="24"/>
          <w:lang w:val="en-GB" w:eastAsia="en-US"/>
        </w:rPr>
        <w:t>equal</w:t>
      </w:r>
      <w:r w:rsidR="002675D9">
        <w:rPr>
          <w:rFonts w:eastAsia="Times New Roman" w:cs="Arial"/>
          <w:snapToGrid w:val="0"/>
          <w:szCs w:val="24"/>
          <w:lang w:val="en-GB" w:eastAsia="en-US"/>
        </w:rPr>
        <w:t>is</w:t>
      </w:r>
      <w:r w:rsidR="00B41EF8">
        <w:rPr>
          <w:rFonts w:eastAsia="Times New Roman" w:cs="Arial"/>
          <w:snapToGrid w:val="0"/>
          <w:szCs w:val="24"/>
          <w:lang w:val="en-GB" w:eastAsia="en-US"/>
        </w:rPr>
        <w:t>e</w:t>
      </w:r>
      <w:r w:rsidR="003B7D3A">
        <w:rPr>
          <w:rFonts w:eastAsia="Times New Roman" w:cs="Arial"/>
          <w:snapToGrid w:val="0"/>
          <w:szCs w:val="24"/>
          <w:lang w:val="en-GB" w:eastAsia="en-US"/>
        </w:rPr>
        <w:t xml:space="preserve"> the</w:t>
      </w:r>
      <w:r w:rsidR="00B41EF8">
        <w:rPr>
          <w:rFonts w:eastAsia="Times New Roman" w:cs="Arial"/>
          <w:snapToGrid w:val="0"/>
          <w:szCs w:val="24"/>
          <w:lang w:val="en-GB" w:eastAsia="en-US"/>
        </w:rPr>
        <w:t xml:space="preserve"> </w:t>
      </w:r>
      <w:r w:rsidR="005A102E" w:rsidRPr="005A102E">
        <w:rPr>
          <w:rFonts w:eastAsia="Times New Roman" w:cs="Arial"/>
          <w:snapToGrid w:val="0"/>
          <w:szCs w:val="24"/>
          <w:lang w:val="en-GB" w:eastAsia="en-US"/>
        </w:rPr>
        <w:t xml:space="preserve">responder </w:t>
      </w:r>
      <w:r w:rsidR="008C5212">
        <w:rPr>
          <w:rFonts w:eastAsia="Times New Roman" w:cs="Arial"/>
          <w:snapToGrid w:val="0"/>
          <w:szCs w:val="24"/>
          <w:lang w:val="en-GB" w:eastAsia="en-US"/>
        </w:rPr>
        <w:t xml:space="preserve">(complete response and partial response) </w:t>
      </w:r>
      <w:r w:rsidR="005A102E" w:rsidRPr="005A102E">
        <w:rPr>
          <w:rFonts w:eastAsia="Times New Roman" w:cs="Arial"/>
          <w:snapToGrid w:val="0"/>
          <w:szCs w:val="24"/>
          <w:lang w:val="en-GB" w:eastAsia="en-US"/>
        </w:rPr>
        <w:t>and non</w:t>
      </w:r>
      <w:r w:rsidR="005A102E" w:rsidRPr="005A102E">
        <w:rPr>
          <w:rFonts w:ascii="Cambria Math" w:eastAsia="Times New Roman" w:hAnsi="Cambria Math" w:cs="Cambria Math"/>
          <w:snapToGrid w:val="0"/>
          <w:szCs w:val="24"/>
          <w:lang w:val="en-GB" w:eastAsia="en-US"/>
        </w:rPr>
        <w:t>‑</w:t>
      </w:r>
      <w:r w:rsidR="005A102E" w:rsidRPr="005A102E">
        <w:rPr>
          <w:rFonts w:eastAsia="Times New Roman" w:cs="Arial"/>
          <w:snapToGrid w:val="0"/>
          <w:szCs w:val="24"/>
          <w:lang w:val="en-GB" w:eastAsia="en-US"/>
        </w:rPr>
        <w:t xml:space="preserve">responder </w:t>
      </w:r>
      <w:r w:rsidR="008C5212">
        <w:rPr>
          <w:rFonts w:eastAsia="Times New Roman" w:cs="Arial"/>
          <w:snapToGrid w:val="0"/>
          <w:szCs w:val="24"/>
          <w:lang w:val="en-GB" w:eastAsia="en-US"/>
        </w:rPr>
        <w:t xml:space="preserve">(active disease) </w:t>
      </w:r>
      <w:r w:rsidR="005A102E" w:rsidRPr="005A102E">
        <w:rPr>
          <w:rFonts w:eastAsia="Times New Roman" w:cs="Arial"/>
          <w:snapToGrid w:val="0"/>
          <w:szCs w:val="24"/>
          <w:lang w:val="en-GB" w:eastAsia="en-US"/>
        </w:rPr>
        <w:t xml:space="preserve">health state costs and utilities from Year 10 of the model. </w:t>
      </w:r>
    </w:p>
    <w:p w14:paraId="58C1D3DC" w14:textId="209E7C6A" w:rsidR="00417CAD" w:rsidRPr="002D1079" w:rsidRDefault="00E315F6" w:rsidP="000C5A1F">
      <w:pPr>
        <w:pStyle w:val="3-BodyText"/>
        <w:rPr>
          <w:snapToGrid w:val="0"/>
        </w:rPr>
      </w:pPr>
      <w:r w:rsidRPr="00E315F6">
        <w:rPr>
          <w:rFonts w:eastAsia="Times New Roman" w:cs="Arial"/>
          <w:snapToGrid w:val="0"/>
          <w:szCs w:val="24"/>
          <w:lang w:val="en-GB" w:eastAsia="en-US"/>
        </w:rPr>
        <w:t xml:space="preserve">The </w:t>
      </w:r>
      <w:r>
        <w:rPr>
          <w:rFonts w:eastAsia="Times New Roman" w:cs="Arial"/>
          <w:snapToGrid w:val="0"/>
          <w:szCs w:val="24"/>
          <w:lang w:val="en-GB" w:eastAsia="en-US"/>
        </w:rPr>
        <w:t xml:space="preserve">PBAC </w:t>
      </w:r>
      <w:r w:rsidR="00C23EAC">
        <w:rPr>
          <w:rFonts w:eastAsia="Times New Roman" w:cs="Arial"/>
          <w:snapToGrid w:val="0"/>
          <w:szCs w:val="24"/>
          <w:lang w:val="en-GB" w:eastAsia="en-US"/>
        </w:rPr>
        <w:t xml:space="preserve">noted that this increased </w:t>
      </w:r>
      <w:r w:rsidR="00C23EAC" w:rsidRPr="00507093">
        <w:rPr>
          <w:rFonts w:eastAsia="Times New Roman" w:cs="Arial"/>
          <w:snapToGrid w:val="0"/>
          <w:szCs w:val="24"/>
          <w:lang w:val="en-GB" w:eastAsia="en-US"/>
        </w:rPr>
        <w:t xml:space="preserve">the ICER by </w:t>
      </w:r>
      <w:r w:rsidR="00102373" w:rsidRPr="00102373">
        <w:rPr>
          <w:rFonts w:eastAsia="Times New Roman" w:cs="Arial"/>
          <w:snapToGrid w:val="0"/>
          <w:sz w:val="2"/>
          <w:szCs w:val="24"/>
          <w:highlight w:val="black"/>
          <w:lang w:val="en-GB" w:eastAsia="en-US"/>
        </w:rPr>
        <w:t>redacted content</w:t>
      </w:r>
      <w:r w:rsidR="00C23EAC" w:rsidRPr="00507093">
        <w:rPr>
          <w:rFonts w:eastAsia="Times New Roman" w:cs="Arial"/>
          <w:snapToGrid w:val="0"/>
          <w:szCs w:val="24"/>
          <w:lang w:val="en-GB" w:eastAsia="en-US"/>
        </w:rPr>
        <w:t>%</w:t>
      </w:r>
      <w:r w:rsidR="00A16E9D" w:rsidRPr="00507093">
        <w:rPr>
          <w:rFonts w:eastAsia="Times New Roman" w:cs="Arial"/>
          <w:snapToGrid w:val="0"/>
          <w:szCs w:val="24"/>
          <w:lang w:val="en-GB" w:eastAsia="en-US"/>
        </w:rPr>
        <w:t xml:space="preserve"> (MA6, per</w:t>
      </w:r>
      <w:r w:rsidR="003B7D3A">
        <w:rPr>
          <w:rFonts w:eastAsia="Times New Roman" w:cs="Arial"/>
          <w:snapToGrid w:val="0"/>
          <w:szCs w:val="24"/>
          <w:lang w:val="en-GB" w:eastAsia="en-US"/>
        </w:rPr>
        <w:t xml:space="preserve"> </w:t>
      </w:r>
      <w:r w:rsidR="003B7D3A">
        <w:rPr>
          <w:rFonts w:eastAsia="Times New Roman" w:cs="Arial"/>
          <w:snapToGrid w:val="0"/>
          <w:szCs w:val="24"/>
          <w:lang w:val="en-GB" w:eastAsia="en-US"/>
        </w:rPr>
        <w:fldChar w:fldCharType="begin"/>
      </w:r>
      <w:r w:rsidR="003B7D3A">
        <w:rPr>
          <w:rFonts w:eastAsia="Times New Roman" w:cs="Arial"/>
          <w:snapToGrid w:val="0"/>
          <w:szCs w:val="24"/>
          <w:lang w:val="en-GB" w:eastAsia="en-US"/>
        </w:rPr>
        <w:instrText xml:space="preserve"> REF _Ref104804865 \h </w:instrText>
      </w:r>
      <w:r w:rsidR="003B7D3A">
        <w:rPr>
          <w:rFonts w:eastAsia="Times New Roman" w:cs="Arial"/>
          <w:snapToGrid w:val="0"/>
          <w:szCs w:val="24"/>
          <w:lang w:val="en-GB" w:eastAsia="en-US"/>
        </w:rPr>
      </w:r>
      <w:r w:rsidR="003B7D3A">
        <w:rPr>
          <w:rFonts w:eastAsia="Times New Roman" w:cs="Arial"/>
          <w:snapToGrid w:val="0"/>
          <w:szCs w:val="24"/>
          <w:lang w:val="en-GB" w:eastAsia="en-US"/>
        </w:rPr>
        <w:fldChar w:fldCharType="separate"/>
      </w:r>
      <w:r w:rsidR="002255D9" w:rsidRPr="0098262F">
        <w:t xml:space="preserve">Table </w:t>
      </w:r>
      <w:r w:rsidR="002255D9">
        <w:rPr>
          <w:noProof/>
        </w:rPr>
        <w:t>11</w:t>
      </w:r>
      <w:r w:rsidR="003B7D3A">
        <w:rPr>
          <w:rFonts w:eastAsia="Times New Roman" w:cs="Arial"/>
          <w:snapToGrid w:val="0"/>
          <w:szCs w:val="24"/>
          <w:lang w:val="en-GB" w:eastAsia="en-US"/>
        </w:rPr>
        <w:fldChar w:fldCharType="end"/>
      </w:r>
      <w:r w:rsidR="00A16E9D">
        <w:rPr>
          <w:rFonts w:eastAsia="Times New Roman" w:cs="Arial"/>
          <w:snapToGrid w:val="0"/>
          <w:szCs w:val="24"/>
          <w:lang w:val="en-GB" w:eastAsia="en-US"/>
        </w:rPr>
        <w:t xml:space="preserve">). </w:t>
      </w:r>
      <w:r w:rsidR="005A5FE4">
        <w:rPr>
          <w:rFonts w:eastAsia="Times New Roman" w:cs="Arial"/>
          <w:snapToGrid w:val="0"/>
          <w:szCs w:val="24"/>
          <w:lang w:val="en-GB" w:eastAsia="en-US"/>
        </w:rPr>
        <w:t>T</w:t>
      </w:r>
      <w:r w:rsidR="00A16E9D">
        <w:rPr>
          <w:rFonts w:eastAsia="Times New Roman" w:cs="Arial"/>
          <w:snapToGrid w:val="0"/>
          <w:szCs w:val="24"/>
          <w:lang w:val="en-GB" w:eastAsia="en-US"/>
        </w:rPr>
        <w:t xml:space="preserve">he PBAC acknowledged </w:t>
      </w:r>
      <w:r w:rsidR="005A5FE4">
        <w:rPr>
          <w:rFonts w:eastAsia="Times New Roman" w:cs="Arial"/>
          <w:snapToGrid w:val="0"/>
          <w:szCs w:val="24"/>
          <w:lang w:val="en-GB" w:eastAsia="en-US"/>
        </w:rPr>
        <w:t xml:space="preserve">the </w:t>
      </w:r>
      <w:r w:rsidR="00160BC1">
        <w:rPr>
          <w:rFonts w:eastAsia="Times New Roman" w:cs="Arial"/>
          <w:snapToGrid w:val="0"/>
          <w:szCs w:val="24"/>
          <w:lang w:val="en-GB" w:eastAsia="en-US"/>
        </w:rPr>
        <w:t xml:space="preserve">claims in the </w:t>
      </w:r>
      <w:r w:rsidR="005A5FE4">
        <w:rPr>
          <w:rFonts w:eastAsia="Times New Roman" w:cs="Arial"/>
          <w:snapToGrid w:val="0"/>
          <w:szCs w:val="24"/>
          <w:lang w:val="en-GB" w:eastAsia="en-US"/>
        </w:rPr>
        <w:t>pre</w:t>
      </w:r>
      <w:r w:rsidR="00FF1914">
        <w:rPr>
          <w:rFonts w:eastAsia="Times New Roman" w:cs="Arial"/>
          <w:snapToGrid w:val="0"/>
          <w:szCs w:val="24"/>
          <w:lang w:val="en-GB" w:eastAsia="en-US"/>
        </w:rPr>
        <w:noBreakHyphen/>
      </w:r>
      <w:r w:rsidR="005A5FE4">
        <w:rPr>
          <w:rFonts w:eastAsia="Times New Roman" w:cs="Arial"/>
          <w:snapToGrid w:val="0"/>
          <w:szCs w:val="24"/>
          <w:lang w:val="en-GB" w:eastAsia="en-US"/>
        </w:rPr>
        <w:t>PBAC response</w:t>
      </w:r>
      <w:r w:rsidR="00160BC1">
        <w:rPr>
          <w:rFonts w:eastAsia="Times New Roman" w:cs="Arial"/>
          <w:snapToGrid w:val="0"/>
          <w:szCs w:val="24"/>
          <w:lang w:val="en-GB" w:eastAsia="en-US"/>
        </w:rPr>
        <w:t xml:space="preserve"> </w:t>
      </w:r>
      <w:r w:rsidR="00B23AD4" w:rsidRPr="002D1079">
        <w:rPr>
          <w:rFonts w:eastAsia="Times New Roman" w:cs="Arial"/>
          <w:snapToGrid w:val="0"/>
          <w:szCs w:val="24"/>
          <w:lang w:val="en-GB" w:eastAsia="en-US"/>
        </w:rPr>
        <w:t xml:space="preserve">that </w:t>
      </w:r>
      <w:r w:rsidR="00F0558A">
        <w:rPr>
          <w:rFonts w:eastAsia="Times New Roman" w:cs="Arial"/>
          <w:snapToGrid w:val="0"/>
          <w:szCs w:val="24"/>
          <w:lang w:val="en-GB" w:eastAsia="en-US"/>
        </w:rPr>
        <w:t xml:space="preserve">the </w:t>
      </w:r>
      <w:r w:rsidR="00400149">
        <w:rPr>
          <w:rFonts w:eastAsia="Times New Roman" w:cs="Arial"/>
          <w:snapToGrid w:val="0"/>
          <w:szCs w:val="24"/>
          <w:lang w:val="en-GB" w:eastAsia="en-US"/>
        </w:rPr>
        <w:t xml:space="preserve">submission’s approach to </w:t>
      </w:r>
      <w:r w:rsidR="00CA0CB8">
        <w:rPr>
          <w:rFonts w:eastAsia="Times New Roman" w:cs="Arial"/>
          <w:snapToGrid w:val="0"/>
          <w:szCs w:val="24"/>
          <w:lang w:val="en-GB" w:eastAsia="en-US"/>
        </w:rPr>
        <w:t xml:space="preserve">extrapolation of time to </w:t>
      </w:r>
      <w:r w:rsidR="00CA0CB8" w:rsidRPr="00CA0CB8">
        <w:rPr>
          <w:rFonts w:eastAsia="Times New Roman" w:cs="Arial"/>
          <w:snapToGrid w:val="0"/>
          <w:szCs w:val="24"/>
          <w:lang w:val="en-GB" w:eastAsia="en-US"/>
        </w:rPr>
        <w:t>end</w:t>
      </w:r>
      <w:r w:rsidR="00FF1914">
        <w:rPr>
          <w:rFonts w:eastAsia="Times New Roman" w:cs="Arial"/>
          <w:snapToGrid w:val="0"/>
          <w:szCs w:val="24"/>
          <w:lang w:val="en-GB" w:eastAsia="en-US"/>
        </w:rPr>
        <w:noBreakHyphen/>
      </w:r>
      <w:r w:rsidR="00CA0CB8" w:rsidRPr="00CA0CB8">
        <w:rPr>
          <w:rFonts w:eastAsia="Times New Roman" w:cs="Arial"/>
          <w:snapToGrid w:val="0"/>
          <w:szCs w:val="24"/>
          <w:lang w:val="en-GB" w:eastAsia="en-US"/>
        </w:rPr>
        <w:t xml:space="preserve">stage kidney disease </w:t>
      </w:r>
      <w:r w:rsidR="00BF675C">
        <w:rPr>
          <w:rFonts w:eastAsia="Times New Roman" w:cs="Arial"/>
          <w:snapToGrid w:val="0"/>
          <w:szCs w:val="24"/>
          <w:lang w:val="en-GB" w:eastAsia="en-US"/>
        </w:rPr>
        <w:t xml:space="preserve">based on response </w:t>
      </w:r>
      <w:r w:rsidR="00400149">
        <w:rPr>
          <w:rFonts w:eastAsia="Times New Roman" w:cs="Arial"/>
          <w:snapToGrid w:val="0"/>
          <w:szCs w:val="24"/>
          <w:lang w:val="en-GB" w:eastAsia="en-US"/>
        </w:rPr>
        <w:t xml:space="preserve">using constant probabilities </w:t>
      </w:r>
      <w:r w:rsidR="007C3BB6">
        <w:rPr>
          <w:rFonts w:eastAsia="Times New Roman" w:cs="Arial"/>
          <w:snapToGrid w:val="0"/>
          <w:szCs w:val="24"/>
          <w:lang w:val="en-GB" w:eastAsia="en-US"/>
        </w:rPr>
        <w:t xml:space="preserve">was more conservative </w:t>
      </w:r>
      <w:r w:rsidR="007C3BB6" w:rsidRPr="007C3BB6">
        <w:rPr>
          <w:rFonts w:eastAsia="Times New Roman" w:cs="Arial"/>
          <w:snapToGrid w:val="0"/>
          <w:szCs w:val="24"/>
          <w:lang w:val="en-GB" w:eastAsia="en-US"/>
        </w:rPr>
        <w:t>than the approach used in Mandrik 2022 (applying time</w:t>
      </w:r>
      <w:r w:rsidR="00FF1914">
        <w:rPr>
          <w:rFonts w:eastAsia="Times New Roman" w:cs="Arial"/>
          <w:snapToGrid w:val="0"/>
          <w:szCs w:val="24"/>
          <w:lang w:val="en-GB" w:eastAsia="en-US"/>
        </w:rPr>
        <w:noBreakHyphen/>
      </w:r>
      <w:r w:rsidR="007C3BB6" w:rsidRPr="007C3BB6">
        <w:rPr>
          <w:rFonts w:eastAsia="Times New Roman" w:cs="Arial"/>
          <w:snapToGrid w:val="0"/>
          <w:szCs w:val="24"/>
          <w:lang w:val="en-GB" w:eastAsia="en-US"/>
        </w:rPr>
        <w:t>varying probabilities i.e. Weibull) until approximately Year 15</w:t>
      </w:r>
      <w:r w:rsidR="007C3BB6">
        <w:rPr>
          <w:rFonts w:eastAsia="Times New Roman" w:cs="Arial"/>
          <w:snapToGrid w:val="0"/>
          <w:szCs w:val="24"/>
          <w:lang w:val="en-GB" w:eastAsia="en-US"/>
        </w:rPr>
        <w:t xml:space="preserve">. </w:t>
      </w:r>
      <w:r w:rsidR="00C1042C">
        <w:rPr>
          <w:rFonts w:eastAsia="Times New Roman" w:cs="Arial"/>
          <w:snapToGrid w:val="0"/>
          <w:szCs w:val="24"/>
          <w:lang w:val="en-GB" w:eastAsia="en-US"/>
        </w:rPr>
        <w:t>The PBAC also acknowledged the pre</w:t>
      </w:r>
      <w:r w:rsidR="00FF1914">
        <w:rPr>
          <w:rFonts w:eastAsia="Times New Roman" w:cs="Arial"/>
          <w:snapToGrid w:val="0"/>
          <w:szCs w:val="24"/>
          <w:lang w:val="en-GB" w:eastAsia="en-US"/>
        </w:rPr>
        <w:noBreakHyphen/>
      </w:r>
      <w:r w:rsidR="00C1042C">
        <w:rPr>
          <w:rFonts w:eastAsia="Times New Roman" w:cs="Arial"/>
          <w:snapToGrid w:val="0"/>
          <w:szCs w:val="24"/>
          <w:lang w:val="en-GB" w:eastAsia="en-US"/>
        </w:rPr>
        <w:t>PBAC response</w:t>
      </w:r>
      <w:r w:rsidR="00630E7B">
        <w:rPr>
          <w:rFonts w:eastAsia="Times New Roman" w:cs="Arial"/>
          <w:snapToGrid w:val="0"/>
          <w:szCs w:val="24"/>
          <w:lang w:val="en-GB" w:eastAsia="en-US"/>
        </w:rPr>
        <w:t>’</w:t>
      </w:r>
      <w:r w:rsidR="00C1042C">
        <w:rPr>
          <w:rFonts w:eastAsia="Times New Roman" w:cs="Arial"/>
          <w:snapToGrid w:val="0"/>
          <w:szCs w:val="24"/>
          <w:lang w:val="en-GB" w:eastAsia="en-US"/>
        </w:rPr>
        <w:t xml:space="preserve">s claims that </w:t>
      </w:r>
      <w:r w:rsidR="00B23AD4" w:rsidRPr="002D1079">
        <w:rPr>
          <w:rFonts w:eastAsia="Times New Roman" w:cs="Arial"/>
          <w:snapToGrid w:val="0"/>
          <w:szCs w:val="24"/>
          <w:lang w:val="en-GB" w:eastAsia="en-US"/>
        </w:rPr>
        <w:t>truncating the model at 15 years excludes time spent in the end</w:t>
      </w:r>
      <w:r w:rsidR="00B23AD4" w:rsidRPr="002D1079">
        <w:rPr>
          <w:rFonts w:ascii="Cambria Math" w:eastAsia="Times New Roman" w:hAnsi="Cambria Math" w:cs="Cambria Math"/>
          <w:snapToGrid w:val="0"/>
          <w:szCs w:val="24"/>
          <w:lang w:val="en-GB" w:eastAsia="en-US"/>
        </w:rPr>
        <w:t>‑</w:t>
      </w:r>
      <w:r w:rsidR="00B23AD4" w:rsidRPr="002D1079">
        <w:rPr>
          <w:rFonts w:eastAsia="Times New Roman" w:cs="Arial"/>
          <w:snapToGrid w:val="0"/>
          <w:szCs w:val="24"/>
          <w:lang w:val="en-GB" w:eastAsia="en-US"/>
        </w:rPr>
        <w:t xml:space="preserve">stage kidney disease state, which is associated with high management costs and low utility values. </w:t>
      </w:r>
      <w:r w:rsidR="00055C76">
        <w:rPr>
          <w:rFonts w:eastAsia="Times New Roman" w:cs="Arial"/>
          <w:snapToGrid w:val="0"/>
          <w:szCs w:val="24"/>
          <w:lang w:val="en-GB" w:eastAsia="en-US"/>
        </w:rPr>
        <w:t xml:space="preserve">While the PBAC </w:t>
      </w:r>
      <w:r w:rsidR="001F66D9">
        <w:rPr>
          <w:rFonts w:eastAsia="Times New Roman" w:cs="Arial"/>
          <w:snapToGrid w:val="0"/>
          <w:szCs w:val="24"/>
          <w:lang w:val="en-GB" w:eastAsia="en-US"/>
        </w:rPr>
        <w:t xml:space="preserve">acknowledged that some assumptions in the model were </w:t>
      </w:r>
      <w:r w:rsidR="004B1551">
        <w:rPr>
          <w:rFonts w:eastAsia="Times New Roman" w:cs="Arial"/>
          <w:snapToGrid w:val="0"/>
          <w:szCs w:val="24"/>
          <w:lang w:val="en-GB" w:eastAsia="en-US"/>
        </w:rPr>
        <w:t xml:space="preserve">potentially </w:t>
      </w:r>
      <w:r w:rsidR="001F66D9">
        <w:rPr>
          <w:rFonts w:eastAsia="Times New Roman" w:cs="Arial"/>
          <w:snapToGrid w:val="0"/>
          <w:szCs w:val="24"/>
          <w:lang w:val="en-GB" w:eastAsia="en-US"/>
        </w:rPr>
        <w:t>conservative, overall,</w:t>
      </w:r>
      <w:r w:rsidR="001F66D9">
        <w:t xml:space="preserve"> </w:t>
      </w:r>
      <w:r w:rsidR="005A5FE4" w:rsidRPr="002D1079">
        <w:t xml:space="preserve">the PBAC considered the revisions to the model </w:t>
      </w:r>
      <w:r w:rsidR="00F73252">
        <w:t xml:space="preserve">outlined in paragraph </w:t>
      </w:r>
      <w:r w:rsidR="00F73252">
        <w:fldChar w:fldCharType="begin"/>
      </w:r>
      <w:r w:rsidR="00F73252">
        <w:instrText xml:space="preserve"> REF _Ref224906074 \r \h </w:instrText>
      </w:r>
      <w:r w:rsidR="00F73252">
        <w:fldChar w:fldCharType="separate"/>
      </w:r>
      <w:r w:rsidR="002255D9">
        <w:t>7.11</w:t>
      </w:r>
      <w:r w:rsidR="00F73252">
        <w:fldChar w:fldCharType="end"/>
      </w:r>
      <w:r w:rsidR="00F73252">
        <w:t xml:space="preserve"> </w:t>
      </w:r>
      <w:r w:rsidR="005A5FE4" w:rsidRPr="002D1079">
        <w:t xml:space="preserve">were necessary </w:t>
      </w:r>
      <w:r w:rsidR="003C7181" w:rsidRPr="002D1079">
        <w:t>given the lack of long</w:t>
      </w:r>
      <w:r w:rsidR="00FF1914">
        <w:noBreakHyphen/>
      </w:r>
      <w:r w:rsidR="003C7181" w:rsidRPr="002D1079">
        <w:t xml:space="preserve">term </w:t>
      </w:r>
      <w:r w:rsidR="00630E7B">
        <w:t xml:space="preserve">comparative </w:t>
      </w:r>
      <w:r w:rsidR="003C7181" w:rsidRPr="002D1079">
        <w:t>data</w:t>
      </w:r>
      <w:r w:rsidR="00953633" w:rsidRPr="002D1079">
        <w:t xml:space="preserve"> and the </w:t>
      </w:r>
      <w:r w:rsidR="003C7181" w:rsidRPr="002D1079">
        <w:t xml:space="preserve">uncertain </w:t>
      </w:r>
      <w:r w:rsidR="00953633" w:rsidRPr="002D1079">
        <w:t xml:space="preserve">extrapolations </w:t>
      </w:r>
      <w:r w:rsidR="00953633" w:rsidRPr="002D1079">
        <w:rPr>
          <w:rFonts w:eastAsia="Times New Roman" w:cs="Arial"/>
          <w:snapToGrid w:val="0"/>
          <w:szCs w:val="24"/>
          <w:lang w:val="en-GB" w:eastAsia="en-US"/>
        </w:rPr>
        <w:t>beyond the trial duration</w:t>
      </w:r>
      <w:r w:rsidR="00953633" w:rsidRPr="002D1079">
        <w:t>.</w:t>
      </w:r>
    </w:p>
    <w:p w14:paraId="101C2CA1" w14:textId="760D1694" w:rsidR="002D13D7" w:rsidRPr="002D13D7" w:rsidRDefault="00CE39C2" w:rsidP="00D60716">
      <w:pPr>
        <w:pStyle w:val="3-BodyText"/>
        <w:rPr>
          <w:snapToGrid w:val="0"/>
        </w:rPr>
      </w:pPr>
      <w:bookmarkStart w:id="91" w:name="_Ref225157970"/>
      <w:r w:rsidRPr="00426A41">
        <w:rPr>
          <w:snapToGrid w:val="0"/>
          <w:lang w:val="en-GB" w:eastAsia="en-US"/>
        </w:rPr>
        <w:t>The PBAC considered that</w:t>
      </w:r>
      <w:r w:rsidR="00F17C6F" w:rsidRPr="00426A41">
        <w:rPr>
          <w:snapToGrid w:val="0"/>
          <w:lang w:val="en-GB" w:eastAsia="en-US"/>
        </w:rPr>
        <w:t xml:space="preserve"> obinutuzumab for lupus nephritis would be acceptably cost</w:t>
      </w:r>
      <w:r w:rsidR="00FF1914">
        <w:rPr>
          <w:snapToGrid w:val="0"/>
          <w:lang w:val="en-GB" w:eastAsia="en-US"/>
        </w:rPr>
        <w:noBreakHyphen/>
      </w:r>
      <w:r w:rsidR="00F17C6F" w:rsidRPr="00426A41">
        <w:rPr>
          <w:snapToGrid w:val="0"/>
          <w:lang w:val="en-GB" w:eastAsia="en-US"/>
        </w:rPr>
        <w:t xml:space="preserve">effective </w:t>
      </w:r>
      <w:r w:rsidR="00426A41" w:rsidRPr="00426A41">
        <w:rPr>
          <w:rFonts w:eastAsia="Times New Roman" w:cs="Arial"/>
          <w:snapToGrid w:val="0"/>
          <w:szCs w:val="24"/>
          <w:lang w:val="en-GB" w:eastAsia="en-US"/>
        </w:rPr>
        <w:t xml:space="preserve">(using the aforementioned respecified parameters) with an ICER </w:t>
      </w:r>
      <w:r w:rsidR="001200C0" w:rsidRPr="00426A41">
        <w:rPr>
          <w:snapToGrid w:val="0"/>
          <w:lang w:val="en-GB" w:eastAsia="en-US"/>
        </w:rPr>
        <w:t xml:space="preserve">in the range </w:t>
      </w:r>
      <w:r w:rsidR="00792406" w:rsidRPr="00426A41">
        <w:rPr>
          <w:snapToGrid w:val="0"/>
          <w:lang w:val="en-GB" w:eastAsia="en-US"/>
        </w:rPr>
        <w:t xml:space="preserve">of </w:t>
      </w:r>
      <w:r w:rsidR="00403B86" w:rsidRPr="00403B86">
        <w:rPr>
          <w:snapToGrid w:val="0"/>
          <w:lang w:val="en-GB" w:eastAsia="en-US"/>
        </w:rPr>
        <w:t>$45,000 to &lt; $55,000</w:t>
      </w:r>
      <w:r w:rsidR="00403B86">
        <w:rPr>
          <w:snapToGrid w:val="0"/>
          <w:lang w:val="en-GB" w:eastAsia="en-US"/>
        </w:rPr>
        <w:t xml:space="preserve"> </w:t>
      </w:r>
      <w:r w:rsidR="00792406" w:rsidRPr="00426A41">
        <w:rPr>
          <w:snapToGrid w:val="0"/>
          <w:lang w:val="en-GB" w:eastAsia="en-US"/>
        </w:rPr>
        <w:t xml:space="preserve">to </w:t>
      </w:r>
      <w:r w:rsidR="008B5C21" w:rsidRPr="008B5C21">
        <w:rPr>
          <w:snapToGrid w:val="0"/>
          <w:lang w:val="en-GB" w:eastAsia="en-US"/>
        </w:rPr>
        <w:t>$55,000 to &lt; $75,000</w:t>
      </w:r>
      <w:r w:rsidR="00792406" w:rsidRPr="00426A41">
        <w:rPr>
          <w:snapToGrid w:val="0"/>
          <w:lang w:val="en-GB" w:eastAsia="en-US"/>
        </w:rPr>
        <w:t xml:space="preserve"> per QALY, noting </w:t>
      </w:r>
      <w:r w:rsidR="002D13D7" w:rsidRPr="002D13D7">
        <w:rPr>
          <w:snapToGrid w:val="0"/>
          <w:lang w:val="en-GB" w:eastAsia="en-US"/>
        </w:rPr>
        <w:t>the challenges in projecting long</w:t>
      </w:r>
      <w:r w:rsidR="002D13D7" w:rsidRPr="002D13D7">
        <w:rPr>
          <w:rFonts w:ascii="Cambria Math" w:hAnsi="Cambria Math" w:cs="Cambria Math"/>
          <w:snapToGrid w:val="0"/>
          <w:lang w:val="en-GB" w:eastAsia="en-US"/>
        </w:rPr>
        <w:t>‑</w:t>
      </w:r>
      <w:r w:rsidR="002D13D7" w:rsidRPr="002D13D7">
        <w:rPr>
          <w:snapToGrid w:val="0"/>
          <w:lang w:val="en-GB" w:eastAsia="en-US"/>
        </w:rPr>
        <w:t>term benefits</w:t>
      </w:r>
      <w:r w:rsidR="00C137BE" w:rsidRPr="00C137BE">
        <w:rPr>
          <w:snapToGrid w:val="0"/>
          <w:lang w:val="en-GB" w:eastAsia="en-US"/>
        </w:rPr>
        <w:t xml:space="preserve">, </w:t>
      </w:r>
      <w:r w:rsidR="002D13D7" w:rsidRPr="002D13D7">
        <w:rPr>
          <w:snapToGrid w:val="0"/>
          <w:lang w:val="en-GB" w:eastAsia="en-US"/>
        </w:rPr>
        <w:t>but in the context of high clinical need and a lack of alternative therapies. The PBAC noted that a price reduction would be required to achieve an ICER in this range.</w:t>
      </w:r>
    </w:p>
    <w:p w14:paraId="0E0CDCA4" w14:textId="77777777" w:rsidR="00BD77AC" w:rsidRPr="00BD77AC" w:rsidRDefault="00BD77AC" w:rsidP="00524DEB">
      <w:pPr>
        <w:pStyle w:val="3-BodyText"/>
        <w:rPr>
          <w:rFonts w:ascii="Times New Roman" w:hAnsi="Times New Roman" w:cs="Times New Roman"/>
          <w:lang w:eastAsia="en-US"/>
        </w:rPr>
      </w:pPr>
      <w:bookmarkStart w:id="92" w:name="_Ref225159356"/>
      <w:bookmarkEnd w:id="91"/>
      <w:r w:rsidRPr="00BD77AC">
        <w:rPr>
          <w:snapToGrid w:val="0"/>
          <w:lang w:val="en-GB" w:eastAsia="en-US"/>
        </w:rPr>
        <w:t>The PBAC advised the financial estimates should be updated as follows:</w:t>
      </w:r>
      <w:bookmarkEnd w:id="92"/>
      <w:r w:rsidRPr="00BD77AC">
        <w:rPr>
          <w:snapToGrid w:val="0"/>
          <w:lang w:val="en-GB" w:eastAsia="en-US"/>
        </w:rPr>
        <w:t xml:space="preserve"> </w:t>
      </w:r>
    </w:p>
    <w:p w14:paraId="068539A0" w14:textId="07A32714" w:rsidR="00806342" w:rsidRPr="00806342" w:rsidRDefault="00896FAA" w:rsidP="006C5425">
      <w:pPr>
        <w:pStyle w:val="3-BodyText"/>
        <w:numPr>
          <w:ilvl w:val="0"/>
          <w:numId w:val="10"/>
        </w:numPr>
        <w:ind w:left="1276" w:hanging="425"/>
        <w:rPr>
          <w:rFonts w:ascii="Times New Roman" w:hAnsi="Times New Roman" w:cs="Times New Roman"/>
          <w:lang w:eastAsia="en-US"/>
        </w:rPr>
      </w:pPr>
      <w:r w:rsidRPr="00896FAA">
        <w:t xml:space="preserve">the prevalence rate </w:t>
      </w:r>
      <w:r w:rsidR="009730ED">
        <w:t>should be reduced to</w:t>
      </w:r>
      <w:r w:rsidRPr="00896FAA">
        <w:t xml:space="preserve"> 57.86 per 100,000 </w:t>
      </w:r>
      <w:r w:rsidR="006F04C4">
        <w:t>based on Roper 2025</w:t>
      </w:r>
      <w:r w:rsidR="002B770C">
        <w:t xml:space="preserve"> (rather than 94.33 per 100,000 </w:t>
      </w:r>
      <w:r w:rsidR="006C5425">
        <w:t>as estimated in</w:t>
      </w:r>
      <w:r w:rsidR="002B770C">
        <w:t xml:space="preserve"> the submission). </w:t>
      </w:r>
      <w:r w:rsidR="00D37EB6" w:rsidRPr="00D37EB6">
        <w:t xml:space="preserve">The PBAC </w:t>
      </w:r>
      <w:r w:rsidR="00D37EB6" w:rsidRPr="00D37EB6">
        <w:lastRenderedPageBreak/>
        <w:t>agreed with the Sub</w:t>
      </w:r>
      <w:r w:rsidR="00FF1914">
        <w:noBreakHyphen/>
      </w:r>
      <w:r w:rsidR="00D37EB6" w:rsidRPr="00D37EB6">
        <w:t xml:space="preserve">Committees that </w:t>
      </w:r>
      <w:r w:rsidR="00366143">
        <w:t>the submission</w:t>
      </w:r>
      <w:r w:rsidR="00751FDC">
        <w:t xml:space="preserve"> </w:t>
      </w:r>
      <w:r w:rsidR="00D37EB6" w:rsidRPr="00D37EB6">
        <w:t>overestimated SLE prevalence</w:t>
      </w:r>
      <w:r w:rsidR="00751FDC" w:rsidRPr="00751FDC">
        <w:t xml:space="preserve"> as </w:t>
      </w:r>
      <w:r w:rsidR="009E4CBD">
        <w:t>the estimate was</w:t>
      </w:r>
      <w:r w:rsidR="00751FDC" w:rsidRPr="00751FDC">
        <w:t xml:space="preserve"> heavily weighted towards a large study of childbearing women in NSW (Shand 2013)</w:t>
      </w:r>
      <w:r w:rsidR="00751FDC">
        <w:t>.</w:t>
      </w:r>
      <w:r w:rsidRPr="00896FAA">
        <w:t xml:space="preserve"> </w:t>
      </w:r>
    </w:p>
    <w:p w14:paraId="0619B758" w14:textId="4EB4C430" w:rsidR="00806342" w:rsidRPr="00806342" w:rsidRDefault="006C5425" w:rsidP="006C5425">
      <w:pPr>
        <w:pStyle w:val="3-BodyText"/>
        <w:numPr>
          <w:ilvl w:val="0"/>
          <w:numId w:val="10"/>
        </w:numPr>
        <w:ind w:left="1276" w:hanging="425"/>
        <w:rPr>
          <w:rFonts w:ascii="Times New Roman" w:hAnsi="Times New Roman" w:cs="Times New Roman"/>
          <w:lang w:eastAsia="en-US"/>
        </w:rPr>
      </w:pPr>
      <w:r>
        <w:t>the</w:t>
      </w:r>
      <w:r w:rsidR="00896FAA" w:rsidRPr="00896FAA">
        <w:t xml:space="preserve"> uptake </w:t>
      </w:r>
      <w:r>
        <w:t xml:space="preserve">rates should be increased </w:t>
      </w:r>
      <w:r w:rsidR="003C247B">
        <w:t xml:space="preserve">given </w:t>
      </w:r>
      <w:r w:rsidR="00013321" w:rsidRPr="00013321">
        <w:t>that triple therapy is expected to become the standard of care in Australia</w:t>
      </w:r>
      <w:r w:rsidR="00013321">
        <w:t xml:space="preserve">. The PBAC </w:t>
      </w:r>
      <w:r w:rsidR="00013321" w:rsidRPr="0088115C">
        <w:t>advised the up</w:t>
      </w:r>
      <w:r w:rsidR="00FA3D16" w:rsidRPr="0088115C">
        <w:t>t</w:t>
      </w:r>
      <w:r w:rsidR="00013321" w:rsidRPr="0088115C">
        <w:t>a</w:t>
      </w:r>
      <w:r w:rsidR="00FA3D16" w:rsidRPr="0088115C">
        <w:t>k</w:t>
      </w:r>
      <w:r w:rsidR="00013321" w:rsidRPr="0088115C">
        <w:t>e rates should be increased to</w:t>
      </w:r>
      <w:r w:rsidR="00FA3D16" w:rsidRPr="0088115C">
        <w:t>:</w:t>
      </w:r>
      <w:r w:rsidR="00013321" w:rsidRPr="0088115C">
        <w:t xml:space="preserve"> </w:t>
      </w:r>
      <w:r w:rsidR="00102373" w:rsidRPr="00102373">
        <w:rPr>
          <w:sz w:val="2"/>
          <w:highlight w:val="black"/>
        </w:rPr>
        <w:t>redacted content</w:t>
      </w:r>
      <w:r w:rsidR="001E4F6C" w:rsidRPr="0088115C">
        <w:t xml:space="preserve">% in Year 1 </w:t>
      </w:r>
      <w:r w:rsidR="003E5434">
        <w:t xml:space="preserve">for </w:t>
      </w:r>
      <w:r w:rsidR="001E4F6C" w:rsidRPr="0088115C">
        <w:t xml:space="preserve">initial uptake in prevalent patients; </w:t>
      </w:r>
      <w:r w:rsidR="00102373" w:rsidRPr="00102373">
        <w:rPr>
          <w:sz w:val="2"/>
          <w:highlight w:val="black"/>
        </w:rPr>
        <w:t>redacted content</w:t>
      </w:r>
      <w:r w:rsidR="00D05CA9" w:rsidRPr="0088115C">
        <w:t xml:space="preserve">% to </w:t>
      </w:r>
      <w:r w:rsidR="00102373" w:rsidRPr="00102373">
        <w:rPr>
          <w:sz w:val="2"/>
          <w:highlight w:val="black"/>
        </w:rPr>
        <w:t>redacted content</w:t>
      </w:r>
      <w:r w:rsidR="00D05CA9" w:rsidRPr="0088115C">
        <w:t>%</w:t>
      </w:r>
      <w:r w:rsidR="00772B2B" w:rsidRPr="0088115C">
        <w:t xml:space="preserve"> </w:t>
      </w:r>
      <w:r w:rsidR="00FA3D16" w:rsidRPr="0088115C">
        <w:t xml:space="preserve">in </w:t>
      </w:r>
      <w:r w:rsidR="00485005" w:rsidRPr="0088115C">
        <w:t>Y</w:t>
      </w:r>
      <w:r w:rsidR="00FA3D16" w:rsidRPr="0088115C">
        <w:t>ears 2 to 6</w:t>
      </w:r>
      <w:r w:rsidR="006D263C" w:rsidRPr="0088115C">
        <w:t xml:space="preserve"> </w:t>
      </w:r>
      <w:r w:rsidR="00772B2B" w:rsidRPr="0088115C">
        <w:t>for incident patients</w:t>
      </w:r>
      <w:r w:rsidR="00FA3D16" w:rsidRPr="0088115C">
        <w:t>;</w:t>
      </w:r>
      <w:r w:rsidR="00D05CA9" w:rsidRPr="0088115C">
        <w:t xml:space="preserve"> and </w:t>
      </w:r>
      <w:r w:rsidR="00102373" w:rsidRPr="00102373">
        <w:rPr>
          <w:sz w:val="2"/>
          <w:highlight w:val="black"/>
        </w:rPr>
        <w:t>redacted content</w:t>
      </w:r>
      <w:r w:rsidR="00FB2A52" w:rsidRPr="0088115C">
        <w:t>%</w:t>
      </w:r>
      <w:r w:rsidR="00D05CA9" w:rsidRPr="0088115C">
        <w:t xml:space="preserve"> to </w:t>
      </w:r>
      <w:r w:rsidR="00102373" w:rsidRPr="00102373">
        <w:rPr>
          <w:sz w:val="2"/>
          <w:highlight w:val="black"/>
        </w:rPr>
        <w:t>redacted content</w:t>
      </w:r>
      <w:r w:rsidR="00D05CA9" w:rsidRPr="0088115C">
        <w:t xml:space="preserve">% </w:t>
      </w:r>
      <w:r w:rsidR="00FA3D16" w:rsidRPr="0088115C">
        <w:t xml:space="preserve">in </w:t>
      </w:r>
      <w:r w:rsidR="007E0E38">
        <w:t>Y</w:t>
      </w:r>
      <w:r w:rsidR="00FA3D16" w:rsidRPr="0088115C">
        <w:t xml:space="preserve">ears 1 to 6 </w:t>
      </w:r>
      <w:r w:rsidR="00772B2B" w:rsidRPr="0088115C">
        <w:t xml:space="preserve">for patients </w:t>
      </w:r>
      <w:r w:rsidR="006A1BCB" w:rsidRPr="0088115C">
        <w:t xml:space="preserve">with no response or worsening on </w:t>
      </w:r>
      <w:r w:rsidR="003B4C51" w:rsidRPr="0088115C">
        <w:t>standard</w:t>
      </w:r>
      <w:r w:rsidR="003B4C51">
        <w:t xml:space="preserve"> therapy</w:t>
      </w:r>
      <w:r w:rsidR="006A1BCB" w:rsidRPr="006A1BCB">
        <w:t xml:space="preserve"> (i.e. receiving obinutuzumab as subsequent treatment)</w:t>
      </w:r>
      <w:r w:rsidR="00693212">
        <w:t xml:space="preserve"> as outlined in paragraph </w:t>
      </w:r>
      <w:r w:rsidR="00693212">
        <w:fldChar w:fldCharType="begin"/>
      </w:r>
      <w:r w:rsidR="00693212">
        <w:instrText xml:space="preserve"> REF _Ref225934390 \r \h </w:instrText>
      </w:r>
      <w:r w:rsidR="00693212">
        <w:fldChar w:fldCharType="separate"/>
      </w:r>
      <w:r w:rsidR="002255D9">
        <w:t>6.</w:t>
      </w:r>
      <w:r w:rsidR="00564F74">
        <w:t>75</w:t>
      </w:r>
      <w:r w:rsidR="00693212">
        <w:fldChar w:fldCharType="end"/>
      </w:r>
      <w:r w:rsidR="00FA3D16">
        <w:t>.</w:t>
      </w:r>
      <w:r w:rsidR="00896FAA" w:rsidRPr="00896FAA">
        <w:t xml:space="preserve"> </w:t>
      </w:r>
    </w:p>
    <w:p w14:paraId="4413733A" w14:textId="50A811B9" w:rsidR="00806342" w:rsidRPr="00806342" w:rsidRDefault="006D263C" w:rsidP="006C5425">
      <w:pPr>
        <w:pStyle w:val="3-BodyText"/>
        <w:numPr>
          <w:ilvl w:val="0"/>
          <w:numId w:val="10"/>
        </w:numPr>
        <w:ind w:left="1276" w:hanging="425"/>
        <w:rPr>
          <w:rFonts w:ascii="Times New Roman" w:hAnsi="Times New Roman" w:cs="Times New Roman"/>
          <w:lang w:eastAsia="en-US"/>
        </w:rPr>
      </w:pPr>
      <w:r>
        <w:t xml:space="preserve">the </w:t>
      </w:r>
      <w:r w:rsidR="00806342">
        <w:t xml:space="preserve">treatment </w:t>
      </w:r>
      <w:r w:rsidR="00FA3D16" w:rsidRPr="00FA3D16">
        <w:t>duration in the financial estimates should be updated to be consistent with the economic model</w:t>
      </w:r>
      <w:r w:rsidR="00957D87">
        <w:t xml:space="preserve"> (i.e. revised from</w:t>
      </w:r>
      <w:r w:rsidR="000D013F">
        <w:t xml:space="preserve"> an average of</w:t>
      </w:r>
      <w:r w:rsidR="00957D87">
        <w:t xml:space="preserve"> </w:t>
      </w:r>
      <w:r w:rsidR="00F47744">
        <w:t xml:space="preserve">8.15 to </w:t>
      </w:r>
      <w:r w:rsidR="00303496">
        <w:t>6.84 doses</w:t>
      </w:r>
      <w:r w:rsidR="000D013F" w:rsidRPr="000D013F">
        <w:t xml:space="preserve"> </w:t>
      </w:r>
      <w:r w:rsidR="000D013F">
        <w:t>per person</w:t>
      </w:r>
      <w:r w:rsidR="00303496">
        <w:t>)</w:t>
      </w:r>
      <w:r w:rsidR="00FA3D16" w:rsidRPr="00FA3D16">
        <w:t xml:space="preserve"> given it was more closely aligned with the trial data</w:t>
      </w:r>
      <w:r w:rsidR="00FA3D16">
        <w:t>.</w:t>
      </w:r>
    </w:p>
    <w:p w14:paraId="30E19FF6" w14:textId="132F3B87" w:rsidR="001C6D4E" w:rsidRPr="006C5425" w:rsidRDefault="00466356" w:rsidP="00466356">
      <w:pPr>
        <w:pStyle w:val="3-BodyText"/>
        <w:numPr>
          <w:ilvl w:val="0"/>
          <w:numId w:val="10"/>
        </w:numPr>
        <w:ind w:left="1276" w:hanging="425"/>
        <w:rPr>
          <w:rFonts w:ascii="Times New Roman" w:hAnsi="Times New Roman" w:cs="Times New Roman"/>
          <w:lang w:eastAsia="en-US"/>
        </w:rPr>
      </w:pPr>
      <w:r>
        <w:t>t</w:t>
      </w:r>
      <w:r w:rsidRPr="00466356">
        <w:t xml:space="preserve">he price of </w:t>
      </w:r>
      <w:r>
        <w:t>obinutuzumab</w:t>
      </w:r>
      <w:r w:rsidRPr="00466356">
        <w:t xml:space="preserve"> should be consistent with paragraph</w:t>
      </w:r>
      <w:r w:rsidR="00EC1771">
        <w:t xml:space="preserve"> </w:t>
      </w:r>
      <w:r w:rsidR="00EC1771">
        <w:fldChar w:fldCharType="begin"/>
      </w:r>
      <w:r w:rsidR="00EC1771">
        <w:instrText xml:space="preserve"> REF _Ref225157970 \r \h </w:instrText>
      </w:r>
      <w:r w:rsidR="00EC1771">
        <w:fldChar w:fldCharType="separate"/>
      </w:r>
      <w:r w:rsidR="002255D9">
        <w:t>7.13</w:t>
      </w:r>
      <w:r w:rsidR="00EC1771">
        <w:fldChar w:fldCharType="end"/>
      </w:r>
      <w:r w:rsidR="00806342">
        <w:t>.</w:t>
      </w:r>
    </w:p>
    <w:p w14:paraId="61C40BD6" w14:textId="4F89BB11" w:rsidR="00D107CE" w:rsidRPr="00D107CE" w:rsidRDefault="00074226" w:rsidP="00C02ADD">
      <w:pPr>
        <w:pStyle w:val="3-BodyText"/>
        <w:rPr>
          <w:rFonts w:cstheme="minorHAnsi"/>
          <w:szCs w:val="24"/>
          <w:lang w:eastAsia="en-US"/>
        </w:rPr>
      </w:pPr>
      <w:r w:rsidRPr="003C73D7">
        <w:rPr>
          <w:lang w:eastAsia="en-US"/>
        </w:rPr>
        <w:t xml:space="preserve">The PBAC considered that a </w:t>
      </w:r>
      <w:r w:rsidR="003D3846">
        <w:rPr>
          <w:lang w:eastAsia="en-US"/>
        </w:rPr>
        <w:t>RSA</w:t>
      </w:r>
      <w:r w:rsidRPr="003C73D7">
        <w:rPr>
          <w:lang w:eastAsia="en-US"/>
        </w:rPr>
        <w:t xml:space="preserve"> </w:t>
      </w:r>
      <w:r w:rsidR="00A570B2">
        <w:rPr>
          <w:lang w:eastAsia="en-US"/>
        </w:rPr>
        <w:t>would</w:t>
      </w:r>
      <w:r w:rsidR="00A570B2" w:rsidRPr="003C73D7">
        <w:rPr>
          <w:lang w:eastAsia="en-US"/>
        </w:rPr>
        <w:t xml:space="preserve"> </w:t>
      </w:r>
      <w:r w:rsidRPr="003C73D7">
        <w:rPr>
          <w:lang w:eastAsia="en-US"/>
        </w:rPr>
        <w:t>be re</w:t>
      </w:r>
      <w:r w:rsidR="00A570B2">
        <w:rPr>
          <w:lang w:eastAsia="en-US"/>
        </w:rPr>
        <w:t>quired</w:t>
      </w:r>
      <w:r w:rsidRPr="003C73D7">
        <w:rPr>
          <w:lang w:eastAsia="en-US"/>
        </w:rPr>
        <w:t xml:space="preserve"> </w:t>
      </w:r>
      <w:r w:rsidRPr="00223B51">
        <w:rPr>
          <w:lang w:eastAsia="en-US"/>
        </w:rPr>
        <w:t xml:space="preserve">to manage </w:t>
      </w:r>
      <w:r w:rsidR="002803FA" w:rsidRPr="00223B51">
        <w:rPr>
          <w:lang w:eastAsia="en-US"/>
        </w:rPr>
        <w:t xml:space="preserve">the risk of </w:t>
      </w:r>
      <w:r w:rsidR="00D07693">
        <w:rPr>
          <w:lang w:eastAsia="en-US"/>
        </w:rPr>
        <w:t xml:space="preserve">obinutuzumab being </w:t>
      </w:r>
      <w:r w:rsidR="00133832">
        <w:rPr>
          <w:lang w:eastAsia="en-US"/>
        </w:rPr>
        <w:t>use</w:t>
      </w:r>
      <w:r w:rsidR="00D07693">
        <w:rPr>
          <w:lang w:eastAsia="en-US"/>
        </w:rPr>
        <w:t>d</w:t>
      </w:r>
      <w:r w:rsidR="00133832">
        <w:rPr>
          <w:lang w:eastAsia="en-US"/>
        </w:rPr>
        <w:t xml:space="preserve"> for </w:t>
      </w:r>
      <w:r w:rsidR="00F64571" w:rsidRPr="00F64571">
        <w:rPr>
          <w:lang w:eastAsia="en-US"/>
        </w:rPr>
        <w:t>longer</w:t>
      </w:r>
      <w:r w:rsidR="00F46D43" w:rsidRPr="00F46D43">
        <w:rPr>
          <w:lang w:eastAsia="en-US"/>
        </w:rPr>
        <w:t xml:space="preserve"> </w:t>
      </w:r>
      <w:r w:rsidR="00F64571" w:rsidRPr="00F64571">
        <w:rPr>
          <w:lang w:eastAsia="en-US"/>
        </w:rPr>
        <w:t>than</w:t>
      </w:r>
      <w:r w:rsidR="00F46D43">
        <w:rPr>
          <w:lang w:eastAsia="en-US"/>
        </w:rPr>
        <w:t xml:space="preserve"> </w:t>
      </w:r>
      <w:r w:rsidR="00F46D43" w:rsidRPr="00F46D43">
        <w:rPr>
          <w:lang w:eastAsia="en-US"/>
        </w:rPr>
        <w:t xml:space="preserve">estimated, </w:t>
      </w:r>
      <w:r w:rsidR="00D107CE" w:rsidRPr="00D107CE">
        <w:rPr>
          <w:lang w:eastAsia="en-US"/>
        </w:rPr>
        <w:t>noting that the cost</w:t>
      </w:r>
      <w:r w:rsidR="00FF1914">
        <w:rPr>
          <w:lang w:eastAsia="en-US"/>
        </w:rPr>
        <w:noBreakHyphen/>
      </w:r>
      <w:r w:rsidR="00D107CE" w:rsidRPr="00D107CE">
        <w:rPr>
          <w:lang w:eastAsia="en-US"/>
        </w:rPr>
        <w:t>effectiveness of obinutuzumab relied on an assumption that patients would not be treated for longer than 3 years</w:t>
      </w:r>
      <w:r w:rsidR="00091C2C">
        <w:rPr>
          <w:lang w:eastAsia="en-US"/>
        </w:rPr>
        <w:t xml:space="preserve"> (though the </w:t>
      </w:r>
      <w:r w:rsidR="00665913">
        <w:rPr>
          <w:lang w:eastAsia="en-US"/>
        </w:rPr>
        <w:t>PBA</w:t>
      </w:r>
      <w:r w:rsidR="001632EA">
        <w:rPr>
          <w:lang w:eastAsia="en-US"/>
        </w:rPr>
        <w:t>C</w:t>
      </w:r>
      <w:r w:rsidR="00665913">
        <w:rPr>
          <w:lang w:eastAsia="en-US"/>
        </w:rPr>
        <w:t xml:space="preserve"> agreed that the </w:t>
      </w:r>
      <w:r w:rsidR="00091C2C" w:rsidRPr="00091C2C">
        <w:rPr>
          <w:lang w:eastAsia="en-US"/>
        </w:rPr>
        <w:t>restriction should allow clinicians flexibility regarding treatment duration</w:t>
      </w:r>
      <w:r w:rsidR="00091C2C">
        <w:rPr>
          <w:lang w:eastAsia="en-US"/>
        </w:rPr>
        <w:t>)</w:t>
      </w:r>
      <w:r w:rsidR="00D107CE" w:rsidRPr="00D107CE">
        <w:rPr>
          <w:lang w:eastAsia="en-US"/>
        </w:rPr>
        <w:t>.</w:t>
      </w:r>
      <w:r w:rsidR="00D107CE">
        <w:rPr>
          <w:lang w:eastAsia="en-US"/>
        </w:rPr>
        <w:t xml:space="preserve"> </w:t>
      </w:r>
    </w:p>
    <w:p w14:paraId="79800E51" w14:textId="77777777" w:rsidR="002B3B10" w:rsidRDefault="002B3B10" w:rsidP="003C73D7">
      <w:pPr>
        <w:pStyle w:val="3-BodyText"/>
        <w:rPr>
          <w:rFonts w:cstheme="minorHAnsi"/>
          <w:szCs w:val="24"/>
          <w:lang w:eastAsia="en-US"/>
        </w:rPr>
      </w:pPr>
      <w:r>
        <w:rPr>
          <w:rFonts w:cstheme="minorHAnsi"/>
          <w:szCs w:val="24"/>
          <w:lang w:eastAsia="en-US"/>
        </w:rPr>
        <w:t>The PBAC considered that a 2 tier RSA may be appropriate with:</w:t>
      </w:r>
    </w:p>
    <w:p w14:paraId="5999B89C" w14:textId="66CEA208" w:rsidR="002B3B10" w:rsidRDefault="002B3B10" w:rsidP="004D0F38">
      <w:pPr>
        <w:pStyle w:val="3-BodyText"/>
        <w:numPr>
          <w:ilvl w:val="0"/>
          <w:numId w:val="10"/>
        </w:numPr>
        <w:ind w:left="1276" w:hanging="425"/>
        <w:rPr>
          <w:rFonts w:cstheme="minorHAnsi"/>
          <w:szCs w:val="24"/>
          <w:lang w:eastAsia="en-US"/>
        </w:rPr>
      </w:pPr>
      <w:r>
        <w:rPr>
          <w:rFonts w:cstheme="minorHAnsi"/>
          <w:szCs w:val="24"/>
          <w:lang w:eastAsia="en-US"/>
        </w:rPr>
        <w:t xml:space="preserve">Tier 1 based on the financial estimates derived from paragraph </w:t>
      </w:r>
      <w:r>
        <w:rPr>
          <w:rFonts w:cstheme="minorHAnsi"/>
          <w:szCs w:val="24"/>
          <w:lang w:eastAsia="en-US"/>
        </w:rPr>
        <w:fldChar w:fldCharType="begin"/>
      </w:r>
      <w:r>
        <w:rPr>
          <w:rFonts w:cstheme="minorHAnsi"/>
          <w:szCs w:val="24"/>
          <w:lang w:eastAsia="en-US"/>
        </w:rPr>
        <w:instrText xml:space="preserve"> REF _Ref225159356 \r \h </w:instrText>
      </w:r>
      <w:r>
        <w:rPr>
          <w:rFonts w:cstheme="minorHAnsi"/>
          <w:szCs w:val="24"/>
          <w:lang w:eastAsia="en-US"/>
        </w:rPr>
      </w:r>
      <w:r>
        <w:rPr>
          <w:rFonts w:cstheme="minorHAnsi"/>
          <w:szCs w:val="24"/>
          <w:lang w:eastAsia="en-US"/>
        </w:rPr>
        <w:fldChar w:fldCharType="separate"/>
      </w:r>
      <w:r w:rsidR="002255D9">
        <w:rPr>
          <w:rFonts w:cstheme="minorHAnsi"/>
          <w:szCs w:val="24"/>
          <w:lang w:eastAsia="en-US"/>
        </w:rPr>
        <w:t>7.14</w:t>
      </w:r>
      <w:r>
        <w:rPr>
          <w:rFonts w:cstheme="minorHAnsi"/>
          <w:szCs w:val="24"/>
          <w:lang w:eastAsia="en-US"/>
        </w:rPr>
        <w:fldChar w:fldCharType="end"/>
      </w:r>
      <w:r w:rsidR="00664A1F">
        <w:rPr>
          <w:rFonts w:cstheme="minorHAnsi"/>
          <w:szCs w:val="24"/>
          <w:lang w:eastAsia="en-US"/>
        </w:rPr>
        <w:t xml:space="preserve"> </w:t>
      </w:r>
      <w:r>
        <w:rPr>
          <w:rFonts w:cstheme="minorHAnsi"/>
          <w:szCs w:val="24"/>
          <w:lang w:eastAsia="en-US"/>
        </w:rPr>
        <w:t>with a rebate</w:t>
      </w:r>
      <w:r w:rsidR="00811321">
        <w:rPr>
          <w:rFonts w:cstheme="minorHAnsi"/>
          <w:szCs w:val="24"/>
          <w:lang w:eastAsia="en-US"/>
        </w:rPr>
        <w:t xml:space="preserve"> less than </w:t>
      </w:r>
      <w:r w:rsidR="00102373" w:rsidRPr="00102373">
        <w:rPr>
          <w:rFonts w:cstheme="minorHAnsi"/>
          <w:sz w:val="2"/>
          <w:szCs w:val="24"/>
          <w:highlight w:val="black"/>
          <w:lang w:eastAsia="en-US"/>
        </w:rPr>
        <w:t>redacted content</w:t>
      </w:r>
      <w:r w:rsidR="00811321">
        <w:rPr>
          <w:rFonts w:cstheme="minorHAnsi"/>
          <w:szCs w:val="24"/>
          <w:lang w:eastAsia="en-US"/>
        </w:rPr>
        <w:t>%</w:t>
      </w:r>
      <w:r w:rsidR="00377009">
        <w:rPr>
          <w:rFonts w:cstheme="minorHAnsi"/>
          <w:szCs w:val="24"/>
          <w:lang w:eastAsia="en-US"/>
        </w:rPr>
        <w:t>,</w:t>
      </w:r>
      <w:r w:rsidR="00334A52">
        <w:rPr>
          <w:rFonts w:cstheme="minorHAnsi"/>
          <w:szCs w:val="24"/>
          <w:lang w:eastAsia="en-US"/>
        </w:rPr>
        <w:t xml:space="preserve"> </w:t>
      </w:r>
      <w:r w:rsidR="00377009">
        <w:rPr>
          <w:rFonts w:cstheme="minorHAnsi"/>
          <w:szCs w:val="24"/>
          <w:lang w:eastAsia="en-US"/>
        </w:rPr>
        <w:t>however requiring the sponsor to rebate the majority of</w:t>
      </w:r>
      <w:r w:rsidR="00AF2D92">
        <w:rPr>
          <w:rFonts w:cstheme="minorHAnsi"/>
          <w:szCs w:val="24"/>
          <w:lang w:eastAsia="en-US"/>
        </w:rPr>
        <w:t xml:space="preserve"> expenditure above this threshold until Tier 2;</w:t>
      </w:r>
    </w:p>
    <w:p w14:paraId="4FFF0A4D" w14:textId="2E46C0FC" w:rsidR="00C60DC8" w:rsidRDefault="006403F5" w:rsidP="00582964">
      <w:pPr>
        <w:pStyle w:val="3-BodyText"/>
        <w:numPr>
          <w:ilvl w:val="0"/>
          <w:numId w:val="10"/>
        </w:numPr>
        <w:ind w:left="1276" w:hanging="425"/>
        <w:rPr>
          <w:rFonts w:cstheme="minorHAnsi"/>
          <w:szCs w:val="24"/>
          <w:lang w:eastAsia="en-US"/>
        </w:rPr>
      </w:pPr>
      <w:r>
        <w:rPr>
          <w:rFonts w:cstheme="minorHAnsi"/>
          <w:szCs w:val="24"/>
          <w:lang w:eastAsia="en-US"/>
        </w:rPr>
        <w:t xml:space="preserve">Tier 2 </w:t>
      </w:r>
      <w:r w:rsidR="00F66FFC">
        <w:rPr>
          <w:rFonts w:cstheme="minorHAnsi"/>
          <w:szCs w:val="24"/>
          <w:lang w:eastAsia="en-US"/>
        </w:rPr>
        <w:t xml:space="preserve">with </w:t>
      </w:r>
      <w:r w:rsidR="000742EC">
        <w:rPr>
          <w:rFonts w:cstheme="minorHAnsi"/>
          <w:szCs w:val="24"/>
          <w:lang w:eastAsia="en-US"/>
        </w:rPr>
        <w:t>a constant threshold each year based on the highest year of expenditure</w:t>
      </w:r>
      <w:r w:rsidR="000742EC" w:rsidRPr="000519AB">
        <w:rPr>
          <w:rFonts w:cstheme="minorHAnsi"/>
          <w:szCs w:val="24"/>
          <w:lang w:eastAsia="en-US"/>
        </w:rPr>
        <w:t xml:space="preserve"> </w:t>
      </w:r>
      <w:r w:rsidR="000742EC">
        <w:rPr>
          <w:rFonts w:cstheme="minorHAnsi"/>
          <w:szCs w:val="24"/>
          <w:lang w:eastAsia="en-US"/>
        </w:rPr>
        <w:t>(i.e. Year 2)</w:t>
      </w:r>
      <w:r w:rsidR="00535D70">
        <w:rPr>
          <w:rFonts w:cstheme="minorHAnsi"/>
          <w:szCs w:val="24"/>
          <w:lang w:eastAsia="en-US"/>
        </w:rPr>
        <w:t xml:space="preserve"> </w:t>
      </w:r>
      <w:r>
        <w:rPr>
          <w:rFonts w:cstheme="minorHAnsi"/>
          <w:szCs w:val="24"/>
          <w:lang w:eastAsia="en-US"/>
        </w:rPr>
        <w:t xml:space="preserve">based on the financial estimates derived from paragraph </w:t>
      </w:r>
      <w:r>
        <w:rPr>
          <w:rFonts w:cstheme="minorHAnsi"/>
          <w:szCs w:val="24"/>
          <w:lang w:eastAsia="en-US"/>
        </w:rPr>
        <w:fldChar w:fldCharType="begin"/>
      </w:r>
      <w:r>
        <w:rPr>
          <w:rFonts w:cstheme="minorHAnsi"/>
          <w:szCs w:val="24"/>
          <w:lang w:eastAsia="en-US"/>
        </w:rPr>
        <w:instrText xml:space="preserve"> REF _Ref225159356 \r \h </w:instrText>
      </w:r>
      <w:r>
        <w:rPr>
          <w:rFonts w:cstheme="minorHAnsi"/>
          <w:szCs w:val="24"/>
          <w:lang w:eastAsia="en-US"/>
        </w:rPr>
      </w:r>
      <w:r>
        <w:rPr>
          <w:rFonts w:cstheme="minorHAnsi"/>
          <w:szCs w:val="24"/>
          <w:lang w:eastAsia="en-US"/>
        </w:rPr>
        <w:fldChar w:fldCharType="separate"/>
      </w:r>
      <w:r w:rsidR="002255D9">
        <w:rPr>
          <w:rFonts w:cstheme="minorHAnsi"/>
          <w:szCs w:val="24"/>
          <w:lang w:eastAsia="en-US"/>
        </w:rPr>
        <w:t>7.14</w:t>
      </w:r>
      <w:r>
        <w:rPr>
          <w:rFonts w:cstheme="minorHAnsi"/>
          <w:szCs w:val="24"/>
          <w:lang w:eastAsia="en-US"/>
        </w:rPr>
        <w:fldChar w:fldCharType="end"/>
      </w:r>
      <w:r w:rsidR="00D808AD">
        <w:rPr>
          <w:rFonts w:cstheme="minorHAnsi"/>
          <w:szCs w:val="24"/>
          <w:lang w:eastAsia="en-US"/>
        </w:rPr>
        <w:t>.</w:t>
      </w:r>
      <w:r>
        <w:rPr>
          <w:rFonts w:cstheme="minorHAnsi"/>
          <w:szCs w:val="24"/>
          <w:lang w:eastAsia="en-US"/>
        </w:rPr>
        <w:t xml:space="preserve"> </w:t>
      </w:r>
      <w:r w:rsidR="00F66FFC">
        <w:rPr>
          <w:rFonts w:cstheme="minorHAnsi"/>
          <w:szCs w:val="24"/>
          <w:lang w:eastAsia="en-US"/>
        </w:rPr>
        <w:t>Th</w:t>
      </w:r>
      <w:r w:rsidR="0001114A">
        <w:rPr>
          <w:rFonts w:cstheme="minorHAnsi"/>
          <w:szCs w:val="24"/>
          <w:lang w:eastAsia="en-US"/>
        </w:rPr>
        <w:t>e rationale</w:t>
      </w:r>
      <w:r w:rsidR="00F66FFC">
        <w:rPr>
          <w:rFonts w:cstheme="minorHAnsi"/>
          <w:szCs w:val="24"/>
          <w:lang w:eastAsia="en-US"/>
        </w:rPr>
        <w:t xml:space="preserve"> was because</w:t>
      </w:r>
      <w:r w:rsidR="00682F77">
        <w:rPr>
          <w:rFonts w:cstheme="minorHAnsi"/>
          <w:szCs w:val="24"/>
          <w:lang w:eastAsia="en-US"/>
        </w:rPr>
        <w:t xml:space="preserve"> </w:t>
      </w:r>
      <w:r w:rsidR="00581D26">
        <w:rPr>
          <w:rFonts w:cstheme="minorHAnsi"/>
          <w:szCs w:val="24"/>
          <w:lang w:eastAsia="en-US"/>
        </w:rPr>
        <w:t xml:space="preserve">the financial estimates </w:t>
      </w:r>
      <w:r w:rsidR="002D2078">
        <w:rPr>
          <w:rFonts w:cstheme="minorHAnsi"/>
          <w:szCs w:val="24"/>
          <w:lang w:eastAsia="en-US"/>
        </w:rPr>
        <w:t xml:space="preserve">would </w:t>
      </w:r>
      <w:r w:rsidR="00581D26">
        <w:rPr>
          <w:rFonts w:cstheme="minorHAnsi"/>
          <w:szCs w:val="24"/>
          <w:lang w:eastAsia="en-US"/>
        </w:rPr>
        <w:t>peak</w:t>
      </w:r>
      <w:r w:rsidR="00B22017">
        <w:rPr>
          <w:rFonts w:cstheme="minorHAnsi"/>
          <w:szCs w:val="24"/>
          <w:lang w:eastAsia="en-US"/>
        </w:rPr>
        <w:t xml:space="preserve"> at Year 2 (</w:t>
      </w:r>
      <w:r w:rsidR="008D04DB">
        <w:rPr>
          <w:rFonts w:cstheme="minorHAnsi"/>
          <w:szCs w:val="24"/>
          <w:lang w:eastAsia="en-US"/>
        </w:rPr>
        <w:t xml:space="preserve">i.e. </w:t>
      </w:r>
      <w:r w:rsidR="00B22017">
        <w:rPr>
          <w:rFonts w:cstheme="minorHAnsi"/>
          <w:szCs w:val="24"/>
          <w:lang w:eastAsia="en-US"/>
        </w:rPr>
        <w:t>with the PBAC’s revised uptake rates and treatment duration</w:t>
      </w:r>
      <w:r w:rsidR="007B59A9">
        <w:rPr>
          <w:rFonts w:cstheme="minorHAnsi"/>
          <w:szCs w:val="24"/>
          <w:lang w:eastAsia="en-US"/>
        </w:rPr>
        <w:t xml:space="preserve">, although noting the peak </w:t>
      </w:r>
      <w:r w:rsidR="00E66A27">
        <w:rPr>
          <w:rFonts w:cstheme="minorHAnsi"/>
          <w:szCs w:val="24"/>
          <w:lang w:eastAsia="en-US"/>
        </w:rPr>
        <w:t>would be</w:t>
      </w:r>
      <w:r w:rsidR="007B59A9">
        <w:rPr>
          <w:rFonts w:cstheme="minorHAnsi"/>
          <w:szCs w:val="24"/>
          <w:lang w:eastAsia="en-US"/>
        </w:rPr>
        <w:t xml:space="preserve"> in </w:t>
      </w:r>
      <w:r w:rsidR="00581D26">
        <w:rPr>
          <w:rFonts w:cstheme="minorHAnsi"/>
          <w:szCs w:val="24"/>
          <w:lang w:eastAsia="en-US"/>
        </w:rPr>
        <w:t>Year 3</w:t>
      </w:r>
      <w:r w:rsidR="00530750">
        <w:rPr>
          <w:rFonts w:cstheme="minorHAnsi"/>
          <w:szCs w:val="24"/>
          <w:lang w:eastAsia="en-US"/>
        </w:rPr>
        <w:t xml:space="preserve"> </w:t>
      </w:r>
      <w:r w:rsidR="00BF79E4">
        <w:rPr>
          <w:rFonts w:cstheme="minorHAnsi"/>
          <w:szCs w:val="24"/>
          <w:lang w:eastAsia="en-US"/>
        </w:rPr>
        <w:t>with</w:t>
      </w:r>
      <w:r w:rsidR="008A735C">
        <w:rPr>
          <w:rFonts w:cstheme="minorHAnsi"/>
          <w:szCs w:val="24"/>
          <w:lang w:eastAsia="en-US"/>
        </w:rPr>
        <w:t xml:space="preserve"> the submission’s assumptions) </w:t>
      </w:r>
      <w:r w:rsidR="00530750">
        <w:rPr>
          <w:rFonts w:cstheme="minorHAnsi"/>
          <w:szCs w:val="24"/>
          <w:lang w:eastAsia="en-US"/>
        </w:rPr>
        <w:t xml:space="preserve">then reduced </w:t>
      </w:r>
      <w:r w:rsidR="00164317">
        <w:rPr>
          <w:rFonts w:cstheme="minorHAnsi"/>
          <w:szCs w:val="24"/>
          <w:lang w:eastAsia="en-US"/>
        </w:rPr>
        <w:t xml:space="preserve">in Years </w:t>
      </w:r>
      <w:r w:rsidR="00772F01">
        <w:rPr>
          <w:rFonts w:cstheme="minorHAnsi"/>
          <w:szCs w:val="24"/>
          <w:lang w:eastAsia="en-US"/>
        </w:rPr>
        <w:t xml:space="preserve">3 </w:t>
      </w:r>
      <w:r w:rsidR="00164317">
        <w:rPr>
          <w:rFonts w:cstheme="minorHAnsi"/>
          <w:szCs w:val="24"/>
          <w:lang w:eastAsia="en-US"/>
        </w:rPr>
        <w:t>to 6</w:t>
      </w:r>
      <w:r w:rsidR="00846735">
        <w:rPr>
          <w:rFonts w:cstheme="minorHAnsi"/>
          <w:szCs w:val="24"/>
          <w:lang w:eastAsia="en-US"/>
        </w:rPr>
        <w:t>. This peak</w:t>
      </w:r>
      <w:r w:rsidR="0001114A">
        <w:rPr>
          <w:rFonts w:cstheme="minorHAnsi"/>
          <w:szCs w:val="24"/>
          <w:lang w:eastAsia="en-US"/>
        </w:rPr>
        <w:t xml:space="preserve"> </w:t>
      </w:r>
      <w:r w:rsidR="00951F17">
        <w:rPr>
          <w:rFonts w:cstheme="minorHAnsi"/>
          <w:szCs w:val="24"/>
          <w:lang w:eastAsia="en-US"/>
        </w:rPr>
        <w:t>reflect</w:t>
      </w:r>
      <w:r w:rsidR="00846735">
        <w:rPr>
          <w:rFonts w:cstheme="minorHAnsi"/>
          <w:szCs w:val="24"/>
          <w:lang w:eastAsia="en-US"/>
        </w:rPr>
        <w:t>s</w:t>
      </w:r>
      <w:r w:rsidR="00951F17" w:rsidRPr="00951F17">
        <w:rPr>
          <w:rFonts w:cstheme="minorHAnsi"/>
          <w:szCs w:val="24"/>
          <w:lang w:eastAsia="en-US"/>
        </w:rPr>
        <w:t xml:space="preserve"> rapid uptake in the </w:t>
      </w:r>
      <w:r w:rsidR="005F0E49">
        <w:rPr>
          <w:rFonts w:cstheme="minorHAnsi"/>
          <w:szCs w:val="24"/>
          <w:lang w:eastAsia="en-US"/>
        </w:rPr>
        <w:t xml:space="preserve">large </w:t>
      </w:r>
      <w:r w:rsidR="00951F17" w:rsidRPr="00951F17">
        <w:rPr>
          <w:rFonts w:cstheme="minorHAnsi"/>
          <w:szCs w:val="24"/>
          <w:lang w:eastAsia="en-US"/>
        </w:rPr>
        <w:t xml:space="preserve">prevalent pool of patients in </w:t>
      </w:r>
      <w:r w:rsidR="00951F17">
        <w:rPr>
          <w:rFonts w:cstheme="minorHAnsi"/>
          <w:szCs w:val="24"/>
          <w:lang w:eastAsia="en-US"/>
        </w:rPr>
        <w:t>Y</w:t>
      </w:r>
      <w:r w:rsidR="00951F17" w:rsidRPr="00951F17">
        <w:rPr>
          <w:rFonts w:cstheme="minorHAnsi"/>
          <w:szCs w:val="24"/>
          <w:lang w:eastAsia="en-US"/>
        </w:rPr>
        <w:t>ear 1 together with an assumption that patients would not be treated for longer than 3 years. However</w:t>
      </w:r>
      <w:r w:rsidR="00951F17">
        <w:rPr>
          <w:rFonts w:cstheme="minorHAnsi"/>
          <w:szCs w:val="24"/>
          <w:lang w:eastAsia="en-US"/>
        </w:rPr>
        <w:t>,</w:t>
      </w:r>
      <w:r w:rsidR="00951F17" w:rsidRPr="00951F17">
        <w:rPr>
          <w:rFonts w:cstheme="minorHAnsi"/>
          <w:szCs w:val="24"/>
          <w:lang w:eastAsia="en-US"/>
        </w:rPr>
        <w:t xml:space="preserve"> the rate of uptake in these patients is unknown and may extend beyond the first year.</w:t>
      </w:r>
      <w:r w:rsidR="0001114A">
        <w:rPr>
          <w:rFonts w:cstheme="minorHAnsi"/>
          <w:szCs w:val="24"/>
          <w:lang w:eastAsia="en-US"/>
        </w:rPr>
        <w:t xml:space="preserve"> The PBAC</w:t>
      </w:r>
      <w:r w:rsidR="00EA08DF">
        <w:rPr>
          <w:rFonts w:cstheme="minorHAnsi"/>
          <w:szCs w:val="24"/>
          <w:lang w:eastAsia="en-US"/>
        </w:rPr>
        <w:t xml:space="preserve"> considered </w:t>
      </w:r>
      <w:r w:rsidR="00164317">
        <w:rPr>
          <w:rFonts w:cstheme="minorHAnsi"/>
          <w:szCs w:val="24"/>
          <w:lang w:eastAsia="en-US"/>
        </w:rPr>
        <w:t xml:space="preserve">that use above the </w:t>
      </w:r>
      <w:r w:rsidR="00C544D4">
        <w:rPr>
          <w:rFonts w:cstheme="minorHAnsi"/>
          <w:szCs w:val="24"/>
          <w:lang w:eastAsia="en-US"/>
        </w:rPr>
        <w:t>highest year</w:t>
      </w:r>
      <w:r w:rsidR="000A4A43">
        <w:rPr>
          <w:rFonts w:cstheme="minorHAnsi"/>
          <w:szCs w:val="24"/>
          <w:lang w:eastAsia="en-US"/>
        </w:rPr>
        <w:t xml:space="preserve"> of</w:t>
      </w:r>
      <w:r w:rsidR="00164317">
        <w:rPr>
          <w:rFonts w:cstheme="minorHAnsi"/>
          <w:szCs w:val="24"/>
          <w:lang w:eastAsia="en-US"/>
        </w:rPr>
        <w:t xml:space="preserve"> </w:t>
      </w:r>
      <w:r w:rsidR="0001114A">
        <w:rPr>
          <w:rFonts w:cstheme="minorHAnsi"/>
          <w:szCs w:val="24"/>
          <w:lang w:eastAsia="en-US"/>
        </w:rPr>
        <w:t xml:space="preserve">expenditure </w:t>
      </w:r>
      <w:r w:rsidR="00550266">
        <w:rPr>
          <w:rFonts w:cstheme="minorHAnsi"/>
          <w:szCs w:val="24"/>
          <w:lang w:eastAsia="en-US"/>
        </w:rPr>
        <w:t>would be inconsistent with the expected use of obinutuzumab in lupus nephritis</w:t>
      </w:r>
      <w:r w:rsidR="00746B15" w:rsidRPr="00746B15">
        <w:t xml:space="preserve"> </w:t>
      </w:r>
      <w:r w:rsidR="00746B15">
        <w:t>and thus a</w:t>
      </w:r>
      <w:r w:rsidR="00746B15" w:rsidRPr="00746B15">
        <w:rPr>
          <w:rFonts w:cstheme="minorHAnsi"/>
          <w:szCs w:val="24"/>
          <w:lang w:eastAsia="en-US"/>
        </w:rPr>
        <w:t xml:space="preserve"> rebate of </w:t>
      </w:r>
      <w:r w:rsidR="00102373" w:rsidRPr="00102373">
        <w:rPr>
          <w:rFonts w:cstheme="minorHAnsi"/>
          <w:sz w:val="2"/>
          <w:szCs w:val="24"/>
          <w:highlight w:val="black"/>
          <w:lang w:eastAsia="en-US"/>
        </w:rPr>
        <w:t>redacted content</w:t>
      </w:r>
      <w:r w:rsidR="00746B15" w:rsidRPr="00746B15">
        <w:rPr>
          <w:rFonts w:cstheme="minorHAnsi"/>
          <w:szCs w:val="24"/>
          <w:lang w:eastAsia="en-US"/>
        </w:rPr>
        <w:t xml:space="preserve">% </w:t>
      </w:r>
      <w:r w:rsidR="00746B15">
        <w:rPr>
          <w:rFonts w:cstheme="minorHAnsi"/>
          <w:szCs w:val="24"/>
          <w:lang w:eastAsia="en-US"/>
        </w:rPr>
        <w:t xml:space="preserve">for expenditure </w:t>
      </w:r>
      <w:r w:rsidR="00746B15" w:rsidRPr="00746B15">
        <w:rPr>
          <w:rFonts w:cstheme="minorHAnsi"/>
          <w:szCs w:val="24"/>
          <w:lang w:eastAsia="en-US"/>
        </w:rPr>
        <w:t xml:space="preserve">above </w:t>
      </w:r>
      <w:r w:rsidR="00746B15">
        <w:rPr>
          <w:rFonts w:cstheme="minorHAnsi"/>
          <w:szCs w:val="24"/>
          <w:lang w:eastAsia="en-US"/>
        </w:rPr>
        <w:t xml:space="preserve">Tier 2 </w:t>
      </w:r>
      <w:r w:rsidR="00746B15" w:rsidRPr="00746B15">
        <w:rPr>
          <w:rFonts w:cstheme="minorHAnsi"/>
          <w:szCs w:val="24"/>
          <w:lang w:eastAsia="en-US"/>
        </w:rPr>
        <w:t>was considered appropriate</w:t>
      </w:r>
      <w:r w:rsidR="00550266">
        <w:rPr>
          <w:rFonts w:cstheme="minorHAnsi"/>
          <w:szCs w:val="24"/>
          <w:lang w:eastAsia="en-US"/>
        </w:rPr>
        <w:t xml:space="preserve">. </w:t>
      </w:r>
    </w:p>
    <w:p w14:paraId="7670FB33" w14:textId="540CBC2B" w:rsidR="004D0F38" w:rsidRPr="002264D9" w:rsidRDefault="00C81FE8" w:rsidP="003C73D7">
      <w:pPr>
        <w:pStyle w:val="3-BodyText"/>
        <w:rPr>
          <w:rFonts w:cstheme="minorHAnsi"/>
          <w:szCs w:val="24"/>
          <w:lang w:eastAsia="en-US"/>
        </w:rPr>
      </w:pPr>
      <w:r w:rsidRPr="00027D7E">
        <w:rPr>
          <w:rFonts w:cstheme="minorHAnsi"/>
          <w:szCs w:val="24"/>
          <w:lang w:eastAsia="en-US"/>
        </w:rPr>
        <w:t xml:space="preserve">The PBAC </w:t>
      </w:r>
      <w:r w:rsidR="00027D7E">
        <w:rPr>
          <w:rFonts w:cstheme="minorHAnsi"/>
          <w:szCs w:val="24"/>
          <w:lang w:eastAsia="en-US"/>
        </w:rPr>
        <w:t>advis</w:t>
      </w:r>
      <w:r w:rsidRPr="00027D7E">
        <w:rPr>
          <w:rFonts w:cstheme="minorHAnsi"/>
          <w:szCs w:val="24"/>
          <w:lang w:eastAsia="en-US"/>
        </w:rPr>
        <w:t>ed that there may be a reduction in R/PBS expenditure on anifrolumab</w:t>
      </w:r>
      <w:r w:rsidR="00027D7E" w:rsidRPr="00027D7E">
        <w:rPr>
          <w:rFonts w:cstheme="minorHAnsi"/>
          <w:szCs w:val="24"/>
          <w:lang w:eastAsia="en-US"/>
        </w:rPr>
        <w:t xml:space="preserve"> for SLE (given the restriction would prohibit concurrent use of the two therapies), though noted </w:t>
      </w:r>
      <w:r w:rsidR="004D0F38">
        <w:rPr>
          <w:rFonts w:cstheme="minorHAnsi"/>
          <w:szCs w:val="24"/>
          <w:lang w:eastAsia="en-US"/>
        </w:rPr>
        <w:t>any such reductions</w:t>
      </w:r>
      <w:r w:rsidR="00027D7E" w:rsidRPr="00027D7E">
        <w:rPr>
          <w:rFonts w:cstheme="minorHAnsi"/>
          <w:szCs w:val="24"/>
          <w:lang w:eastAsia="en-US"/>
        </w:rPr>
        <w:t xml:space="preserve"> would be difficult to quantify</w:t>
      </w:r>
      <w:r w:rsidR="00027D7E">
        <w:rPr>
          <w:rFonts w:cstheme="minorHAnsi"/>
          <w:szCs w:val="24"/>
          <w:lang w:eastAsia="en-US"/>
        </w:rPr>
        <w:t xml:space="preserve">. </w:t>
      </w:r>
      <w:r w:rsidR="00074226" w:rsidRPr="003C73D7">
        <w:rPr>
          <w:rFonts w:cstheme="minorHAnsi"/>
          <w:szCs w:val="24"/>
          <w:lang w:eastAsia="en-US"/>
        </w:rPr>
        <w:t xml:space="preserve">The PBAC considered </w:t>
      </w:r>
      <w:r w:rsidR="00074226" w:rsidRPr="002264D9">
        <w:rPr>
          <w:rFonts w:cstheme="minorHAnsi"/>
          <w:szCs w:val="24"/>
          <w:lang w:eastAsia="en-US"/>
        </w:rPr>
        <w:t xml:space="preserve">that inclusion of obinutuzumab </w:t>
      </w:r>
      <w:r w:rsidR="004D0F38" w:rsidRPr="002264D9">
        <w:rPr>
          <w:rFonts w:cstheme="minorHAnsi"/>
          <w:szCs w:val="24"/>
          <w:lang w:eastAsia="en-US"/>
        </w:rPr>
        <w:t xml:space="preserve">in </w:t>
      </w:r>
      <w:r w:rsidR="00074226" w:rsidRPr="002264D9">
        <w:rPr>
          <w:rFonts w:cstheme="minorHAnsi"/>
          <w:szCs w:val="24"/>
          <w:lang w:eastAsia="en-US"/>
        </w:rPr>
        <w:t>the existing anifrolumab expenditure cap was not appropriate due to differences in indication and restriction.</w:t>
      </w:r>
    </w:p>
    <w:p w14:paraId="3529AB65" w14:textId="1204ACFD" w:rsidR="002264D9" w:rsidRPr="002264D9" w:rsidRDefault="002264D9" w:rsidP="00D60716">
      <w:pPr>
        <w:pStyle w:val="3-BodyText"/>
        <w:rPr>
          <w:rFonts w:cstheme="minorHAnsi"/>
          <w:szCs w:val="24"/>
          <w:lang w:eastAsia="en-US"/>
        </w:rPr>
      </w:pPr>
      <w:r w:rsidRPr="002264D9">
        <w:rPr>
          <w:rFonts w:cstheme="minorHAnsi"/>
          <w:szCs w:val="24"/>
          <w:lang w:eastAsia="en-US"/>
        </w:rPr>
        <w:lastRenderedPageBreak/>
        <w:t xml:space="preserve">The PBAC </w:t>
      </w:r>
      <w:r w:rsidR="003D50FC">
        <w:rPr>
          <w:rFonts w:cstheme="minorHAnsi"/>
          <w:szCs w:val="24"/>
          <w:lang w:eastAsia="en-US"/>
        </w:rPr>
        <w:t>request</w:t>
      </w:r>
      <w:r w:rsidRPr="002264D9">
        <w:rPr>
          <w:rFonts w:cstheme="minorHAnsi"/>
          <w:szCs w:val="24"/>
          <w:lang w:eastAsia="en-US"/>
        </w:rPr>
        <w:t>ed that the utilisation of obinutuzumab for lupus nephritis be reviewed by the Drug Utilisation Sub</w:t>
      </w:r>
      <w:r w:rsidRPr="002264D9">
        <w:rPr>
          <w:rFonts w:ascii="Cambria Math" w:hAnsi="Cambria Math" w:cs="Cambria Math"/>
          <w:szCs w:val="24"/>
          <w:lang w:eastAsia="en-US"/>
        </w:rPr>
        <w:t>‑</w:t>
      </w:r>
      <w:r w:rsidRPr="002264D9">
        <w:rPr>
          <w:rFonts w:cstheme="minorHAnsi"/>
          <w:szCs w:val="24"/>
          <w:lang w:eastAsia="en-US"/>
        </w:rPr>
        <w:t>Committee (DUSC) approximately two years after listing, to assess predicted versus actual use and expenditure.</w:t>
      </w:r>
    </w:p>
    <w:p w14:paraId="052AA8AB" w14:textId="754853E5" w:rsidR="00D062DD" w:rsidRPr="00D062DD" w:rsidRDefault="00501BF1" w:rsidP="00D062DD">
      <w:pPr>
        <w:pStyle w:val="3-BodyText"/>
        <w:rPr>
          <w:rFonts w:cstheme="minorHAnsi"/>
          <w:szCs w:val="24"/>
          <w:lang w:eastAsia="en-US"/>
        </w:rPr>
      </w:pPr>
      <w:r w:rsidRPr="002264D9">
        <w:rPr>
          <w:rFonts w:cstheme="minorHAnsi"/>
          <w:szCs w:val="24"/>
          <w:lang w:eastAsia="en-US"/>
        </w:rPr>
        <w:t>Th</w:t>
      </w:r>
      <w:r w:rsidRPr="00501BF1">
        <w:rPr>
          <w:rFonts w:cstheme="minorHAnsi"/>
          <w:szCs w:val="24"/>
          <w:lang w:eastAsia="en-US"/>
        </w:rPr>
        <w:t xml:space="preserve">e PBAC advised the Early Supply Rule should </w:t>
      </w:r>
      <w:r>
        <w:rPr>
          <w:rFonts w:cstheme="minorHAnsi"/>
          <w:szCs w:val="24"/>
          <w:lang w:eastAsia="en-US"/>
        </w:rPr>
        <w:t>a</w:t>
      </w:r>
      <w:r w:rsidRPr="00501BF1">
        <w:rPr>
          <w:rFonts w:cstheme="minorHAnsi"/>
          <w:szCs w:val="24"/>
          <w:lang w:eastAsia="en-US"/>
        </w:rPr>
        <w:t>pply</w:t>
      </w:r>
      <w:r>
        <w:rPr>
          <w:rFonts w:cstheme="minorHAnsi"/>
          <w:szCs w:val="24"/>
          <w:lang w:eastAsia="en-US"/>
        </w:rPr>
        <w:t>, consistent with anifrolumab</w:t>
      </w:r>
      <w:r w:rsidRPr="00501BF1">
        <w:rPr>
          <w:rFonts w:cstheme="minorHAnsi"/>
          <w:szCs w:val="24"/>
          <w:lang w:eastAsia="en-US"/>
        </w:rPr>
        <w:t>.</w:t>
      </w:r>
    </w:p>
    <w:p w14:paraId="13E9CEC6" w14:textId="45A06B47" w:rsidR="00C27AE8" w:rsidRPr="00C27AE8" w:rsidRDefault="003B73E3" w:rsidP="00D062DD">
      <w:pPr>
        <w:pStyle w:val="3-BodyText"/>
        <w:rPr>
          <w:bCs/>
          <w:snapToGrid w:val="0"/>
          <w:lang w:val="en-GB" w:eastAsia="en-US"/>
        </w:rPr>
      </w:pPr>
      <w:r>
        <w:rPr>
          <w:snapToGrid w:val="0"/>
          <w:lang w:val="en-GB" w:eastAsia="en-US"/>
        </w:rPr>
        <w:t>T</w:t>
      </w:r>
      <w:r w:rsidR="0091211D">
        <w:rPr>
          <w:snapToGrid w:val="0"/>
          <w:lang w:val="en-GB" w:eastAsia="en-US"/>
        </w:rPr>
        <w:t xml:space="preserve">he PBAC advised that </w:t>
      </w:r>
      <w:r w:rsidR="0091211D">
        <w:rPr>
          <w:bCs/>
          <w:snapToGrid w:val="0"/>
          <w:lang w:val="en-GB" w:eastAsia="en-US"/>
        </w:rPr>
        <w:t xml:space="preserve">obinutuzumab </w:t>
      </w:r>
      <w:r w:rsidR="00C27AE8" w:rsidRPr="00C27AE8">
        <w:rPr>
          <w:bCs/>
          <w:snapToGrid w:val="0"/>
          <w:lang w:val="en-GB" w:eastAsia="en-US"/>
        </w:rPr>
        <w:t>should not be treated as interchangeable with any other drugs</w:t>
      </w:r>
      <w:r w:rsidR="00592F2E" w:rsidRPr="00592F2E">
        <w:t xml:space="preserve"> </w:t>
      </w:r>
      <w:r w:rsidR="00592F2E" w:rsidRPr="00592F2E">
        <w:rPr>
          <w:bCs/>
          <w:snapToGrid w:val="0"/>
          <w:lang w:val="en-GB" w:eastAsia="en-US"/>
        </w:rPr>
        <w:t xml:space="preserve">under Section 101 (3BA) of the </w:t>
      </w:r>
      <w:r w:rsidR="00592F2E" w:rsidRPr="008C1AA0">
        <w:rPr>
          <w:bCs/>
          <w:i/>
          <w:iCs/>
          <w:snapToGrid w:val="0"/>
          <w:lang w:val="en-GB" w:eastAsia="en-US"/>
        </w:rPr>
        <w:t>National Health Act 1953</w:t>
      </w:r>
      <w:r w:rsidR="0091211D">
        <w:rPr>
          <w:bCs/>
          <w:snapToGrid w:val="0"/>
          <w:lang w:val="en-GB" w:eastAsia="en-US"/>
        </w:rPr>
        <w:t>.</w:t>
      </w:r>
    </w:p>
    <w:p w14:paraId="184E7433" w14:textId="0120577B" w:rsidR="00497652" w:rsidRDefault="00EE5CF5" w:rsidP="001C6D5A">
      <w:pPr>
        <w:widowControl w:val="0"/>
        <w:numPr>
          <w:ilvl w:val="1"/>
          <w:numId w:val="1"/>
        </w:numPr>
        <w:spacing w:after="120"/>
        <w:rPr>
          <w:rFonts w:asciiTheme="minorHAnsi" w:hAnsiTheme="minorHAnsi"/>
          <w:bCs/>
          <w:snapToGrid w:val="0"/>
          <w:lang w:val="en-GB" w:eastAsia="en-US"/>
        </w:rPr>
      </w:pPr>
      <w:r>
        <w:rPr>
          <w:rFonts w:asciiTheme="minorHAnsi" w:hAnsiTheme="minorHAnsi"/>
          <w:bCs/>
          <w:snapToGrid w:val="0"/>
          <w:lang w:val="en-GB" w:eastAsia="en-US"/>
        </w:rPr>
        <w:t>T</w:t>
      </w:r>
      <w:r w:rsidR="00C27AE8" w:rsidRPr="00C27AE8">
        <w:rPr>
          <w:rFonts w:asciiTheme="minorHAnsi" w:hAnsiTheme="minorHAnsi"/>
          <w:bCs/>
          <w:snapToGrid w:val="0"/>
          <w:lang w:val="en-GB" w:eastAsia="en-US"/>
        </w:rPr>
        <w:t>he PBAC advised that</w:t>
      </w:r>
      <w:r w:rsidR="00D12A9A">
        <w:rPr>
          <w:rFonts w:asciiTheme="minorHAnsi" w:hAnsiTheme="minorHAnsi"/>
          <w:bCs/>
          <w:snapToGrid w:val="0"/>
          <w:lang w:val="en-GB" w:eastAsia="en-US"/>
        </w:rPr>
        <w:t xml:space="preserve"> </w:t>
      </w:r>
      <w:r w:rsidR="00D12A9A" w:rsidRPr="00131FE1">
        <w:rPr>
          <w:rFonts w:asciiTheme="minorHAnsi" w:eastAsiaTheme="minorHAnsi" w:hAnsiTheme="minorHAnsi" w:cstheme="minorBidi"/>
          <w:snapToGrid w:val="0"/>
          <w:szCs w:val="22"/>
        </w:rPr>
        <w:t>obinutuzumab</w:t>
      </w:r>
      <w:r w:rsidR="00D12A9A">
        <w:rPr>
          <w:rFonts w:asciiTheme="minorHAnsi" w:eastAsiaTheme="minorHAnsi" w:hAnsiTheme="minorHAnsi" w:cstheme="minorBidi"/>
          <w:snapToGrid w:val="0"/>
          <w:szCs w:val="22"/>
        </w:rPr>
        <w:t xml:space="preserve"> is </w:t>
      </w:r>
      <w:r>
        <w:rPr>
          <w:rFonts w:asciiTheme="minorHAnsi" w:eastAsiaTheme="minorHAnsi" w:hAnsiTheme="minorHAnsi" w:cstheme="minorBidi"/>
          <w:snapToGrid w:val="0"/>
          <w:szCs w:val="22"/>
        </w:rPr>
        <w:t xml:space="preserve">not </w:t>
      </w:r>
      <w:r w:rsidR="00C27AE8" w:rsidRPr="00C27AE8">
        <w:rPr>
          <w:rFonts w:asciiTheme="minorHAnsi" w:hAnsiTheme="minorHAnsi"/>
          <w:bCs/>
          <w:snapToGrid w:val="0"/>
          <w:lang w:val="en-GB" w:eastAsia="en-US"/>
        </w:rPr>
        <w:t>suitable</w:t>
      </w:r>
      <w:r w:rsidR="00704A25">
        <w:rPr>
          <w:rFonts w:asciiTheme="minorHAnsi" w:hAnsiTheme="minorHAnsi"/>
          <w:bCs/>
          <w:snapToGrid w:val="0"/>
          <w:lang w:val="en-GB" w:eastAsia="en-US"/>
        </w:rPr>
        <w:t xml:space="preserve"> </w:t>
      </w:r>
      <w:r w:rsidR="00C27AE8" w:rsidRPr="00C27AE8">
        <w:rPr>
          <w:rFonts w:asciiTheme="minorHAnsi" w:hAnsiTheme="minorHAnsi"/>
          <w:bCs/>
          <w:snapToGrid w:val="0"/>
          <w:lang w:val="en-GB" w:eastAsia="en-US"/>
        </w:rPr>
        <w:t>for prescribing by nurse practitioners.</w:t>
      </w:r>
    </w:p>
    <w:p w14:paraId="4267C085" w14:textId="2A32DD64" w:rsidR="00A60397" w:rsidRPr="004D19CC" w:rsidRDefault="00C11DD8" w:rsidP="00D60716">
      <w:pPr>
        <w:pStyle w:val="3-BodyText"/>
        <w:rPr>
          <w:lang w:val="en-GB" w:eastAsia="en-US"/>
        </w:rPr>
      </w:pPr>
      <w:r w:rsidRPr="004D19CC">
        <w:rPr>
          <w:lang w:val="en-GB" w:eastAsia="en-US"/>
        </w:rPr>
        <w:t xml:space="preserve">The PBAC considered whether the criteria prescribed by the </w:t>
      </w:r>
      <w:r w:rsidRPr="004D19CC">
        <w:rPr>
          <w:i/>
          <w:iCs/>
          <w:lang w:val="en-GB" w:eastAsia="en-US"/>
        </w:rPr>
        <w:t xml:space="preserve">National Health (Pharmaceuticals and Vaccines – Cost Recovery) Regulations 2022 </w:t>
      </w:r>
      <w:r w:rsidRPr="004D19CC">
        <w:rPr>
          <w:lang w:val="en-GB" w:eastAsia="en-US"/>
        </w:rPr>
        <w:t>for Pricing Pathway A were met.</w:t>
      </w:r>
      <w:r w:rsidR="00D01634" w:rsidRPr="004D19CC">
        <w:rPr>
          <w:lang w:val="en-GB" w:eastAsia="en-US"/>
        </w:rPr>
        <w:t xml:space="preserve"> </w:t>
      </w:r>
      <w:r w:rsidR="004D19CC" w:rsidRPr="004D19CC">
        <w:rPr>
          <w:rFonts w:eastAsia="Times New Roman" w:cstheme="minorHAnsi"/>
          <w:szCs w:val="24"/>
          <w:lang w:val="en-GB" w:eastAsia="en-US"/>
        </w:rPr>
        <w:t xml:space="preserve">Specifically, the PBAC found that in the circumstances of its recommendation for </w:t>
      </w:r>
      <w:r w:rsidR="004D19CC">
        <w:rPr>
          <w:rFonts w:eastAsia="Times New Roman" w:cstheme="minorHAnsi"/>
          <w:szCs w:val="24"/>
          <w:lang w:val="en-GB" w:eastAsia="en-US"/>
        </w:rPr>
        <w:t>obinutuzumab</w:t>
      </w:r>
      <w:r w:rsidR="004D19CC" w:rsidRPr="004D19CC">
        <w:rPr>
          <w:rFonts w:eastAsia="Times New Roman" w:cstheme="minorHAnsi"/>
          <w:szCs w:val="24"/>
          <w:lang w:val="en-GB" w:eastAsia="en-US"/>
        </w:rPr>
        <w:t>:</w:t>
      </w:r>
    </w:p>
    <w:p w14:paraId="1F95304A" w14:textId="441B4D50" w:rsidR="00522D5A" w:rsidRDefault="00EF4D7B" w:rsidP="00C816B2">
      <w:pPr>
        <w:pStyle w:val="3-BodyText"/>
        <w:numPr>
          <w:ilvl w:val="0"/>
          <w:numId w:val="18"/>
        </w:numPr>
        <w:rPr>
          <w:rFonts w:eastAsia="Times New Roman" w:cstheme="minorHAnsi"/>
          <w:szCs w:val="24"/>
          <w:lang w:val="en-GB" w:eastAsia="en-US"/>
        </w:rPr>
      </w:pPr>
      <w:r w:rsidRPr="00EF4D7B">
        <w:rPr>
          <w:rFonts w:eastAsia="Times New Roman" w:cstheme="minorHAnsi"/>
          <w:szCs w:val="24"/>
          <w:lang w:val="en-GB" w:eastAsia="en-US"/>
        </w:rPr>
        <w:t xml:space="preserve">The treatment is expected to provide a substantial and clinically relevant improvement in efficacy over </w:t>
      </w:r>
      <w:r w:rsidR="00821B71" w:rsidRPr="00821B71">
        <w:rPr>
          <w:rFonts w:eastAsia="Times New Roman" w:cstheme="minorHAnsi"/>
          <w:szCs w:val="24"/>
          <w:lang w:val="en-GB" w:eastAsia="en-US"/>
        </w:rPr>
        <w:t>standard therapy</w:t>
      </w:r>
      <w:r w:rsidRPr="00EF4D7B">
        <w:rPr>
          <w:rFonts w:eastAsia="Times New Roman" w:cstheme="minorHAnsi"/>
          <w:szCs w:val="24"/>
          <w:lang w:val="en-GB" w:eastAsia="en-US"/>
        </w:rPr>
        <w:t xml:space="preserve">, on the basis of </w:t>
      </w:r>
      <w:r w:rsidR="00821B71">
        <w:rPr>
          <w:rFonts w:eastAsia="Times New Roman" w:cstheme="minorHAnsi"/>
          <w:szCs w:val="24"/>
          <w:lang w:val="en-GB" w:eastAsia="en-US"/>
        </w:rPr>
        <w:t xml:space="preserve">the </w:t>
      </w:r>
      <w:r w:rsidR="00C11DD8" w:rsidRPr="00D01634">
        <w:rPr>
          <w:rFonts w:eastAsia="Times New Roman" w:cstheme="minorHAnsi"/>
          <w:szCs w:val="24"/>
          <w:lang w:val="en-GB" w:eastAsia="en-US"/>
        </w:rPr>
        <w:t>clinically relevant improvement in key renal outcomes</w:t>
      </w:r>
      <w:r w:rsidR="003415D6">
        <w:rPr>
          <w:rFonts w:eastAsia="Times New Roman" w:cstheme="minorHAnsi"/>
          <w:szCs w:val="24"/>
          <w:lang w:val="en-GB" w:eastAsia="en-US"/>
        </w:rPr>
        <w:t xml:space="preserve"> such as CRR</w:t>
      </w:r>
      <w:r w:rsidR="00821B71">
        <w:rPr>
          <w:rFonts w:eastAsia="Times New Roman" w:cstheme="minorHAnsi"/>
          <w:szCs w:val="24"/>
          <w:lang w:val="en-GB" w:eastAsia="en-US"/>
        </w:rPr>
        <w:t xml:space="preserve"> observed in the REGENCY trial</w:t>
      </w:r>
      <w:r w:rsidR="00E5327D">
        <w:rPr>
          <w:rFonts w:eastAsia="Times New Roman" w:cstheme="minorHAnsi"/>
          <w:szCs w:val="24"/>
          <w:lang w:val="en-GB" w:eastAsia="en-US"/>
        </w:rPr>
        <w:t xml:space="preserve"> </w:t>
      </w:r>
      <w:r w:rsidR="00C11DD8" w:rsidRPr="00D01634">
        <w:rPr>
          <w:rFonts w:eastAsia="Times New Roman" w:cstheme="minorHAnsi"/>
          <w:szCs w:val="24"/>
          <w:lang w:val="en-GB" w:eastAsia="en-US"/>
        </w:rPr>
        <w:t>in the context of a serious, organ</w:t>
      </w:r>
      <w:r w:rsidR="00C11DD8" w:rsidRPr="00D01634">
        <w:rPr>
          <w:rFonts w:ascii="Cambria Math" w:eastAsia="Times New Roman" w:hAnsi="Cambria Math" w:cs="Cambria Math"/>
          <w:szCs w:val="24"/>
          <w:lang w:val="en-GB" w:eastAsia="en-US"/>
        </w:rPr>
        <w:t>‑</w:t>
      </w:r>
      <w:r w:rsidR="00C11DD8" w:rsidRPr="00D01634">
        <w:rPr>
          <w:rFonts w:eastAsia="Times New Roman" w:cstheme="minorHAnsi"/>
          <w:szCs w:val="24"/>
          <w:lang w:val="en-GB" w:eastAsia="en-US"/>
        </w:rPr>
        <w:t>threatening condition.</w:t>
      </w:r>
      <w:r w:rsidR="00D01634">
        <w:rPr>
          <w:rFonts w:eastAsia="Times New Roman" w:cstheme="minorHAnsi"/>
          <w:szCs w:val="24"/>
          <w:lang w:val="en-GB" w:eastAsia="en-US"/>
        </w:rPr>
        <w:t xml:space="preserve"> </w:t>
      </w:r>
    </w:p>
    <w:p w14:paraId="0EF39D86" w14:textId="60A024C0" w:rsidR="00522D5A" w:rsidRDefault="006B7D7C" w:rsidP="00C816B2">
      <w:pPr>
        <w:pStyle w:val="ListParagraph"/>
        <w:numPr>
          <w:ilvl w:val="0"/>
          <w:numId w:val="18"/>
        </w:numPr>
        <w:jc w:val="both"/>
        <w:rPr>
          <w:rFonts w:cstheme="minorHAnsi"/>
          <w:lang w:val="en-GB" w:eastAsia="en-US"/>
        </w:rPr>
      </w:pPr>
      <w:r w:rsidRPr="006B7D7C">
        <w:rPr>
          <w:rFonts w:cstheme="minorHAnsi"/>
          <w:snapToGrid/>
          <w:lang w:val="en-GB" w:eastAsia="en-US"/>
        </w:rPr>
        <w:t xml:space="preserve">The treatment is expected to address a high and urgent unmet clinical need </w:t>
      </w:r>
      <w:r w:rsidR="00D60217">
        <w:rPr>
          <w:rFonts w:cstheme="minorHAnsi"/>
          <w:snapToGrid/>
          <w:lang w:val="en-GB" w:eastAsia="en-US"/>
        </w:rPr>
        <w:t>given no other TGA</w:t>
      </w:r>
      <w:r w:rsidR="00FF1914">
        <w:rPr>
          <w:rFonts w:cstheme="minorHAnsi"/>
          <w:snapToGrid/>
          <w:lang w:val="en-GB" w:eastAsia="en-US"/>
        </w:rPr>
        <w:noBreakHyphen/>
      </w:r>
      <w:r w:rsidR="00D60217">
        <w:rPr>
          <w:rFonts w:cstheme="minorHAnsi"/>
          <w:snapToGrid/>
          <w:lang w:val="en-GB" w:eastAsia="en-US"/>
        </w:rPr>
        <w:t xml:space="preserve">indicated biological therapies are </w:t>
      </w:r>
      <w:r w:rsidR="00D60217">
        <w:rPr>
          <w:rFonts w:cstheme="minorHAnsi"/>
          <w:lang w:val="en-GB" w:eastAsia="en-US"/>
        </w:rPr>
        <w:t>P</w:t>
      </w:r>
      <w:r w:rsidR="00C11DD8" w:rsidRPr="00D01634">
        <w:rPr>
          <w:rFonts w:cstheme="minorHAnsi"/>
          <w:lang w:val="en-GB" w:eastAsia="en-US"/>
        </w:rPr>
        <w:t>BS</w:t>
      </w:r>
      <w:r w:rsidR="00C11DD8" w:rsidRPr="00D01634">
        <w:rPr>
          <w:rFonts w:ascii="Cambria Math" w:hAnsi="Cambria Math" w:cs="Cambria Math"/>
          <w:lang w:val="en-GB" w:eastAsia="en-US"/>
        </w:rPr>
        <w:t>‑</w:t>
      </w:r>
      <w:r w:rsidR="00C11DD8" w:rsidRPr="00D01634">
        <w:rPr>
          <w:rFonts w:cstheme="minorHAnsi"/>
          <w:lang w:val="en-GB" w:eastAsia="en-US"/>
        </w:rPr>
        <w:t>listed for</w:t>
      </w:r>
      <w:r w:rsidR="00C9352B">
        <w:rPr>
          <w:rFonts w:cstheme="minorHAnsi"/>
          <w:lang w:val="en-GB" w:eastAsia="en-US"/>
        </w:rPr>
        <w:t xml:space="preserve"> </w:t>
      </w:r>
      <w:r w:rsidR="00F03887">
        <w:rPr>
          <w:rFonts w:cstheme="minorHAnsi"/>
          <w:lang w:val="en-GB" w:eastAsia="en-US"/>
        </w:rPr>
        <w:t>lupus nephritis</w:t>
      </w:r>
      <w:r w:rsidR="00C11DD8" w:rsidRPr="00D01634">
        <w:rPr>
          <w:rFonts w:cstheme="minorHAnsi"/>
          <w:lang w:val="en-GB" w:eastAsia="en-US"/>
        </w:rPr>
        <w:t>, the limitations of existing standard therapy, and the significant long</w:t>
      </w:r>
      <w:r w:rsidR="00C11DD8" w:rsidRPr="00D01634">
        <w:rPr>
          <w:rFonts w:ascii="Cambria Math" w:hAnsi="Cambria Math" w:cs="Cambria Math"/>
          <w:lang w:val="en-GB" w:eastAsia="en-US"/>
        </w:rPr>
        <w:t>‑</w:t>
      </w:r>
      <w:r w:rsidR="00C11DD8" w:rsidRPr="00D01634">
        <w:rPr>
          <w:rFonts w:cstheme="minorHAnsi"/>
          <w:lang w:val="en-GB" w:eastAsia="en-US"/>
        </w:rPr>
        <w:t>term consequences of inadequate disease control.</w:t>
      </w:r>
      <w:r w:rsidR="00D01634">
        <w:rPr>
          <w:rFonts w:cstheme="minorHAnsi"/>
          <w:lang w:val="en-GB" w:eastAsia="en-US"/>
        </w:rPr>
        <w:t xml:space="preserve"> </w:t>
      </w:r>
    </w:p>
    <w:p w14:paraId="7DF6628F" w14:textId="61499499" w:rsidR="00C27AE8" w:rsidRPr="00D01634" w:rsidRDefault="0086418A" w:rsidP="00C816B2">
      <w:pPr>
        <w:pStyle w:val="3-BodyText"/>
        <w:numPr>
          <w:ilvl w:val="0"/>
          <w:numId w:val="18"/>
        </w:numPr>
        <w:rPr>
          <w:rFonts w:eastAsia="Times New Roman" w:cstheme="minorHAnsi"/>
          <w:szCs w:val="24"/>
          <w:lang w:val="en-GB" w:eastAsia="en-US"/>
        </w:rPr>
      </w:pPr>
      <w:r w:rsidRPr="0086418A">
        <w:rPr>
          <w:rFonts w:eastAsia="Times New Roman" w:cstheme="minorHAnsi"/>
          <w:szCs w:val="24"/>
          <w:lang w:val="en-GB" w:eastAsia="en-US"/>
        </w:rPr>
        <w:t>It would be in the public interest for the subsequent pricing application to be progressed under Pricing Pathway A on the basis of the preceding findings</w:t>
      </w:r>
      <w:r>
        <w:rPr>
          <w:rFonts w:eastAsia="Times New Roman" w:cstheme="minorHAnsi"/>
          <w:szCs w:val="24"/>
          <w:lang w:val="en-GB" w:eastAsia="en-US"/>
        </w:rPr>
        <w:t>.</w:t>
      </w:r>
      <w:r w:rsidRPr="0086418A">
        <w:rPr>
          <w:rFonts w:eastAsia="Times New Roman" w:cstheme="minorHAnsi"/>
          <w:szCs w:val="24"/>
          <w:lang w:val="en-GB" w:eastAsia="en-US"/>
        </w:rPr>
        <w:t xml:space="preserve"> </w:t>
      </w:r>
    </w:p>
    <w:p w14:paraId="04DA8518" w14:textId="442F86F3" w:rsidR="00D85F77" w:rsidRPr="00737513" w:rsidRDefault="007E3619" w:rsidP="001C6D5A">
      <w:pPr>
        <w:widowControl w:val="0"/>
        <w:numPr>
          <w:ilvl w:val="1"/>
          <w:numId w:val="1"/>
        </w:numPr>
        <w:spacing w:after="120"/>
        <w:rPr>
          <w:rFonts w:asciiTheme="minorHAnsi" w:hAnsiTheme="minorHAnsi"/>
          <w:bCs/>
          <w:snapToGrid w:val="0"/>
          <w:lang w:val="en-GB" w:eastAsia="en-US"/>
        </w:rPr>
      </w:pPr>
      <w:r w:rsidRPr="007E3619">
        <w:rPr>
          <w:rFonts w:asciiTheme="minorHAnsi" w:hAnsiTheme="minorHAnsi" w:cstheme="minorHAnsi"/>
          <w:lang w:val="en-GB" w:eastAsia="en-US"/>
        </w:rPr>
        <w:t xml:space="preserve">The PBAC noted that this submission is not eligible for an Independent Review as it </w:t>
      </w:r>
      <w:r w:rsidRPr="00737513">
        <w:rPr>
          <w:rFonts w:asciiTheme="minorHAnsi" w:hAnsiTheme="minorHAnsi" w:cstheme="minorHAnsi"/>
          <w:lang w:val="en-GB" w:eastAsia="en-US"/>
        </w:rPr>
        <w:t>received a positive recommendation.</w:t>
      </w:r>
    </w:p>
    <w:p w14:paraId="5B245A7B" w14:textId="739F8561" w:rsidR="00C27AE8" w:rsidRPr="00C04B82" w:rsidRDefault="00920709" w:rsidP="00C27AE8">
      <w:pPr>
        <w:widowControl w:val="0"/>
        <w:numPr>
          <w:ilvl w:val="1"/>
          <w:numId w:val="1"/>
        </w:numPr>
        <w:spacing w:after="120"/>
        <w:rPr>
          <w:rFonts w:asciiTheme="minorHAnsi" w:hAnsiTheme="minorHAnsi"/>
          <w:bCs/>
          <w:snapToGrid w:val="0"/>
          <w:lang w:val="en-GB" w:eastAsia="en-US"/>
        </w:rPr>
      </w:pPr>
      <w:r w:rsidRPr="00737513">
        <w:rPr>
          <w:rFonts w:asciiTheme="minorHAnsi" w:hAnsiTheme="minorHAnsi"/>
          <w:bCs/>
          <w:snapToGrid w:val="0"/>
          <w:lang w:val="en-GB" w:eastAsia="en-US"/>
        </w:rPr>
        <w:t>The PBAC advised that flow</w:t>
      </w:r>
      <w:r w:rsidR="00FF1914">
        <w:rPr>
          <w:rFonts w:asciiTheme="minorHAnsi" w:hAnsiTheme="minorHAnsi"/>
          <w:bCs/>
          <w:snapToGrid w:val="0"/>
          <w:lang w:val="en-GB" w:eastAsia="en-US"/>
        </w:rPr>
        <w:noBreakHyphen/>
      </w:r>
      <w:r w:rsidRPr="00737513">
        <w:rPr>
          <w:rFonts w:asciiTheme="minorHAnsi" w:hAnsiTheme="minorHAnsi"/>
          <w:bCs/>
          <w:snapToGrid w:val="0"/>
          <w:lang w:val="en-GB" w:eastAsia="en-US"/>
        </w:rPr>
        <w:t xml:space="preserve">on changs to the anifrolumab restriction would be required </w:t>
      </w:r>
      <w:r w:rsidR="00737513" w:rsidRPr="00737513">
        <w:rPr>
          <w:rFonts w:asciiTheme="minorHAnsi" w:hAnsiTheme="minorHAnsi"/>
          <w:bCs/>
          <w:snapToGrid w:val="0"/>
          <w:lang w:val="en-GB" w:eastAsia="en-US"/>
        </w:rPr>
        <w:t xml:space="preserve">to preclude </w:t>
      </w:r>
      <w:r w:rsidR="001A4079" w:rsidRPr="00737513">
        <w:rPr>
          <w:rFonts w:asciiTheme="minorHAnsi" w:hAnsiTheme="minorHAnsi"/>
          <w:bCs/>
          <w:snapToGrid w:val="0"/>
          <w:lang w:val="en-GB" w:eastAsia="en-US"/>
        </w:rPr>
        <w:t>use in combination with obinutuzumab</w:t>
      </w:r>
      <w:r w:rsidR="00737513" w:rsidRPr="00737513">
        <w:rPr>
          <w:rFonts w:asciiTheme="minorHAnsi" w:hAnsiTheme="minorHAnsi"/>
          <w:bCs/>
          <w:snapToGrid w:val="0"/>
          <w:lang w:val="en-GB" w:eastAsia="en-US"/>
        </w:rPr>
        <w:t>.</w:t>
      </w:r>
    </w:p>
    <w:p w14:paraId="1CB0132D" w14:textId="77777777" w:rsidR="00C27AE8" w:rsidRPr="00C27AE8" w:rsidRDefault="00C27AE8" w:rsidP="00C27AE8">
      <w:pPr>
        <w:spacing w:before="240"/>
        <w:rPr>
          <w:rFonts w:asciiTheme="minorHAnsi" w:hAnsiTheme="minorHAnsi"/>
          <w:b/>
          <w:bCs/>
          <w:snapToGrid w:val="0"/>
          <w:lang w:val="en-GB" w:eastAsia="en-US"/>
        </w:rPr>
      </w:pPr>
      <w:r w:rsidRPr="00C27AE8">
        <w:rPr>
          <w:rFonts w:asciiTheme="minorHAnsi" w:hAnsiTheme="minorHAnsi"/>
          <w:b/>
          <w:bCs/>
          <w:snapToGrid w:val="0"/>
          <w:lang w:val="en-GB" w:eastAsia="en-US"/>
        </w:rPr>
        <w:t>Outcome:</w:t>
      </w:r>
    </w:p>
    <w:p w14:paraId="086D441E" w14:textId="5B50E61A" w:rsidR="00C27AE8" w:rsidRPr="00C04B82" w:rsidRDefault="00C27AE8" w:rsidP="00C04B82">
      <w:pPr>
        <w:spacing w:after="120"/>
        <w:rPr>
          <w:rFonts w:asciiTheme="minorHAnsi" w:hAnsiTheme="minorHAnsi"/>
          <w:bCs/>
          <w:snapToGrid w:val="0"/>
          <w:lang w:val="en-GB" w:eastAsia="en-US"/>
        </w:rPr>
      </w:pPr>
      <w:r w:rsidRPr="00C27AE8">
        <w:rPr>
          <w:rFonts w:asciiTheme="minorHAnsi" w:hAnsiTheme="minorHAnsi"/>
          <w:bCs/>
          <w:snapToGrid w:val="0"/>
          <w:lang w:val="en-GB" w:eastAsia="en-US"/>
        </w:rPr>
        <w:t xml:space="preserve">Recommended </w:t>
      </w:r>
    </w:p>
    <w:bookmarkEnd w:id="85"/>
    <w:p w14:paraId="3ACB6AC4" w14:textId="618E6E5B" w:rsidR="00C27AE8" w:rsidRPr="004D72AF" w:rsidRDefault="00C27AE8" w:rsidP="00C27AE8">
      <w:pPr>
        <w:keepNext/>
        <w:numPr>
          <w:ilvl w:val="0"/>
          <w:numId w:val="1"/>
        </w:numPr>
        <w:spacing w:before="240" w:after="120"/>
        <w:jc w:val="left"/>
        <w:outlineLvl w:val="0"/>
        <w:rPr>
          <w:rFonts w:asciiTheme="minorHAnsi" w:hAnsiTheme="minorHAnsi"/>
          <w:b/>
          <w:snapToGrid w:val="0"/>
          <w:sz w:val="32"/>
          <w:szCs w:val="32"/>
        </w:rPr>
      </w:pPr>
      <w:r w:rsidRPr="004D72AF">
        <w:rPr>
          <w:rFonts w:asciiTheme="minorHAnsi" w:hAnsiTheme="minorHAnsi"/>
          <w:b/>
          <w:snapToGrid w:val="0"/>
          <w:sz w:val="32"/>
          <w:szCs w:val="32"/>
        </w:rPr>
        <w:t>Recommended listing</w:t>
      </w:r>
    </w:p>
    <w:p w14:paraId="299CF4A3" w14:textId="2164ECA7" w:rsidR="00C27AE8" w:rsidRPr="00C27AE8" w:rsidRDefault="00C27AE8" w:rsidP="00C27AE8">
      <w:pPr>
        <w:widowControl w:val="0"/>
        <w:spacing w:after="120"/>
        <w:ind w:firstLine="720"/>
        <w:contextualSpacing/>
        <w:rPr>
          <w:rFonts w:asciiTheme="minorHAnsi" w:hAnsiTheme="minorHAnsi"/>
          <w:bCs/>
          <w:snapToGrid w:val="0"/>
          <w:lang w:eastAsia="en-US"/>
        </w:rPr>
      </w:pPr>
      <w:r w:rsidRPr="00C27AE8">
        <w:rPr>
          <w:rFonts w:asciiTheme="minorHAnsi" w:hAnsiTheme="minorHAnsi"/>
          <w:bCs/>
          <w:snapToGrid w:val="0"/>
          <w:lang w:eastAsia="en-US"/>
        </w:rPr>
        <w:t>Add new item:</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3"/>
        <w:gridCol w:w="850"/>
        <w:gridCol w:w="2527"/>
        <w:gridCol w:w="811"/>
        <w:gridCol w:w="812"/>
        <w:gridCol w:w="811"/>
        <w:gridCol w:w="812"/>
        <w:gridCol w:w="1833"/>
      </w:tblGrid>
      <w:tr w:rsidR="00D57873" w:rsidRPr="00D57873" w14:paraId="02311FDC" w14:textId="77777777" w:rsidTr="00772228">
        <w:trPr>
          <w:cantSplit/>
          <w:trHeight w:val="20"/>
        </w:trPr>
        <w:tc>
          <w:tcPr>
            <w:tcW w:w="3940" w:type="dxa"/>
            <w:gridSpan w:val="3"/>
            <w:vAlign w:val="center"/>
          </w:tcPr>
          <w:p w14:paraId="1743471D" w14:textId="4224EB4D" w:rsidR="00D57873" w:rsidRPr="00D57873" w:rsidRDefault="00D57873" w:rsidP="00D57873">
            <w:pPr>
              <w:keepLines/>
              <w:jc w:val="left"/>
              <w:rPr>
                <w:rFonts w:ascii="Arial Narrow" w:eastAsia="Aptos" w:hAnsi="Arial Narrow"/>
                <w:b/>
                <w:bCs/>
                <w:sz w:val="20"/>
                <w:szCs w:val="20"/>
                <w:lang w:eastAsia="en-US"/>
              </w:rPr>
            </w:pPr>
            <w:r w:rsidRPr="00F2476E">
              <w:rPr>
                <w:rFonts w:ascii="Arial Narrow" w:eastAsia="Aptos" w:hAnsi="Arial Narrow"/>
                <w:b/>
                <w:bCs/>
                <w:sz w:val="20"/>
                <w:szCs w:val="20"/>
                <w:lang w:eastAsia="en-US"/>
              </w:rPr>
              <w:t>MEDICINAL</w:t>
            </w:r>
            <w:r w:rsidRPr="00D57873">
              <w:rPr>
                <w:rFonts w:ascii="Arial Narrow" w:eastAsia="Aptos" w:hAnsi="Arial Narrow"/>
                <w:b/>
                <w:bCs/>
                <w:sz w:val="20"/>
                <w:szCs w:val="20"/>
                <w:lang w:eastAsia="en-US"/>
              </w:rPr>
              <w:t xml:space="preserve"> PRODUCT</w:t>
            </w:r>
          </w:p>
          <w:p w14:paraId="0B0BDC69" w14:textId="77777777" w:rsidR="00D57873" w:rsidRPr="00D57873" w:rsidRDefault="00D57873" w:rsidP="00D57873">
            <w:pPr>
              <w:keepLines/>
              <w:jc w:val="left"/>
              <w:rPr>
                <w:rFonts w:ascii="Arial Narrow" w:eastAsia="Aptos" w:hAnsi="Arial Narrow"/>
                <w:b/>
                <w:sz w:val="20"/>
                <w:szCs w:val="20"/>
                <w:lang w:eastAsia="en-US"/>
              </w:rPr>
            </w:pPr>
            <w:r w:rsidRPr="00D57873">
              <w:rPr>
                <w:rFonts w:ascii="Arial Narrow" w:eastAsia="Aptos" w:hAnsi="Arial Narrow"/>
                <w:b/>
                <w:bCs/>
                <w:sz w:val="20"/>
                <w:szCs w:val="20"/>
                <w:lang w:eastAsia="en-US"/>
              </w:rPr>
              <w:t>medicinal product pack</w:t>
            </w:r>
          </w:p>
        </w:tc>
        <w:tc>
          <w:tcPr>
            <w:tcW w:w="811" w:type="dxa"/>
            <w:vAlign w:val="center"/>
          </w:tcPr>
          <w:p w14:paraId="61135673"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PBS item code</w:t>
            </w:r>
          </w:p>
        </w:tc>
        <w:tc>
          <w:tcPr>
            <w:tcW w:w="812" w:type="dxa"/>
            <w:vAlign w:val="center"/>
          </w:tcPr>
          <w:p w14:paraId="3DE85D5C"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Max. qty packs</w:t>
            </w:r>
          </w:p>
        </w:tc>
        <w:tc>
          <w:tcPr>
            <w:tcW w:w="811" w:type="dxa"/>
            <w:vAlign w:val="center"/>
          </w:tcPr>
          <w:p w14:paraId="16525543"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Max. qty units</w:t>
            </w:r>
          </w:p>
        </w:tc>
        <w:tc>
          <w:tcPr>
            <w:tcW w:w="812" w:type="dxa"/>
            <w:vAlign w:val="center"/>
          </w:tcPr>
          <w:p w14:paraId="6F9D9FB6"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№.of</w:t>
            </w:r>
          </w:p>
          <w:p w14:paraId="0D05080D"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Rpts</w:t>
            </w:r>
          </w:p>
        </w:tc>
        <w:tc>
          <w:tcPr>
            <w:tcW w:w="1833" w:type="dxa"/>
            <w:vAlign w:val="center"/>
          </w:tcPr>
          <w:p w14:paraId="151282D0" w14:textId="77777777" w:rsidR="00D57873" w:rsidRPr="00D57873" w:rsidRDefault="00D57873" w:rsidP="00D57873">
            <w:pPr>
              <w:keepLines/>
              <w:jc w:val="left"/>
              <w:rPr>
                <w:rFonts w:ascii="Arial Narrow" w:eastAsia="Aptos" w:hAnsi="Arial Narrow"/>
                <w:b/>
                <w:sz w:val="20"/>
                <w:szCs w:val="20"/>
                <w:lang w:val="fr-FR" w:eastAsia="en-US"/>
              </w:rPr>
            </w:pPr>
            <w:r w:rsidRPr="00D57873">
              <w:rPr>
                <w:rFonts w:ascii="Arial Narrow" w:eastAsia="Aptos" w:hAnsi="Arial Narrow"/>
                <w:b/>
                <w:sz w:val="20"/>
                <w:szCs w:val="20"/>
                <w:lang w:eastAsia="en-US"/>
              </w:rPr>
              <w:t>Available brands</w:t>
            </w:r>
          </w:p>
        </w:tc>
      </w:tr>
      <w:tr w:rsidR="00D57873" w:rsidRPr="00D57873" w14:paraId="615B3BC7" w14:textId="77777777" w:rsidTr="00FF1E5C">
        <w:trPr>
          <w:cantSplit/>
          <w:trHeight w:val="20"/>
        </w:trPr>
        <w:tc>
          <w:tcPr>
            <w:tcW w:w="9019" w:type="dxa"/>
            <w:gridSpan w:val="8"/>
            <w:vAlign w:val="center"/>
          </w:tcPr>
          <w:p w14:paraId="319FFA8A"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OBINUTUZUMAB</w:t>
            </w:r>
          </w:p>
        </w:tc>
      </w:tr>
      <w:tr w:rsidR="00D57873" w:rsidRPr="00D57873" w14:paraId="461DAADB" w14:textId="77777777" w:rsidTr="00772228">
        <w:trPr>
          <w:cantSplit/>
          <w:trHeight w:val="20"/>
        </w:trPr>
        <w:tc>
          <w:tcPr>
            <w:tcW w:w="3940" w:type="dxa"/>
            <w:gridSpan w:val="3"/>
            <w:vAlign w:val="center"/>
          </w:tcPr>
          <w:p w14:paraId="04112241"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obinutuzumab 1 g/40 mL injection, 40 mL vial</w:t>
            </w:r>
          </w:p>
        </w:tc>
        <w:tc>
          <w:tcPr>
            <w:tcW w:w="811" w:type="dxa"/>
            <w:vAlign w:val="center"/>
          </w:tcPr>
          <w:p w14:paraId="205BCCBD"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NEW/ HSD Public/</w:t>
            </w:r>
          </w:p>
          <w:p w14:paraId="7CCA402E"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cs="Times New Roman"/>
                <w:sz w:val="12"/>
                <w:szCs w:val="12"/>
                <w:lang w:eastAsia="en-US"/>
              </w:rPr>
              <w:t>MP</w:t>
            </w:r>
          </w:p>
        </w:tc>
        <w:tc>
          <w:tcPr>
            <w:tcW w:w="812" w:type="dxa"/>
            <w:vAlign w:val="center"/>
          </w:tcPr>
          <w:p w14:paraId="760D1686"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1" w:type="dxa"/>
            <w:vAlign w:val="center"/>
          </w:tcPr>
          <w:p w14:paraId="6F260F95"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2" w:type="dxa"/>
            <w:vAlign w:val="center"/>
          </w:tcPr>
          <w:p w14:paraId="2230BF8A" w14:textId="1BC9F28D"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1833" w:type="dxa"/>
            <w:vAlign w:val="center"/>
          </w:tcPr>
          <w:p w14:paraId="4330E713"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Gazyva</w:t>
            </w:r>
          </w:p>
        </w:tc>
      </w:tr>
      <w:tr w:rsidR="00D57873" w:rsidRPr="00D57873" w14:paraId="04525F8A" w14:textId="77777777" w:rsidTr="00772228">
        <w:trPr>
          <w:cantSplit/>
          <w:trHeight w:val="20"/>
        </w:trPr>
        <w:tc>
          <w:tcPr>
            <w:tcW w:w="3940" w:type="dxa"/>
            <w:gridSpan w:val="3"/>
            <w:vAlign w:val="center"/>
          </w:tcPr>
          <w:p w14:paraId="7B305D0F"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lastRenderedPageBreak/>
              <w:t>obinutuzumab 1 g/40 mL injection, 40 mL vial</w:t>
            </w:r>
          </w:p>
        </w:tc>
        <w:tc>
          <w:tcPr>
            <w:tcW w:w="811" w:type="dxa"/>
            <w:vAlign w:val="center"/>
          </w:tcPr>
          <w:p w14:paraId="096F0FEC"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NEW/ HSD Private</w:t>
            </w:r>
          </w:p>
          <w:p w14:paraId="04C293CD"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cs="Times New Roman"/>
                <w:sz w:val="12"/>
                <w:szCs w:val="12"/>
                <w:lang w:eastAsia="en-US"/>
              </w:rPr>
              <w:t>MP</w:t>
            </w:r>
          </w:p>
        </w:tc>
        <w:tc>
          <w:tcPr>
            <w:tcW w:w="812" w:type="dxa"/>
            <w:vAlign w:val="center"/>
          </w:tcPr>
          <w:p w14:paraId="37ACC264"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1" w:type="dxa"/>
            <w:vAlign w:val="center"/>
          </w:tcPr>
          <w:p w14:paraId="79AA4287"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2" w:type="dxa"/>
            <w:vAlign w:val="center"/>
          </w:tcPr>
          <w:p w14:paraId="13C72AD5"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1833" w:type="dxa"/>
            <w:vAlign w:val="center"/>
          </w:tcPr>
          <w:p w14:paraId="5AC2F589"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Gazyva</w:t>
            </w:r>
          </w:p>
        </w:tc>
      </w:tr>
      <w:tr w:rsidR="00D57873" w:rsidRPr="00D57873" w14:paraId="026E2FD8" w14:textId="77777777" w:rsidTr="00FF1E5C">
        <w:tblPrEx>
          <w:tblCellMar>
            <w:top w:w="15" w:type="dxa"/>
            <w:bottom w:w="15" w:type="dxa"/>
          </w:tblCellMar>
          <w:tblLook w:val="04A0" w:firstRow="1" w:lastRow="0" w:firstColumn="1" w:lastColumn="0" w:noHBand="0" w:noVBand="1"/>
        </w:tblPrEx>
        <w:trPr>
          <w:trHeight w:val="20"/>
        </w:trPr>
        <w:tc>
          <w:tcPr>
            <w:tcW w:w="9019" w:type="dxa"/>
            <w:gridSpan w:val="8"/>
            <w:tcBorders>
              <w:top w:val="single" w:sz="4" w:space="0" w:color="auto"/>
              <w:left w:val="single" w:sz="4" w:space="0" w:color="auto"/>
              <w:right w:val="single" w:sz="4" w:space="0" w:color="auto"/>
            </w:tcBorders>
            <w:vAlign w:val="center"/>
          </w:tcPr>
          <w:p w14:paraId="6727F1A5" w14:textId="77777777" w:rsidR="00D57873" w:rsidRPr="00D57873" w:rsidRDefault="00D57873" w:rsidP="00D57873">
            <w:pPr>
              <w:jc w:val="left"/>
              <w:rPr>
                <w:rFonts w:ascii="Arial Narrow" w:eastAsia="Aptos" w:hAnsi="Arial Narrow"/>
                <w:sz w:val="20"/>
                <w:szCs w:val="20"/>
                <w:lang w:eastAsia="en-US"/>
              </w:rPr>
            </w:pPr>
          </w:p>
        </w:tc>
      </w:tr>
      <w:tr w:rsidR="00D57873" w:rsidRPr="00D57873" w14:paraId="62EDC912" w14:textId="77777777" w:rsidTr="00A640B5">
        <w:tblPrEx>
          <w:tblCellMar>
            <w:top w:w="15" w:type="dxa"/>
            <w:bottom w:w="15" w:type="dxa"/>
          </w:tblCellMar>
          <w:tblLook w:val="04A0" w:firstRow="1" w:lastRow="0" w:firstColumn="1" w:lastColumn="0" w:noHBand="0" w:noVBand="1"/>
        </w:tblPrEx>
        <w:trPr>
          <w:trHeight w:val="20"/>
        </w:trPr>
        <w:tc>
          <w:tcPr>
            <w:tcW w:w="1413" w:type="dxa"/>
            <w:gridSpan w:val="2"/>
            <w:vMerge w:val="restart"/>
            <w:tcBorders>
              <w:top w:val="single" w:sz="4" w:space="0" w:color="auto"/>
              <w:left w:val="single" w:sz="4" w:space="0" w:color="auto"/>
              <w:right w:val="single" w:sz="4" w:space="0" w:color="auto"/>
            </w:tcBorders>
          </w:tcPr>
          <w:p w14:paraId="67B32F43" w14:textId="77777777" w:rsidR="00D57873" w:rsidRPr="00D57873" w:rsidRDefault="00D57873" w:rsidP="00D57873">
            <w:pPr>
              <w:jc w:val="center"/>
              <w:rPr>
                <w:rFonts w:ascii="Arial Narrow" w:eastAsia="Aptos" w:hAnsi="Arial Narrow"/>
                <w:b/>
                <w:sz w:val="20"/>
                <w:szCs w:val="20"/>
                <w:lang w:eastAsia="en-US"/>
              </w:rPr>
            </w:pPr>
            <w:r w:rsidRPr="00D57873">
              <w:rPr>
                <w:rFonts w:ascii="Arial Narrow" w:eastAsia="Aptos" w:hAnsi="Arial Narrow"/>
                <w:b/>
                <w:sz w:val="20"/>
                <w:szCs w:val="20"/>
                <w:lang w:eastAsia="en-US"/>
              </w:rPr>
              <w:t xml:space="preserve">Concept ID </w:t>
            </w:r>
            <w:r w:rsidRPr="00D57873">
              <w:rPr>
                <w:rFonts w:ascii="Arial Narrow" w:eastAsia="Aptos" w:hAnsi="Arial Narrow"/>
                <w:sz w:val="20"/>
                <w:szCs w:val="20"/>
                <w:lang w:eastAsia="en-US"/>
              </w:rPr>
              <w:t>(for internal Dept. use)</w:t>
            </w:r>
          </w:p>
        </w:tc>
        <w:tc>
          <w:tcPr>
            <w:tcW w:w="7606" w:type="dxa"/>
            <w:gridSpan w:val="6"/>
            <w:tcBorders>
              <w:top w:val="single" w:sz="4" w:space="0" w:color="auto"/>
              <w:left w:val="single" w:sz="4" w:space="0" w:color="auto"/>
              <w:bottom w:val="single" w:sz="4" w:space="0" w:color="auto"/>
              <w:right w:val="single" w:sz="4" w:space="0" w:color="auto"/>
            </w:tcBorders>
            <w:vAlign w:val="center"/>
          </w:tcPr>
          <w:p w14:paraId="60291B71"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b/>
                <w:sz w:val="20"/>
                <w:szCs w:val="20"/>
                <w:lang w:eastAsia="en-US"/>
              </w:rPr>
              <w:t>Category / Program:</w:t>
            </w:r>
            <w:r w:rsidRPr="00F2476E">
              <w:rPr>
                <w:rFonts w:ascii="Arial Narrow" w:eastAsia="Aptos" w:hAnsi="Arial Narrow"/>
                <w:sz w:val="20"/>
                <w:szCs w:val="20"/>
                <w:lang w:eastAsia="en-US"/>
              </w:rPr>
              <w:t xml:space="preserve"> </w:t>
            </w:r>
          </w:p>
          <w:p w14:paraId="240EB2CB"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Calibri" w:hAnsi="Arial Narrow"/>
                <w:sz w:val="20"/>
                <w:szCs w:val="20"/>
                <w:lang w:eastAsia="en-US"/>
              </w:rPr>
              <w:fldChar w:fldCharType="begin">
                <w:ffData>
                  <w:name w:val=""/>
                  <w:enabled/>
                  <w:calcOnExit w:val="0"/>
                  <w:checkBox>
                    <w:sizeAuto/>
                    <w:default w:val="1"/>
                  </w:checkBox>
                </w:ffData>
              </w:fldChar>
            </w:r>
            <w:r w:rsidRPr="00D57873">
              <w:rPr>
                <w:rFonts w:ascii="Arial Narrow" w:eastAsia="Calibri" w:hAnsi="Arial Narrow"/>
                <w:sz w:val="20"/>
                <w:szCs w:val="20"/>
                <w:lang w:eastAsia="en-US"/>
              </w:rPr>
              <w:instrText xml:space="preserve"> FORMCHECKBOX </w:instrText>
            </w:r>
            <w:r w:rsidRPr="00D57873">
              <w:rPr>
                <w:rFonts w:ascii="Arial Narrow" w:eastAsia="Calibri" w:hAnsi="Arial Narrow"/>
                <w:sz w:val="20"/>
                <w:szCs w:val="20"/>
                <w:lang w:eastAsia="en-US"/>
              </w:rPr>
            </w:r>
            <w:r w:rsidRPr="00D57873">
              <w:rPr>
                <w:rFonts w:ascii="Arial Narrow" w:eastAsia="Calibri" w:hAnsi="Arial Narrow"/>
                <w:sz w:val="20"/>
                <w:szCs w:val="20"/>
                <w:lang w:eastAsia="en-US"/>
              </w:rPr>
              <w:fldChar w:fldCharType="separate"/>
            </w:r>
            <w:r w:rsidRPr="00D57873">
              <w:rPr>
                <w:rFonts w:ascii="Arial Narrow" w:eastAsia="Calibri" w:hAnsi="Arial Narrow"/>
                <w:sz w:val="20"/>
                <w:szCs w:val="20"/>
                <w:lang w:eastAsia="en-US"/>
              </w:rPr>
              <w:fldChar w:fldCharType="end"/>
            </w:r>
            <w:r w:rsidRPr="00D57873">
              <w:rPr>
                <w:rFonts w:ascii="Arial Narrow" w:eastAsia="Calibri" w:hAnsi="Arial Narrow"/>
                <w:sz w:val="20"/>
                <w:szCs w:val="20"/>
                <w:lang w:eastAsia="en-US"/>
              </w:rPr>
              <w:t xml:space="preserve"> Section 100 – Highly Specialised Drugs Program – Public (Code HB)</w:t>
            </w:r>
            <w:r w:rsidRPr="00F2476E">
              <w:rPr>
                <w:rFonts w:ascii="Arial Narrow" w:eastAsia="Calibri" w:hAnsi="Arial Narrow"/>
                <w:sz w:val="20"/>
                <w:szCs w:val="20"/>
                <w:lang w:eastAsia="en-US"/>
              </w:rPr>
              <w:t xml:space="preserve"> </w:t>
            </w:r>
            <w:r w:rsidRPr="00D57873">
              <w:rPr>
                <w:rFonts w:ascii="Arial Narrow" w:eastAsia="Calibri" w:hAnsi="Arial Narrow"/>
                <w:sz w:val="20"/>
                <w:szCs w:val="20"/>
                <w:lang w:eastAsia="en-US"/>
              </w:rPr>
              <w:t>/ Private (Code HS)</w:t>
            </w:r>
          </w:p>
        </w:tc>
      </w:tr>
      <w:tr w:rsidR="00D57873" w:rsidRPr="00D57873" w14:paraId="1EC9D6A6" w14:textId="77777777" w:rsidTr="00A640B5">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5747A1A3" w14:textId="77777777" w:rsidR="00D57873" w:rsidRPr="00D57873" w:rsidRDefault="00D57873" w:rsidP="00D57873">
            <w:pPr>
              <w:rPr>
                <w:rFonts w:ascii="Arial Narrow" w:eastAsia="Aptos" w:hAnsi="Arial Narrow"/>
                <w:sz w:val="20"/>
                <w:szCs w:val="20"/>
                <w:lang w:eastAsia="en-US"/>
              </w:rPr>
            </w:pPr>
          </w:p>
        </w:tc>
        <w:tc>
          <w:tcPr>
            <w:tcW w:w="7606" w:type="dxa"/>
            <w:gridSpan w:val="6"/>
            <w:tcBorders>
              <w:top w:val="single" w:sz="4" w:space="0" w:color="auto"/>
              <w:left w:val="single" w:sz="4" w:space="0" w:color="auto"/>
              <w:bottom w:val="single" w:sz="4" w:space="0" w:color="auto"/>
              <w:right w:val="single" w:sz="4" w:space="0" w:color="auto"/>
            </w:tcBorders>
            <w:vAlign w:val="center"/>
          </w:tcPr>
          <w:p w14:paraId="7210CBD8" w14:textId="77777777" w:rsidR="00D57873" w:rsidRPr="00D57873" w:rsidRDefault="00D57873" w:rsidP="00D57873">
            <w:pPr>
              <w:keepLines/>
              <w:rPr>
                <w:rFonts w:ascii="Arial Narrow" w:eastAsia="Aptos" w:hAnsi="Arial Narrow"/>
                <w:b/>
                <w:sz w:val="20"/>
                <w:szCs w:val="20"/>
                <w:lang w:eastAsia="en-US"/>
              </w:rPr>
            </w:pPr>
            <w:r w:rsidRPr="00D57873">
              <w:rPr>
                <w:rFonts w:ascii="Arial Narrow" w:eastAsia="Aptos" w:hAnsi="Arial Narrow"/>
                <w:b/>
                <w:sz w:val="20"/>
                <w:szCs w:val="20"/>
                <w:lang w:eastAsia="en-US"/>
              </w:rPr>
              <w:t xml:space="preserve">Prescriber type: </w:t>
            </w:r>
          </w:p>
          <w:p w14:paraId="09691150" w14:textId="77777777" w:rsidR="00D57873" w:rsidRPr="00D57873" w:rsidRDefault="00D57873" w:rsidP="00D57873">
            <w:pPr>
              <w:keepLines/>
              <w:rPr>
                <w:rFonts w:ascii="Arial Narrow" w:eastAsia="Aptos" w:hAnsi="Arial Narrow"/>
                <w:b/>
                <w:sz w:val="20"/>
                <w:szCs w:val="20"/>
                <w:lang w:eastAsia="en-US"/>
              </w:rPr>
            </w:pPr>
            <w:r w:rsidRPr="00D57873">
              <w:rPr>
                <w:rFonts w:ascii="Arial Narrow" w:eastAsia="Aptos" w:hAnsi="Arial Narrow"/>
                <w:sz w:val="20"/>
                <w:szCs w:val="20"/>
                <w:lang w:eastAsia="en-US"/>
              </w:rPr>
              <w:fldChar w:fldCharType="begin">
                <w:ffData>
                  <w:name w:val=""/>
                  <w:enabled/>
                  <w:calcOnExit w:val="0"/>
                  <w:checkBox>
                    <w:sizeAuto/>
                    <w:default w:val="1"/>
                  </w:checkBox>
                </w:ffData>
              </w:fldChar>
            </w:r>
            <w:r w:rsidRPr="00D57873">
              <w:rPr>
                <w:rFonts w:ascii="Arial Narrow" w:eastAsia="Aptos" w:hAnsi="Arial Narrow"/>
                <w:sz w:val="20"/>
                <w:szCs w:val="20"/>
                <w:lang w:eastAsia="en-US"/>
              </w:rPr>
              <w:instrText xml:space="preserve"> FORMCHECKBOX </w:instrText>
            </w:r>
            <w:r w:rsidRPr="00D57873">
              <w:rPr>
                <w:rFonts w:ascii="Arial Narrow" w:eastAsia="Aptos" w:hAnsi="Arial Narrow"/>
                <w:sz w:val="20"/>
                <w:szCs w:val="20"/>
                <w:lang w:eastAsia="en-US"/>
              </w:rPr>
            </w:r>
            <w:r w:rsidRPr="00D57873">
              <w:rPr>
                <w:rFonts w:ascii="Arial Narrow" w:eastAsia="Aptos" w:hAnsi="Arial Narrow"/>
                <w:sz w:val="20"/>
                <w:szCs w:val="20"/>
                <w:lang w:eastAsia="en-US"/>
              </w:rPr>
              <w:fldChar w:fldCharType="separate"/>
            </w:r>
            <w:r w:rsidRPr="00D57873">
              <w:rPr>
                <w:rFonts w:ascii="Arial Narrow" w:eastAsia="Aptos" w:hAnsi="Arial Narrow"/>
                <w:sz w:val="20"/>
                <w:szCs w:val="20"/>
                <w:lang w:eastAsia="en-US"/>
              </w:rPr>
              <w:fldChar w:fldCharType="end"/>
            </w:r>
            <w:r w:rsidRPr="00D57873">
              <w:rPr>
                <w:rFonts w:ascii="Arial Narrow" w:eastAsia="Aptos" w:hAnsi="Arial Narrow"/>
                <w:sz w:val="20"/>
                <w:szCs w:val="20"/>
                <w:lang w:eastAsia="en-US"/>
              </w:rPr>
              <w:t xml:space="preserve">Medical Practitioners </w:t>
            </w:r>
          </w:p>
        </w:tc>
      </w:tr>
      <w:tr w:rsidR="00D57873" w:rsidRPr="00D57873" w14:paraId="7FB74C69" w14:textId="77777777" w:rsidTr="00A640B5">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403C54B4" w14:textId="77777777" w:rsidR="00D57873" w:rsidRPr="00D57873" w:rsidRDefault="00D57873" w:rsidP="00D57873">
            <w:pPr>
              <w:rPr>
                <w:rFonts w:ascii="Arial Narrow" w:eastAsia="Aptos" w:hAnsi="Arial Narrow"/>
                <w:sz w:val="20"/>
                <w:szCs w:val="20"/>
                <w:lang w:eastAsia="en-US"/>
              </w:rPr>
            </w:pPr>
          </w:p>
        </w:tc>
        <w:tc>
          <w:tcPr>
            <w:tcW w:w="7606" w:type="dxa"/>
            <w:gridSpan w:val="6"/>
            <w:tcBorders>
              <w:top w:val="single" w:sz="4" w:space="0" w:color="auto"/>
              <w:left w:val="single" w:sz="4" w:space="0" w:color="auto"/>
              <w:bottom w:val="single" w:sz="4" w:space="0" w:color="auto"/>
              <w:right w:val="single" w:sz="4" w:space="0" w:color="auto"/>
            </w:tcBorders>
            <w:vAlign w:val="center"/>
          </w:tcPr>
          <w:p w14:paraId="658A5248" w14:textId="77777777" w:rsidR="00D57873" w:rsidRPr="00D57873" w:rsidRDefault="00D57873" w:rsidP="00D57873">
            <w:pPr>
              <w:keepLines/>
              <w:jc w:val="left"/>
              <w:rPr>
                <w:rFonts w:ascii="Arial Narrow" w:eastAsia="Aptos" w:hAnsi="Arial Narrow"/>
                <w:b/>
                <w:sz w:val="20"/>
                <w:szCs w:val="20"/>
                <w:lang w:eastAsia="en-US"/>
              </w:rPr>
            </w:pPr>
            <w:r w:rsidRPr="00D57873">
              <w:rPr>
                <w:rFonts w:ascii="Arial Narrow" w:eastAsia="Aptos" w:hAnsi="Arial Narrow"/>
                <w:b/>
                <w:sz w:val="20"/>
                <w:szCs w:val="20"/>
                <w:lang w:eastAsia="en-US"/>
              </w:rPr>
              <w:t xml:space="preserve">Restriction type: </w:t>
            </w:r>
          </w:p>
          <w:p w14:paraId="06838CA5" w14:textId="77777777" w:rsidR="00D57873" w:rsidRPr="00F2476E" w:rsidRDefault="00D57873" w:rsidP="00D57873">
            <w:pPr>
              <w:keepLines/>
              <w:jc w:val="left"/>
              <w:rPr>
                <w:rFonts w:ascii="Arial Narrow" w:eastAsia="Calibri" w:hAnsi="Arial Narrow"/>
                <w:sz w:val="20"/>
                <w:szCs w:val="20"/>
                <w:lang w:eastAsia="en-US"/>
              </w:rPr>
            </w:pPr>
            <w:r w:rsidRPr="00D57873">
              <w:rPr>
                <w:rFonts w:ascii="Arial Narrow" w:eastAsia="Calibri" w:hAnsi="Arial Narrow" w:cs="Times New Roman"/>
                <w:sz w:val="20"/>
                <w:szCs w:val="20"/>
                <w:lang w:eastAsia="en-US"/>
              </w:rPr>
              <w:fldChar w:fldCharType="begin">
                <w:ffData>
                  <w:name w:val="Check3"/>
                  <w:enabled/>
                  <w:calcOnExit w:val="0"/>
                  <w:checkBox>
                    <w:sizeAuto/>
                    <w:default w:val="1"/>
                  </w:checkBox>
                </w:ffData>
              </w:fldChar>
            </w:r>
            <w:r w:rsidRPr="00D57873">
              <w:rPr>
                <w:rFonts w:ascii="Arial Narrow" w:eastAsia="Calibri" w:hAnsi="Arial Narrow" w:cs="Times New Roman"/>
                <w:sz w:val="20"/>
                <w:szCs w:val="20"/>
                <w:lang w:eastAsia="en-US"/>
              </w:rPr>
              <w:instrText xml:space="preserve"> FORMCHECKBOX </w:instrText>
            </w:r>
            <w:r w:rsidRPr="00D57873">
              <w:rPr>
                <w:rFonts w:ascii="Arial Narrow" w:eastAsia="Calibri" w:hAnsi="Arial Narrow" w:cs="Times New Roman"/>
                <w:sz w:val="20"/>
                <w:szCs w:val="20"/>
                <w:lang w:eastAsia="en-US"/>
              </w:rPr>
            </w:r>
            <w:r w:rsidRPr="00D57873">
              <w:rPr>
                <w:rFonts w:ascii="Arial Narrow" w:eastAsia="Calibri" w:hAnsi="Arial Narrow" w:cs="Times New Roman"/>
                <w:sz w:val="20"/>
                <w:szCs w:val="20"/>
                <w:lang w:eastAsia="en-US"/>
              </w:rPr>
              <w:fldChar w:fldCharType="separate"/>
            </w:r>
            <w:r w:rsidRPr="00D57873">
              <w:rPr>
                <w:rFonts w:ascii="Arial Narrow" w:eastAsia="Calibri" w:hAnsi="Arial Narrow" w:cs="Times New Roman"/>
                <w:sz w:val="20"/>
                <w:szCs w:val="20"/>
                <w:lang w:eastAsia="en-US"/>
              </w:rPr>
              <w:fldChar w:fldCharType="end"/>
            </w:r>
            <w:r w:rsidRPr="00D57873">
              <w:rPr>
                <w:rFonts w:ascii="Arial Narrow" w:eastAsia="Calibri" w:hAnsi="Arial Narrow" w:cs="Times New Roman"/>
                <w:sz w:val="20"/>
                <w:szCs w:val="20"/>
                <w:lang w:eastAsia="en-US"/>
              </w:rPr>
              <w:t>Authority Required (telephone/online PBS Authorities system)</w:t>
            </w:r>
          </w:p>
        </w:tc>
      </w:tr>
      <w:tr w:rsidR="00D57873" w:rsidRPr="00D57873" w14:paraId="11408A8C" w14:textId="77777777" w:rsidTr="00A640B5">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bottom w:val="single" w:sz="4" w:space="0" w:color="auto"/>
              <w:right w:val="single" w:sz="4" w:space="0" w:color="auto"/>
            </w:tcBorders>
          </w:tcPr>
          <w:p w14:paraId="35FB5A5F" w14:textId="77777777" w:rsidR="00D57873" w:rsidRPr="00D57873" w:rsidRDefault="00D57873" w:rsidP="00D57873">
            <w:pPr>
              <w:rPr>
                <w:rFonts w:ascii="Arial Narrow" w:eastAsia="Aptos" w:hAnsi="Arial Narrow"/>
                <w:sz w:val="20"/>
                <w:szCs w:val="20"/>
                <w:lang w:eastAsia="en-US"/>
              </w:rPr>
            </w:pPr>
          </w:p>
        </w:tc>
        <w:tc>
          <w:tcPr>
            <w:tcW w:w="7606" w:type="dxa"/>
            <w:gridSpan w:val="6"/>
            <w:tcBorders>
              <w:top w:val="single" w:sz="4" w:space="0" w:color="auto"/>
              <w:left w:val="single" w:sz="4" w:space="0" w:color="auto"/>
              <w:bottom w:val="single" w:sz="4" w:space="0" w:color="auto"/>
              <w:right w:val="single" w:sz="4" w:space="0" w:color="auto"/>
            </w:tcBorders>
            <w:vAlign w:val="center"/>
          </w:tcPr>
          <w:p w14:paraId="06C6BCAA" w14:textId="1F20AA56" w:rsidR="00D57873" w:rsidRPr="00F2476E" w:rsidRDefault="00D57873" w:rsidP="00D57873">
            <w:pPr>
              <w:keepLines/>
              <w:jc w:val="left"/>
              <w:rPr>
                <w:rFonts w:ascii="Arial Narrow" w:eastAsia="Aptos" w:hAnsi="Arial Narrow"/>
                <w:b/>
                <w:sz w:val="20"/>
                <w:szCs w:val="20"/>
                <w:lang w:eastAsia="en-US"/>
              </w:rPr>
            </w:pPr>
            <w:r w:rsidRPr="009C4955">
              <w:rPr>
                <w:rFonts w:ascii="Arial Narrow" w:eastAsia="Aptos" w:hAnsi="Arial Narrow"/>
                <w:b/>
                <w:sz w:val="20"/>
                <w:szCs w:val="20"/>
                <w:lang w:eastAsia="en-US"/>
              </w:rPr>
              <w:t xml:space="preserve">Authority type: </w:t>
            </w:r>
            <w:r w:rsidRPr="009C4955">
              <w:rPr>
                <w:rFonts w:ascii="Arial Narrow" w:eastAsia="Calibri" w:hAnsi="Arial Narrow"/>
                <w:sz w:val="20"/>
                <w:szCs w:val="20"/>
                <w:lang w:eastAsia="en-US"/>
              </w:rPr>
              <w:br/>
            </w:r>
            <w:r w:rsidRPr="009C4955">
              <w:rPr>
                <w:rFonts w:ascii="Arial Narrow" w:eastAsia="Calibri" w:hAnsi="Arial Narrow"/>
                <w:sz w:val="20"/>
                <w:szCs w:val="20"/>
                <w:lang w:eastAsia="en-US"/>
              </w:rPr>
              <w:fldChar w:fldCharType="begin">
                <w:ffData>
                  <w:name w:val="Check1"/>
                  <w:enabled/>
                  <w:calcOnExit w:val="0"/>
                  <w:checkBox>
                    <w:sizeAuto/>
                    <w:default w:val="1"/>
                  </w:checkBox>
                </w:ffData>
              </w:fldChar>
            </w:r>
            <w:bookmarkStart w:id="93" w:name="Check1"/>
            <w:r w:rsidRPr="009C4955">
              <w:rPr>
                <w:rFonts w:ascii="Arial Narrow" w:eastAsia="Calibri" w:hAnsi="Arial Narrow"/>
                <w:sz w:val="20"/>
                <w:szCs w:val="20"/>
                <w:lang w:eastAsia="en-US"/>
              </w:rPr>
              <w:instrText xml:space="preserve"> FORMCHECKBOX </w:instrText>
            </w:r>
            <w:r w:rsidRPr="009C4955">
              <w:rPr>
                <w:rFonts w:ascii="Arial Narrow" w:eastAsia="Calibri" w:hAnsi="Arial Narrow"/>
                <w:sz w:val="20"/>
                <w:szCs w:val="20"/>
                <w:lang w:eastAsia="en-US"/>
              </w:rPr>
            </w:r>
            <w:r w:rsidRPr="009C4955">
              <w:rPr>
                <w:rFonts w:ascii="Arial Narrow" w:eastAsia="Calibri" w:hAnsi="Arial Narrow"/>
                <w:sz w:val="20"/>
                <w:szCs w:val="20"/>
                <w:lang w:eastAsia="en-US"/>
              </w:rPr>
              <w:fldChar w:fldCharType="separate"/>
            </w:r>
            <w:r w:rsidRPr="009C4955">
              <w:rPr>
                <w:rFonts w:ascii="Arial Narrow" w:eastAsia="Calibri" w:hAnsi="Arial Narrow"/>
                <w:sz w:val="20"/>
                <w:szCs w:val="20"/>
                <w:lang w:eastAsia="en-US"/>
              </w:rPr>
              <w:fldChar w:fldCharType="end"/>
            </w:r>
            <w:bookmarkEnd w:id="93"/>
            <w:r w:rsidRPr="009C4955">
              <w:rPr>
                <w:rFonts w:ascii="Arial Narrow" w:eastAsia="Calibri" w:hAnsi="Arial Narrow"/>
                <w:sz w:val="20"/>
                <w:szCs w:val="20"/>
                <w:lang w:eastAsia="en-US"/>
              </w:rPr>
              <w:t xml:space="preserve"> Non</w:t>
            </w:r>
            <w:r w:rsidR="00FF1914">
              <w:rPr>
                <w:rFonts w:ascii="Arial Narrow" w:eastAsia="Calibri" w:hAnsi="Arial Narrow"/>
                <w:sz w:val="20"/>
                <w:szCs w:val="20"/>
                <w:lang w:eastAsia="en-US"/>
              </w:rPr>
              <w:noBreakHyphen/>
            </w:r>
            <w:r w:rsidRPr="009C4955">
              <w:rPr>
                <w:rFonts w:ascii="Arial Narrow" w:eastAsia="Calibri" w:hAnsi="Arial Narrow"/>
                <w:sz w:val="20"/>
                <w:szCs w:val="20"/>
                <w:lang w:eastAsia="en-US"/>
              </w:rPr>
              <w:t>complex Authority Required (non</w:t>
            </w:r>
            <w:r w:rsidR="00FF1914">
              <w:rPr>
                <w:rFonts w:ascii="Arial Narrow" w:eastAsia="Calibri" w:hAnsi="Arial Narrow"/>
                <w:sz w:val="20"/>
                <w:szCs w:val="20"/>
                <w:lang w:eastAsia="en-US"/>
              </w:rPr>
              <w:noBreakHyphen/>
            </w:r>
            <w:r w:rsidRPr="009C4955">
              <w:rPr>
                <w:rFonts w:ascii="Arial Narrow" w:eastAsia="Calibri" w:hAnsi="Arial Narrow"/>
                <w:sz w:val="20"/>
                <w:szCs w:val="20"/>
                <w:lang w:eastAsia="en-US"/>
              </w:rPr>
              <w:t>CAR)</w:t>
            </w:r>
          </w:p>
        </w:tc>
      </w:tr>
      <w:tr w:rsidR="00D57873" w:rsidRPr="00D57873" w14:paraId="0760C2ED" w14:textId="77777777" w:rsidTr="00772228">
        <w:tblPrEx>
          <w:tblCellMar>
            <w:top w:w="15" w:type="dxa"/>
            <w:bottom w:w="15" w:type="dxa"/>
          </w:tblCellMar>
          <w:tblLook w:val="04A0" w:firstRow="1" w:lastRow="0" w:firstColumn="1" w:lastColumn="0" w:noHBand="0" w:noVBand="1"/>
        </w:tblPrEx>
        <w:trPr>
          <w:trHeight w:val="20"/>
        </w:trPr>
        <w:tc>
          <w:tcPr>
            <w:tcW w:w="563" w:type="dxa"/>
            <w:vMerge w:val="restart"/>
            <w:textDirection w:val="btLr"/>
            <w:vAlign w:val="center"/>
          </w:tcPr>
          <w:p w14:paraId="740FC697" w14:textId="77777777" w:rsidR="00D57873" w:rsidRPr="00D57873" w:rsidRDefault="00D57873" w:rsidP="00D57873">
            <w:pPr>
              <w:keepLines/>
              <w:spacing w:after="160" w:line="259" w:lineRule="auto"/>
              <w:ind w:right="113"/>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Prescribing rule level</w:t>
            </w:r>
          </w:p>
        </w:tc>
        <w:tc>
          <w:tcPr>
            <w:tcW w:w="850" w:type="dxa"/>
            <w:vAlign w:val="center"/>
          </w:tcPr>
          <w:p w14:paraId="1C4295BB" w14:textId="4DABA8D3" w:rsidR="00D57873" w:rsidRPr="00D57873" w:rsidRDefault="00D57873" w:rsidP="00D57873">
            <w:pPr>
              <w:keepLines/>
              <w:ind w:hanging="35"/>
              <w:contextualSpacing/>
              <w:jc w:val="center"/>
              <w:rPr>
                <w:rFonts w:ascii="Arial Narrow" w:eastAsia="Aptos" w:hAnsi="Arial Narrow" w:cs="Times New Roman"/>
                <w:sz w:val="20"/>
                <w:szCs w:val="20"/>
                <w:lang w:eastAsia="en-US"/>
              </w:rPr>
            </w:pPr>
          </w:p>
        </w:tc>
        <w:tc>
          <w:tcPr>
            <w:tcW w:w="7606" w:type="dxa"/>
            <w:gridSpan w:val="6"/>
            <w:vAlign w:val="center"/>
          </w:tcPr>
          <w:p w14:paraId="4176D89C" w14:textId="77777777" w:rsidR="00D57873" w:rsidRPr="00D57873" w:rsidRDefault="00D57873" w:rsidP="00D57873">
            <w:pPr>
              <w:keepLines/>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 xml:space="preserve">Administrative Advice: </w:t>
            </w:r>
            <w:r w:rsidRPr="00D57873">
              <w:rPr>
                <w:rFonts w:ascii="Arial Narrow" w:eastAsia="Aptos" w:hAnsi="Arial Narrow" w:cs="Times New Roman"/>
                <w:bCs/>
                <w:sz w:val="20"/>
                <w:szCs w:val="20"/>
                <w:lang w:eastAsia="en-US"/>
              </w:rPr>
              <w:t>No increase in the maximum quantity or number of units may be authorised.</w:t>
            </w:r>
          </w:p>
        </w:tc>
      </w:tr>
      <w:tr w:rsidR="00D57873" w:rsidRPr="00D57873" w14:paraId="1390FE76" w14:textId="77777777" w:rsidTr="00772228">
        <w:tblPrEx>
          <w:tblCellMar>
            <w:top w:w="15" w:type="dxa"/>
            <w:bottom w:w="15" w:type="dxa"/>
          </w:tblCellMar>
          <w:tblLook w:val="04A0" w:firstRow="1" w:lastRow="0" w:firstColumn="1" w:lastColumn="0" w:noHBand="0" w:noVBand="1"/>
        </w:tblPrEx>
        <w:trPr>
          <w:trHeight w:val="20"/>
        </w:trPr>
        <w:tc>
          <w:tcPr>
            <w:tcW w:w="563" w:type="dxa"/>
            <w:vMerge/>
            <w:vAlign w:val="center"/>
          </w:tcPr>
          <w:p w14:paraId="2622A0F1"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p>
        </w:tc>
        <w:tc>
          <w:tcPr>
            <w:tcW w:w="850" w:type="dxa"/>
            <w:vAlign w:val="center"/>
          </w:tcPr>
          <w:p w14:paraId="198502CA" w14:textId="020303FA" w:rsidR="00D57873" w:rsidRPr="00D57873" w:rsidRDefault="00D57873" w:rsidP="00D57873">
            <w:pPr>
              <w:keepLines/>
              <w:ind w:hanging="35"/>
              <w:contextualSpacing/>
              <w:jc w:val="center"/>
              <w:rPr>
                <w:rFonts w:ascii="Arial Narrow" w:eastAsia="Aptos" w:hAnsi="Arial Narrow" w:cs="Times New Roman"/>
                <w:sz w:val="20"/>
                <w:szCs w:val="20"/>
                <w:lang w:eastAsia="en-US"/>
              </w:rPr>
            </w:pPr>
          </w:p>
        </w:tc>
        <w:tc>
          <w:tcPr>
            <w:tcW w:w="7606" w:type="dxa"/>
            <w:gridSpan w:val="6"/>
            <w:vAlign w:val="center"/>
          </w:tcPr>
          <w:p w14:paraId="1EC8AC91" w14:textId="77777777" w:rsidR="00D57873" w:rsidRPr="00D57873" w:rsidRDefault="00D57873" w:rsidP="00D57873">
            <w:pPr>
              <w:keepLines/>
              <w:contextualSpacing/>
              <w:jc w:val="left"/>
              <w:rPr>
                <w:rFonts w:ascii="Arial Narrow" w:eastAsia="Aptos" w:hAnsi="Arial Narrow" w:cs="Times New Roman"/>
                <w:b/>
                <w:bCs/>
                <w:sz w:val="20"/>
                <w:szCs w:val="20"/>
                <w:lang w:eastAsia="en-US"/>
              </w:rPr>
            </w:pPr>
            <w:r w:rsidRPr="00D57873">
              <w:rPr>
                <w:rFonts w:ascii="Arial Narrow" w:eastAsia="Aptos" w:hAnsi="Arial Narrow" w:cs="Times New Roman"/>
                <w:b/>
                <w:bCs/>
                <w:sz w:val="20"/>
                <w:szCs w:val="20"/>
                <w:lang w:eastAsia="en-US"/>
              </w:rPr>
              <w:t xml:space="preserve">Administrative Advice: </w:t>
            </w:r>
            <w:r w:rsidRPr="00D57873">
              <w:rPr>
                <w:rFonts w:ascii="Arial Narrow" w:eastAsia="Aptos" w:hAnsi="Arial Narrow" w:cs="Times New Roman"/>
                <w:bCs/>
                <w:sz w:val="20"/>
                <w:szCs w:val="20"/>
                <w:lang w:eastAsia="en-US"/>
              </w:rPr>
              <w:t>No increase in the maximum number of repeats may be authorised.</w:t>
            </w:r>
          </w:p>
        </w:tc>
      </w:tr>
      <w:tr w:rsidR="00D57873" w:rsidRPr="00D57873" w14:paraId="5AEB9C0D" w14:textId="77777777" w:rsidTr="00772228">
        <w:tblPrEx>
          <w:tblCellMar>
            <w:top w:w="15" w:type="dxa"/>
            <w:bottom w:w="15" w:type="dxa"/>
          </w:tblCellMar>
          <w:tblLook w:val="04A0" w:firstRow="1" w:lastRow="0" w:firstColumn="1" w:lastColumn="0" w:noHBand="0" w:noVBand="1"/>
        </w:tblPrEx>
        <w:trPr>
          <w:trHeight w:val="930"/>
        </w:trPr>
        <w:tc>
          <w:tcPr>
            <w:tcW w:w="563" w:type="dxa"/>
            <w:vMerge/>
            <w:vAlign w:val="center"/>
          </w:tcPr>
          <w:p w14:paraId="3C7EA8CB"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vAlign w:val="center"/>
          </w:tcPr>
          <w:p w14:paraId="621E48DD" w14:textId="77777777" w:rsidR="00D57873" w:rsidRPr="00D57873" w:rsidRDefault="00D57873" w:rsidP="00D57873">
            <w:pPr>
              <w:contextualSpacing/>
              <w:jc w:val="center"/>
              <w:textAlignment w:val="baseline"/>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 </w:t>
            </w:r>
          </w:p>
          <w:p w14:paraId="3EDE2D50" w14:textId="77777777" w:rsidR="00D57873" w:rsidRPr="00D57873" w:rsidRDefault="00D57873" w:rsidP="00D57873">
            <w:pPr>
              <w:contextualSpacing/>
              <w:jc w:val="center"/>
              <w:textAlignment w:val="baseline"/>
              <w:rPr>
                <w:rFonts w:ascii="Arial Narrow" w:eastAsia="Aptos" w:hAnsi="Arial Narrow" w:cs="Times New Roman"/>
                <w:sz w:val="20"/>
                <w:szCs w:val="20"/>
                <w:lang w:eastAsia="en-US"/>
              </w:rPr>
            </w:pPr>
          </w:p>
          <w:p w14:paraId="6C7D2688" w14:textId="33B9401D" w:rsidR="00D57873" w:rsidRPr="00D57873" w:rsidRDefault="00D57873" w:rsidP="00D57873">
            <w:pPr>
              <w:contextualSpacing/>
              <w:jc w:val="center"/>
              <w:textAlignment w:val="baseline"/>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 </w:t>
            </w:r>
          </w:p>
          <w:p w14:paraId="183C32C2" w14:textId="77777777" w:rsidR="00D57873" w:rsidRPr="00D57873" w:rsidRDefault="00D57873" w:rsidP="00D57873">
            <w:pPr>
              <w:keepLines/>
              <w:ind w:hanging="35"/>
              <w:contextualSpacing/>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 </w:t>
            </w:r>
          </w:p>
        </w:tc>
        <w:tc>
          <w:tcPr>
            <w:tcW w:w="7606" w:type="dxa"/>
            <w:gridSpan w:val="6"/>
            <w:tcBorders>
              <w:top w:val="single" w:sz="6" w:space="0" w:color="auto"/>
              <w:left w:val="single" w:sz="6" w:space="0" w:color="auto"/>
              <w:bottom w:val="single" w:sz="6" w:space="0" w:color="auto"/>
              <w:right w:val="single" w:sz="6" w:space="0" w:color="auto"/>
            </w:tcBorders>
            <w:vAlign w:val="center"/>
          </w:tcPr>
          <w:p w14:paraId="5873FFFC" w14:textId="2B91F48C" w:rsidR="00D57873" w:rsidRPr="00D57873" w:rsidRDefault="00D57873" w:rsidP="00D57873">
            <w:pPr>
              <w:contextualSpacing/>
              <w:jc w:val="left"/>
              <w:textAlignment w:val="baseline"/>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Administrative Advice:</w:t>
            </w:r>
          </w:p>
          <w:p w14:paraId="753059A2" w14:textId="77777777" w:rsidR="00D57873" w:rsidRPr="00D57873" w:rsidRDefault="00D57873" w:rsidP="00D57873">
            <w:pPr>
              <w:keepLines/>
              <w:contextualSpacing/>
              <w:jc w:val="left"/>
              <w:rPr>
                <w:rFonts w:ascii="Arial Narrow" w:eastAsia="Aptos" w:hAnsi="Arial Narrow" w:cs="Times New Roman"/>
                <w:b/>
                <w:bCs/>
                <w:sz w:val="20"/>
                <w:szCs w:val="20"/>
                <w:lang w:eastAsia="en-US"/>
              </w:rPr>
            </w:pPr>
            <w:r w:rsidRPr="00D57873">
              <w:rPr>
                <w:rFonts w:ascii="Arial Narrow" w:eastAsia="Aptos" w:hAnsi="Arial Narrow" w:cs="Times New Roman"/>
                <w:bCs/>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D57873" w:rsidRPr="00D57873" w14:paraId="5F7D49BC" w14:textId="77777777" w:rsidTr="00FF1E5C">
        <w:tblPrEx>
          <w:tblCellMar>
            <w:top w:w="15" w:type="dxa"/>
            <w:bottom w:w="15" w:type="dxa"/>
          </w:tblCellMar>
          <w:tblLook w:val="04A0" w:firstRow="1" w:lastRow="0" w:firstColumn="1" w:lastColumn="0" w:noHBand="0" w:noVBand="1"/>
        </w:tblPrEx>
        <w:trPr>
          <w:trHeight w:val="20"/>
        </w:trPr>
        <w:tc>
          <w:tcPr>
            <w:tcW w:w="9019" w:type="dxa"/>
            <w:gridSpan w:val="8"/>
            <w:tcBorders>
              <w:right w:val="single" w:sz="6" w:space="0" w:color="auto"/>
            </w:tcBorders>
            <w:vAlign w:val="center"/>
          </w:tcPr>
          <w:p w14:paraId="1BCE96D6" w14:textId="77777777" w:rsidR="00D57873" w:rsidRPr="00F2476E" w:rsidRDefault="00D57873" w:rsidP="00D57873">
            <w:pPr>
              <w:contextualSpacing/>
              <w:jc w:val="left"/>
              <w:textAlignment w:val="baseline"/>
              <w:rPr>
                <w:rFonts w:ascii="Arial Narrow" w:eastAsia="Aptos" w:hAnsi="Arial Narrow" w:cs="Times New Roman"/>
                <w:b/>
                <w:sz w:val="20"/>
                <w:szCs w:val="20"/>
                <w:lang w:eastAsia="en-US"/>
              </w:rPr>
            </w:pPr>
          </w:p>
        </w:tc>
      </w:tr>
      <w:tr w:rsidR="00D57873" w:rsidRPr="00D57873" w14:paraId="0284A856" w14:textId="77777777" w:rsidTr="00FF1E5C">
        <w:tblPrEx>
          <w:tblCellMar>
            <w:top w:w="15" w:type="dxa"/>
            <w:bottom w:w="15" w:type="dxa"/>
          </w:tblCellMar>
          <w:tblLook w:val="04A0" w:firstRow="1" w:lastRow="0" w:firstColumn="1" w:lastColumn="0" w:noHBand="0" w:noVBand="1"/>
        </w:tblPrEx>
        <w:trPr>
          <w:cantSplit/>
          <w:trHeight w:val="20"/>
        </w:trPr>
        <w:tc>
          <w:tcPr>
            <w:tcW w:w="9019" w:type="dxa"/>
            <w:gridSpan w:val="8"/>
            <w:shd w:val="clear" w:color="auto" w:fill="A6A6A6"/>
            <w:vAlign w:val="center"/>
          </w:tcPr>
          <w:p w14:paraId="6482A1C3" w14:textId="77777777" w:rsidR="00D57873" w:rsidRPr="00D57873" w:rsidRDefault="00D57873" w:rsidP="00D57873">
            <w:pPr>
              <w:keepLines/>
              <w:spacing w:after="160" w:line="259" w:lineRule="auto"/>
              <w:jc w:val="left"/>
              <w:rPr>
                <w:rFonts w:ascii="Arial Narrow" w:eastAsia="Aptos" w:hAnsi="Arial Narrow" w:cs="Times New Roman"/>
                <w:b/>
                <w:bCs/>
                <w:sz w:val="20"/>
                <w:szCs w:val="20"/>
                <w:lang w:eastAsia="en-US"/>
              </w:rPr>
            </w:pPr>
            <w:r w:rsidRPr="00D57873">
              <w:rPr>
                <w:rFonts w:ascii="Arial Narrow" w:eastAsia="Aptos" w:hAnsi="Arial Narrow" w:cs="Times New Roman"/>
                <w:b/>
                <w:sz w:val="20"/>
                <w:szCs w:val="20"/>
                <w:lang w:eastAsia="en-US"/>
              </w:rPr>
              <w:t>Restriction Summary [new] 1 / Treatment of Concept: [new] 1A</w:t>
            </w:r>
          </w:p>
        </w:tc>
      </w:tr>
      <w:tr w:rsidR="00D57873" w:rsidRPr="00D57873" w14:paraId="448123B6"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363A8D56"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tcPr>
          <w:p w14:paraId="7F4CE885" w14:textId="77777777" w:rsidR="00D57873" w:rsidRPr="00D57873" w:rsidRDefault="00D57873" w:rsidP="00D57873">
            <w:pPr>
              <w:contextualSpacing/>
              <w:jc w:val="left"/>
              <w:rPr>
                <w:rFonts w:ascii="Arial Narrow" w:eastAsia="Aptos" w:hAnsi="Arial Narrow" w:cs="Times New Roman"/>
                <w:b/>
                <w:bCs/>
                <w:sz w:val="20"/>
                <w:szCs w:val="20"/>
                <w:lang w:eastAsia="en-US"/>
              </w:rPr>
            </w:pPr>
            <w:r w:rsidRPr="00D57873">
              <w:rPr>
                <w:rFonts w:ascii="Arial Narrow" w:eastAsia="Aptos" w:hAnsi="Arial Narrow" w:cs="Times New Roman"/>
                <w:b/>
                <w:bCs/>
                <w:sz w:val="20"/>
                <w:szCs w:val="20"/>
                <w:lang w:eastAsia="en-US"/>
              </w:rPr>
              <w:t>Indication:</w:t>
            </w:r>
            <w:r w:rsidRPr="00D57873">
              <w:rPr>
                <w:rFonts w:ascii="Arial Narrow" w:eastAsia="Aptos" w:hAnsi="Arial Narrow" w:cs="Times New Roman"/>
                <w:sz w:val="20"/>
                <w:szCs w:val="20"/>
                <w:lang w:eastAsia="en-US"/>
              </w:rPr>
              <w:t xml:space="preserve"> Lupus nephritis</w:t>
            </w:r>
          </w:p>
        </w:tc>
      </w:tr>
      <w:tr w:rsidR="00D57873" w:rsidRPr="00D57873" w14:paraId="0F17914F"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943DE73"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2BB9B9BF"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Treatment Phase:</w:t>
            </w:r>
            <w:r w:rsidRPr="00D57873">
              <w:rPr>
                <w:rFonts w:ascii="Arial Narrow" w:eastAsia="Aptos" w:hAnsi="Arial Narrow" w:cs="Times New Roman"/>
                <w:sz w:val="20"/>
                <w:szCs w:val="20"/>
                <w:lang w:eastAsia="en-US"/>
              </w:rPr>
              <w:t xml:space="preserve"> Initial treatment</w:t>
            </w:r>
          </w:p>
        </w:tc>
      </w:tr>
      <w:tr w:rsidR="00D57873" w:rsidRPr="00D57873" w14:paraId="7A7E0476"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62E2AAA"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0427809F"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 xml:space="preserve">Clinical criteria: </w:t>
            </w:r>
          </w:p>
        </w:tc>
      </w:tr>
      <w:tr w:rsidR="00D57873" w:rsidRPr="00D57873" w14:paraId="098D502A" w14:textId="77777777" w:rsidTr="00772228">
        <w:tblPrEx>
          <w:tblCellMar>
            <w:top w:w="15" w:type="dxa"/>
            <w:bottom w:w="15" w:type="dxa"/>
          </w:tblCellMar>
          <w:tblLook w:val="04A0" w:firstRow="1" w:lastRow="0" w:firstColumn="1" w:lastColumn="0" w:noHBand="0" w:noVBand="1"/>
        </w:tblPrEx>
        <w:trPr>
          <w:cantSplit/>
          <w:trHeight w:val="55"/>
        </w:trPr>
        <w:tc>
          <w:tcPr>
            <w:tcW w:w="1413" w:type="dxa"/>
            <w:gridSpan w:val="2"/>
            <w:vAlign w:val="center"/>
          </w:tcPr>
          <w:p w14:paraId="4F7E259E"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3575F6E4" w14:textId="33C3B7F1"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Patient must have a confirmed diagnosis of active class III or IV lupus nephritis with or without class V disease</w:t>
            </w:r>
            <w:r w:rsidR="00146555">
              <w:rPr>
                <w:rFonts w:ascii="Arial Narrow" w:eastAsia="Aptos" w:hAnsi="Arial Narrow" w:cs="Times New Roman"/>
                <w:sz w:val="20"/>
                <w:szCs w:val="20"/>
                <w:lang w:eastAsia="en-US"/>
              </w:rPr>
              <w:t>,</w:t>
            </w:r>
            <w:r w:rsidRPr="00D57873">
              <w:rPr>
                <w:rFonts w:ascii="Arial Narrow" w:eastAsia="Aptos" w:hAnsi="Arial Narrow" w:cs="Times New Roman"/>
                <w:sz w:val="20"/>
                <w:szCs w:val="20"/>
                <w:lang w:eastAsia="en-US"/>
              </w:rPr>
              <w:t xml:space="preserve"> </w:t>
            </w:r>
            <w:r w:rsidRPr="00F2476E">
              <w:rPr>
                <w:rFonts w:ascii="Arial Narrow" w:eastAsia="Aptos" w:hAnsi="Arial Narrow" w:cs="Times New Roman"/>
                <w:sz w:val="20"/>
                <w:szCs w:val="20"/>
                <w:lang w:eastAsia="en-US"/>
              </w:rPr>
              <w:t>confirmed by renal biopsy.</w:t>
            </w:r>
          </w:p>
        </w:tc>
      </w:tr>
      <w:tr w:rsidR="00D57873" w:rsidRPr="00D57873" w14:paraId="23555EDC"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D490BBD"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46541924"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AND</w:t>
            </w:r>
          </w:p>
        </w:tc>
      </w:tr>
      <w:tr w:rsidR="00D57873" w:rsidRPr="00D57873" w14:paraId="409E34CB"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D24DD2A"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2A45536D"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Clinical criteria:</w:t>
            </w:r>
          </w:p>
        </w:tc>
      </w:tr>
      <w:tr w:rsidR="00D57873" w:rsidRPr="00D57873" w14:paraId="0243C0C0"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05C326E"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3C0761E7" w14:textId="2D6AD148"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 xml:space="preserve">Patient must not have severe renal impairment, demonstrated by an estimated glomerular filtration rate (eGFR) less than 30 mL/min/1.73 m2 </w:t>
            </w:r>
          </w:p>
        </w:tc>
      </w:tr>
      <w:tr w:rsidR="00D57873" w:rsidRPr="00D57873" w14:paraId="079902E4"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3DF4394C"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5D46FE5C"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AND</w:t>
            </w:r>
          </w:p>
        </w:tc>
      </w:tr>
      <w:tr w:rsidR="00D57873" w:rsidRPr="00D57873" w14:paraId="40924741"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41094C9"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5B28A016"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Clinical criteria:</w:t>
            </w:r>
          </w:p>
        </w:tc>
      </w:tr>
      <w:tr w:rsidR="00D57873" w:rsidRPr="00D57873" w14:paraId="28CFF49D" w14:textId="77777777" w:rsidTr="00772228">
        <w:tblPrEx>
          <w:tblCellMar>
            <w:top w:w="15" w:type="dxa"/>
            <w:bottom w:w="15" w:type="dxa"/>
          </w:tblCellMar>
          <w:tblLook w:val="04A0" w:firstRow="1" w:lastRow="0" w:firstColumn="1" w:lastColumn="0" w:noHBand="0" w:noVBand="1"/>
        </w:tblPrEx>
        <w:trPr>
          <w:cantSplit/>
          <w:trHeight w:val="35"/>
        </w:trPr>
        <w:tc>
          <w:tcPr>
            <w:tcW w:w="1413" w:type="dxa"/>
            <w:gridSpan w:val="2"/>
            <w:vAlign w:val="center"/>
          </w:tcPr>
          <w:p w14:paraId="46C46B98"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78607E08" w14:textId="0C13FE92"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Patient must have</w:t>
            </w:r>
            <w:r w:rsidRPr="00F2476E">
              <w:rPr>
                <w:rFonts w:ascii="Arial Narrow" w:eastAsia="Aptos" w:hAnsi="Arial Narrow" w:cs="Times New Roman"/>
                <w:sz w:val="20"/>
                <w:szCs w:val="20"/>
                <w:lang w:eastAsia="en-US"/>
              </w:rPr>
              <w:t>/ have had</w:t>
            </w:r>
            <w:r w:rsidRPr="00D57873">
              <w:rPr>
                <w:rFonts w:ascii="Arial Narrow" w:eastAsia="Aptos" w:hAnsi="Arial Narrow" w:cs="Times New Roman"/>
                <w:sz w:val="20"/>
                <w:szCs w:val="20"/>
                <w:lang w:eastAsia="en-US"/>
              </w:rPr>
              <w:t xml:space="preserve"> a urinary protein</w:t>
            </w:r>
            <w:r w:rsidR="00FF1914">
              <w:rPr>
                <w:rFonts w:ascii="Arial Narrow" w:eastAsia="Aptos" w:hAnsi="Arial Narrow" w:cs="Times New Roman"/>
                <w:sz w:val="20"/>
                <w:szCs w:val="20"/>
                <w:lang w:eastAsia="en-US"/>
              </w:rPr>
              <w:noBreakHyphen/>
            </w:r>
            <w:r w:rsidRPr="00D57873">
              <w:rPr>
                <w:rFonts w:ascii="Arial Narrow" w:eastAsia="Aptos" w:hAnsi="Arial Narrow" w:cs="Times New Roman"/>
                <w:sz w:val="20"/>
                <w:szCs w:val="20"/>
                <w:lang w:eastAsia="en-US"/>
              </w:rPr>
              <w:t>to</w:t>
            </w:r>
            <w:r w:rsidR="00FF1914">
              <w:rPr>
                <w:rFonts w:ascii="Arial Narrow" w:eastAsia="Aptos" w:hAnsi="Arial Narrow" w:cs="Times New Roman"/>
                <w:sz w:val="20"/>
                <w:szCs w:val="20"/>
                <w:lang w:eastAsia="en-US"/>
              </w:rPr>
              <w:noBreakHyphen/>
            </w:r>
            <w:r w:rsidRPr="00D57873">
              <w:rPr>
                <w:rFonts w:ascii="Arial Narrow" w:eastAsia="Aptos" w:hAnsi="Arial Narrow" w:cs="Times New Roman"/>
                <w:sz w:val="20"/>
                <w:szCs w:val="20"/>
                <w:lang w:eastAsia="en-US"/>
              </w:rPr>
              <w:t xml:space="preserve">creatinine ratio (UPCR) of at least 113 mg/mmol </w:t>
            </w:r>
            <w:r w:rsidRPr="00F10B5F">
              <w:rPr>
                <w:rFonts w:ascii="Arial Narrow" w:eastAsia="Aptos" w:hAnsi="Arial Narrow" w:cs="Times New Roman"/>
                <w:sz w:val="20"/>
                <w:szCs w:val="20"/>
                <w:lang w:eastAsia="en-US"/>
              </w:rPr>
              <w:t xml:space="preserve">(equivalent to 1g/g) </w:t>
            </w:r>
            <w:r w:rsidRPr="00F2476E">
              <w:rPr>
                <w:rFonts w:ascii="Arial Narrow" w:eastAsia="Aptos" w:hAnsi="Arial Narrow" w:cs="Times New Roman"/>
                <w:sz w:val="20"/>
                <w:szCs w:val="20"/>
                <w:lang w:eastAsia="en-US"/>
              </w:rPr>
              <w:t>prior to initiation of treatment with this drug</w:t>
            </w:r>
            <w:r w:rsidRPr="00F10B5F">
              <w:rPr>
                <w:rFonts w:ascii="Arial Narrow" w:eastAsia="Aptos" w:hAnsi="Arial Narrow" w:cs="Times New Roman"/>
                <w:sz w:val="20"/>
                <w:szCs w:val="20"/>
                <w:lang w:eastAsia="en-US"/>
              </w:rPr>
              <w:t>;</w:t>
            </w:r>
          </w:p>
        </w:tc>
      </w:tr>
      <w:tr w:rsidR="00D57873" w:rsidRPr="00D57873" w14:paraId="675296DF"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CE800AD"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tcPr>
          <w:p w14:paraId="7B6EDE49"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AND</w:t>
            </w:r>
          </w:p>
        </w:tc>
      </w:tr>
      <w:tr w:rsidR="00D57873" w:rsidRPr="00D57873" w14:paraId="3BE4BF83"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672C8B1"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tcPr>
          <w:p w14:paraId="5C8A2CC7"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Clinical criteria:</w:t>
            </w:r>
          </w:p>
        </w:tc>
      </w:tr>
      <w:tr w:rsidR="00D57873" w:rsidRPr="00D57873" w14:paraId="5606D387"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193C9AC"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tcPr>
          <w:p w14:paraId="2DACB775" w14:textId="77777777" w:rsidR="00D57873" w:rsidRPr="00F2476E"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Treatment must be administered with mycophenolate and corticosteroids unless contraindicated /intolerant necessitating treatment withdrawal.</w:t>
            </w:r>
          </w:p>
        </w:tc>
      </w:tr>
      <w:tr w:rsidR="00D57873" w:rsidRPr="00D57873" w14:paraId="40B743C2"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EEDBB95"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61421F4A" w14:textId="77777777" w:rsidR="00D57873" w:rsidRPr="00D57873" w:rsidRDefault="00D57873" w:rsidP="00D57873">
            <w:pPr>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Treatment criteria:</w:t>
            </w:r>
          </w:p>
        </w:tc>
      </w:tr>
      <w:tr w:rsidR="00D57873" w:rsidRPr="00D57873" w14:paraId="496FD19B"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1AF3634"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hideMark/>
          </w:tcPr>
          <w:p w14:paraId="49BF42BB" w14:textId="77777777" w:rsidR="00D57873" w:rsidRPr="00F2476E" w:rsidRDefault="00D57873" w:rsidP="00D57873">
            <w:pPr>
              <w:autoSpaceDE w:val="0"/>
              <w:autoSpaceDN w:val="0"/>
              <w:adjustRightInd w:val="0"/>
              <w:contextualSpacing/>
              <w:jc w:val="left"/>
              <w:rPr>
                <w:rFonts w:ascii="Arial Narrow" w:eastAsia="Aptos" w:hAnsi="Arial Narrow" w:cs="Arial Narrow"/>
                <w:sz w:val="20"/>
                <w:szCs w:val="20"/>
                <w:lang w:eastAsia="en-US"/>
              </w:rPr>
            </w:pPr>
            <w:r w:rsidRPr="00D57873">
              <w:rPr>
                <w:rFonts w:ascii="Arial Narrow" w:eastAsia="Aptos" w:hAnsi="Arial Narrow" w:cs="Arial Narrow"/>
                <w:iCs/>
                <w:sz w:val="20"/>
                <w:szCs w:val="20"/>
                <w:lang w:eastAsia="en-US"/>
              </w:rPr>
              <w:t>Patient must be treated by a specialist physician experienced in the management of this condition.</w:t>
            </w:r>
          </w:p>
        </w:tc>
      </w:tr>
      <w:tr w:rsidR="00D57873" w:rsidRPr="00D57873" w14:paraId="0633065F"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1C900B2"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tcPr>
          <w:p w14:paraId="772CA140" w14:textId="77777777" w:rsidR="00D57873" w:rsidRPr="00D57873" w:rsidRDefault="00D57873" w:rsidP="00D57873">
            <w:pPr>
              <w:autoSpaceDE w:val="0"/>
              <w:autoSpaceDN w:val="0"/>
              <w:adjustRightInd w:val="0"/>
              <w:contextualSpacing/>
              <w:jc w:val="left"/>
              <w:rPr>
                <w:rFonts w:ascii="Arial Narrow" w:eastAsia="Aptos" w:hAnsi="Arial Narrow" w:cs="Arial Narrow"/>
                <w:iCs/>
                <w:sz w:val="20"/>
                <w:szCs w:val="20"/>
                <w:lang w:eastAsia="en-US"/>
              </w:rPr>
            </w:pPr>
            <w:r w:rsidRPr="00F2476E">
              <w:rPr>
                <w:rFonts w:ascii="Arial Narrow" w:eastAsia="Aptos" w:hAnsi="Arial Narrow" w:cs="Times New Roman"/>
                <w:b/>
                <w:sz w:val="20"/>
                <w:szCs w:val="20"/>
                <w:lang w:eastAsia="en-US"/>
              </w:rPr>
              <w:t>Treatment criteria:</w:t>
            </w:r>
          </w:p>
        </w:tc>
      </w:tr>
      <w:tr w:rsidR="00D57873" w:rsidRPr="00D57873" w14:paraId="2AFEC5CA"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E881033" w14:textId="77777777" w:rsidR="00D57873" w:rsidRPr="00D57873" w:rsidRDefault="00D57873" w:rsidP="00D57873">
            <w:pPr>
              <w:contextualSpacing/>
              <w:jc w:val="center"/>
              <w:rPr>
                <w:rFonts w:ascii="Arial Narrow" w:eastAsia="Aptos" w:hAnsi="Arial Narrow" w:cs="Times New Roman"/>
                <w:sz w:val="20"/>
                <w:szCs w:val="20"/>
                <w:lang w:eastAsia="en-US"/>
              </w:rPr>
            </w:pPr>
          </w:p>
        </w:tc>
        <w:tc>
          <w:tcPr>
            <w:tcW w:w="7606" w:type="dxa"/>
            <w:gridSpan w:val="6"/>
            <w:vAlign w:val="center"/>
          </w:tcPr>
          <w:p w14:paraId="74E25C60" w14:textId="77777777" w:rsidR="00D57873" w:rsidRPr="00D57873" w:rsidRDefault="00D57873" w:rsidP="00D57873">
            <w:pPr>
              <w:autoSpaceDE w:val="0"/>
              <w:autoSpaceDN w:val="0"/>
              <w:adjustRightInd w:val="0"/>
              <w:contextualSpacing/>
              <w:jc w:val="left"/>
              <w:rPr>
                <w:rFonts w:ascii="Arial Narrow" w:eastAsia="Aptos" w:hAnsi="Arial Narrow" w:cs="Arial Narrow"/>
                <w:iCs/>
                <w:sz w:val="20"/>
                <w:szCs w:val="20"/>
                <w:lang w:eastAsia="en-US"/>
              </w:rPr>
            </w:pPr>
            <w:r w:rsidRPr="00F2476E">
              <w:rPr>
                <w:rFonts w:ascii="Arial Narrow" w:eastAsia="Aptos" w:hAnsi="Arial Narrow" w:cs="Times New Roman"/>
                <w:sz w:val="20"/>
                <w:szCs w:val="20"/>
                <w:lang w:eastAsia="en-US"/>
              </w:rPr>
              <w:t xml:space="preserve">The treatment must not be used in combination with anifrolumab </w:t>
            </w:r>
          </w:p>
        </w:tc>
      </w:tr>
      <w:tr w:rsidR="00FF1E5C" w:rsidRPr="00D57873" w14:paraId="20E2BFF6" w14:textId="77777777" w:rsidTr="00772228">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CBF9E3A" w14:textId="1D3BCD79" w:rsidR="00FF1E5C" w:rsidRPr="00D57873" w:rsidRDefault="00FF1E5C" w:rsidP="00D57873">
            <w:pPr>
              <w:contextualSpacing/>
              <w:jc w:val="center"/>
              <w:rPr>
                <w:rFonts w:ascii="Arial Narrow" w:eastAsia="Aptos" w:hAnsi="Arial Narrow" w:cs="Times New Roman"/>
                <w:sz w:val="20"/>
                <w:szCs w:val="20"/>
                <w:lang w:eastAsia="en-US"/>
              </w:rPr>
            </w:pPr>
          </w:p>
        </w:tc>
        <w:tc>
          <w:tcPr>
            <w:tcW w:w="7606" w:type="dxa"/>
            <w:gridSpan w:val="6"/>
            <w:vAlign w:val="center"/>
          </w:tcPr>
          <w:p w14:paraId="514BA2AD" w14:textId="77777777" w:rsidR="00FF1E5C" w:rsidRPr="00F2476E" w:rsidRDefault="00FF1E5C" w:rsidP="00D57873">
            <w:pPr>
              <w:autoSpaceDE w:val="0"/>
              <w:autoSpaceDN w:val="0"/>
              <w:adjustRightInd w:val="0"/>
              <w:contextualSpacing/>
              <w:jc w:val="left"/>
              <w:rPr>
                <w:rFonts w:ascii="Arial Narrow" w:eastAsia="Aptos" w:hAnsi="Arial Narrow" w:cs="Times New Roman"/>
                <w:b/>
                <w:sz w:val="20"/>
                <w:szCs w:val="20"/>
                <w:lang w:eastAsia="en-US"/>
              </w:rPr>
            </w:pPr>
            <w:r w:rsidRPr="00F2476E">
              <w:rPr>
                <w:rFonts w:ascii="Arial Narrow" w:eastAsia="Aptos" w:hAnsi="Arial Narrow" w:cs="Times New Roman"/>
                <w:b/>
                <w:sz w:val="20"/>
                <w:szCs w:val="20"/>
                <w:lang w:eastAsia="en-US"/>
              </w:rPr>
              <w:t>Prescribing Instructions:</w:t>
            </w:r>
          </w:p>
          <w:p w14:paraId="4E25F2DC" w14:textId="60169778" w:rsidR="00FF1E5C" w:rsidRPr="00F2476E" w:rsidRDefault="00FF1E5C" w:rsidP="00D57873">
            <w:pPr>
              <w:autoSpaceDE w:val="0"/>
              <w:autoSpaceDN w:val="0"/>
              <w:adjustRightInd w:val="0"/>
              <w:contextualSpacing/>
              <w:jc w:val="left"/>
              <w:rPr>
                <w:rFonts w:ascii="Arial Narrow" w:eastAsia="Aptos" w:hAnsi="Arial Narrow" w:cs="Times New Roman"/>
                <w:sz w:val="20"/>
                <w:szCs w:val="20"/>
                <w:lang w:eastAsia="en-US"/>
              </w:rPr>
            </w:pPr>
            <w:r w:rsidRPr="00F2476E">
              <w:rPr>
                <w:rFonts w:ascii="Arial Narrow" w:eastAsia="Aptos" w:hAnsi="Arial Narrow" w:cs="Times New Roman"/>
                <w:sz w:val="20"/>
                <w:szCs w:val="20"/>
                <w:lang w:eastAsia="en-US"/>
              </w:rPr>
              <w:t>The baseline values of the eGFR and UCPR must be documented in the patient’s medical records, as it will inform the basis for determining if worsening of the condition has occurred.</w:t>
            </w:r>
          </w:p>
        </w:tc>
      </w:tr>
      <w:tr w:rsidR="00D57873" w:rsidRPr="00D57873" w14:paraId="309A7D02" w14:textId="77777777" w:rsidTr="00FF1E5C">
        <w:tblPrEx>
          <w:tblCellMar>
            <w:top w:w="15" w:type="dxa"/>
            <w:bottom w:w="15" w:type="dxa"/>
          </w:tblCellMar>
          <w:tblLook w:val="04A0" w:firstRow="1" w:lastRow="0" w:firstColumn="1" w:lastColumn="0" w:noHBand="0" w:noVBand="1"/>
        </w:tblPrEx>
        <w:trPr>
          <w:trHeight w:val="20"/>
        </w:trPr>
        <w:tc>
          <w:tcPr>
            <w:tcW w:w="9019" w:type="dxa"/>
            <w:gridSpan w:val="8"/>
            <w:tcBorders>
              <w:right w:val="single" w:sz="6" w:space="0" w:color="auto"/>
            </w:tcBorders>
            <w:vAlign w:val="center"/>
          </w:tcPr>
          <w:p w14:paraId="0AF6940D" w14:textId="77777777" w:rsidR="00D57873" w:rsidRPr="00F2476E" w:rsidRDefault="00D57873" w:rsidP="00D57873">
            <w:pPr>
              <w:contextualSpacing/>
              <w:jc w:val="left"/>
              <w:textAlignment w:val="baseline"/>
              <w:rPr>
                <w:rFonts w:ascii="Arial Narrow" w:eastAsia="Aptos" w:hAnsi="Arial Narrow" w:cs="Times New Roman"/>
                <w:b/>
                <w:sz w:val="20"/>
                <w:szCs w:val="20"/>
                <w:lang w:eastAsia="en-US"/>
              </w:rPr>
            </w:pPr>
          </w:p>
        </w:tc>
      </w:tr>
      <w:tr w:rsidR="00D57873" w:rsidRPr="00D57873" w14:paraId="59906879" w14:textId="77777777" w:rsidTr="00FF1E5C">
        <w:tblPrEx>
          <w:tblCellMar>
            <w:top w:w="15" w:type="dxa"/>
            <w:bottom w:w="15" w:type="dxa"/>
          </w:tblCellMar>
          <w:tblLook w:val="04A0" w:firstRow="1" w:lastRow="0" w:firstColumn="1" w:lastColumn="0" w:noHBand="0" w:noVBand="1"/>
        </w:tblPrEx>
        <w:trPr>
          <w:cantSplit/>
          <w:trHeight w:val="20"/>
        </w:trPr>
        <w:tc>
          <w:tcPr>
            <w:tcW w:w="9019" w:type="dxa"/>
            <w:gridSpan w:val="8"/>
            <w:shd w:val="clear" w:color="auto" w:fill="A6A6A6"/>
            <w:vAlign w:val="center"/>
          </w:tcPr>
          <w:p w14:paraId="31BA77BD" w14:textId="77777777" w:rsidR="00D57873" w:rsidRPr="00D57873" w:rsidRDefault="00D57873" w:rsidP="00D57873">
            <w:pPr>
              <w:keepLines/>
              <w:spacing w:after="160" w:line="259" w:lineRule="auto"/>
              <w:jc w:val="left"/>
              <w:rPr>
                <w:rFonts w:ascii="Arial Narrow" w:eastAsia="Aptos" w:hAnsi="Arial Narrow" w:cs="Times New Roman"/>
                <w:b/>
                <w:bCs/>
                <w:sz w:val="20"/>
                <w:szCs w:val="20"/>
                <w:lang w:eastAsia="en-US"/>
              </w:rPr>
            </w:pPr>
            <w:r w:rsidRPr="00D57873">
              <w:rPr>
                <w:rFonts w:ascii="Arial Narrow" w:eastAsia="Aptos" w:hAnsi="Arial Narrow" w:cs="Times New Roman"/>
                <w:b/>
                <w:sz w:val="20"/>
                <w:szCs w:val="20"/>
                <w:lang w:eastAsia="en-US"/>
              </w:rPr>
              <w:t>Restriction Summary [new] 2 / Treatment of Concept: [new] 2A</w:t>
            </w:r>
          </w:p>
        </w:tc>
      </w:tr>
      <w:tr w:rsidR="00D57873" w:rsidRPr="00D57873" w14:paraId="603B53BC"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404C97E" w14:textId="77777777" w:rsidR="00D57873" w:rsidRPr="00D57873" w:rsidRDefault="00D57873" w:rsidP="00D57873">
            <w:pPr>
              <w:jc w:val="center"/>
              <w:rPr>
                <w:rFonts w:ascii="Arial Narrow" w:hAnsi="Arial Narrow"/>
                <w:sz w:val="20"/>
                <w:szCs w:val="20"/>
              </w:rPr>
            </w:pPr>
          </w:p>
        </w:tc>
        <w:tc>
          <w:tcPr>
            <w:tcW w:w="7606" w:type="dxa"/>
            <w:gridSpan w:val="6"/>
            <w:vAlign w:val="center"/>
          </w:tcPr>
          <w:p w14:paraId="16B2B0F5" w14:textId="77777777" w:rsidR="00D57873" w:rsidRPr="00D57873" w:rsidRDefault="00D57873" w:rsidP="00D57873">
            <w:pPr>
              <w:rPr>
                <w:rFonts w:ascii="Arial Narrow" w:hAnsi="Arial Narrow"/>
                <w:b/>
                <w:bCs/>
                <w:sz w:val="20"/>
                <w:szCs w:val="20"/>
              </w:rPr>
            </w:pPr>
            <w:r w:rsidRPr="00D57873">
              <w:rPr>
                <w:rFonts w:ascii="Arial Narrow" w:hAnsi="Arial Narrow"/>
                <w:b/>
                <w:bCs/>
                <w:sz w:val="20"/>
                <w:szCs w:val="20"/>
              </w:rPr>
              <w:t>Indication:</w:t>
            </w:r>
            <w:r w:rsidRPr="00D57873">
              <w:rPr>
                <w:rFonts w:ascii="Arial Narrow" w:hAnsi="Arial Narrow"/>
                <w:sz w:val="20"/>
                <w:szCs w:val="20"/>
              </w:rPr>
              <w:t xml:space="preserve"> Lupus nephritis</w:t>
            </w:r>
          </w:p>
        </w:tc>
      </w:tr>
      <w:tr w:rsidR="00D57873" w:rsidRPr="00D57873" w14:paraId="4492E5C1"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F083DFE"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5A3F2C49" w14:textId="75EB8AA0" w:rsidR="00D57873" w:rsidRPr="00D57873" w:rsidRDefault="00D57873" w:rsidP="00D57873">
            <w:pPr>
              <w:rPr>
                <w:rFonts w:ascii="Arial Narrow" w:hAnsi="Arial Narrow"/>
                <w:sz w:val="20"/>
                <w:szCs w:val="20"/>
              </w:rPr>
            </w:pPr>
            <w:r w:rsidRPr="00D57873">
              <w:rPr>
                <w:rFonts w:ascii="Arial Narrow" w:hAnsi="Arial Narrow"/>
                <w:b/>
                <w:bCs/>
                <w:sz w:val="20"/>
                <w:szCs w:val="20"/>
              </w:rPr>
              <w:t>Treatment Phase:</w:t>
            </w:r>
            <w:r w:rsidRPr="00D57873">
              <w:rPr>
                <w:rFonts w:ascii="Arial Narrow" w:hAnsi="Arial Narrow"/>
                <w:sz w:val="20"/>
                <w:szCs w:val="20"/>
              </w:rPr>
              <w:t xml:space="preserve"> </w:t>
            </w:r>
            <w:r w:rsidRPr="00F2476E">
              <w:rPr>
                <w:rFonts w:ascii="Arial Narrow" w:hAnsi="Arial Narrow"/>
                <w:sz w:val="20"/>
                <w:szCs w:val="20"/>
              </w:rPr>
              <w:t xml:space="preserve">First </w:t>
            </w:r>
            <w:r w:rsidRPr="00D57873">
              <w:rPr>
                <w:rFonts w:ascii="Arial Narrow" w:hAnsi="Arial Narrow"/>
                <w:sz w:val="20"/>
                <w:szCs w:val="20"/>
              </w:rPr>
              <w:t>Continuing treatment</w:t>
            </w:r>
          </w:p>
        </w:tc>
      </w:tr>
      <w:tr w:rsidR="00D57873" w:rsidRPr="00D57873" w14:paraId="0BBE405C"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284F2E8"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5167874C"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 xml:space="preserve">Clinical criteria: </w:t>
            </w:r>
          </w:p>
        </w:tc>
      </w:tr>
      <w:tr w:rsidR="00D57873" w:rsidRPr="00D57873" w14:paraId="7015A7F2"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CB7C36B"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50D0A9F9" w14:textId="5AB8366A" w:rsidR="00D57873" w:rsidRPr="00D57873" w:rsidRDefault="00D57873" w:rsidP="00D57873">
            <w:pPr>
              <w:rPr>
                <w:rFonts w:ascii="Arial Narrow" w:hAnsi="Arial Narrow"/>
                <w:sz w:val="20"/>
                <w:szCs w:val="20"/>
              </w:rPr>
            </w:pPr>
            <w:r w:rsidRPr="00F2476E">
              <w:rPr>
                <w:rFonts w:ascii="Arial Narrow" w:hAnsi="Arial Narrow"/>
                <w:sz w:val="20"/>
                <w:szCs w:val="20"/>
              </w:rPr>
              <w:t>Patient must have previously received PBS</w:t>
            </w:r>
            <w:r w:rsidR="00FF1914">
              <w:rPr>
                <w:rFonts w:ascii="Arial Narrow" w:hAnsi="Arial Narrow"/>
                <w:sz w:val="20"/>
                <w:szCs w:val="20"/>
              </w:rPr>
              <w:noBreakHyphen/>
            </w:r>
            <w:r w:rsidRPr="00F2476E">
              <w:rPr>
                <w:rFonts w:ascii="Arial Narrow" w:hAnsi="Arial Narrow"/>
                <w:sz w:val="20"/>
                <w:szCs w:val="20"/>
              </w:rPr>
              <w:t xml:space="preserve">subsidised treatment with this drug for this condition </w:t>
            </w:r>
            <w:r w:rsidR="00FF1E5C" w:rsidRPr="00F2476E">
              <w:rPr>
                <w:rFonts w:ascii="Arial Narrow" w:hAnsi="Arial Narrow"/>
                <w:sz w:val="20"/>
                <w:szCs w:val="20"/>
              </w:rPr>
              <w:t>under the initial treatment restriction</w:t>
            </w:r>
          </w:p>
        </w:tc>
      </w:tr>
      <w:tr w:rsidR="00D57873" w:rsidRPr="00D57873" w14:paraId="2BE66417"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2EFA7DD4"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5AB9FB31"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AND</w:t>
            </w:r>
          </w:p>
        </w:tc>
      </w:tr>
      <w:tr w:rsidR="00D57873" w:rsidRPr="00D57873" w14:paraId="1C0FA822"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09A7F4D"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0212889D"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Clinical criteria:</w:t>
            </w:r>
          </w:p>
        </w:tc>
      </w:tr>
      <w:tr w:rsidR="00D57873" w:rsidRPr="00D57873" w14:paraId="2A38B7AA"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FB1E391"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0673F989" w14:textId="2197AE46" w:rsidR="00D57873" w:rsidRPr="00D57873" w:rsidRDefault="00245E34" w:rsidP="00D57873">
            <w:pPr>
              <w:rPr>
                <w:rFonts w:ascii="Arial Narrow" w:hAnsi="Arial Narrow"/>
                <w:sz w:val="20"/>
                <w:szCs w:val="20"/>
              </w:rPr>
            </w:pPr>
            <w:r>
              <w:rPr>
                <w:rFonts w:ascii="Arial Narrow" w:hAnsi="Arial Narrow"/>
                <w:sz w:val="20"/>
                <w:szCs w:val="20"/>
                <w:lang w:val="en-GB"/>
              </w:rPr>
              <w:t>P</w:t>
            </w:r>
            <w:r w:rsidRPr="00245E34">
              <w:rPr>
                <w:rFonts w:ascii="Arial Narrow" w:hAnsi="Arial Narrow"/>
                <w:sz w:val="20"/>
                <w:szCs w:val="20"/>
                <w:lang w:val="en-GB"/>
              </w:rPr>
              <w:t xml:space="preserve">atient must not have </w:t>
            </w:r>
            <w:r w:rsidR="00BC01C3">
              <w:rPr>
                <w:rFonts w:ascii="Arial Narrow" w:hAnsi="Arial Narrow"/>
                <w:sz w:val="20"/>
                <w:szCs w:val="20"/>
                <w:lang w:val="en-GB"/>
              </w:rPr>
              <w:t xml:space="preserve">sustained </w:t>
            </w:r>
            <w:r w:rsidRPr="00245E34">
              <w:rPr>
                <w:rFonts w:ascii="Arial Narrow" w:hAnsi="Arial Narrow"/>
                <w:sz w:val="20"/>
                <w:szCs w:val="20"/>
                <w:lang w:val="en-GB"/>
              </w:rPr>
              <w:t>clinically significant, worsening</w:t>
            </w:r>
            <w:r w:rsidR="00BC01C3">
              <w:rPr>
                <w:rFonts w:ascii="Arial Narrow" w:hAnsi="Arial Narrow"/>
                <w:sz w:val="20"/>
                <w:szCs w:val="20"/>
                <w:lang w:val="en-GB"/>
              </w:rPr>
              <w:t xml:space="preserve"> from baseline values of either (i)</w:t>
            </w:r>
            <w:r w:rsidRPr="00245E34">
              <w:rPr>
                <w:rFonts w:ascii="Arial Narrow" w:hAnsi="Arial Narrow"/>
                <w:sz w:val="20"/>
                <w:szCs w:val="20"/>
                <w:lang w:val="en-GB"/>
              </w:rPr>
              <w:t xml:space="preserve"> </w:t>
            </w:r>
            <w:r w:rsidR="002862B2" w:rsidRPr="002862B2">
              <w:rPr>
                <w:rFonts w:ascii="Arial Narrow" w:hAnsi="Arial Narrow"/>
                <w:sz w:val="20"/>
                <w:szCs w:val="20"/>
              </w:rPr>
              <w:t>urinary protein</w:t>
            </w:r>
            <w:r w:rsidR="00FF1914">
              <w:rPr>
                <w:rFonts w:ascii="Arial Narrow" w:hAnsi="Arial Narrow"/>
                <w:sz w:val="20"/>
                <w:szCs w:val="20"/>
              </w:rPr>
              <w:noBreakHyphen/>
            </w:r>
            <w:r w:rsidR="002862B2" w:rsidRPr="002862B2">
              <w:rPr>
                <w:rFonts w:ascii="Arial Narrow" w:hAnsi="Arial Narrow"/>
                <w:sz w:val="20"/>
                <w:szCs w:val="20"/>
              </w:rPr>
              <w:t>to</w:t>
            </w:r>
            <w:r w:rsidR="00FF1914">
              <w:rPr>
                <w:rFonts w:ascii="Arial Narrow" w:hAnsi="Arial Narrow"/>
                <w:sz w:val="20"/>
                <w:szCs w:val="20"/>
              </w:rPr>
              <w:noBreakHyphen/>
            </w:r>
            <w:r w:rsidR="002862B2" w:rsidRPr="002862B2">
              <w:rPr>
                <w:rFonts w:ascii="Arial Narrow" w:hAnsi="Arial Narrow"/>
                <w:sz w:val="20"/>
                <w:szCs w:val="20"/>
              </w:rPr>
              <w:t>creatinine ratio</w:t>
            </w:r>
            <w:r w:rsidR="002862B2">
              <w:rPr>
                <w:rFonts w:ascii="Arial Narrow" w:hAnsi="Arial Narrow"/>
                <w:sz w:val="20"/>
                <w:szCs w:val="20"/>
              </w:rPr>
              <w:t xml:space="preserve"> (</w:t>
            </w:r>
            <w:r w:rsidRPr="00245E34">
              <w:rPr>
                <w:rFonts w:ascii="Arial Narrow" w:hAnsi="Arial Narrow"/>
                <w:sz w:val="20"/>
                <w:szCs w:val="20"/>
                <w:lang w:val="en-GB"/>
              </w:rPr>
              <w:t>UPCR</w:t>
            </w:r>
            <w:r w:rsidR="002862B2">
              <w:rPr>
                <w:rFonts w:ascii="Arial Narrow" w:hAnsi="Arial Narrow"/>
                <w:sz w:val="20"/>
                <w:szCs w:val="20"/>
                <w:lang w:val="en-GB"/>
              </w:rPr>
              <w:t>)</w:t>
            </w:r>
            <w:r w:rsidRPr="00245E34">
              <w:rPr>
                <w:rFonts w:ascii="Arial Narrow" w:hAnsi="Arial Narrow"/>
                <w:sz w:val="20"/>
                <w:szCs w:val="20"/>
                <w:lang w:val="en-GB"/>
              </w:rPr>
              <w:t xml:space="preserve"> and/or</w:t>
            </w:r>
            <w:r w:rsidR="006C7B64">
              <w:rPr>
                <w:rFonts w:ascii="Arial Narrow" w:hAnsi="Arial Narrow"/>
                <w:sz w:val="20"/>
                <w:szCs w:val="20"/>
                <w:lang w:val="en-GB"/>
              </w:rPr>
              <w:t xml:space="preserve"> </w:t>
            </w:r>
            <w:r w:rsidR="00BC01C3">
              <w:rPr>
                <w:rFonts w:ascii="Arial Narrow" w:hAnsi="Arial Narrow"/>
                <w:sz w:val="20"/>
                <w:szCs w:val="20"/>
                <w:lang w:val="en-GB"/>
              </w:rPr>
              <w:t>(ii)</w:t>
            </w:r>
            <w:r w:rsidRPr="00245E34">
              <w:rPr>
                <w:rFonts w:ascii="Arial Narrow" w:hAnsi="Arial Narrow"/>
                <w:sz w:val="20"/>
                <w:szCs w:val="20"/>
                <w:lang w:val="en-GB"/>
              </w:rPr>
              <w:t xml:space="preserve"> </w:t>
            </w:r>
            <w:r w:rsidR="002862B2">
              <w:rPr>
                <w:rFonts w:ascii="Arial Narrow" w:hAnsi="Arial Narrow"/>
                <w:sz w:val="20"/>
                <w:szCs w:val="20"/>
                <w:lang w:val="en-GB"/>
              </w:rPr>
              <w:t>e</w:t>
            </w:r>
            <w:r w:rsidR="002862B2" w:rsidRPr="002862B2">
              <w:rPr>
                <w:rFonts w:ascii="Arial Narrow" w:hAnsi="Arial Narrow"/>
                <w:sz w:val="20"/>
                <w:szCs w:val="20"/>
              </w:rPr>
              <w:t>stimated glomerular filtration rate</w:t>
            </w:r>
            <w:r w:rsidR="002862B2">
              <w:rPr>
                <w:rFonts w:ascii="Arial Narrow" w:hAnsi="Arial Narrow"/>
                <w:sz w:val="20"/>
                <w:szCs w:val="20"/>
              </w:rPr>
              <w:t xml:space="preserve"> (</w:t>
            </w:r>
            <w:r w:rsidRPr="00245E34">
              <w:rPr>
                <w:rFonts w:ascii="Arial Narrow" w:hAnsi="Arial Narrow"/>
                <w:sz w:val="20"/>
                <w:szCs w:val="20"/>
                <w:lang w:val="en-GB"/>
              </w:rPr>
              <w:t>eGFR</w:t>
            </w:r>
            <w:r w:rsidR="002862B2">
              <w:rPr>
                <w:rFonts w:ascii="Arial Narrow" w:hAnsi="Arial Narrow"/>
                <w:sz w:val="20"/>
                <w:szCs w:val="20"/>
                <w:lang w:val="en-GB"/>
              </w:rPr>
              <w:t>)</w:t>
            </w:r>
            <w:r w:rsidR="00BC01C3">
              <w:rPr>
                <w:rFonts w:ascii="Arial Narrow" w:hAnsi="Arial Narrow"/>
                <w:sz w:val="20"/>
                <w:szCs w:val="20"/>
                <w:lang w:val="en-GB"/>
              </w:rPr>
              <w:t>, as determined by the treating physician</w:t>
            </w:r>
            <w:r>
              <w:rPr>
                <w:rFonts w:ascii="Arial Narrow" w:hAnsi="Arial Narrow"/>
                <w:sz w:val="20"/>
                <w:szCs w:val="20"/>
                <w:lang w:val="en-GB"/>
              </w:rPr>
              <w:t>.</w:t>
            </w:r>
          </w:p>
        </w:tc>
      </w:tr>
      <w:tr w:rsidR="00D57873" w:rsidRPr="00D57873" w14:paraId="7169E8E7"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5CEAC5C1" w14:textId="77777777" w:rsidR="00D57873" w:rsidRPr="00D57873" w:rsidRDefault="00D57873" w:rsidP="00D57873">
            <w:pPr>
              <w:jc w:val="center"/>
              <w:rPr>
                <w:rFonts w:ascii="Arial Narrow" w:hAnsi="Arial Narrow"/>
                <w:sz w:val="20"/>
                <w:szCs w:val="20"/>
              </w:rPr>
            </w:pPr>
          </w:p>
        </w:tc>
        <w:tc>
          <w:tcPr>
            <w:tcW w:w="7606" w:type="dxa"/>
            <w:gridSpan w:val="6"/>
            <w:vAlign w:val="center"/>
          </w:tcPr>
          <w:p w14:paraId="35B16484" w14:textId="77777777" w:rsidR="00D57873" w:rsidRPr="00F2476E" w:rsidRDefault="00D57873" w:rsidP="00D57873">
            <w:pPr>
              <w:rPr>
                <w:rFonts w:ascii="Arial Narrow" w:hAnsi="Arial Narrow"/>
                <w:sz w:val="20"/>
                <w:szCs w:val="20"/>
              </w:rPr>
            </w:pPr>
            <w:r w:rsidRPr="00F2476E">
              <w:rPr>
                <w:rFonts w:ascii="Arial Narrow" w:hAnsi="Arial Narrow"/>
                <w:b/>
                <w:sz w:val="20"/>
                <w:szCs w:val="20"/>
              </w:rPr>
              <w:t>AND</w:t>
            </w:r>
          </w:p>
        </w:tc>
      </w:tr>
      <w:tr w:rsidR="00D57873" w:rsidRPr="00D57873" w14:paraId="38567D6E"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718D4AA" w14:textId="77777777" w:rsidR="00D57873" w:rsidRPr="00D57873" w:rsidRDefault="00D57873" w:rsidP="00D57873">
            <w:pPr>
              <w:jc w:val="center"/>
              <w:rPr>
                <w:rFonts w:ascii="Arial Narrow" w:hAnsi="Arial Narrow"/>
                <w:sz w:val="20"/>
                <w:szCs w:val="20"/>
              </w:rPr>
            </w:pPr>
          </w:p>
        </w:tc>
        <w:tc>
          <w:tcPr>
            <w:tcW w:w="7606" w:type="dxa"/>
            <w:gridSpan w:val="6"/>
            <w:vAlign w:val="center"/>
          </w:tcPr>
          <w:p w14:paraId="5EA34337" w14:textId="77777777" w:rsidR="00D57873" w:rsidRPr="00F2476E" w:rsidRDefault="00D57873" w:rsidP="00D57873">
            <w:pPr>
              <w:rPr>
                <w:rFonts w:ascii="Arial Narrow" w:hAnsi="Arial Narrow"/>
                <w:sz w:val="20"/>
                <w:szCs w:val="20"/>
              </w:rPr>
            </w:pPr>
            <w:r w:rsidRPr="00F2476E">
              <w:rPr>
                <w:rFonts w:ascii="Arial Narrow" w:hAnsi="Arial Narrow"/>
                <w:b/>
                <w:sz w:val="20"/>
                <w:szCs w:val="20"/>
              </w:rPr>
              <w:t>Clinical criteria:</w:t>
            </w:r>
          </w:p>
        </w:tc>
      </w:tr>
      <w:tr w:rsidR="00D57873" w:rsidRPr="00D57873" w14:paraId="28A88D3E"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916C6BD" w14:textId="77777777" w:rsidR="00D57873" w:rsidRPr="00D57873" w:rsidRDefault="00D57873" w:rsidP="00D57873">
            <w:pPr>
              <w:jc w:val="center"/>
              <w:rPr>
                <w:rFonts w:ascii="Arial Narrow" w:hAnsi="Arial Narrow"/>
                <w:sz w:val="20"/>
                <w:szCs w:val="20"/>
              </w:rPr>
            </w:pPr>
          </w:p>
        </w:tc>
        <w:tc>
          <w:tcPr>
            <w:tcW w:w="7606" w:type="dxa"/>
            <w:gridSpan w:val="6"/>
            <w:vAlign w:val="center"/>
          </w:tcPr>
          <w:p w14:paraId="29D34270" w14:textId="77777777" w:rsidR="00D57873" w:rsidRPr="00F2476E" w:rsidRDefault="00D57873" w:rsidP="00D57873">
            <w:pPr>
              <w:rPr>
                <w:rFonts w:ascii="Arial Narrow" w:hAnsi="Arial Narrow"/>
                <w:sz w:val="20"/>
                <w:szCs w:val="20"/>
              </w:rPr>
            </w:pPr>
            <w:r w:rsidRPr="00F2476E">
              <w:rPr>
                <w:rFonts w:ascii="Arial Narrow" w:hAnsi="Arial Narrow"/>
                <w:sz w:val="20"/>
                <w:szCs w:val="20"/>
              </w:rPr>
              <w:t>Treatment must be administered with mycophenolate and corticosteroids unless contraindicated /intolerant necessitating treatment withdrawal.</w:t>
            </w:r>
          </w:p>
        </w:tc>
      </w:tr>
      <w:tr w:rsidR="00D57873" w:rsidRPr="00D57873" w14:paraId="4048F99C"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A14E12B"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1E0EFE92"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Treatment criteria:</w:t>
            </w:r>
          </w:p>
        </w:tc>
      </w:tr>
      <w:tr w:rsidR="00D57873" w:rsidRPr="00D57873" w14:paraId="25D2A454"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A9CB5F4" w14:textId="77777777" w:rsidR="00D57873" w:rsidRPr="00D57873" w:rsidRDefault="00D57873" w:rsidP="00D57873">
            <w:pPr>
              <w:jc w:val="center"/>
              <w:rPr>
                <w:rFonts w:ascii="Arial Narrow" w:hAnsi="Arial Narrow"/>
                <w:sz w:val="20"/>
                <w:szCs w:val="20"/>
              </w:rPr>
            </w:pPr>
          </w:p>
        </w:tc>
        <w:tc>
          <w:tcPr>
            <w:tcW w:w="7606" w:type="dxa"/>
            <w:gridSpan w:val="6"/>
            <w:vAlign w:val="center"/>
            <w:hideMark/>
          </w:tcPr>
          <w:p w14:paraId="78FD3B23" w14:textId="77777777" w:rsidR="00D57873" w:rsidRPr="00D57873" w:rsidRDefault="00D57873" w:rsidP="00D57873">
            <w:pPr>
              <w:autoSpaceDE w:val="0"/>
              <w:autoSpaceDN w:val="0"/>
              <w:adjustRightInd w:val="0"/>
              <w:rPr>
                <w:rFonts w:ascii="Arial Narrow" w:hAnsi="Arial Narrow" w:cs="Arial Narrow"/>
                <w:sz w:val="20"/>
                <w:szCs w:val="20"/>
              </w:rPr>
            </w:pPr>
            <w:r w:rsidRPr="00D57873">
              <w:rPr>
                <w:rFonts w:ascii="Arial Narrow" w:hAnsi="Arial Narrow" w:cs="Arial Narrow"/>
                <w:sz w:val="20"/>
                <w:szCs w:val="20"/>
              </w:rPr>
              <w:t>Patient must be treated by a specialist physician experienced in the management of this condition.</w:t>
            </w:r>
          </w:p>
        </w:tc>
      </w:tr>
      <w:tr w:rsidR="00D57873" w:rsidRPr="00D57873" w14:paraId="67D22354" w14:textId="77777777" w:rsidTr="00A640B5">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330E7987" w14:textId="77777777" w:rsidR="00D57873" w:rsidRPr="00D57873" w:rsidRDefault="00D57873" w:rsidP="00D57873">
            <w:pPr>
              <w:jc w:val="center"/>
              <w:rPr>
                <w:rFonts w:ascii="Arial Narrow" w:hAnsi="Arial Narrow"/>
                <w:sz w:val="20"/>
                <w:szCs w:val="20"/>
              </w:rPr>
            </w:pPr>
          </w:p>
        </w:tc>
        <w:tc>
          <w:tcPr>
            <w:tcW w:w="7606" w:type="dxa"/>
            <w:gridSpan w:val="6"/>
            <w:vAlign w:val="center"/>
          </w:tcPr>
          <w:p w14:paraId="4D58EEE8" w14:textId="77777777" w:rsidR="00D57873" w:rsidRPr="00F2476E" w:rsidRDefault="00D57873" w:rsidP="00D57873">
            <w:pPr>
              <w:autoSpaceDE w:val="0"/>
              <w:autoSpaceDN w:val="0"/>
              <w:adjustRightInd w:val="0"/>
              <w:rPr>
                <w:rFonts w:ascii="Arial Narrow" w:hAnsi="Arial Narrow" w:cs="Arial Narrow"/>
                <w:sz w:val="20"/>
                <w:szCs w:val="20"/>
              </w:rPr>
            </w:pPr>
            <w:r w:rsidRPr="00F2476E">
              <w:rPr>
                <w:rFonts w:ascii="Arial Narrow" w:hAnsi="Arial Narrow"/>
                <w:b/>
                <w:sz w:val="20"/>
                <w:szCs w:val="20"/>
              </w:rPr>
              <w:t>Treatment criteria:</w:t>
            </w:r>
          </w:p>
        </w:tc>
      </w:tr>
      <w:tr w:rsidR="00D57873" w:rsidRPr="00D57873" w14:paraId="2410715F" w14:textId="77777777" w:rsidTr="00A640B5">
        <w:tblPrEx>
          <w:tblCellMar>
            <w:top w:w="15" w:type="dxa"/>
            <w:bottom w:w="15" w:type="dxa"/>
          </w:tblCellMar>
          <w:tblLook w:val="04A0" w:firstRow="1" w:lastRow="0" w:firstColumn="1" w:lastColumn="0" w:noHBand="0" w:noVBand="1"/>
        </w:tblPrEx>
        <w:trPr>
          <w:cantSplit/>
          <w:trHeight w:val="35"/>
        </w:trPr>
        <w:tc>
          <w:tcPr>
            <w:tcW w:w="1413" w:type="dxa"/>
            <w:gridSpan w:val="2"/>
            <w:vAlign w:val="center"/>
          </w:tcPr>
          <w:p w14:paraId="03A240AF" w14:textId="77777777" w:rsidR="00D57873" w:rsidRPr="00D57873" w:rsidRDefault="00D57873" w:rsidP="00D57873">
            <w:pPr>
              <w:jc w:val="center"/>
              <w:rPr>
                <w:rFonts w:ascii="Arial Narrow" w:hAnsi="Arial Narrow"/>
                <w:sz w:val="20"/>
                <w:szCs w:val="20"/>
              </w:rPr>
            </w:pPr>
          </w:p>
        </w:tc>
        <w:tc>
          <w:tcPr>
            <w:tcW w:w="7606" w:type="dxa"/>
            <w:gridSpan w:val="6"/>
            <w:vAlign w:val="center"/>
          </w:tcPr>
          <w:p w14:paraId="02983406" w14:textId="77777777" w:rsidR="00D57873" w:rsidRPr="00D57873" w:rsidRDefault="00D57873" w:rsidP="00D57873">
            <w:pPr>
              <w:autoSpaceDE w:val="0"/>
              <w:autoSpaceDN w:val="0"/>
              <w:adjustRightInd w:val="0"/>
              <w:rPr>
                <w:rFonts w:ascii="Arial Narrow" w:hAnsi="Arial Narrow" w:cs="Arial Narrow"/>
                <w:iCs/>
                <w:sz w:val="20"/>
                <w:szCs w:val="20"/>
              </w:rPr>
            </w:pPr>
            <w:r w:rsidRPr="00F2476E">
              <w:rPr>
                <w:rFonts w:ascii="Arial Narrow" w:hAnsi="Arial Narrow"/>
                <w:sz w:val="20"/>
                <w:szCs w:val="20"/>
              </w:rPr>
              <w:t xml:space="preserve">The treatment must not be used in combination with anifrolumab </w:t>
            </w:r>
          </w:p>
        </w:tc>
      </w:tr>
      <w:tr w:rsidR="00FF1E5C" w:rsidRPr="00D57873" w14:paraId="7C61362A" w14:textId="77777777" w:rsidTr="00A640B5">
        <w:tblPrEx>
          <w:tblCellMar>
            <w:top w:w="15" w:type="dxa"/>
            <w:bottom w:w="15" w:type="dxa"/>
          </w:tblCellMar>
          <w:tblLook w:val="04A0" w:firstRow="1" w:lastRow="0" w:firstColumn="1" w:lastColumn="0" w:noHBand="0" w:noVBand="1"/>
        </w:tblPrEx>
        <w:trPr>
          <w:cantSplit/>
          <w:trHeight w:val="35"/>
        </w:trPr>
        <w:tc>
          <w:tcPr>
            <w:tcW w:w="1413" w:type="dxa"/>
            <w:gridSpan w:val="2"/>
            <w:vAlign w:val="center"/>
          </w:tcPr>
          <w:p w14:paraId="7F8E7700" w14:textId="77777777" w:rsidR="00FF1E5C" w:rsidRPr="00D57873" w:rsidRDefault="00FF1E5C" w:rsidP="00D57873">
            <w:pPr>
              <w:jc w:val="center"/>
              <w:rPr>
                <w:rFonts w:ascii="Arial Narrow" w:hAnsi="Arial Narrow"/>
                <w:sz w:val="20"/>
                <w:szCs w:val="20"/>
              </w:rPr>
            </w:pPr>
          </w:p>
        </w:tc>
        <w:tc>
          <w:tcPr>
            <w:tcW w:w="7606" w:type="dxa"/>
            <w:gridSpan w:val="6"/>
            <w:vAlign w:val="center"/>
          </w:tcPr>
          <w:p w14:paraId="27741825" w14:textId="08917640" w:rsidR="00FF1E5C" w:rsidRPr="00F2476E" w:rsidRDefault="00FF1E5C" w:rsidP="00D57873">
            <w:pPr>
              <w:autoSpaceDE w:val="0"/>
              <w:autoSpaceDN w:val="0"/>
              <w:adjustRightInd w:val="0"/>
              <w:rPr>
                <w:rFonts w:ascii="Arial Narrow" w:hAnsi="Arial Narrow"/>
                <w:b/>
                <w:sz w:val="20"/>
                <w:szCs w:val="20"/>
              </w:rPr>
            </w:pPr>
            <w:r w:rsidRPr="00F2476E">
              <w:rPr>
                <w:rFonts w:ascii="Arial Narrow" w:hAnsi="Arial Narrow"/>
                <w:b/>
                <w:sz w:val="20"/>
                <w:szCs w:val="20"/>
              </w:rPr>
              <w:t xml:space="preserve">Prescribing Instructions: </w:t>
            </w:r>
          </w:p>
          <w:p w14:paraId="177847A5" w14:textId="6586B7FB" w:rsidR="00FF1E5C" w:rsidRPr="00F2476E" w:rsidRDefault="00FF1E5C" w:rsidP="00D57873">
            <w:pPr>
              <w:autoSpaceDE w:val="0"/>
              <w:autoSpaceDN w:val="0"/>
              <w:adjustRightInd w:val="0"/>
              <w:rPr>
                <w:rFonts w:ascii="Arial Narrow" w:hAnsi="Arial Narrow"/>
                <w:sz w:val="20"/>
                <w:szCs w:val="20"/>
              </w:rPr>
            </w:pPr>
            <w:r w:rsidRPr="00F2476E">
              <w:rPr>
                <w:rFonts w:ascii="Arial Narrow" w:hAnsi="Arial Narrow"/>
                <w:sz w:val="20"/>
                <w:szCs w:val="20"/>
              </w:rPr>
              <w:t>The current values for UPCR and eGFR, used to determine the patient’s response to treatment, must be documented in the patient’s medical records.</w:t>
            </w:r>
          </w:p>
        </w:tc>
      </w:tr>
    </w:tbl>
    <w:p w14:paraId="25D9FCEB" w14:textId="419BF4E4" w:rsidR="00772228" w:rsidRDefault="00772228" w:rsidP="00D57873">
      <w:pPr>
        <w:rPr>
          <w:rFonts w:cs="Calibri"/>
        </w:rPr>
      </w:pPr>
    </w:p>
    <w:p w14:paraId="170EB2DC" w14:textId="77777777" w:rsidR="00772228" w:rsidRDefault="00772228">
      <w:pPr>
        <w:jc w:val="left"/>
        <w:rPr>
          <w:rFonts w:cs="Calibri"/>
        </w:rPr>
      </w:pPr>
      <w:r>
        <w:rPr>
          <w:rFonts w:cs="Calibri"/>
        </w:rPr>
        <w:br w:type="page"/>
      </w:r>
    </w:p>
    <w:p w14:paraId="44B206ED" w14:textId="10B7C042" w:rsidR="00D57873" w:rsidRPr="00D57873" w:rsidRDefault="00D57873" w:rsidP="00D57873">
      <w:pPr>
        <w:spacing w:after="120"/>
        <w:rPr>
          <w:rFonts w:ascii="Aptos" w:hAnsi="Aptos" w:cs="Aptos"/>
          <w:b/>
          <w:bCs/>
        </w:rPr>
      </w:pPr>
      <w:r w:rsidRPr="00D57873">
        <w:rPr>
          <w:rFonts w:ascii="Aptos" w:hAnsi="Aptos" w:cs="Aptos"/>
          <w:b/>
          <w:bCs/>
        </w:rPr>
        <w:lastRenderedPageBreak/>
        <w:t>Subsequent continuing treatment: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ubsequent continuing treatment:"/>
      </w:tblPr>
      <w:tblGrid>
        <w:gridCol w:w="564"/>
        <w:gridCol w:w="709"/>
        <w:gridCol w:w="141"/>
        <w:gridCol w:w="2527"/>
        <w:gridCol w:w="811"/>
        <w:gridCol w:w="812"/>
        <w:gridCol w:w="811"/>
        <w:gridCol w:w="812"/>
        <w:gridCol w:w="1832"/>
      </w:tblGrid>
      <w:tr w:rsidR="00D57873" w:rsidRPr="00D57873" w14:paraId="130163CD" w14:textId="77777777" w:rsidTr="00FF1E5C">
        <w:trPr>
          <w:cantSplit/>
          <w:trHeight w:val="20"/>
        </w:trPr>
        <w:tc>
          <w:tcPr>
            <w:tcW w:w="3941" w:type="dxa"/>
            <w:gridSpan w:val="4"/>
            <w:vAlign w:val="center"/>
          </w:tcPr>
          <w:p w14:paraId="7CC080C5" w14:textId="77777777" w:rsidR="00D57873" w:rsidRPr="00D57873" w:rsidRDefault="00D57873" w:rsidP="00D57873">
            <w:pPr>
              <w:keepLines/>
              <w:jc w:val="left"/>
              <w:rPr>
                <w:rFonts w:ascii="Arial Narrow" w:eastAsia="Aptos" w:hAnsi="Arial Narrow"/>
                <w:b/>
                <w:bCs/>
                <w:sz w:val="20"/>
                <w:szCs w:val="20"/>
                <w:lang w:eastAsia="en-US"/>
              </w:rPr>
            </w:pPr>
            <w:r w:rsidRPr="00D57873">
              <w:rPr>
                <w:rFonts w:ascii="Arial Narrow" w:eastAsia="Aptos" w:hAnsi="Arial Narrow"/>
                <w:b/>
                <w:bCs/>
                <w:sz w:val="20"/>
                <w:szCs w:val="20"/>
                <w:lang w:eastAsia="en-US"/>
              </w:rPr>
              <w:t>MEDICINAL PRODUCT</w:t>
            </w:r>
          </w:p>
          <w:p w14:paraId="0018FB22" w14:textId="77777777" w:rsidR="00D57873" w:rsidRPr="00D57873" w:rsidRDefault="00D57873" w:rsidP="00D57873">
            <w:pPr>
              <w:keepLines/>
              <w:jc w:val="left"/>
              <w:rPr>
                <w:rFonts w:ascii="Arial Narrow" w:eastAsia="Aptos" w:hAnsi="Arial Narrow"/>
                <w:b/>
                <w:sz w:val="20"/>
                <w:szCs w:val="20"/>
                <w:lang w:eastAsia="en-US"/>
              </w:rPr>
            </w:pPr>
            <w:r w:rsidRPr="00D57873">
              <w:rPr>
                <w:rFonts w:ascii="Arial Narrow" w:eastAsia="Aptos" w:hAnsi="Arial Narrow"/>
                <w:b/>
                <w:bCs/>
                <w:sz w:val="20"/>
                <w:szCs w:val="20"/>
                <w:lang w:eastAsia="en-US"/>
              </w:rPr>
              <w:t>medicinal product pack</w:t>
            </w:r>
          </w:p>
        </w:tc>
        <w:tc>
          <w:tcPr>
            <w:tcW w:w="811" w:type="dxa"/>
            <w:vAlign w:val="center"/>
          </w:tcPr>
          <w:p w14:paraId="5966FAAD"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PBS item code</w:t>
            </w:r>
          </w:p>
        </w:tc>
        <w:tc>
          <w:tcPr>
            <w:tcW w:w="812" w:type="dxa"/>
            <w:vAlign w:val="center"/>
          </w:tcPr>
          <w:p w14:paraId="5EABA8F2"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Max. qty packs</w:t>
            </w:r>
          </w:p>
        </w:tc>
        <w:tc>
          <w:tcPr>
            <w:tcW w:w="811" w:type="dxa"/>
            <w:vAlign w:val="center"/>
          </w:tcPr>
          <w:p w14:paraId="7A7D3B2E"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Max. qty units</w:t>
            </w:r>
          </w:p>
        </w:tc>
        <w:tc>
          <w:tcPr>
            <w:tcW w:w="812" w:type="dxa"/>
            <w:vAlign w:val="center"/>
          </w:tcPr>
          <w:p w14:paraId="315449CD"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№.of</w:t>
            </w:r>
          </w:p>
          <w:p w14:paraId="099FFB24" w14:textId="77777777" w:rsidR="00D57873" w:rsidRPr="00D57873" w:rsidRDefault="00D57873" w:rsidP="00D57873">
            <w:pPr>
              <w:keepLines/>
              <w:jc w:val="center"/>
              <w:rPr>
                <w:rFonts w:ascii="Arial Narrow" w:eastAsia="Aptos" w:hAnsi="Arial Narrow"/>
                <w:b/>
                <w:sz w:val="20"/>
                <w:szCs w:val="20"/>
                <w:lang w:eastAsia="en-US"/>
              </w:rPr>
            </w:pPr>
            <w:r w:rsidRPr="00D57873">
              <w:rPr>
                <w:rFonts w:ascii="Arial Narrow" w:eastAsia="Aptos" w:hAnsi="Arial Narrow"/>
                <w:b/>
                <w:sz w:val="20"/>
                <w:szCs w:val="20"/>
                <w:lang w:eastAsia="en-US"/>
              </w:rPr>
              <w:t>Rpts</w:t>
            </w:r>
          </w:p>
        </w:tc>
        <w:tc>
          <w:tcPr>
            <w:tcW w:w="1832" w:type="dxa"/>
            <w:vAlign w:val="center"/>
          </w:tcPr>
          <w:p w14:paraId="59725A5C" w14:textId="77777777" w:rsidR="00D57873" w:rsidRPr="00D57873" w:rsidRDefault="00D57873" w:rsidP="00D57873">
            <w:pPr>
              <w:keepLines/>
              <w:jc w:val="left"/>
              <w:rPr>
                <w:rFonts w:ascii="Arial Narrow" w:eastAsia="Aptos" w:hAnsi="Arial Narrow"/>
                <w:b/>
                <w:sz w:val="20"/>
                <w:szCs w:val="20"/>
                <w:lang w:val="fr-FR" w:eastAsia="en-US"/>
              </w:rPr>
            </w:pPr>
            <w:r w:rsidRPr="00D57873">
              <w:rPr>
                <w:rFonts w:ascii="Arial Narrow" w:eastAsia="Aptos" w:hAnsi="Arial Narrow"/>
                <w:b/>
                <w:sz w:val="20"/>
                <w:szCs w:val="20"/>
                <w:lang w:eastAsia="en-US"/>
              </w:rPr>
              <w:t>Available brands</w:t>
            </w:r>
          </w:p>
        </w:tc>
      </w:tr>
      <w:tr w:rsidR="00D57873" w:rsidRPr="00D57873" w14:paraId="3B2C3445" w14:textId="77777777" w:rsidTr="00FF1E5C">
        <w:trPr>
          <w:cantSplit/>
          <w:trHeight w:val="20"/>
        </w:trPr>
        <w:tc>
          <w:tcPr>
            <w:tcW w:w="9019" w:type="dxa"/>
            <w:gridSpan w:val="9"/>
            <w:vAlign w:val="center"/>
          </w:tcPr>
          <w:p w14:paraId="375E63EC"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OBINUTUZUMAB</w:t>
            </w:r>
          </w:p>
        </w:tc>
      </w:tr>
      <w:tr w:rsidR="00D57873" w:rsidRPr="00D57873" w14:paraId="25CF4F83" w14:textId="77777777" w:rsidTr="00FF1E5C">
        <w:trPr>
          <w:cantSplit/>
          <w:trHeight w:val="20"/>
        </w:trPr>
        <w:tc>
          <w:tcPr>
            <w:tcW w:w="3941" w:type="dxa"/>
            <w:gridSpan w:val="4"/>
            <w:vAlign w:val="center"/>
          </w:tcPr>
          <w:p w14:paraId="29DE053F"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obinutuzumab 1 g/40 mL injection, 40 mL vial</w:t>
            </w:r>
          </w:p>
        </w:tc>
        <w:tc>
          <w:tcPr>
            <w:tcW w:w="811" w:type="dxa"/>
            <w:vAlign w:val="center"/>
          </w:tcPr>
          <w:p w14:paraId="457C14FB"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NEW/ HSD Public/</w:t>
            </w:r>
          </w:p>
          <w:p w14:paraId="443DCBE2"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cs="Times New Roman"/>
                <w:sz w:val="12"/>
                <w:szCs w:val="12"/>
                <w:lang w:eastAsia="en-US"/>
              </w:rPr>
              <w:t>MP</w:t>
            </w:r>
          </w:p>
        </w:tc>
        <w:tc>
          <w:tcPr>
            <w:tcW w:w="812" w:type="dxa"/>
            <w:vAlign w:val="center"/>
          </w:tcPr>
          <w:p w14:paraId="11C369C2"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1" w:type="dxa"/>
            <w:vAlign w:val="center"/>
          </w:tcPr>
          <w:p w14:paraId="10BCE3FD"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2" w:type="dxa"/>
            <w:vAlign w:val="center"/>
          </w:tcPr>
          <w:p w14:paraId="39831057" w14:textId="6832034D"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0</w:t>
            </w:r>
          </w:p>
        </w:tc>
        <w:tc>
          <w:tcPr>
            <w:tcW w:w="1832" w:type="dxa"/>
            <w:vAlign w:val="center"/>
          </w:tcPr>
          <w:p w14:paraId="7416B29E"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Gazyva</w:t>
            </w:r>
          </w:p>
        </w:tc>
      </w:tr>
      <w:tr w:rsidR="00D57873" w:rsidRPr="00D57873" w14:paraId="4C645E67" w14:textId="77777777" w:rsidTr="00FF1E5C">
        <w:trPr>
          <w:cantSplit/>
          <w:trHeight w:val="20"/>
        </w:trPr>
        <w:tc>
          <w:tcPr>
            <w:tcW w:w="3941" w:type="dxa"/>
            <w:gridSpan w:val="4"/>
            <w:vAlign w:val="center"/>
          </w:tcPr>
          <w:p w14:paraId="1D2A0EA9"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obinutuzumab 1 g/40 mL injection, 40 mL vial</w:t>
            </w:r>
          </w:p>
        </w:tc>
        <w:tc>
          <w:tcPr>
            <w:tcW w:w="811" w:type="dxa"/>
            <w:vAlign w:val="center"/>
          </w:tcPr>
          <w:p w14:paraId="71813A77"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NEW/ HSD Private</w:t>
            </w:r>
          </w:p>
          <w:p w14:paraId="05ACD59B"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cs="Times New Roman"/>
                <w:sz w:val="12"/>
                <w:szCs w:val="12"/>
                <w:lang w:eastAsia="en-US"/>
              </w:rPr>
              <w:t>MP</w:t>
            </w:r>
          </w:p>
        </w:tc>
        <w:tc>
          <w:tcPr>
            <w:tcW w:w="812" w:type="dxa"/>
            <w:vAlign w:val="center"/>
          </w:tcPr>
          <w:p w14:paraId="528B3DDA"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1" w:type="dxa"/>
            <w:vAlign w:val="center"/>
          </w:tcPr>
          <w:p w14:paraId="42D0A3EB"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1</w:t>
            </w:r>
          </w:p>
        </w:tc>
        <w:tc>
          <w:tcPr>
            <w:tcW w:w="812" w:type="dxa"/>
            <w:vAlign w:val="center"/>
          </w:tcPr>
          <w:p w14:paraId="592D5266" w14:textId="77777777" w:rsidR="00D57873" w:rsidRPr="00D57873" w:rsidRDefault="00D57873" w:rsidP="00D57873">
            <w:pPr>
              <w:keepLines/>
              <w:jc w:val="center"/>
              <w:rPr>
                <w:rFonts w:ascii="Arial Narrow" w:eastAsia="Aptos" w:hAnsi="Arial Narrow"/>
                <w:sz w:val="20"/>
                <w:szCs w:val="20"/>
                <w:lang w:eastAsia="en-US"/>
              </w:rPr>
            </w:pPr>
            <w:r w:rsidRPr="00D57873">
              <w:rPr>
                <w:rFonts w:ascii="Arial Narrow" w:eastAsia="Aptos" w:hAnsi="Arial Narrow"/>
                <w:sz w:val="20"/>
                <w:szCs w:val="20"/>
                <w:lang w:eastAsia="en-US"/>
              </w:rPr>
              <w:t>0</w:t>
            </w:r>
          </w:p>
        </w:tc>
        <w:tc>
          <w:tcPr>
            <w:tcW w:w="1832" w:type="dxa"/>
            <w:vAlign w:val="center"/>
          </w:tcPr>
          <w:p w14:paraId="3ABEFFB4"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cs="Times New Roman"/>
                <w:sz w:val="20"/>
                <w:szCs w:val="20"/>
                <w:lang w:eastAsia="en-US"/>
              </w:rPr>
              <w:t>Gazyva</w:t>
            </w:r>
          </w:p>
        </w:tc>
      </w:tr>
      <w:tr w:rsidR="00D57873" w:rsidRPr="00D57873" w14:paraId="5D8C66F7" w14:textId="77777777" w:rsidTr="00FF1E5C">
        <w:tblPrEx>
          <w:tblCellMar>
            <w:top w:w="15" w:type="dxa"/>
            <w:bottom w:w="15" w:type="dxa"/>
          </w:tblCellMar>
          <w:tblLook w:val="04A0" w:firstRow="1" w:lastRow="0" w:firstColumn="1" w:lastColumn="0" w:noHBand="0" w:noVBand="1"/>
        </w:tblPrEx>
        <w:trPr>
          <w:trHeight w:val="20"/>
        </w:trPr>
        <w:tc>
          <w:tcPr>
            <w:tcW w:w="9019" w:type="dxa"/>
            <w:gridSpan w:val="9"/>
            <w:tcBorders>
              <w:top w:val="single" w:sz="4" w:space="0" w:color="auto"/>
              <w:left w:val="single" w:sz="4" w:space="0" w:color="auto"/>
              <w:right w:val="single" w:sz="4" w:space="0" w:color="auto"/>
            </w:tcBorders>
            <w:vAlign w:val="center"/>
          </w:tcPr>
          <w:p w14:paraId="4186703B" w14:textId="77777777" w:rsidR="00D57873" w:rsidRPr="00D57873" w:rsidRDefault="00D57873" w:rsidP="00D57873">
            <w:pPr>
              <w:jc w:val="left"/>
              <w:rPr>
                <w:rFonts w:ascii="Arial Narrow" w:eastAsia="Aptos" w:hAnsi="Arial Narrow"/>
                <w:sz w:val="20"/>
                <w:szCs w:val="20"/>
                <w:lang w:eastAsia="en-US"/>
              </w:rPr>
            </w:pPr>
          </w:p>
        </w:tc>
      </w:tr>
      <w:tr w:rsidR="00D57873" w:rsidRPr="00D57873" w14:paraId="3C64C406" w14:textId="77777777" w:rsidTr="00FF1E5C">
        <w:tblPrEx>
          <w:tblCellMar>
            <w:top w:w="15" w:type="dxa"/>
            <w:bottom w:w="15" w:type="dxa"/>
          </w:tblCellMar>
          <w:tblLook w:val="04A0" w:firstRow="1" w:lastRow="0" w:firstColumn="1" w:lastColumn="0" w:noHBand="0" w:noVBand="1"/>
        </w:tblPrEx>
        <w:trPr>
          <w:trHeight w:val="20"/>
        </w:trPr>
        <w:tc>
          <w:tcPr>
            <w:tcW w:w="1273" w:type="dxa"/>
            <w:gridSpan w:val="2"/>
            <w:vMerge w:val="restart"/>
            <w:tcBorders>
              <w:top w:val="single" w:sz="4" w:space="0" w:color="auto"/>
              <w:left w:val="single" w:sz="4" w:space="0" w:color="auto"/>
              <w:right w:val="single" w:sz="4" w:space="0" w:color="auto"/>
            </w:tcBorders>
          </w:tcPr>
          <w:p w14:paraId="4543A174" w14:textId="77777777" w:rsidR="00D57873" w:rsidRPr="00D57873" w:rsidRDefault="00D57873" w:rsidP="00D57873">
            <w:pPr>
              <w:jc w:val="center"/>
              <w:rPr>
                <w:rFonts w:ascii="Arial Narrow" w:eastAsia="Aptos" w:hAnsi="Arial Narrow"/>
                <w:b/>
                <w:sz w:val="20"/>
                <w:szCs w:val="20"/>
                <w:lang w:eastAsia="en-US"/>
              </w:rPr>
            </w:pPr>
            <w:r w:rsidRPr="00D57873">
              <w:rPr>
                <w:rFonts w:ascii="Arial Narrow" w:eastAsia="Aptos" w:hAnsi="Arial Narrow"/>
                <w:b/>
                <w:sz w:val="20"/>
                <w:szCs w:val="20"/>
                <w:lang w:eastAsia="en-US"/>
              </w:rPr>
              <w:t xml:space="preserve">Concept ID </w:t>
            </w:r>
            <w:r w:rsidRPr="00D57873">
              <w:rPr>
                <w:rFonts w:ascii="Arial Narrow" w:eastAsia="Aptos" w:hAnsi="Arial Narrow"/>
                <w:sz w:val="20"/>
                <w:szCs w:val="20"/>
                <w:lang w:eastAsia="en-US"/>
              </w:rPr>
              <w:t>(for internal Dept. use)</w:t>
            </w:r>
          </w:p>
        </w:tc>
        <w:tc>
          <w:tcPr>
            <w:tcW w:w="7746" w:type="dxa"/>
            <w:gridSpan w:val="7"/>
            <w:tcBorders>
              <w:top w:val="single" w:sz="4" w:space="0" w:color="auto"/>
              <w:left w:val="single" w:sz="4" w:space="0" w:color="auto"/>
              <w:bottom w:val="single" w:sz="4" w:space="0" w:color="auto"/>
              <w:right w:val="single" w:sz="4" w:space="0" w:color="auto"/>
            </w:tcBorders>
            <w:vAlign w:val="center"/>
          </w:tcPr>
          <w:p w14:paraId="4E95B2C3"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Aptos" w:hAnsi="Arial Narrow"/>
                <w:b/>
                <w:sz w:val="20"/>
                <w:szCs w:val="20"/>
                <w:lang w:eastAsia="en-US"/>
              </w:rPr>
              <w:t>Category / Program:</w:t>
            </w:r>
            <w:r w:rsidRPr="00F2476E">
              <w:rPr>
                <w:rFonts w:ascii="Arial Narrow" w:eastAsia="Aptos" w:hAnsi="Arial Narrow"/>
                <w:sz w:val="20"/>
                <w:szCs w:val="20"/>
                <w:lang w:eastAsia="en-US"/>
              </w:rPr>
              <w:t xml:space="preserve"> </w:t>
            </w:r>
          </w:p>
          <w:p w14:paraId="5FF7B196" w14:textId="77777777" w:rsidR="00D57873" w:rsidRPr="00D57873" w:rsidRDefault="00D57873" w:rsidP="00D57873">
            <w:pPr>
              <w:keepLines/>
              <w:jc w:val="left"/>
              <w:rPr>
                <w:rFonts w:ascii="Arial Narrow" w:eastAsia="Aptos" w:hAnsi="Arial Narrow"/>
                <w:sz w:val="20"/>
                <w:szCs w:val="20"/>
                <w:lang w:eastAsia="en-US"/>
              </w:rPr>
            </w:pPr>
            <w:r w:rsidRPr="00D57873">
              <w:rPr>
                <w:rFonts w:ascii="Arial Narrow" w:eastAsia="Calibri" w:hAnsi="Arial Narrow"/>
                <w:sz w:val="20"/>
                <w:szCs w:val="20"/>
                <w:lang w:eastAsia="en-US"/>
              </w:rPr>
              <w:fldChar w:fldCharType="begin">
                <w:ffData>
                  <w:name w:val=""/>
                  <w:enabled/>
                  <w:calcOnExit w:val="0"/>
                  <w:checkBox>
                    <w:sizeAuto/>
                    <w:default w:val="1"/>
                  </w:checkBox>
                </w:ffData>
              </w:fldChar>
            </w:r>
            <w:r w:rsidRPr="00D57873">
              <w:rPr>
                <w:rFonts w:ascii="Arial Narrow" w:eastAsia="Calibri" w:hAnsi="Arial Narrow"/>
                <w:sz w:val="20"/>
                <w:szCs w:val="20"/>
                <w:lang w:eastAsia="en-US"/>
              </w:rPr>
              <w:instrText xml:space="preserve"> FORMCHECKBOX </w:instrText>
            </w:r>
            <w:r w:rsidRPr="00D57873">
              <w:rPr>
                <w:rFonts w:ascii="Arial Narrow" w:eastAsia="Calibri" w:hAnsi="Arial Narrow"/>
                <w:sz w:val="20"/>
                <w:szCs w:val="20"/>
                <w:lang w:eastAsia="en-US"/>
              </w:rPr>
            </w:r>
            <w:r w:rsidRPr="00D57873">
              <w:rPr>
                <w:rFonts w:ascii="Arial Narrow" w:eastAsia="Calibri" w:hAnsi="Arial Narrow"/>
                <w:sz w:val="20"/>
                <w:szCs w:val="20"/>
                <w:lang w:eastAsia="en-US"/>
              </w:rPr>
              <w:fldChar w:fldCharType="separate"/>
            </w:r>
            <w:r w:rsidRPr="00D57873">
              <w:rPr>
                <w:rFonts w:ascii="Arial Narrow" w:eastAsia="Calibri" w:hAnsi="Arial Narrow"/>
                <w:sz w:val="20"/>
                <w:szCs w:val="20"/>
                <w:lang w:eastAsia="en-US"/>
              </w:rPr>
              <w:fldChar w:fldCharType="end"/>
            </w:r>
            <w:r w:rsidRPr="00D57873">
              <w:rPr>
                <w:rFonts w:ascii="Arial Narrow" w:eastAsia="Calibri" w:hAnsi="Arial Narrow"/>
                <w:sz w:val="20"/>
                <w:szCs w:val="20"/>
                <w:lang w:eastAsia="en-US"/>
              </w:rPr>
              <w:t xml:space="preserve"> Section 100 – Highly Specialised Drugs Program – Public (Code HB)</w:t>
            </w:r>
            <w:r w:rsidRPr="00F2476E">
              <w:rPr>
                <w:rFonts w:ascii="Arial Narrow" w:eastAsia="Calibri" w:hAnsi="Arial Narrow"/>
                <w:sz w:val="20"/>
                <w:szCs w:val="20"/>
                <w:lang w:eastAsia="en-US"/>
              </w:rPr>
              <w:t xml:space="preserve"> </w:t>
            </w:r>
            <w:r w:rsidRPr="00D57873">
              <w:rPr>
                <w:rFonts w:ascii="Arial Narrow" w:eastAsia="Calibri" w:hAnsi="Arial Narrow"/>
                <w:sz w:val="20"/>
                <w:szCs w:val="20"/>
                <w:lang w:eastAsia="en-US"/>
              </w:rPr>
              <w:t>/ Private (Code HS)</w:t>
            </w:r>
          </w:p>
        </w:tc>
      </w:tr>
      <w:tr w:rsidR="00D57873" w:rsidRPr="00D57873" w14:paraId="356AC76F" w14:textId="77777777" w:rsidTr="00FF1E5C">
        <w:tblPrEx>
          <w:tblCellMar>
            <w:top w:w="15" w:type="dxa"/>
            <w:bottom w:w="15" w:type="dxa"/>
          </w:tblCellMar>
          <w:tblLook w:val="04A0" w:firstRow="1" w:lastRow="0" w:firstColumn="1" w:lastColumn="0" w:noHBand="0" w:noVBand="1"/>
        </w:tblPrEx>
        <w:trPr>
          <w:trHeight w:val="20"/>
        </w:trPr>
        <w:tc>
          <w:tcPr>
            <w:tcW w:w="1273" w:type="dxa"/>
            <w:gridSpan w:val="2"/>
            <w:vMerge/>
            <w:tcBorders>
              <w:left w:val="single" w:sz="4" w:space="0" w:color="auto"/>
              <w:right w:val="single" w:sz="4" w:space="0" w:color="auto"/>
            </w:tcBorders>
          </w:tcPr>
          <w:p w14:paraId="00C0EFAD" w14:textId="77777777" w:rsidR="00D57873" w:rsidRPr="00D57873" w:rsidRDefault="00D57873" w:rsidP="00D57873">
            <w:pPr>
              <w:rPr>
                <w:rFonts w:ascii="Arial Narrow" w:eastAsia="Aptos" w:hAnsi="Arial Narrow"/>
                <w:sz w:val="20"/>
                <w:szCs w:val="20"/>
                <w:lang w:eastAsia="en-US"/>
              </w:rPr>
            </w:pPr>
          </w:p>
        </w:tc>
        <w:tc>
          <w:tcPr>
            <w:tcW w:w="7746" w:type="dxa"/>
            <w:gridSpan w:val="7"/>
            <w:tcBorders>
              <w:top w:val="single" w:sz="4" w:space="0" w:color="auto"/>
              <w:left w:val="single" w:sz="4" w:space="0" w:color="auto"/>
              <w:bottom w:val="single" w:sz="4" w:space="0" w:color="auto"/>
              <w:right w:val="single" w:sz="4" w:space="0" w:color="auto"/>
            </w:tcBorders>
            <w:vAlign w:val="center"/>
          </w:tcPr>
          <w:p w14:paraId="04B77CFE" w14:textId="77777777" w:rsidR="00D57873" w:rsidRPr="00D57873" w:rsidRDefault="00D57873" w:rsidP="00D57873">
            <w:pPr>
              <w:keepLines/>
              <w:rPr>
                <w:rFonts w:ascii="Arial Narrow" w:eastAsia="Aptos" w:hAnsi="Arial Narrow"/>
                <w:b/>
                <w:sz w:val="20"/>
                <w:szCs w:val="20"/>
                <w:lang w:eastAsia="en-US"/>
              </w:rPr>
            </w:pPr>
            <w:r w:rsidRPr="00D57873">
              <w:rPr>
                <w:rFonts w:ascii="Arial Narrow" w:eastAsia="Aptos" w:hAnsi="Arial Narrow"/>
                <w:b/>
                <w:sz w:val="20"/>
                <w:szCs w:val="20"/>
                <w:lang w:eastAsia="en-US"/>
              </w:rPr>
              <w:t xml:space="preserve">Prescriber type: </w:t>
            </w:r>
          </w:p>
          <w:p w14:paraId="0E42D825" w14:textId="77777777" w:rsidR="00D57873" w:rsidRPr="00D57873" w:rsidRDefault="00D57873" w:rsidP="00D57873">
            <w:pPr>
              <w:keepLines/>
              <w:rPr>
                <w:rFonts w:ascii="Arial Narrow" w:eastAsia="Aptos" w:hAnsi="Arial Narrow"/>
                <w:b/>
                <w:sz w:val="20"/>
                <w:szCs w:val="20"/>
                <w:lang w:eastAsia="en-US"/>
              </w:rPr>
            </w:pPr>
            <w:r w:rsidRPr="00D57873">
              <w:rPr>
                <w:rFonts w:ascii="Arial Narrow" w:eastAsia="Aptos" w:hAnsi="Arial Narrow"/>
                <w:sz w:val="20"/>
                <w:szCs w:val="20"/>
                <w:lang w:eastAsia="en-US"/>
              </w:rPr>
              <w:fldChar w:fldCharType="begin">
                <w:ffData>
                  <w:name w:val=""/>
                  <w:enabled/>
                  <w:calcOnExit w:val="0"/>
                  <w:checkBox>
                    <w:sizeAuto/>
                    <w:default w:val="1"/>
                  </w:checkBox>
                </w:ffData>
              </w:fldChar>
            </w:r>
            <w:r w:rsidRPr="00D57873">
              <w:rPr>
                <w:rFonts w:ascii="Arial Narrow" w:eastAsia="Aptos" w:hAnsi="Arial Narrow"/>
                <w:sz w:val="20"/>
                <w:szCs w:val="20"/>
                <w:lang w:eastAsia="en-US"/>
              </w:rPr>
              <w:instrText xml:space="preserve"> FORMCHECKBOX </w:instrText>
            </w:r>
            <w:r w:rsidRPr="00D57873">
              <w:rPr>
                <w:rFonts w:ascii="Arial Narrow" w:eastAsia="Aptos" w:hAnsi="Arial Narrow"/>
                <w:sz w:val="20"/>
                <w:szCs w:val="20"/>
                <w:lang w:eastAsia="en-US"/>
              </w:rPr>
            </w:r>
            <w:r w:rsidRPr="00D57873">
              <w:rPr>
                <w:rFonts w:ascii="Arial Narrow" w:eastAsia="Aptos" w:hAnsi="Arial Narrow"/>
                <w:sz w:val="20"/>
                <w:szCs w:val="20"/>
                <w:lang w:eastAsia="en-US"/>
              </w:rPr>
              <w:fldChar w:fldCharType="separate"/>
            </w:r>
            <w:r w:rsidRPr="00D57873">
              <w:rPr>
                <w:rFonts w:ascii="Arial Narrow" w:eastAsia="Aptos" w:hAnsi="Arial Narrow"/>
                <w:sz w:val="20"/>
                <w:szCs w:val="20"/>
                <w:lang w:eastAsia="en-US"/>
              </w:rPr>
              <w:fldChar w:fldCharType="end"/>
            </w:r>
            <w:r w:rsidRPr="00D57873">
              <w:rPr>
                <w:rFonts w:ascii="Arial Narrow" w:eastAsia="Aptos" w:hAnsi="Arial Narrow"/>
                <w:sz w:val="20"/>
                <w:szCs w:val="20"/>
                <w:lang w:eastAsia="en-US"/>
              </w:rPr>
              <w:t xml:space="preserve">Medical Practitioners </w:t>
            </w:r>
          </w:p>
        </w:tc>
      </w:tr>
      <w:tr w:rsidR="00D57873" w:rsidRPr="00D57873" w14:paraId="0FD20472" w14:textId="77777777" w:rsidTr="00FF1E5C">
        <w:tblPrEx>
          <w:tblCellMar>
            <w:top w:w="15" w:type="dxa"/>
            <w:bottom w:w="15" w:type="dxa"/>
          </w:tblCellMar>
          <w:tblLook w:val="04A0" w:firstRow="1" w:lastRow="0" w:firstColumn="1" w:lastColumn="0" w:noHBand="0" w:noVBand="1"/>
        </w:tblPrEx>
        <w:trPr>
          <w:trHeight w:val="20"/>
        </w:trPr>
        <w:tc>
          <w:tcPr>
            <w:tcW w:w="1273" w:type="dxa"/>
            <w:gridSpan w:val="2"/>
            <w:vMerge/>
            <w:tcBorders>
              <w:left w:val="single" w:sz="4" w:space="0" w:color="auto"/>
              <w:right w:val="single" w:sz="4" w:space="0" w:color="auto"/>
            </w:tcBorders>
          </w:tcPr>
          <w:p w14:paraId="5C71CC8A" w14:textId="77777777" w:rsidR="00D57873" w:rsidRPr="00D57873" w:rsidRDefault="00D57873" w:rsidP="00D57873">
            <w:pPr>
              <w:rPr>
                <w:rFonts w:ascii="Arial Narrow" w:eastAsia="Aptos" w:hAnsi="Arial Narrow"/>
                <w:sz w:val="20"/>
                <w:szCs w:val="20"/>
                <w:lang w:eastAsia="en-US"/>
              </w:rPr>
            </w:pPr>
          </w:p>
        </w:tc>
        <w:tc>
          <w:tcPr>
            <w:tcW w:w="7746" w:type="dxa"/>
            <w:gridSpan w:val="7"/>
            <w:tcBorders>
              <w:top w:val="single" w:sz="4" w:space="0" w:color="auto"/>
              <w:left w:val="single" w:sz="4" w:space="0" w:color="auto"/>
              <w:bottom w:val="single" w:sz="4" w:space="0" w:color="auto"/>
              <w:right w:val="single" w:sz="4" w:space="0" w:color="auto"/>
            </w:tcBorders>
            <w:vAlign w:val="center"/>
          </w:tcPr>
          <w:p w14:paraId="14C0A6AC" w14:textId="77777777" w:rsidR="00D57873" w:rsidRPr="00D57873" w:rsidRDefault="00D57873" w:rsidP="00D57873">
            <w:pPr>
              <w:keepLines/>
              <w:jc w:val="left"/>
              <w:rPr>
                <w:rFonts w:ascii="Arial Narrow" w:eastAsia="Aptos" w:hAnsi="Arial Narrow"/>
                <w:b/>
                <w:sz w:val="20"/>
                <w:szCs w:val="20"/>
                <w:lang w:eastAsia="en-US"/>
              </w:rPr>
            </w:pPr>
            <w:r w:rsidRPr="00D57873">
              <w:rPr>
                <w:rFonts w:ascii="Arial Narrow" w:eastAsia="Aptos" w:hAnsi="Arial Narrow"/>
                <w:b/>
                <w:sz w:val="20"/>
                <w:szCs w:val="20"/>
                <w:lang w:eastAsia="en-US"/>
              </w:rPr>
              <w:t xml:space="preserve">Restriction type: </w:t>
            </w:r>
          </w:p>
          <w:p w14:paraId="3DC6D479" w14:textId="77777777" w:rsidR="00D57873" w:rsidRPr="00F2476E" w:rsidRDefault="00D57873" w:rsidP="00D57873">
            <w:pPr>
              <w:keepLines/>
              <w:jc w:val="left"/>
              <w:rPr>
                <w:rFonts w:ascii="Arial Narrow" w:eastAsia="Calibri" w:hAnsi="Arial Narrow"/>
                <w:sz w:val="20"/>
                <w:szCs w:val="20"/>
                <w:lang w:eastAsia="en-US"/>
              </w:rPr>
            </w:pPr>
            <w:r w:rsidRPr="00D57873">
              <w:rPr>
                <w:rFonts w:ascii="Arial Narrow" w:eastAsia="Calibri" w:hAnsi="Arial Narrow" w:cs="Times New Roman"/>
                <w:sz w:val="20"/>
                <w:szCs w:val="20"/>
                <w:lang w:eastAsia="en-US"/>
              </w:rPr>
              <w:fldChar w:fldCharType="begin">
                <w:ffData>
                  <w:name w:val="Check3"/>
                  <w:enabled/>
                  <w:calcOnExit w:val="0"/>
                  <w:checkBox>
                    <w:sizeAuto/>
                    <w:default w:val="1"/>
                  </w:checkBox>
                </w:ffData>
              </w:fldChar>
            </w:r>
            <w:r w:rsidRPr="00D57873">
              <w:rPr>
                <w:rFonts w:ascii="Arial Narrow" w:eastAsia="Calibri" w:hAnsi="Arial Narrow" w:cs="Times New Roman"/>
                <w:sz w:val="20"/>
                <w:szCs w:val="20"/>
                <w:lang w:eastAsia="en-US"/>
              </w:rPr>
              <w:instrText xml:space="preserve"> FORMCHECKBOX </w:instrText>
            </w:r>
            <w:r w:rsidRPr="00D57873">
              <w:rPr>
                <w:rFonts w:ascii="Arial Narrow" w:eastAsia="Calibri" w:hAnsi="Arial Narrow" w:cs="Times New Roman"/>
                <w:sz w:val="20"/>
                <w:szCs w:val="20"/>
                <w:lang w:eastAsia="en-US"/>
              </w:rPr>
            </w:r>
            <w:r w:rsidRPr="00D57873">
              <w:rPr>
                <w:rFonts w:ascii="Arial Narrow" w:eastAsia="Calibri" w:hAnsi="Arial Narrow" w:cs="Times New Roman"/>
                <w:sz w:val="20"/>
                <w:szCs w:val="20"/>
                <w:lang w:eastAsia="en-US"/>
              </w:rPr>
              <w:fldChar w:fldCharType="separate"/>
            </w:r>
            <w:r w:rsidRPr="00D57873">
              <w:rPr>
                <w:rFonts w:ascii="Arial Narrow" w:eastAsia="Calibri" w:hAnsi="Arial Narrow" w:cs="Times New Roman"/>
                <w:sz w:val="20"/>
                <w:szCs w:val="20"/>
                <w:lang w:eastAsia="en-US"/>
              </w:rPr>
              <w:fldChar w:fldCharType="end"/>
            </w:r>
            <w:r w:rsidRPr="00D57873">
              <w:rPr>
                <w:rFonts w:ascii="Arial Narrow" w:eastAsia="Calibri" w:hAnsi="Arial Narrow" w:cs="Times New Roman"/>
                <w:sz w:val="20"/>
                <w:szCs w:val="20"/>
                <w:lang w:eastAsia="en-US"/>
              </w:rPr>
              <w:t>Authority Required (telephone/online PBS Authorities system)</w:t>
            </w:r>
          </w:p>
        </w:tc>
      </w:tr>
      <w:tr w:rsidR="00D57873" w:rsidRPr="00D57873" w14:paraId="66BE0727" w14:textId="77777777" w:rsidTr="00FF1E5C">
        <w:tblPrEx>
          <w:tblCellMar>
            <w:top w:w="15" w:type="dxa"/>
            <w:bottom w:w="15" w:type="dxa"/>
          </w:tblCellMar>
          <w:tblLook w:val="04A0" w:firstRow="1" w:lastRow="0" w:firstColumn="1" w:lastColumn="0" w:noHBand="0" w:noVBand="1"/>
        </w:tblPrEx>
        <w:trPr>
          <w:trHeight w:val="20"/>
        </w:trPr>
        <w:tc>
          <w:tcPr>
            <w:tcW w:w="1273" w:type="dxa"/>
            <w:gridSpan w:val="2"/>
            <w:vMerge/>
            <w:tcBorders>
              <w:left w:val="single" w:sz="4" w:space="0" w:color="auto"/>
              <w:bottom w:val="single" w:sz="4" w:space="0" w:color="auto"/>
              <w:right w:val="single" w:sz="4" w:space="0" w:color="auto"/>
            </w:tcBorders>
          </w:tcPr>
          <w:p w14:paraId="07013EC4" w14:textId="77777777" w:rsidR="00D57873" w:rsidRPr="00D57873" w:rsidRDefault="00D57873" w:rsidP="00D57873">
            <w:pPr>
              <w:rPr>
                <w:rFonts w:ascii="Arial Narrow" w:eastAsia="Aptos" w:hAnsi="Arial Narrow"/>
                <w:sz w:val="20"/>
                <w:szCs w:val="20"/>
                <w:lang w:eastAsia="en-US"/>
              </w:rPr>
            </w:pPr>
          </w:p>
        </w:tc>
        <w:tc>
          <w:tcPr>
            <w:tcW w:w="7746" w:type="dxa"/>
            <w:gridSpan w:val="7"/>
            <w:tcBorders>
              <w:top w:val="single" w:sz="4" w:space="0" w:color="auto"/>
              <w:left w:val="single" w:sz="4" w:space="0" w:color="auto"/>
              <w:bottom w:val="single" w:sz="4" w:space="0" w:color="auto"/>
              <w:right w:val="single" w:sz="4" w:space="0" w:color="auto"/>
            </w:tcBorders>
            <w:vAlign w:val="center"/>
          </w:tcPr>
          <w:p w14:paraId="55D1A544" w14:textId="0B4DCD3A" w:rsidR="00D57873" w:rsidRPr="00F2476E" w:rsidRDefault="00D57873" w:rsidP="00D57873">
            <w:pPr>
              <w:keepLines/>
              <w:jc w:val="left"/>
              <w:rPr>
                <w:rFonts w:ascii="Arial Narrow" w:eastAsia="Aptos" w:hAnsi="Arial Narrow"/>
                <w:b/>
                <w:sz w:val="20"/>
                <w:szCs w:val="20"/>
                <w:lang w:eastAsia="en-US"/>
              </w:rPr>
            </w:pPr>
            <w:r w:rsidRPr="00D57873">
              <w:rPr>
                <w:rFonts w:ascii="Arial Narrow" w:eastAsia="Aptos" w:hAnsi="Arial Narrow"/>
                <w:b/>
                <w:sz w:val="20"/>
                <w:szCs w:val="20"/>
                <w:lang w:eastAsia="en-US"/>
              </w:rPr>
              <w:t xml:space="preserve">Authority type: </w:t>
            </w:r>
            <w:r w:rsidRPr="00D57873">
              <w:rPr>
                <w:rFonts w:ascii="Arial Narrow" w:eastAsia="Calibri" w:hAnsi="Arial Narrow"/>
                <w:sz w:val="20"/>
                <w:szCs w:val="20"/>
                <w:lang w:eastAsia="en-US"/>
              </w:rPr>
              <w:br/>
            </w:r>
            <w:r w:rsidRPr="00D57873">
              <w:rPr>
                <w:rFonts w:ascii="Arial Narrow" w:eastAsia="Calibri" w:hAnsi="Arial Narrow"/>
                <w:sz w:val="20"/>
                <w:szCs w:val="20"/>
                <w:lang w:eastAsia="en-US"/>
              </w:rPr>
              <w:fldChar w:fldCharType="begin">
                <w:ffData>
                  <w:name w:val="Check1"/>
                  <w:enabled/>
                  <w:calcOnExit w:val="0"/>
                  <w:checkBox>
                    <w:sizeAuto/>
                    <w:default w:val="1"/>
                  </w:checkBox>
                </w:ffData>
              </w:fldChar>
            </w:r>
            <w:r w:rsidRPr="00D57873">
              <w:rPr>
                <w:rFonts w:ascii="Arial Narrow" w:eastAsia="Calibri" w:hAnsi="Arial Narrow"/>
                <w:sz w:val="20"/>
                <w:szCs w:val="20"/>
                <w:lang w:eastAsia="en-US"/>
              </w:rPr>
              <w:instrText xml:space="preserve"> FORMCHECKBOX </w:instrText>
            </w:r>
            <w:r w:rsidRPr="00D57873">
              <w:rPr>
                <w:rFonts w:ascii="Arial Narrow" w:eastAsia="Calibri" w:hAnsi="Arial Narrow"/>
                <w:sz w:val="20"/>
                <w:szCs w:val="20"/>
                <w:lang w:eastAsia="en-US"/>
              </w:rPr>
            </w:r>
            <w:r w:rsidRPr="00D57873">
              <w:rPr>
                <w:rFonts w:ascii="Arial Narrow" w:eastAsia="Calibri" w:hAnsi="Arial Narrow"/>
                <w:sz w:val="20"/>
                <w:szCs w:val="20"/>
                <w:lang w:eastAsia="en-US"/>
              </w:rPr>
              <w:fldChar w:fldCharType="separate"/>
            </w:r>
            <w:r w:rsidRPr="00D57873">
              <w:rPr>
                <w:rFonts w:ascii="Arial Narrow" w:eastAsia="Calibri" w:hAnsi="Arial Narrow"/>
                <w:sz w:val="20"/>
                <w:szCs w:val="20"/>
                <w:lang w:eastAsia="en-US"/>
              </w:rPr>
              <w:fldChar w:fldCharType="end"/>
            </w:r>
            <w:r w:rsidRPr="00D57873">
              <w:rPr>
                <w:rFonts w:ascii="Arial Narrow" w:eastAsia="Calibri" w:hAnsi="Arial Narrow"/>
                <w:sz w:val="20"/>
                <w:szCs w:val="20"/>
                <w:lang w:eastAsia="en-US"/>
              </w:rPr>
              <w:t xml:space="preserve"> Non</w:t>
            </w:r>
            <w:r w:rsidR="00FF1914">
              <w:rPr>
                <w:rFonts w:ascii="Arial Narrow" w:eastAsia="Calibri" w:hAnsi="Arial Narrow"/>
                <w:sz w:val="20"/>
                <w:szCs w:val="20"/>
                <w:lang w:eastAsia="en-US"/>
              </w:rPr>
              <w:noBreakHyphen/>
            </w:r>
            <w:r w:rsidRPr="00D57873">
              <w:rPr>
                <w:rFonts w:ascii="Arial Narrow" w:eastAsia="Calibri" w:hAnsi="Arial Narrow"/>
                <w:sz w:val="20"/>
                <w:szCs w:val="20"/>
                <w:lang w:eastAsia="en-US"/>
              </w:rPr>
              <w:t>complex Authority Required (non</w:t>
            </w:r>
            <w:r w:rsidR="00FF1914">
              <w:rPr>
                <w:rFonts w:ascii="Arial Narrow" w:eastAsia="Calibri" w:hAnsi="Arial Narrow"/>
                <w:sz w:val="20"/>
                <w:szCs w:val="20"/>
                <w:lang w:eastAsia="en-US"/>
              </w:rPr>
              <w:noBreakHyphen/>
            </w:r>
            <w:r w:rsidRPr="00D57873">
              <w:rPr>
                <w:rFonts w:ascii="Arial Narrow" w:eastAsia="Calibri" w:hAnsi="Arial Narrow"/>
                <w:sz w:val="20"/>
                <w:szCs w:val="20"/>
                <w:lang w:eastAsia="en-US"/>
              </w:rPr>
              <w:t>CAR)</w:t>
            </w:r>
          </w:p>
        </w:tc>
      </w:tr>
      <w:tr w:rsidR="00D57873" w:rsidRPr="00D57873" w14:paraId="33E5FE73" w14:textId="77777777" w:rsidTr="00FF1E5C">
        <w:tblPrEx>
          <w:tblCellMar>
            <w:top w:w="15" w:type="dxa"/>
            <w:bottom w:w="15" w:type="dxa"/>
          </w:tblCellMar>
          <w:tblLook w:val="04A0" w:firstRow="1" w:lastRow="0" w:firstColumn="1" w:lastColumn="0" w:noHBand="0" w:noVBand="1"/>
        </w:tblPrEx>
        <w:trPr>
          <w:trHeight w:val="20"/>
        </w:trPr>
        <w:tc>
          <w:tcPr>
            <w:tcW w:w="564" w:type="dxa"/>
            <w:vMerge w:val="restart"/>
            <w:textDirection w:val="btLr"/>
            <w:vAlign w:val="center"/>
          </w:tcPr>
          <w:p w14:paraId="23256120" w14:textId="77777777" w:rsidR="00D57873" w:rsidRPr="00D57873" w:rsidRDefault="00D57873" w:rsidP="00D57873">
            <w:pPr>
              <w:keepLines/>
              <w:spacing w:after="160" w:line="259" w:lineRule="auto"/>
              <w:ind w:right="113"/>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Prescribing rule level</w:t>
            </w:r>
          </w:p>
        </w:tc>
        <w:tc>
          <w:tcPr>
            <w:tcW w:w="850" w:type="dxa"/>
            <w:gridSpan w:val="2"/>
            <w:vAlign w:val="center"/>
          </w:tcPr>
          <w:p w14:paraId="6C0BC910" w14:textId="3954230F" w:rsidR="00D57873" w:rsidRPr="00D57873" w:rsidRDefault="00D57873" w:rsidP="00D57873">
            <w:pPr>
              <w:keepLines/>
              <w:ind w:hanging="35"/>
              <w:contextualSpacing/>
              <w:jc w:val="center"/>
              <w:rPr>
                <w:rFonts w:ascii="Arial Narrow" w:eastAsia="Aptos" w:hAnsi="Arial Narrow" w:cs="Times New Roman"/>
                <w:sz w:val="20"/>
                <w:szCs w:val="20"/>
                <w:lang w:eastAsia="en-US"/>
              </w:rPr>
            </w:pPr>
          </w:p>
        </w:tc>
        <w:tc>
          <w:tcPr>
            <w:tcW w:w="7605" w:type="dxa"/>
            <w:gridSpan w:val="6"/>
            <w:vAlign w:val="center"/>
          </w:tcPr>
          <w:p w14:paraId="1B2D4CBF" w14:textId="77777777" w:rsidR="00D57873" w:rsidRPr="00D57873" w:rsidRDefault="00D57873" w:rsidP="00D57873">
            <w:pPr>
              <w:keepLines/>
              <w:contextualSpacing/>
              <w:jc w:val="left"/>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 xml:space="preserve">Administrative Advice: </w:t>
            </w:r>
            <w:r w:rsidRPr="00D57873">
              <w:rPr>
                <w:rFonts w:ascii="Arial Narrow" w:eastAsia="Aptos" w:hAnsi="Arial Narrow" w:cs="Times New Roman"/>
                <w:bCs/>
                <w:sz w:val="20"/>
                <w:szCs w:val="20"/>
                <w:lang w:eastAsia="en-US"/>
              </w:rPr>
              <w:t>No increase in the maximum quantity or number of units may be authorised.</w:t>
            </w:r>
          </w:p>
        </w:tc>
      </w:tr>
      <w:tr w:rsidR="00D57873" w:rsidRPr="00D57873" w14:paraId="66F638DF" w14:textId="77777777" w:rsidTr="00FF1E5C">
        <w:tblPrEx>
          <w:tblCellMar>
            <w:top w:w="15" w:type="dxa"/>
            <w:bottom w:w="15" w:type="dxa"/>
          </w:tblCellMar>
          <w:tblLook w:val="04A0" w:firstRow="1" w:lastRow="0" w:firstColumn="1" w:lastColumn="0" w:noHBand="0" w:noVBand="1"/>
        </w:tblPrEx>
        <w:trPr>
          <w:trHeight w:val="20"/>
        </w:trPr>
        <w:tc>
          <w:tcPr>
            <w:tcW w:w="564" w:type="dxa"/>
            <w:vMerge/>
            <w:vAlign w:val="center"/>
          </w:tcPr>
          <w:p w14:paraId="195F4B0F"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p>
        </w:tc>
        <w:tc>
          <w:tcPr>
            <w:tcW w:w="850" w:type="dxa"/>
            <w:gridSpan w:val="2"/>
            <w:vAlign w:val="center"/>
          </w:tcPr>
          <w:p w14:paraId="77CF4AA6" w14:textId="1B22E95D" w:rsidR="00D57873" w:rsidRPr="00D57873" w:rsidRDefault="00D57873" w:rsidP="00D57873">
            <w:pPr>
              <w:keepLines/>
              <w:ind w:hanging="35"/>
              <w:contextualSpacing/>
              <w:jc w:val="center"/>
              <w:rPr>
                <w:rFonts w:ascii="Arial Narrow" w:eastAsia="Aptos" w:hAnsi="Arial Narrow" w:cs="Times New Roman"/>
                <w:sz w:val="20"/>
                <w:szCs w:val="20"/>
                <w:lang w:eastAsia="en-US"/>
              </w:rPr>
            </w:pPr>
          </w:p>
        </w:tc>
        <w:tc>
          <w:tcPr>
            <w:tcW w:w="7605" w:type="dxa"/>
            <w:gridSpan w:val="6"/>
            <w:vAlign w:val="center"/>
          </w:tcPr>
          <w:p w14:paraId="666FB817" w14:textId="77777777" w:rsidR="00D57873" w:rsidRPr="00D57873" w:rsidRDefault="00D57873" w:rsidP="00D57873">
            <w:pPr>
              <w:keepLines/>
              <w:contextualSpacing/>
              <w:jc w:val="left"/>
              <w:rPr>
                <w:rFonts w:ascii="Arial Narrow" w:eastAsia="Aptos" w:hAnsi="Arial Narrow" w:cs="Times New Roman"/>
                <w:b/>
                <w:bCs/>
                <w:sz w:val="20"/>
                <w:szCs w:val="20"/>
                <w:lang w:eastAsia="en-US"/>
              </w:rPr>
            </w:pPr>
            <w:r w:rsidRPr="00D57873">
              <w:rPr>
                <w:rFonts w:ascii="Arial Narrow" w:eastAsia="Aptos" w:hAnsi="Arial Narrow" w:cs="Times New Roman"/>
                <w:b/>
                <w:bCs/>
                <w:sz w:val="20"/>
                <w:szCs w:val="20"/>
                <w:lang w:eastAsia="en-US"/>
              </w:rPr>
              <w:t xml:space="preserve">Administrative Advice: </w:t>
            </w:r>
            <w:r w:rsidRPr="00D57873">
              <w:rPr>
                <w:rFonts w:ascii="Arial Narrow" w:eastAsia="Aptos" w:hAnsi="Arial Narrow" w:cs="Times New Roman"/>
                <w:bCs/>
                <w:sz w:val="20"/>
                <w:szCs w:val="20"/>
                <w:lang w:eastAsia="en-US"/>
              </w:rPr>
              <w:t>No increase in the maximum number of repeats may be authorised.</w:t>
            </w:r>
          </w:p>
        </w:tc>
      </w:tr>
      <w:tr w:rsidR="00D57873" w:rsidRPr="00D57873" w14:paraId="44EB7812" w14:textId="77777777" w:rsidTr="00FF1E5C">
        <w:tblPrEx>
          <w:tblCellMar>
            <w:top w:w="15" w:type="dxa"/>
            <w:bottom w:w="15" w:type="dxa"/>
          </w:tblCellMar>
          <w:tblLook w:val="04A0" w:firstRow="1" w:lastRow="0" w:firstColumn="1" w:lastColumn="0" w:noHBand="0" w:noVBand="1"/>
        </w:tblPrEx>
        <w:trPr>
          <w:trHeight w:val="930"/>
        </w:trPr>
        <w:tc>
          <w:tcPr>
            <w:tcW w:w="564" w:type="dxa"/>
            <w:vMerge/>
            <w:vAlign w:val="center"/>
          </w:tcPr>
          <w:p w14:paraId="0EF0C025" w14:textId="77777777" w:rsidR="00D57873" w:rsidRPr="00D57873" w:rsidRDefault="00D57873" w:rsidP="00D57873">
            <w:pPr>
              <w:keepLines/>
              <w:spacing w:after="160" w:line="259" w:lineRule="auto"/>
              <w:jc w:val="center"/>
              <w:rPr>
                <w:rFonts w:ascii="Arial Narrow" w:eastAsia="Aptos" w:hAnsi="Arial Narrow" w:cs="Times New Roman"/>
                <w:sz w:val="20"/>
                <w:szCs w:val="20"/>
                <w:lang w:eastAsia="en-US"/>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5080BF4" w14:textId="77777777" w:rsidR="00D57873" w:rsidRPr="00D57873" w:rsidRDefault="00D57873" w:rsidP="00D57873">
            <w:pPr>
              <w:contextualSpacing/>
              <w:jc w:val="center"/>
              <w:textAlignment w:val="baseline"/>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 </w:t>
            </w:r>
          </w:p>
          <w:p w14:paraId="60BF788A" w14:textId="77777777" w:rsidR="00D57873" w:rsidRPr="00D57873" w:rsidRDefault="00D57873" w:rsidP="00D57873">
            <w:pPr>
              <w:contextualSpacing/>
              <w:jc w:val="center"/>
              <w:textAlignment w:val="baseline"/>
              <w:rPr>
                <w:rFonts w:ascii="Arial Narrow" w:eastAsia="Aptos" w:hAnsi="Arial Narrow" w:cs="Times New Roman"/>
                <w:sz w:val="20"/>
                <w:szCs w:val="20"/>
                <w:lang w:eastAsia="en-US"/>
              </w:rPr>
            </w:pPr>
          </w:p>
          <w:p w14:paraId="2C802B5D" w14:textId="255F6110" w:rsidR="00D57873" w:rsidRPr="00D57873" w:rsidRDefault="00D57873" w:rsidP="00D57873">
            <w:pPr>
              <w:contextualSpacing/>
              <w:jc w:val="center"/>
              <w:textAlignment w:val="baseline"/>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 </w:t>
            </w:r>
          </w:p>
          <w:p w14:paraId="4C0C5179" w14:textId="77777777" w:rsidR="00D57873" w:rsidRPr="00D57873" w:rsidRDefault="00D57873" w:rsidP="00D57873">
            <w:pPr>
              <w:keepLines/>
              <w:ind w:hanging="35"/>
              <w:contextualSpacing/>
              <w:jc w:val="center"/>
              <w:rPr>
                <w:rFonts w:ascii="Arial Narrow" w:eastAsia="Aptos" w:hAnsi="Arial Narrow" w:cs="Times New Roman"/>
                <w:sz w:val="20"/>
                <w:szCs w:val="20"/>
                <w:lang w:eastAsia="en-US"/>
              </w:rPr>
            </w:pPr>
            <w:r w:rsidRPr="00D57873">
              <w:rPr>
                <w:rFonts w:ascii="Arial Narrow" w:eastAsia="Aptos" w:hAnsi="Arial Narrow" w:cs="Times New Roman"/>
                <w:sz w:val="20"/>
                <w:szCs w:val="20"/>
                <w:lang w:eastAsia="en-US"/>
              </w:rPr>
              <w:t> </w:t>
            </w:r>
          </w:p>
        </w:tc>
        <w:tc>
          <w:tcPr>
            <w:tcW w:w="7605" w:type="dxa"/>
            <w:gridSpan w:val="6"/>
            <w:tcBorders>
              <w:top w:val="single" w:sz="6" w:space="0" w:color="auto"/>
              <w:left w:val="single" w:sz="6" w:space="0" w:color="auto"/>
              <w:bottom w:val="single" w:sz="6" w:space="0" w:color="auto"/>
              <w:right w:val="single" w:sz="6" w:space="0" w:color="auto"/>
            </w:tcBorders>
            <w:vAlign w:val="center"/>
          </w:tcPr>
          <w:p w14:paraId="0F9E5BC3" w14:textId="7F30367D" w:rsidR="00D57873" w:rsidRPr="00D57873" w:rsidRDefault="00D57873" w:rsidP="00D57873">
            <w:pPr>
              <w:contextualSpacing/>
              <w:jc w:val="left"/>
              <w:textAlignment w:val="baseline"/>
              <w:rPr>
                <w:rFonts w:ascii="Arial Narrow" w:eastAsia="Aptos" w:hAnsi="Arial Narrow" w:cs="Times New Roman"/>
                <w:sz w:val="20"/>
                <w:szCs w:val="20"/>
                <w:lang w:eastAsia="en-US"/>
              </w:rPr>
            </w:pPr>
            <w:r w:rsidRPr="00D57873">
              <w:rPr>
                <w:rFonts w:ascii="Arial Narrow" w:eastAsia="Aptos" w:hAnsi="Arial Narrow" w:cs="Times New Roman"/>
                <w:b/>
                <w:bCs/>
                <w:sz w:val="20"/>
                <w:szCs w:val="20"/>
                <w:lang w:eastAsia="en-US"/>
              </w:rPr>
              <w:t>Administrative Advice:</w:t>
            </w:r>
          </w:p>
          <w:p w14:paraId="49330249" w14:textId="77777777" w:rsidR="00D57873" w:rsidRPr="00D57873" w:rsidRDefault="00D57873" w:rsidP="00D57873">
            <w:pPr>
              <w:keepLines/>
              <w:contextualSpacing/>
              <w:jc w:val="left"/>
              <w:rPr>
                <w:rFonts w:ascii="Arial Narrow" w:eastAsia="Aptos" w:hAnsi="Arial Narrow" w:cs="Times New Roman"/>
                <w:b/>
                <w:bCs/>
                <w:sz w:val="20"/>
                <w:szCs w:val="20"/>
                <w:lang w:eastAsia="en-US"/>
              </w:rPr>
            </w:pPr>
            <w:r w:rsidRPr="00D57873">
              <w:rPr>
                <w:rFonts w:ascii="Arial Narrow" w:eastAsia="Aptos" w:hAnsi="Arial Narrow" w:cs="Times New Roman"/>
                <w:bCs/>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D57873" w:rsidRPr="00D57873" w14:paraId="3AFF8F0A" w14:textId="77777777" w:rsidTr="00FF1E5C">
        <w:tblPrEx>
          <w:tblCellMar>
            <w:top w:w="15" w:type="dxa"/>
            <w:bottom w:w="15" w:type="dxa"/>
          </w:tblCellMar>
          <w:tblLook w:val="04A0" w:firstRow="1" w:lastRow="0" w:firstColumn="1" w:lastColumn="0" w:noHBand="0" w:noVBand="1"/>
        </w:tblPrEx>
        <w:trPr>
          <w:trHeight w:val="20"/>
        </w:trPr>
        <w:tc>
          <w:tcPr>
            <w:tcW w:w="9019" w:type="dxa"/>
            <w:gridSpan w:val="9"/>
            <w:tcBorders>
              <w:right w:val="single" w:sz="6" w:space="0" w:color="auto"/>
            </w:tcBorders>
            <w:vAlign w:val="center"/>
          </w:tcPr>
          <w:p w14:paraId="186A244E" w14:textId="77777777" w:rsidR="00D57873" w:rsidRPr="00F2476E" w:rsidRDefault="00D57873" w:rsidP="00D57873">
            <w:pPr>
              <w:contextualSpacing/>
              <w:jc w:val="left"/>
              <w:textAlignment w:val="baseline"/>
              <w:rPr>
                <w:rFonts w:ascii="Arial Narrow" w:eastAsia="Aptos" w:hAnsi="Arial Narrow" w:cs="Times New Roman"/>
                <w:b/>
                <w:sz w:val="20"/>
                <w:szCs w:val="20"/>
                <w:lang w:eastAsia="en-US"/>
              </w:rPr>
            </w:pPr>
          </w:p>
        </w:tc>
      </w:tr>
      <w:tr w:rsidR="00D57873" w:rsidRPr="00D57873" w14:paraId="4152694B" w14:textId="77777777" w:rsidTr="00FF1E5C">
        <w:tblPrEx>
          <w:tblCellMar>
            <w:top w:w="15" w:type="dxa"/>
            <w:bottom w:w="15" w:type="dxa"/>
          </w:tblCellMar>
          <w:tblLook w:val="04A0" w:firstRow="1" w:lastRow="0" w:firstColumn="1" w:lastColumn="0" w:noHBand="0" w:noVBand="1"/>
        </w:tblPrEx>
        <w:trPr>
          <w:cantSplit/>
          <w:trHeight w:val="20"/>
        </w:trPr>
        <w:tc>
          <w:tcPr>
            <w:tcW w:w="9019" w:type="dxa"/>
            <w:gridSpan w:val="9"/>
            <w:shd w:val="clear" w:color="auto" w:fill="A6A6A6"/>
            <w:vAlign w:val="center"/>
          </w:tcPr>
          <w:p w14:paraId="791F5024" w14:textId="77777777" w:rsidR="00D57873" w:rsidRPr="00D57873" w:rsidRDefault="00D57873" w:rsidP="00D57873">
            <w:pPr>
              <w:keepLines/>
              <w:spacing w:after="160" w:line="259" w:lineRule="auto"/>
              <w:jc w:val="left"/>
              <w:rPr>
                <w:rFonts w:ascii="Arial Narrow" w:eastAsia="Aptos" w:hAnsi="Arial Narrow" w:cs="Times New Roman"/>
                <w:b/>
                <w:bCs/>
                <w:sz w:val="20"/>
                <w:szCs w:val="20"/>
                <w:lang w:eastAsia="en-US"/>
              </w:rPr>
            </w:pPr>
            <w:r w:rsidRPr="00D57873">
              <w:rPr>
                <w:rFonts w:ascii="Arial Narrow" w:eastAsia="Aptos" w:hAnsi="Arial Narrow" w:cs="Times New Roman"/>
                <w:b/>
                <w:sz w:val="20"/>
                <w:szCs w:val="20"/>
                <w:lang w:eastAsia="en-US"/>
              </w:rPr>
              <w:t>Restriction Summary [new] 3 / Treatment of Concept: [new] 3A</w:t>
            </w:r>
          </w:p>
        </w:tc>
      </w:tr>
      <w:tr w:rsidR="00D57873" w:rsidRPr="00D57873" w14:paraId="71560F74"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119E3199" w14:textId="77777777" w:rsidR="00D57873" w:rsidRPr="00D57873" w:rsidRDefault="00D57873" w:rsidP="00D57873">
            <w:pPr>
              <w:jc w:val="center"/>
              <w:rPr>
                <w:rFonts w:ascii="Arial Narrow" w:hAnsi="Arial Narrow"/>
                <w:sz w:val="20"/>
                <w:szCs w:val="20"/>
              </w:rPr>
            </w:pPr>
          </w:p>
        </w:tc>
        <w:tc>
          <w:tcPr>
            <w:tcW w:w="7746" w:type="dxa"/>
            <w:gridSpan w:val="7"/>
            <w:vAlign w:val="center"/>
          </w:tcPr>
          <w:p w14:paraId="7CE17BC4" w14:textId="77777777" w:rsidR="00D57873" w:rsidRPr="00D57873" w:rsidRDefault="00D57873" w:rsidP="00D57873">
            <w:pPr>
              <w:rPr>
                <w:rFonts w:ascii="Arial Narrow" w:hAnsi="Arial Narrow"/>
                <w:b/>
                <w:bCs/>
                <w:sz w:val="20"/>
                <w:szCs w:val="20"/>
              </w:rPr>
            </w:pPr>
            <w:r w:rsidRPr="00D57873">
              <w:rPr>
                <w:rFonts w:ascii="Arial Narrow" w:hAnsi="Arial Narrow"/>
                <w:b/>
                <w:bCs/>
                <w:sz w:val="20"/>
                <w:szCs w:val="20"/>
              </w:rPr>
              <w:t>Indication:</w:t>
            </w:r>
            <w:r w:rsidRPr="00D57873">
              <w:rPr>
                <w:rFonts w:ascii="Arial Narrow" w:hAnsi="Arial Narrow"/>
                <w:sz w:val="20"/>
                <w:szCs w:val="20"/>
              </w:rPr>
              <w:t xml:space="preserve"> Lupus nephritis</w:t>
            </w:r>
          </w:p>
        </w:tc>
      </w:tr>
      <w:tr w:rsidR="00D57873" w:rsidRPr="00D57873" w14:paraId="244A703C"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D9BBBB9"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2A7D4EF2"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Treatment Phase:</w:t>
            </w:r>
            <w:r w:rsidRPr="00D57873">
              <w:rPr>
                <w:rFonts w:ascii="Arial Narrow" w:hAnsi="Arial Narrow"/>
                <w:sz w:val="20"/>
                <w:szCs w:val="20"/>
              </w:rPr>
              <w:t xml:space="preserve"> </w:t>
            </w:r>
            <w:r w:rsidRPr="00F2476E">
              <w:rPr>
                <w:rFonts w:ascii="Arial Narrow" w:hAnsi="Arial Narrow"/>
                <w:sz w:val="20"/>
                <w:szCs w:val="20"/>
              </w:rPr>
              <w:t xml:space="preserve">Subsequent </w:t>
            </w:r>
            <w:r w:rsidRPr="00D57873">
              <w:rPr>
                <w:rFonts w:ascii="Arial Narrow" w:hAnsi="Arial Narrow"/>
                <w:sz w:val="20"/>
                <w:szCs w:val="20"/>
              </w:rPr>
              <w:t>Continuing treatment</w:t>
            </w:r>
          </w:p>
        </w:tc>
      </w:tr>
      <w:tr w:rsidR="00D57873" w:rsidRPr="00D57873" w14:paraId="0F208CD8"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6C06ADD"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2ED07B8D"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 xml:space="preserve">Clinical criteria: </w:t>
            </w:r>
          </w:p>
        </w:tc>
      </w:tr>
      <w:tr w:rsidR="00D57873" w:rsidRPr="00D57873" w14:paraId="0B9ADEEA"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EC7EBEB"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06B29215" w14:textId="6402A073" w:rsidR="00D57873" w:rsidRPr="00D57873" w:rsidRDefault="00D57873" w:rsidP="00D57873">
            <w:pPr>
              <w:rPr>
                <w:rFonts w:ascii="Arial Narrow" w:hAnsi="Arial Narrow"/>
                <w:sz w:val="20"/>
                <w:szCs w:val="20"/>
              </w:rPr>
            </w:pPr>
            <w:r w:rsidRPr="00F2476E">
              <w:rPr>
                <w:rFonts w:ascii="Arial Narrow" w:hAnsi="Arial Narrow"/>
                <w:sz w:val="20"/>
                <w:szCs w:val="20"/>
              </w:rPr>
              <w:t>Patient must have previously received PBS</w:t>
            </w:r>
            <w:r w:rsidR="00FF1914">
              <w:rPr>
                <w:rFonts w:ascii="Arial Narrow" w:hAnsi="Arial Narrow"/>
                <w:sz w:val="20"/>
                <w:szCs w:val="20"/>
              </w:rPr>
              <w:noBreakHyphen/>
            </w:r>
            <w:r w:rsidRPr="00F2476E">
              <w:rPr>
                <w:rFonts w:ascii="Arial Narrow" w:hAnsi="Arial Narrow"/>
                <w:sz w:val="20"/>
                <w:szCs w:val="20"/>
              </w:rPr>
              <w:t xml:space="preserve">subsidised treatment with this drug for this condition </w:t>
            </w:r>
            <w:r w:rsidR="00FF1E5C" w:rsidRPr="00F2476E">
              <w:rPr>
                <w:rFonts w:ascii="Arial Narrow" w:hAnsi="Arial Narrow"/>
                <w:sz w:val="20"/>
                <w:szCs w:val="20"/>
              </w:rPr>
              <w:t>under the first continuing treatment restriction</w:t>
            </w:r>
          </w:p>
        </w:tc>
      </w:tr>
      <w:tr w:rsidR="00D57873" w:rsidRPr="00D57873" w14:paraId="1E685815"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43CB484E"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68A1B34C"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AND</w:t>
            </w:r>
          </w:p>
        </w:tc>
      </w:tr>
      <w:tr w:rsidR="00D57873" w:rsidRPr="00D57873" w14:paraId="12937EF9"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2407DF91"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5D189185"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Clinical criteria:</w:t>
            </w:r>
          </w:p>
        </w:tc>
      </w:tr>
      <w:tr w:rsidR="00D57873" w:rsidRPr="00D57873" w14:paraId="2F6D07C8"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3F7AE043"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7C2841B0" w14:textId="746E795C" w:rsidR="00D57873" w:rsidRPr="00F2476E" w:rsidRDefault="00697F16" w:rsidP="00D57873">
            <w:pPr>
              <w:rPr>
                <w:rFonts w:ascii="Arial Narrow" w:hAnsi="Arial Narrow"/>
                <w:sz w:val="20"/>
                <w:szCs w:val="20"/>
              </w:rPr>
            </w:pPr>
            <w:r w:rsidRPr="00F2476E">
              <w:rPr>
                <w:rFonts w:ascii="Arial Narrow" w:hAnsi="Arial Narrow"/>
                <w:sz w:val="20"/>
                <w:szCs w:val="20"/>
                <w:lang w:val="en-GB"/>
              </w:rPr>
              <w:t xml:space="preserve">Patient must not have </w:t>
            </w:r>
            <w:r w:rsidR="00BC01C3" w:rsidRPr="00F2476E">
              <w:rPr>
                <w:rFonts w:ascii="Arial Narrow" w:hAnsi="Arial Narrow"/>
                <w:sz w:val="20"/>
                <w:szCs w:val="20"/>
                <w:lang w:val="en-GB"/>
              </w:rPr>
              <w:t xml:space="preserve">demonstrated </w:t>
            </w:r>
            <w:r w:rsidRPr="00F2476E">
              <w:rPr>
                <w:rFonts w:ascii="Arial Narrow" w:hAnsi="Arial Narrow"/>
                <w:sz w:val="20"/>
                <w:szCs w:val="20"/>
                <w:lang w:val="en-GB"/>
              </w:rPr>
              <w:t xml:space="preserve">evidence of clinically significant worsening of the condition, </w:t>
            </w:r>
            <w:r w:rsidR="00FF1E5C" w:rsidRPr="00F2476E">
              <w:rPr>
                <w:rFonts w:ascii="Arial Narrow" w:hAnsi="Arial Narrow"/>
                <w:sz w:val="20"/>
                <w:szCs w:val="20"/>
                <w:lang w:val="en-GB"/>
              </w:rPr>
              <w:t xml:space="preserve">confirmed </w:t>
            </w:r>
            <w:r w:rsidRPr="00F2476E">
              <w:rPr>
                <w:rFonts w:ascii="Arial Narrow" w:hAnsi="Arial Narrow"/>
                <w:sz w:val="20"/>
                <w:szCs w:val="20"/>
                <w:lang w:val="en-GB"/>
              </w:rPr>
              <w:t>by either (i) an increase in urinary protein</w:t>
            </w:r>
            <w:r w:rsidR="00FF1914">
              <w:rPr>
                <w:rFonts w:ascii="Arial Narrow" w:hAnsi="Arial Narrow"/>
                <w:sz w:val="20"/>
                <w:szCs w:val="20"/>
                <w:lang w:val="en-GB"/>
              </w:rPr>
              <w:noBreakHyphen/>
            </w:r>
            <w:r w:rsidRPr="00F2476E">
              <w:rPr>
                <w:rFonts w:ascii="Arial Narrow" w:hAnsi="Arial Narrow"/>
                <w:sz w:val="20"/>
                <w:szCs w:val="20"/>
                <w:lang w:val="en-GB"/>
              </w:rPr>
              <w:t>to</w:t>
            </w:r>
            <w:r w:rsidR="00FF1914">
              <w:rPr>
                <w:rFonts w:ascii="Arial Narrow" w:hAnsi="Arial Narrow"/>
                <w:sz w:val="20"/>
                <w:szCs w:val="20"/>
                <w:lang w:val="en-GB"/>
              </w:rPr>
              <w:noBreakHyphen/>
            </w:r>
            <w:r w:rsidRPr="00F2476E">
              <w:rPr>
                <w:rFonts w:ascii="Arial Narrow" w:hAnsi="Arial Narrow"/>
                <w:sz w:val="20"/>
                <w:szCs w:val="20"/>
                <w:lang w:val="en-GB"/>
              </w:rPr>
              <w:t>creatinine ratio (UPCR) or (ii) a reduction in estimated glomerular filtration rate (eGFR)</w:t>
            </w:r>
            <w:r w:rsidR="00FF1E5C" w:rsidRPr="00F2476E">
              <w:rPr>
                <w:rFonts w:ascii="Arial Narrow" w:hAnsi="Arial Narrow"/>
                <w:sz w:val="20"/>
                <w:szCs w:val="20"/>
                <w:lang w:val="en-GB"/>
              </w:rPr>
              <w:t>,</w:t>
            </w:r>
            <w:r w:rsidRPr="00F2476E">
              <w:rPr>
                <w:rFonts w:ascii="Arial Narrow" w:hAnsi="Arial Narrow"/>
                <w:sz w:val="20"/>
                <w:szCs w:val="20"/>
                <w:lang w:val="en-GB"/>
              </w:rPr>
              <w:t xml:space="preserve"> from baseline</w:t>
            </w:r>
            <w:r w:rsidR="00FF1E5C" w:rsidRPr="00F2476E">
              <w:rPr>
                <w:rFonts w:ascii="Arial Narrow" w:hAnsi="Arial Narrow"/>
                <w:sz w:val="20"/>
                <w:szCs w:val="20"/>
                <w:lang w:val="en-GB"/>
              </w:rPr>
              <w:t xml:space="preserve"> values,</w:t>
            </w:r>
            <w:r w:rsidRPr="00F2476E">
              <w:rPr>
                <w:rFonts w:ascii="Arial Narrow" w:hAnsi="Arial Narrow"/>
                <w:sz w:val="20"/>
                <w:szCs w:val="20"/>
                <w:lang w:val="en-GB"/>
              </w:rPr>
              <w:t xml:space="preserve"> due to persisting active class III or IV lupus nephritis based on 2 measurements</w:t>
            </w:r>
            <w:r w:rsidR="00FF1E5C" w:rsidRPr="00F2476E">
              <w:rPr>
                <w:rFonts w:ascii="Arial Narrow" w:hAnsi="Arial Narrow"/>
                <w:sz w:val="20"/>
                <w:szCs w:val="20"/>
                <w:lang w:val="en-GB"/>
              </w:rPr>
              <w:t>,</w:t>
            </w:r>
            <w:r w:rsidRPr="00F2476E">
              <w:rPr>
                <w:rFonts w:ascii="Arial Narrow" w:hAnsi="Arial Narrow"/>
                <w:sz w:val="20"/>
                <w:szCs w:val="20"/>
                <w:lang w:val="en-GB"/>
              </w:rPr>
              <w:t xml:space="preserve"> </w:t>
            </w:r>
            <w:r w:rsidR="00FF1E5C" w:rsidRPr="00F2476E">
              <w:rPr>
                <w:rFonts w:ascii="Arial Narrow" w:hAnsi="Arial Narrow"/>
                <w:sz w:val="20"/>
                <w:szCs w:val="20"/>
                <w:lang w:val="en-GB"/>
              </w:rPr>
              <w:t xml:space="preserve">taken </w:t>
            </w:r>
            <w:r w:rsidRPr="00F2476E">
              <w:rPr>
                <w:rFonts w:ascii="Arial Narrow" w:hAnsi="Arial Narrow"/>
                <w:sz w:val="20"/>
                <w:szCs w:val="20"/>
                <w:lang w:val="en-GB"/>
              </w:rPr>
              <w:t>3 months apart.</w:t>
            </w:r>
          </w:p>
        </w:tc>
      </w:tr>
      <w:tr w:rsidR="00D57873" w:rsidRPr="00D57873" w14:paraId="005933FE"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4D04D77" w14:textId="77777777" w:rsidR="00D57873" w:rsidRPr="00D57873" w:rsidRDefault="00D57873" w:rsidP="00D57873">
            <w:pPr>
              <w:jc w:val="center"/>
              <w:rPr>
                <w:rFonts w:ascii="Arial Narrow" w:hAnsi="Arial Narrow"/>
                <w:sz w:val="20"/>
                <w:szCs w:val="20"/>
              </w:rPr>
            </w:pPr>
          </w:p>
        </w:tc>
        <w:tc>
          <w:tcPr>
            <w:tcW w:w="7746" w:type="dxa"/>
            <w:gridSpan w:val="7"/>
            <w:vAlign w:val="center"/>
          </w:tcPr>
          <w:p w14:paraId="46387E7C" w14:textId="77777777" w:rsidR="00D57873" w:rsidRPr="00F2476E" w:rsidRDefault="00D57873" w:rsidP="00D57873">
            <w:pPr>
              <w:rPr>
                <w:rFonts w:ascii="Arial Narrow" w:hAnsi="Arial Narrow"/>
                <w:sz w:val="20"/>
                <w:szCs w:val="20"/>
              </w:rPr>
            </w:pPr>
            <w:r w:rsidRPr="00F2476E">
              <w:rPr>
                <w:rFonts w:ascii="Arial Narrow" w:hAnsi="Arial Narrow"/>
                <w:b/>
                <w:sz w:val="20"/>
                <w:szCs w:val="20"/>
              </w:rPr>
              <w:t>AND</w:t>
            </w:r>
          </w:p>
        </w:tc>
      </w:tr>
      <w:tr w:rsidR="00D57873" w:rsidRPr="00D57873" w14:paraId="1CC1E810"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792C3BAF" w14:textId="77777777" w:rsidR="00D57873" w:rsidRPr="00D57873" w:rsidRDefault="00D57873" w:rsidP="00D57873">
            <w:pPr>
              <w:jc w:val="center"/>
              <w:rPr>
                <w:rFonts w:ascii="Arial Narrow" w:hAnsi="Arial Narrow"/>
                <w:sz w:val="20"/>
                <w:szCs w:val="20"/>
              </w:rPr>
            </w:pPr>
          </w:p>
        </w:tc>
        <w:tc>
          <w:tcPr>
            <w:tcW w:w="7746" w:type="dxa"/>
            <w:gridSpan w:val="7"/>
            <w:vAlign w:val="center"/>
          </w:tcPr>
          <w:p w14:paraId="30FAB36B" w14:textId="77777777" w:rsidR="00D57873" w:rsidRPr="00F2476E" w:rsidRDefault="00D57873" w:rsidP="00D57873">
            <w:pPr>
              <w:rPr>
                <w:rFonts w:ascii="Arial Narrow" w:hAnsi="Arial Narrow"/>
                <w:sz w:val="20"/>
                <w:szCs w:val="20"/>
              </w:rPr>
            </w:pPr>
            <w:r w:rsidRPr="00F2476E">
              <w:rPr>
                <w:rFonts w:ascii="Arial Narrow" w:hAnsi="Arial Narrow"/>
                <w:b/>
                <w:sz w:val="20"/>
                <w:szCs w:val="20"/>
              </w:rPr>
              <w:t>Clinical criteria:</w:t>
            </w:r>
          </w:p>
        </w:tc>
      </w:tr>
      <w:tr w:rsidR="00D57873" w:rsidRPr="00D57873" w14:paraId="450017B2"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55F07FA2" w14:textId="77777777" w:rsidR="00D57873" w:rsidRPr="00D57873" w:rsidRDefault="00D57873" w:rsidP="00D57873">
            <w:pPr>
              <w:jc w:val="center"/>
              <w:rPr>
                <w:rFonts w:ascii="Arial Narrow" w:hAnsi="Arial Narrow"/>
                <w:sz w:val="20"/>
                <w:szCs w:val="20"/>
              </w:rPr>
            </w:pPr>
          </w:p>
        </w:tc>
        <w:tc>
          <w:tcPr>
            <w:tcW w:w="7746" w:type="dxa"/>
            <w:gridSpan w:val="7"/>
            <w:vAlign w:val="center"/>
          </w:tcPr>
          <w:p w14:paraId="065D512E" w14:textId="77777777" w:rsidR="00D57873" w:rsidRPr="00F2476E" w:rsidRDefault="00D57873" w:rsidP="00D57873">
            <w:pPr>
              <w:rPr>
                <w:rFonts w:ascii="Arial Narrow" w:hAnsi="Arial Narrow"/>
                <w:sz w:val="20"/>
                <w:szCs w:val="20"/>
              </w:rPr>
            </w:pPr>
            <w:r w:rsidRPr="00F2476E">
              <w:rPr>
                <w:rFonts w:ascii="Arial Narrow" w:hAnsi="Arial Narrow"/>
                <w:sz w:val="20"/>
                <w:szCs w:val="20"/>
              </w:rPr>
              <w:t>Treatment must be administered with mycophenolate and corticosteroids unless contraindicated /intolerant necessitating treatment withdrawal.</w:t>
            </w:r>
          </w:p>
        </w:tc>
      </w:tr>
      <w:tr w:rsidR="00D57873" w:rsidRPr="00D57873" w14:paraId="4857A68A"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38AA425A"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76C03FAC" w14:textId="77777777" w:rsidR="00D57873" w:rsidRPr="00D57873" w:rsidRDefault="00D57873" w:rsidP="00D57873">
            <w:pPr>
              <w:rPr>
                <w:rFonts w:ascii="Arial Narrow" w:hAnsi="Arial Narrow"/>
                <w:sz w:val="20"/>
                <w:szCs w:val="20"/>
              </w:rPr>
            </w:pPr>
            <w:r w:rsidRPr="00D57873">
              <w:rPr>
                <w:rFonts w:ascii="Arial Narrow" w:hAnsi="Arial Narrow"/>
                <w:b/>
                <w:bCs/>
                <w:sz w:val="20"/>
                <w:szCs w:val="20"/>
              </w:rPr>
              <w:t>Treatment criteria:</w:t>
            </w:r>
          </w:p>
        </w:tc>
      </w:tr>
      <w:tr w:rsidR="00D57873" w:rsidRPr="00D57873" w14:paraId="3C464D6A"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659CDC1D" w14:textId="77777777" w:rsidR="00D57873" w:rsidRPr="00D57873" w:rsidRDefault="00D57873" w:rsidP="00D57873">
            <w:pPr>
              <w:jc w:val="center"/>
              <w:rPr>
                <w:rFonts w:ascii="Arial Narrow" w:hAnsi="Arial Narrow"/>
                <w:sz w:val="20"/>
                <w:szCs w:val="20"/>
              </w:rPr>
            </w:pPr>
          </w:p>
        </w:tc>
        <w:tc>
          <w:tcPr>
            <w:tcW w:w="7746" w:type="dxa"/>
            <w:gridSpan w:val="7"/>
            <w:vAlign w:val="center"/>
            <w:hideMark/>
          </w:tcPr>
          <w:p w14:paraId="4DB53886" w14:textId="77777777" w:rsidR="00D57873" w:rsidRPr="00D57873" w:rsidRDefault="00D57873" w:rsidP="00D57873">
            <w:pPr>
              <w:autoSpaceDE w:val="0"/>
              <w:autoSpaceDN w:val="0"/>
              <w:adjustRightInd w:val="0"/>
              <w:rPr>
                <w:rFonts w:ascii="Arial Narrow" w:hAnsi="Arial Narrow" w:cs="Arial Narrow"/>
                <w:sz w:val="20"/>
                <w:szCs w:val="20"/>
              </w:rPr>
            </w:pPr>
            <w:r w:rsidRPr="00D57873">
              <w:rPr>
                <w:rFonts w:ascii="Arial Narrow" w:hAnsi="Arial Narrow" w:cs="Arial Narrow"/>
                <w:sz w:val="20"/>
                <w:szCs w:val="20"/>
              </w:rPr>
              <w:t>Patient must be treated by a specialist physician experienced in the management of this condition.</w:t>
            </w:r>
          </w:p>
        </w:tc>
      </w:tr>
      <w:tr w:rsidR="00D57873" w:rsidRPr="00D57873" w14:paraId="05D659A7" w14:textId="77777777" w:rsidTr="00FF1E5C">
        <w:tblPrEx>
          <w:tblCellMar>
            <w:top w:w="15" w:type="dxa"/>
            <w:bottom w:w="15" w:type="dxa"/>
          </w:tblCellMar>
          <w:tblLook w:val="04A0" w:firstRow="1" w:lastRow="0" w:firstColumn="1" w:lastColumn="0" w:noHBand="0" w:noVBand="1"/>
        </w:tblPrEx>
        <w:trPr>
          <w:cantSplit/>
          <w:trHeight w:val="20"/>
        </w:trPr>
        <w:tc>
          <w:tcPr>
            <w:tcW w:w="1273" w:type="dxa"/>
            <w:gridSpan w:val="2"/>
            <w:vAlign w:val="center"/>
          </w:tcPr>
          <w:p w14:paraId="0903AA1A" w14:textId="77777777" w:rsidR="00D57873" w:rsidRPr="00D57873" w:rsidRDefault="00D57873" w:rsidP="00D57873">
            <w:pPr>
              <w:jc w:val="center"/>
              <w:rPr>
                <w:rFonts w:ascii="Arial Narrow" w:hAnsi="Arial Narrow"/>
                <w:sz w:val="20"/>
                <w:szCs w:val="20"/>
              </w:rPr>
            </w:pPr>
          </w:p>
        </w:tc>
        <w:tc>
          <w:tcPr>
            <w:tcW w:w="7746" w:type="dxa"/>
            <w:gridSpan w:val="7"/>
            <w:vAlign w:val="center"/>
          </w:tcPr>
          <w:p w14:paraId="6CA15F6A" w14:textId="77777777" w:rsidR="00D57873" w:rsidRPr="00F2476E" w:rsidRDefault="00D57873" w:rsidP="00D57873">
            <w:pPr>
              <w:autoSpaceDE w:val="0"/>
              <w:autoSpaceDN w:val="0"/>
              <w:adjustRightInd w:val="0"/>
              <w:rPr>
                <w:rFonts w:ascii="Arial Narrow" w:hAnsi="Arial Narrow" w:cs="Arial Narrow"/>
                <w:sz w:val="20"/>
                <w:szCs w:val="20"/>
              </w:rPr>
            </w:pPr>
            <w:r w:rsidRPr="00F2476E">
              <w:rPr>
                <w:rFonts w:ascii="Arial Narrow" w:hAnsi="Arial Narrow"/>
                <w:b/>
                <w:sz w:val="20"/>
                <w:szCs w:val="20"/>
              </w:rPr>
              <w:t>Treatment criteria:</w:t>
            </w:r>
          </w:p>
        </w:tc>
      </w:tr>
      <w:tr w:rsidR="00D57873" w:rsidRPr="00D57873" w14:paraId="1963CB4B" w14:textId="77777777" w:rsidTr="00FF1E5C">
        <w:tblPrEx>
          <w:tblCellMar>
            <w:top w:w="15" w:type="dxa"/>
            <w:bottom w:w="15" w:type="dxa"/>
          </w:tblCellMar>
          <w:tblLook w:val="04A0" w:firstRow="1" w:lastRow="0" w:firstColumn="1" w:lastColumn="0" w:noHBand="0" w:noVBand="1"/>
        </w:tblPrEx>
        <w:trPr>
          <w:cantSplit/>
          <w:trHeight w:val="35"/>
        </w:trPr>
        <w:tc>
          <w:tcPr>
            <w:tcW w:w="1273" w:type="dxa"/>
            <w:gridSpan w:val="2"/>
            <w:vAlign w:val="center"/>
          </w:tcPr>
          <w:p w14:paraId="0B39FDC4" w14:textId="77777777" w:rsidR="00D57873" w:rsidRPr="00D57873" w:rsidRDefault="00D57873" w:rsidP="00D57873">
            <w:pPr>
              <w:jc w:val="center"/>
              <w:rPr>
                <w:rFonts w:ascii="Arial Narrow" w:hAnsi="Arial Narrow"/>
                <w:sz w:val="20"/>
                <w:szCs w:val="20"/>
              </w:rPr>
            </w:pPr>
          </w:p>
        </w:tc>
        <w:tc>
          <w:tcPr>
            <w:tcW w:w="7746" w:type="dxa"/>
            <w:gridSpan w:val="7"/>
            <w:vAlign w:val="center"/>
          </w:tcPr>
          <w:p w14:paraId="4AC8EE1E" w14:textId="77777777" w:rsidR="00D57873" w:rsidRPr="00D57873" w:rsidRDefault="00D57873" w:rsidP="00D57873">
            <w:pPr>
              <w:autoSpaceDE w:val="0"/>
              <w:autoSpaceDN w:val="0"/>
              <w:adjustRightInd w:val="0"/>
              <w:rPr>
                <w:rFonts w:ascii="Arial Narrow" w:hAnsi="Arial Narrow" w:cs="Arial Narrow"/>
                <w:iCs/>
                <w:sz w:val="20"/>
                <w:szCs w:val="20"/>
              </w:rPr>
            </w:pPr>
            <w:r w:rsidRPr="00F2476E">
              <w:rPr>
                <w:rFonts w:ascii="Arial Narrow" w:hAnsi="Arial Narrow"/>
                <w:sz w:val="20"/>
                <w:szCs w:val="20"/>
              </w:rPr>
              <w:t xml:space="preserve">The treatment must not be used in combination with anifrolumab </w:t>
            </w:r>
          </w:p>
        </w:tc>
      </w:tr>
      <w:tr w:rsidR="00FF1E5C" w:rsidRPr="00D57873" w14:paraId="532FF326" w14:textId="77777777" w:rsidTr="00FF1E5C">
        <w:tblPrEx>
          <w:tblCellMar>
            <w:top w:w="15" w:type="dxa"/>
            <w:bottom w:w="15" w:type="dxa"/>
          </w:tblCellMar>
          <w:tblLook w:val="04A0" w:firstRow="1" w:lastRow="0" w:firstColumn="1" w:lastColumn="0" w:noHBand="0" w:noVBand="1"/>
        </w:tblPrEx>
        <w:trPr>
          <w:cantSplit/>
          <w:trHeight w:val="35"/>
        </w:trPr>
        <w:tc>
          <w:tcPr>
            <w:tcW w:w="1273" w:type="dxa"/>
            <w:gridSpan w:val="2"/>
            <w:tcBorders>
              <w:top w:val="single" w:sz="4" w:space="0" w:color="auto"/>
              <w:left w:val="single" w:sz="4" w:space="0" w:color="auto"/>
              <w:bottom w:val="single" w:sz="4" w:space="0" w:color="auto"/>
              <w:right w:val="single" w:sz="4" w:space="0" w:color="auto"/>
            </w:tcBorders>
            <w:vAlign w:val="center"/>
          </w:tcPr>
          <w:p w14:paraId="121256C1" w14:textId="77777777" w:rsidR="00FF1E5C" w:rsidRPr="00D57873" w:rsidRDefault="00FF1E5C">
            <w:pPr>
              <w:jc w:val="center"/>
              <w:rPr>
                <w:rFonts w:ascii="Arial Narrow" w:hAnsi="Arial Narrow"/>
                <w:sz w:val="20"/>
                <w:szCs w:val="20"/>
              </w:rPr>
            </w:pPr>
          </w:p>
        </w:tc>
        <w:tc>
          <w:tcPr>
            <w:tcW w:w="7746" w:type="dxa"/>
            <w:gridSpan w:val="7"/>
            <w:tcBorders>
              <w:top w:val="single" w:sz="4" w:space="0" w:color="auto"/>
              <w:left w:val="single" w:sz="4" w:space="0" w:color="auto"/>
              <w:bottom w:val="single" w:sz="4" w:space="0" w:color="auto"/>
              <w:right w:val="single" w:sz="4" w:space="0" w:color="auto"/>
            </w:tcBorders>
            <w:vAlign w:val="center"/>
          </w:tcPr>
          <w:p w14:paraId="6496DB0A" w14:textId="77777777" w:rsidR="00FF1E5C" w:rsidRPr="00F2476E" w:rsidRDefault="00FF1E5C">
            <w:pPr>
              <w:autoSpaceDE w:val="0"/>
              <w:autoSpaceDN w:val="0"/>
              <w:adjustRightInd w:val="0"/>
              <w:rPr>
                <w:rFonts w:ascii="Arial Narrow" w:hAnsi="Arial Narrow"/>
                <w:b/>
                <w:sz w:val="20"/>
                <w:szCs w:val="20"/>
              </w:rPr>
            </w:pPr>
            <w:r w:rsidRPr="00F2476E">
              <w:rPr>
                <w:rFonts w:ascii="Arial Narrow" w:hAnsi="Arial Narrow"/>
                <w:b/>
                <w:sz w:val="20"/>
                <w:szCs w:val="20"/>
              </w:rPr>
              <w:t xml:space="preserve">Prescribing Instructions: </w:t>
            </w:r>
          </w:p>
          <w:p w14:paraId="0A5DFFEE" w14:textId="33C769FC" w:rsidR="00FF1E5C" w:rsidRPr="00F2476E" w:rsidRDefault="00FF1E5C">
            <w:pPr>
              <w:autoSpaceDE w:val="0"/>
              <w:autoSpaceDN w:val="0"/>
              <w:adjustRightInd w:val="0"/>
              <w:rPr>
                <w:rFonts w:ascii="Arial Narrow" w:hAnsi="Arial Narrow"/>
                <w:sz w:val="20"/>
                <w:szCs w:val="20"/>
              </w:rPr>
            </w:pPr>
            <w:r w:rsidRPr="00F2476E">
              <w:rPr>
                <w:rFonts w:ascii="Arial Narrow" w:hAnsi="Arial Narrow"/>
                <w:sz w:val="20"/>
                <w:szCs w:val="20"/>
              </w:rPr>
              <w:t>The values for UPCR and eGFR, taken 3 months apart, used to determine the patient’s response to treatment, must be documented in the patient’s medical records.</w:t>
            </w:r>
          </w:p>
        </w:tc>
      </w:tr>
    </w:tbl>
    <w:p w14:paraId="247AC048" w14:textId="77777777" w:rsidR="00D57873" w:rsidRPr="00D57873" w:rsidRDefault="00D57873" w:rsidP="00D57873">
      <w:pPr>
        <w:contextualSpacing/>
        <w:jc w:val="left"/>
        <w:rPr>
          <w:rFonts w:ascii="Times New Roman" w:eastAsia="Aptos" w:hAnsi="Times New Roman" w:cs="Times New Roman"/>
          <w:lang w:eastAsia="en-US"/>
        </w:rPr>
      </w:pPr>
    </w:p>
    <w:p w14:paraId="142F614D" w14:textId="77777777" w:rsidR="00D57873" w:rsidRPr="00D57873" w:rsidRDefault="00D57873" w:rsidP="00D57873">
      <w:pPr>
        <w:rPr>
          <w:rFonts w:ascii="Arial Narrow" w:hAnsi="Arial Narrow"/>
        </w:rPr>
      </w:pPr>
      <w:r w:rsidRPr="00D57873">
        <w:rPr>
          <w:rFonts w:ascii="Arial Narrow" w:hAnsi="Arial Narrow"/>
        </w:rPr>
        <w:t xml:space="preserve">Flow ons: </w:t>
      </w:r>
    </w:p>
    <w:p w14:paraId="78B483F6" w14:textId="77777777" w:rsidR="00D57873" w:rsidRPr="00D57873" w:rsidRDefault="00D57873" w:rsidP="00D57873">
      <w:pPr>
        <w:rPr>
          <w:rFonts w:ascii="Arial Narrow" w:hAnsi="Arial Narrow"/>
        </w:rPr>
      </w:pPr>
      <w:r w:rsidRPr="00D57873">
        <w:rPr>
          <w:rFonts w:ascii="Arial Narrow" w:hAnsi="Arial Narrow"/>
        </w:rPr>
        <w:t>Add new concept to Anifrolumab (for SLE) to exclude combination treatment with obinutuzumab:</w:t>
      </w:r>
    </w:p>
    <w:p w14:paraId="40376F06" w14:textId="77777777" w:rsidR="00D57873" w:rsidRPr="00D57873" w:rsidRDefault="00D57873" w:rsidP="00D57873">
      <w:pPr>
        <w:numPr>
          <w:ilvl w:val="0"/>
          <w:numId w:val="17"/>
        </w:numPr>
        <w:spacing w:after="160" w:line="259" w:lineRule="auto"/>
        <w:contextualSpacing/>
        <w:jc w:val="left"/>
        <w:rPr>
          <w:rFonts w:ascii="Arial Narrow" w:eastAsia="Aptos" w:hAnsi="Arial Narrow" w:cs="Times New Roman"/>
          <w:kern w:val="2"/>
          <w:lang w:eastAsia="en-US"/>
          <w14:ligatures w14:val="standardContextual"/>
        </w:rPr>
      </w:pPr>
      <w:r w:rsidRPr="00D57873">
        <w:rPr>
          <w:rFonts w:ascii="Arial Narrow" w:eastAsia="Aptos" w:hAnsi="Arial Narrow" w:cs="Times New Roman"/>
          <w:kern w:val="2"/>
          <w:lang w:eastAsia="en-US"/>
          <w14:ligatures w14:val="standardContextual"/>
        </w:rPr>
        <w:t>14189T/ anifrolumab 300 mg/2 mL injection, 2 mL vial (initial and Continuing or recommencement of treatment (within 12 months of a treatment break)) – HSD Private</w:t>
      </w:r>
    </w:p>
    <w:p w14:paraId="29AB205C" w14:textId="77777777" w:rsidR="00D57873" w:rsidRPr="00D57873" w:rsidRDefault="00D57873" w:rsidP="00D57873">
      <w:pPr>
        <w:numPr>
          <w:ilvl w:val="0"/>
          <w:numId w:val="17"/>
        </w:numPr>
        <w:spacing w:after="160" w:line="259" w:lineRule="auto"/>
        <w:contextualSpacing/>
        <w:jc w:val="left"/>
        <w:rPr>
          <w:rFonts w:ascii="Arial Narrow" w:eastAsia="Aptos" w:hAnsi="Arial Narrow" w:cs="Times New Roman"/>
          <w:kern w:val="2"/>
          <w:lang w:eastAsia="en-US"/>
          <w14:ligatures w14:val="standardContextual"/>
        </w:rPr>
      </w:pPr>
      <w:r w:rsidRPr="00D57873">
        <w:rPr>
          <w:rFonts w:ascii="Arial Narrow" w:eastAsia="Aptos" w:hAnsi="Arial Narrow" w:cs="Times New Roman"/>
          <w:kern w:val="2"/>
          <w:lang w:eastAsia="en-US"/>
          <w14:ligatures w14:val="standardContextual"/>
        </w:rPr>
        <w:t>14195D/ anifrolumab 300 mg/2 mL injection, 2 mL vial (initial and Continuing or recommencement of treatment (within 12 months of a treatment break)) – HSD Public</w:t>
      </w:r>
    </w:p>
    <w:p w14:paraId="25052178" w14:textId="77777777" w:rsidR="00D57873" w:rsidRPr="00D57873" w:rsidRDefault="00D57873" w:rsidP="00D57873">
      <w:pPr>
        <w:spacing w:after="160" w:line="259" w:lineRule="auto"/>
        <w:ind w:left="720"/>
        <w:contextualSpacing/>
        <w:jc w:val="left"/>
        <w:rPr>
          <w:rFonts w:ascii="Arial" w:eastAsia="Aptos" w:hAnsi="Arial" w:cs="Times New Roman"/>
          <w:kern w:val="2"/>
          <w:sz w:val="20"/>
          <w:lang w:eastAsia="en-US"/>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Flow on changes"/>
      </w:tblPr>
      <w:tblGrid>
        <w:gridCol w:w="1272"/>
        <w:gridCol w:w="7745"/>
      </w:tblGrid>
      <w:tr w:rsidR="00D57873" w:rsidRPr="00D57873" w14:paraId="709B9875" w14:textId="77777777">
        <w:trPr>
          <w:cantSplit/>
          <w:trHeight w:val="20"/>
        </w:trPr>
        <w:tc>
          <w:tcPr>
            <w:tcW w:w="1272" w:type="dxa"/>
            <w:vAlign w:val="center"/>
          </w:tcPr>
          <w:p w14:paraId="50E1CD56" w14:textId="5DA34DCE" w:rsidR="00D57873" w:rsidRPr="00D57873" w:rsidRDefault="00D57873" w:rsidP="00D57873">
            <w:pPr>
              <w:jc w:val="center"/>
              <w:rPr>
                <w:rFonts w:ascii="Arial Narrow" w:hAnsi="Arial Narrow"/>
                <w:sz w:val="20"/>
                <w:szCs w:val="20"/>
              </w:rPr>
            </w:pPr>
          </w:p>
        </w:tc>
        <w:tc>
          <w:tcPr>
            <w:tcW w:w="7745" w:type="dxa"/>
            <w:vAlign w:val="center"/>
          </w:tcPr>
          <w:p w14:paraId="018F46CB" w14:textId="77777777" w:rsidR="00D57873" w:rsidRPr="00D57873" w:rsidRDefault="00D57873" w:rsidP="00D57873">
            <w:pPr>
              <w:autoSpaceDE w:val="0"/>
              <w:autoSpaceDN w:val="0"/>
              <w:adjustRightInd w:val="0"/>
              <w:rPr>
                <w:rFonts w:ascii="Arial Narrow" w:hAnsi="Arial Narrow" w:cs="Arial Narrow"/>
                <w:iCs/>
                <w:sz w:val="20"/>
                <w:szCs w:val="20"/>
              </w:rPr>
            </w:pPr>
            <w:r w:rsidRPr="00D57873">
              <w:rPr>
                <w:rFonts w:ascii="Arial Narrow" w:hAnsi="Arial Narrow"/>
                <w:b/>
                <w:bCs/>
                <w:i/>
                <w:iCs/>
                <w:sz w:val="20"/>
                <w:szCs w:val="20"/>
              </w:rPr>
              <w:t>Treatment criteria:</w:t>
            </w:r>
          </w:p>
        </w:tc>
      </w:tr>
      <w:tr w:rsidR="00D57873" w:rsidRPr="00D57873" w14:paraId="11F83037" w14:textId="77777777">
        <w:trPr>
          <w:cantSplit/>
          <w:trHeight w:val="20"/>
        </w:trPr>
        <w:tc>
          <w:tcPr>
            <w:tcW w:w="1272" w:type="dxa"/>
            <w:vAlign w:val="center"/>
          </w:tcPr>
          <w:p w14:paraId="1C34C1FC" w14:textId="571B7934" w:rsidR="00D57873" w:rsidRPr="00D57873" w:rsidRDefault="00D57873" w:rsidP="00D57873">
            <w:pPr>
              <w:jc w:val="center"/>
              <w:rPr>
                <w:rFonts w:ascii="Arial Narrow" w:hAnsi="Arial Narrow"/>
                <w:sz w:val="20"/>
                <w:szCs w:val="20"/>
              </w:rPr>
            </w:pPr>
          </w:p>
        </w:tc>
        <w:tc>
          <w:tcPr>
            <w:tcW w:w="7745" w:type="dxa"/>
            <w:vAlign w:val="center"/>
          </w:tcPr>
          <w:p w14:paraId="2F029AC4" w14:textId="77777777" w:rsidR="00D57873" w:rsidRPr="00D57873" w:rsidRDefault="00D57873" w:rsidP="00D57873">
            <w:pPr>
              <w:autoSpaceDE w:val="0"/>
              <w:autoSpaceDN w:val="0"/>
              <w:adjustRightInd w:val="0"/>
              <w:rPr>
                <w:rFonts w:ascii="Arial Narrow" w:hAnsi="Arial Narrow" w:cs="Arial Narrow"/>
                <w:iCs/>
                <w:sz w:val="20"/>
                <w:szCs w:val="20"/>
              </w:rPr>
            </w:pPr>
            <w:r w:rsidRPr="00D57873">
              <w:rPr>
                <w:rFonts w:ascii="Arial Narrow" w:hAnsi="Arial Narrow"/>
                <w:i/>
                <w:iCs/>
                <w:sz w:val="20"/>
                <w:szCs w:val="20"/>
              </w:rPr>
              <w:t xml:space="preserve">The treatment must not be used in combination with obinutuzumab </w:t>
            </w:r>
          </w:p>
        </w:tc>
      </w:tr>
      <w:bookmarkEnd w:id="80"/>
    </w:tbl>
    <w:p w14:paraId="36ECB16E" w14:textId="77777777" w:rsidR="00613DB2" w:rsidRDefault="00613DB2" w:rsidP="00C27AE8">
      <w:pPr>
        <w:pStyle w:val="3-BodyText"/>
        <w:numPr>
          <w:ilvl w:val="0"/>
          <w:numId w:val="0"/>
        </w:numPr>
      </w:pPr>
    </w:p>
    <w:p w14:paraId="4E030FE6" w14:textId="77777777" w:rsidR="00D1719A" w:rsidRDefault="00D1719A" w:rsidP="00D1719A">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58511B24" w14:textId="160E480F" w:rsidR="00AF23AE" w:rsidRPr="00AF23AE" w:rsidRDefault="00AF23AE" w:rsidP="00AF23AE">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9</w:t>
      </w:r>
      <w:r w:rsidRPr="00AF23AE">
        <w:rPr>
          <w:rFonts w:asciiTheme="minorHAnsi" w:hAnsiTheme="minorHAnsi"/>
          <w:b/>
          <w:snapToGrid w:val="0"/>
          <w:sz w:val="32"/>
          <w:szCs w:val="32"/>
          <w:lang w:eastAsia="en-US"/>
        </w:rPr>
        <w:tab/>
        <w:t>Context for Decision</w:t>
      </w:r>
    </w:p>
    <w:p w14:paraId="3A8B273E" w14:textId="77777777" w:rsidR="00AF23AE" w:rsidRPr="00AF23AE" w:rsidRDefault="00AF23AE" w:rsidP="00AF23AE">
      <w:pPr>
        <w:spacing w:after="120"/>
        <w:ind w:left="720"/>
        <w:rPr>
          <w:rFonts w:cs="Calibri"/>
          <w:bCs/>
          <w:szCs w:val="22"/>
          <w:lang w:val="en-GB"/>
        </w:rPr>
      </w:pPr>
      <w:r w:rsidRPr="00AF23AE">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95C86F" w14:textId="7F593A96" w:rsidR="00AF23AE" w:rsidRPr="00772228" w:rsidRDefault="00AF23AE" w:rsidP="00772228">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10</w:t>
      </w:r>
      <w:r w:rsidRPr="00AF23AE">
        <w:rPr>
          <w:rFonts w:asciiTheme="minorHAnsi" w:hAnsiTheme="minorHAnsi"/>
          <w:b/>
          <w:snapToGrid w:val="0"/>
          <w:sz w:val="32"/>
          <w:szCs w:val="32"/>
          <w:lang w:eastAsia="en-US"/>
        </w:rPr>
        <w:tab/>
        <w:t>Sponsor’s Comment</w:t>
      </w:r>
    </w:p>
    <w:p w14:paraId="01C3EE64" w14:textId="7E76F5C3" w:rsidR="00E8100C" w:rsidRDefault="00E8100C" w:rsidP="00AF23AE">
      <w:pPr>
        <w:spacing w:after="120"/>
        <w:ind w:left="720"/>
        <w:rPr>
          <w:rFonts w:cs="Calibri"/>
          <w:bCs/>
          <w:szCs w:val="22"/>
          <w:lang w:val="en-GB" w:eastAsia="en-US"/>
        </w:rPr>
      </w:pPr>
      <w:r>
        <w:rPr>
          <w:rFonts w:cs="Calibri"/>
          <w:bCs/>
          <w:szCs w:val="22"/>
          <w:lang w:val="en-GB" w:eastAsia="en-US"/>
        </w:rPr>
        <w:t>Roche welcomes the PBAC’s decision to recommend obinutuzumab for the treatment of patients with</w:t>
      </w:r>
      <w:r w:rsidR="0014464B">
        <w:rPr>
          <w:rFonts w:cs="Calibri"/>
          <w:bCs/>
          <w:szCs w:val="22"/>
          <w:lang w:val="en-GB" w:eastAsia="en-US"/>
        </w:rPr>
        <w:t xml:space="preserve"> active class</w:t>
      </w:r>
      <w:r>
        <w:rPr>
          <w:rFonts w:cs="Calibri"/>
          <w:bCs/>
          <w:szCs w:val="22"/>
          <w:lang w:val="en-GB" w:eastAsia="en-US"/>
        </w:rPr>
        <w:t xml:space="preserve"> </w:t>
      </w:r>
      <w:r w:rsidR="0014464B">
        <w:rPr>
          <w:rFonts w:cs="Calibri"/>
          <w:bCs/>
          <w:szCs w:val="22"/>
          <w:lang w:val="en-GB" w:eastAsia="en-US"/>
        </w:rPr>
        <w:t>III or IV ± V lupus nephritis</w:t>
      </w:r>
      <w:r>
        <w:rPr>
          <w:rFonts w:cs="Calibri"/>
          <w:bCs/>
          <w:szCs w:val="22"/>
          <w:lang w:val="en-GB" w:eastAsia="en-US"/>
        </w:rPr>
        <w:t xml:space="preserve"> and is working with the Department of Health towards a PBS listing.</w:t>
      </w:r>
    </w:p>
    <w:p w14:paraId="6685CEF5" w14:textId="77777777" w:rsidR="00D1719A" w:rsidRDefault="00D1719A" w:rsidP="00D1719A">
      <w:pPr>
        <w:pStyle w:val="3-BodyText"/>
        <w:numPr>
          <w:ilvl w:val="0"/>
          <w:numId w:val="0"/>
        </w:numPr>
      </w:pPr>
    </w:p>
    <w:sectPr w:rsidR="00D1719A" w:rsidSect="00261B80">
      <w:headerReference w:type="even" r:id="rId22"/>
      <w:headerReference w:type="default" r:id="rId23"/>
      <w:footerReference w:type="even" r:id="rId24"/>
      <w:footerReference w:type="default" r:id="rId25"/>
      <w:headerReference w:type="first" r:id="rId26"/>
      <w:footerReference w:type="first" r:id="rId2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557A" w14:textId="77777777" w:rsidR="003D4F12" w:rsidRDefault="003D4F12" w:rsidP="00124A51">
      <w:r>
        <w:separator/>
      </w:r>
    </w:p>
    <w:p w14:paraId="6EEF1DFB" w14:textId="77777777" w:rsidR="003D4F12" w:rsidRDefault="003D4F12"/>
  </w:endnote>
  <w:endnote w:type="continuationSeparator" w:id="0">
    <w:p w14:paraId="43E541DE" w14:textId="77777777" w:rsidR="003D4F12" w:rsidRDefault="003D4F12" w:rsidP="00124A51">
      <w:r>
        <w:continuationSeparator/>
      </w:r>
    </w:p>
    <w:p w14:paraId="4D1CC5C1" w14:textId="77777777" w:rsidR="003D4F12" w:rsidRDefault="003D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AEEA" w14:textId="4D0E76E5" w:rsidR="005E39EA" w:rsidRDefault="000B7C6F">
    <w:pPr>
      <w:pStyle w:val="Footer"/>
    </w:pPr>
    <w:r>
      <w:rPr>
        <w:noProof/>
      </w:rPr>
      <mc:AlternateContent>
        <mc:Choice Requires="wps">
          <w:drawing>
            <wp:anchor distT="0" distB="0" distL="0" distR="0" simplePos="0" relativeHeight="251658244" behindDoc="0" locked="0" layoutInCell="1" allowOverlap="1" wp14:anchorId="3EF3FEB1" wp14:editId="6FA72B24">
              <wp:simplePos x="635" y="635"/>
              <wp:positionH relativeFrom="page">
                <wp:align>center</wp:align>
              </wp:positionH>
              <wp:positionV relativeFrom="page">
                <wp:align>bottom</wp:align>
              </wp:positionV>
              <wp:extent cx="622300" cy="376555"/>
              <wp:effectExtent l="0" t="0" r="6350" b="0"/>
              <wp:wrapNone/>
              <wp:docPr id="2005521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1D773E" w14:textId="42746CC6"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3FEB1"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11D773E" w14:textId="42746CC6"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6370ABB" w:rsidR="00D843F2" w:rsidRDefault="000B7C6F" w:rsidP="00753B29">
    <w:pPr>
      <w:pStyle w:val="Footer"/>
      <w:jc w:val="center"/>
    </w:pPr>
    <w:r>
      <w:rPr>
        <w:noProof/>
      </w:rPr>
      <mc:AlternateContent>
        <mc:Choice Requires="wps">
          <w:drawing>
            <wp:anchor distT="0" distB="0" distL="0" distR="0" simplePos="0" relativeHeight="251658245" behindDoc="0" locked="0" layoutInCell="1" allowOverlap="1" wp14:anchorId="18A37CFB" wp14:editId="58B1FB4C">
              <wp:simplePos x="635" y="635"/>
              <wp:positionH relativeFrom="page">
                <wp:align>center</wp:align>
              </wp:positionH>
              <wp:positionV relativeFrom="page">
                <wp:align>bottom</wp:align>
              </wp:positionV>
              <wp:extent cx="622300" cy="376555"/>
              <wp:effectExtent l="0" t="0" r="6350" b="0"/>
              <wp:wrapNone/>
              <wp:docPr id="18925389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242656" w14:textId="79DF677D"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37CFB"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4242656" w14:textId="79DF677D"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v:textbox>
              <w10:wrap anchorx="page" anchory="page"/>
            </v:shape>
          </w:pict>
        </mc:Fallback>
      </mc:AlternateContent>
    </w:r>
  </w:p>
  <w:p w14:paraId="37484CD3" w14:textId="00F97F23" w:rsidR="00D843F2" w:rsidRPr="005F327B" w:rsidRDefault="003D4F12" w:rsidP="006028D3">
    <w:pPr>
      <w:pStyle w:val="PageFooter"/>
      <w:rPr>
        <w:b w:val="0"/>
        <w:bCs/>
      </w:rPr>
    </w:pPr>
    <w:sdt>
      <w:sdtPr>
        <w:rPr>
          <w:b w:val="0"/>
          <w:bCs/>
        </w:rPr>
        <w:id w:val="1036156457"/>
        <w:docPartObj>
          <w:docPartGallery w:val="Page Numbers (Bottom of Page)"/>
          <w:docPartUnique/>
        </w:docPartObj>
      </w:sdtPr>
      <w:sdtEndPr>
        <w:rPr>
          <w:noProof/>
        </w:rPr>
      </w:sdtEndPr>
      <w:sdtContent>
        <w:r w:rsidR="00D843F2" w:rsidRPr="006C3F0C">
          <w:fldChar w:fldCharType="begin"/>
        </w:r>
        <w:r w:rsidR="00D843F2" w:rsidRPr="006C3F0C">
          <w:instrText xml:space="preserve"> PAGE   \* MERGEFORMAT </w:instrText>
        </w:r>
        <w:r w:rsidR="00D843F2" w:rsidRPr="006C3F0C">
          <w:fldChar w:fldCharType="separate"/>
        </w:r>
        <w:r w:rsidR="00D843F2" w:rsidRPr="006C3F0C">
          <w:rPr>
            <w:noProof/>
          </w:rPr>
          <w:t>2</w:t>
        </w:r>
        <w:r w:rsidR="00D843F2" w:rsidRPr="006C3F0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4590" w14:textId="63542D62" w:rsidR="005E39EA" w:rsidRDefault="000B7C6F">
    <w:pPr>
      <w:pStyle w:val="Footer"/>
    </w:pPr>
    <w:r>
      <w:rPr>
        <w:noProof/>
      </w:rPr>
      <mc:AlternateContent>
        <mc:Choice Requires="wps">
          <w:drawing>
            <wp:anchor distT="0" distB="0" distL="0" distR="0" simplePos="0" relativeHeight="251658243" behindDoc="0" locked="0" layoutInCell="1" allowOverlap="1" wp14:anchorId="2F5DE584" wp14:editId="043A9D38">
              <wp:simplePos x="635" y="635"/>
              <wp:positionH relativeFrom="page">
                <wp:align>center</wp:align>
              </wp:positionH>
              <wp:positionV relativeFrom="page">
                <wp:align>bottom</wp:align>
              </wp:positionV>
              <wp:extent cx="622300" cy="376555"/>
              <wp:effectExtent l="0" t="0" r="6350" b="0"/>
              <wp:wrapNone/>
              <wp:docPr id="17390265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4EBA1E" w14:textId="1246C820"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DE58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74EBA1E" w14:textId="1246C820"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851D" w14:textId="77777777" w:rsidR="003D4F12" w:rsidRDefault="003D4F12" w:rsidP="00124A51">
      <w:r>
        <w:separator/>
      </w:r>
    </w:p>
    <w:p w14:paraId="08B3748B" w14:textId="77777777" w:rsidR="003D4F12" w:rsidRDefault="003D4F12"/>
  </w:footnote>
  <w:footnote w:type="continuationSeparator" w:id="0">
    <w:p w14:paraId="4CEEACE6" w14:textId="77777777" w:rsidR="003D4F12" w:rsidRDefault="003D4F12" w:rsidP="00124A51">
      <w:r>
        <w:continuationSeparator/>
      </w:r>
    </w:p>
    <w:p w14:paraId="7B6BC453" w14:textId="77777777" w:rsidR="003D4F12" w:rsidRDefault="003D4F12"/>
  </w:footnote>
  <w:footnote w:id="1">
    <w:p w14:paraId="4036459C" w14:textId="30A09568" w:rsidR="00B0530A" w:rsidRDefault="00B0530A" w:rsidP="003827FB">
      <w:pPr>
        <w:pStyle w:val="FootnoteText"/>
      </w:pPr>
      <w:r>
        <w:rPr>
          <w:rStyle w:val="FootnoteReference"/>
        </w:rPr>
        <w:footnoteRef/>
      </w:r>
      <w:r>
        <w:t xml:space="preserve"> </w:t>
      </w:r>
      <w:r w:rsidRPr="00B0530A">
        <w:t>Practice Point 10.2.3.2.4, KDIGO 2024</w:t>
      </w:r>
      <w:r w:rsidR="003827FB">
        <w:t xml:space="preserve"> </w:t>
      </w:r>
      <w:r>
        <w:t>.</w:t>
      </w:r>
      <w:r w:rsidR="003827FB">
        <w:t xml:space="preserve"> Clinical Practice Guideline for the Evaluation and Management of Chronic Kidney Disease.</w:t>
      </w:r>
      <w:r>
        <w:t xml:space="preserve"> </w:t>
      </w:r>
    </w:p>
  </w:footnote>
  <w:footnote w:id="2">
    <w:p w14:paraId="5236DD47" w14:textId="7D4D8D9E" w:rsidR="0042500B" w:rsidRDefault="0042500B">
      <w:pPr>
        <w:pStyle w:val="FootnoteText"/>
      </w:pPr>
      <w:r>
        <w:rPr>
          <w:rStyle w:val="FootnoteReference"/>
        </w:rPr>
        <w:footnoteRef/>
      </w:r>
      <w:r>
        <w:t xml:space="preserve"> </w:t>
      </w:r>
      <w:proofErr w:type="spellStart"/>
      <w:r w:rsidR="00212121" w:rsidRPr="00212121">
        <w:t>Fanouriakis</w:t>
      </w:r>
      <w:proofErr w:type="spellEnd"/>
      <w:r w:rsidR="00212121" w:rsidRPr="00212121">
        <w:t xml:space="preserve"> A, </w:t>
      </w:r>
      <w:proofErr w:type="spellStart"/>
      <w:r w:rsidR="00212121" w:rsidRPr="00212121">
        <w:t>Kostopoulou</w:t>
      </w:r>
      <w:proofErr w:type="spellEnd"/>
      <w:r w:rsidR="00212121" w:rsidRPr="00212121">
        <w:t xml:space="preserve"> M, Anders H</w:t>
      </w:r>
      <w:r w:rsidR="00FF1914">
        <w:noBreakHyphen/>
      </w:r>
      <w:r w:rsidR="00212121" w:rsidRPr="00212121">
        <w:t>J, et al. (2026) EULAR recommendations for the management of systemic lupus erythematosus with kidney involvement: 2025 update. Annals of the Rheumatic Diseases 85: 75</w:t>
      </w:r>
      <w:r w:rsidR="00FF1914">
        <w:noBreakHyphen/>
      </w:r>
      <w:r w:rsidR="00212121" w:rsidRPr="00212121">
        <w:t>90.</w:t>
      </w:r>
    </w:p>
  </w:footnote>
  <w:footnote w:id="3">
    <w:p w14:paraId="6180E7AC" w14:textId="4D1C1884" w:rsidR="00B31779" w:rsidRDefault="00B31779" w:rsidP="00B31779">
      <w:pPr>
        <w:pStyle w:val="FootnoteText"/>
      </w:pPr>
      <w:r>
        <w:rPr>
          <w:rStyle w:val="FootnoteReference"/>
        </w:rPr>
        <w:footnoteRef/>
      </w:r>
      <w:r>
        <w:t xml:space="preserve"> </w:t>
      </w:r>
      <w:r w:rsidRPr="000E09A9">
        <w:t>Wang H, Ren YL, Chang J, Gu L, Sun LY. A Systematic Review and Meta</w:t>
      </w:r>
      <w:r w:rsidR="00FF1914">
        <w:noBreakHyphen/>
      </w:r>
      <w:r w:rsidRPr="000E09A9">
        <w:t>analysis of Prevalence of Biopsy</w:t>
      </w:r>
      <w:r w:rsidR="00FF1914">
        <w:noBreakHyphen/>
      </w:r>
      <w:r w:rsidRPr="000E09A9">
        <w:t xml:space="preserve">Proven Lupus Nephritis. Arch </w:t>
      </w:r>
      <w:proofErr w:type="spellStart"/>
      <w:r w:rsidRPr="000E09A9">
        <w:t>Rheumatol</w:t>
      </w:r>
      <w:proofErr w:type="spellEnd"/>
      <w:r w:rsidRPr="000E09A9">
        <w:t>. 2017</w:t>
      </w:r>
      <w:r>
        <w:t xml:space="preserve">. </w:t>
      </w:r>
      <w:r w:rsidRPr="000E09A9">
        <w:t>33(1):17</w:t>
      </w:r>
      <w:r w:rsidR="00FF1914">
        <w:noBreakHyphen/>
      </w:r>
      <w:r w:rsidRPr="000E09A9">
        <w:t>25</w:t>
      </w:r>
      <w:r>
        <w:t>.</w:t>
      </w:r>
    </w:p>
  </w:footnote>
  <w:footnote w:id="4">
    <w:p w14:paraId="419117DF" w14:textId="00B51B46" w:rsidR="002427E3" w:rsidRDefault="002427E3" w:rsidP="002427E3">
      <w:pPr>
        <w:pStyle w:val="FootnoteText"/>
      </w:pPr>
      <w:r>
        <w:rPr>
          <w:rStyle w:val="FootnoteReference"/>
        </w:rPr>
        <w:footnoteRef/>
      </w:r>
      <w:r>
        <w:t xml:space="preserve"> </w:t>
      </w:r>
      <w:r w:rsidRPr="00D85D4F">
        <w:t xml:space="preserve">Choi SE, Fogo AB, Lim BJ. Histologic evaluation of activity and chronicity of lupus nephritis and its clinical significance. Kidney Res Clin </w:t>
      </w:r>
      <w:proofErr w:type="spellStart"/>
      <w:r w:rsidRPr="00D85D4F">
        <w:t>Pract</w:t>
      </w:r>
      <w:proofErr w:type="spellEnd"/>
      <w:r w:rsidRPr="00D85D4F">
        <w:t>. 2023</w:t>
      </w:r>
      <w:r>
        <w:t xml:space="preserve">. </w:t>
      </w:r>
      <w:r w:rsidRPr="00D85D4F">
        <w:t>42(2):166</w:t>
      </w:r>
      <w:r w:rsidR="00FF1914">
        <w:noBreakHyphen/>
      </w:r>
      <w:r w:rsidRPr="00D85D4F">
        <w:t>173.</w:t>
      </w:r>
    </w:p>
  </w:footnote>
  <w:footnote w:id="5">
    <w:p w14:paraId="6FB12560" w14:textId="4A7BA8DC" w:rsidR="00B31779" w:rsidRPr="00BE77ED" w:rsidRDefault="00B31779" w:rsidP="00B31779">
      <w:pPr>
        <w:pStyle w:val="FootnoteText"/>
      </w:pPr>
      <w:r w:rsidRPr="00BE77ED">
        <w:rPr>
          <w:rStyle w:val="FootnoteReference"/>
        </w:rPr>
        <w:footnoteRef/>
      </w:r>
      <w:r w:rsidRPr="00BE77ED">
        <w:t xml:space="preserve"> Gasparotto M, Gatto M, Binda V, Doria A, Moroni G. Lupus nephritis: clinical presentations and outcomes in the 21st century. Rheumatology (Oxford). 2020. 59(Suppl5):v39</w:t>
      </w:r>
      <w:r w:rsidR="00FF1914">
        <w:noBreakHyphen/>
      </w:r>
      <w:r w:rsidRPr="00BE77ED">
        <w:t>v51.</w:t>
      </w:r>
    </w:p>
  </w:footnote>
  <w:footnote w:id="6">
    <w:p w14:paraId="6E368B7B" w14:textId="2F32AA95" w:rsidR="002427E3" w:rsidRPr="00BE77ED" w:rsidRDefault="002427E3" w:rsidP="002427E3">
      <w:pPr>
        <w:pStyle w:val="FootnoteText"/>
      </w:pPr>
      <w:r w:rsidRPr="00BE77ED">
        <w:rPr>
          <w:rStyle w:val="FootnoteReference"/>
        </w:rPr>
        <w:footnoteRef/>
      </w:r>
      <w:r w:rsidRPr="00BE77ED">
        <w:t xml:space="preserve"> Parodis I, Rovin BH, </w:t>
      </w:r>
      <w:proofErr w:type="spellStart"/>
      <w:r w:rsidRPr="00BE77ED">
        <w:t>Tektonidou</w:t>
      </w:r>
      <w:proofErr w:type="spellEnd"/>
      <w:r w:rsidRPr="00BE77ED">
        <w:t xml:space="preserve"> MG, Anders HJ, Malvar A, Mok CC, Mohan C. Lupus nephritis. Nat Rev Dis Primers. 2025. 11(1):69. doi: 10.1038/s41572</w:t>
      </w:r>
      <w:r w:rsidR="00FF1914">
        <w:noBreakHyphen/>
      </w:r>
      <w:r w:rsidRPr="00BE77ED">
        <w:t>025</w:t>
      </w:r>
      <w:r w:rsidR="00FF1914">
        <w:noBreakHyphen/>
      </w:r>
      <w:r w:rsidRPr="00BE77ED">
        <w:t>00653</w:t>
      </w:r>
      <w:r w:rsidR="00FF1914">
        <w:noBreakHyphen/>
      </w:r>
      <w:r w:rsidRPr="00BE77ED">
        <w:t>y.</w:t>
      </w:r>
    </w:p>
  </w:footnote>
  <w:footnote w:id="7">
    <w:p w14:paraId="736A3038" w14:textId="3FD8D80C" w:rsidR="002427E3" w:rsidRPr="00BE77ED" w:rsidRDefault="002427E3" w:rsidP="002427E3">
      <w:pPr>
        <w:pStyle w:val="FootnoteText"/>
      </w:pPr>
      <w:r w:rsidRPr="00BE77ED">
        <w:rPr>
          <w:rStyle w:val="FootnoteReference"/>
        </w:rPr>
        <w:footnoteRef/>
      </w:r>
      <w:r w:rsidRPr="00BE77ED">
        <w:t xml:space="preserve"> GSK. 23 July 2014. New medicine for lupus now available in Australia. Available from: </w:t>
      </w:r>
      <w:hyperlink r:id="rId1" w:history="1">
        <w:r w:rsidRPr="00BE77ED">
          <w:rPr>
            <w:rStyle w:val="Hyperlink"/>
          </w:rPr>
          <w:t>https://au.gsk.com/en</w:t>
        </w:r>
        <w:r w:rsidR="00FF1914">
          <w:rPr>
            <w:rStyle w:val="Hyperlink"/>
          </w:rPr>
          <w:noBreakHyphen/>
        </w:r>
        <w:r w:rsidRPr="00BE77ED">
          <w:rPr>
            <w:rStyle w:val="Hyperlink"/>
          </w:rPr>
          <w:t>au/media/press</w:t>
        </w:r>
        <w:r w:rsidR="00FF1914">
          <w:rPr>
            <w:rStyle w:val="Hyperlink"/>
          </w:rPr>
          <w:noBreakHyphen/>
        </w:r>
        <w:r w:rsidRPr="00BE77ED">
          <w:rPr>
            <w:rStyle w:val="Hyperlink"/>
          </w:rPr>
          <w:t>releases/new</w:t>
        </w:r>
        <w:r w:rsidR="00FF1914">
          <w:rPr>
            <w:rStyle w:val="Hyperlink"/>
          </w:rPr>
          <w:noBreakHyphen/>
        </w:r>
        <w:r w:rsidRPr="00BE77ED">
          <w:rPr>
            <w:rStyle w:val="Hyperlink"/>
          </w:rPr>
          <w:t>medicine</w:t>
        </w:r>
        <w:r w:rsidR="00FF1914">
          <w:rPr>
            <w:rStyle w:val="Hyperlink"/>
          </w:rPr>
          <w:noBreakHyphen/>
        </w:r>
        <w:r w:rsidRPr="00BE77ED">
          <w:rPr>
            <w:rStyle w:val="Hyperlink"/>
          </w:rPr>
          <w:t>for</w:t>
        </w:r>
        <w:r w:rsidR="00FF1914">
          <w:rPr>
            <w:rStyle w:val="Hyperlink"/>
          </w:rPr>
          <w:noBreakHyphen/>
        </w:r>
        <w:r w:rsidRPr="00BE77ED">
          <w:rPr>
            <w:rStyle w:val="Hyperlink"/>
          </w:rPr>
          <w:t>lupus</w:t>
        </w:r>
        <w:r w:rsidR="00FF1914">
          <w:rPr>
            <w:rStyle w:val="Hyperlink"/>
          </w:rPr>
          <w:noBreakHyphen/>
        </w:r>
        <w:r w:rsidRPr="00BE77ED">
          <w:rPr>
            <w:rStyle w:val="Hyperlink"/>
          </w:rPr>
          <w:t>now</w:t>
        </w:r>
        <w:r w:rsidR="00FF1914">
          <w:rPr>
            <w:rStyle w:val="Hyperlink"/>
          </w:rPr>
          <w:noBreakHyphen/>
        </w:r>
        <w:r w:rsidRPr="00BE77ED">
          <w:rPr>
            <w:rStyle w:val="Hyperlink"/>
          </w:rPr>
          <w:t>available</w:t>
        </w:r>
        <w:r w:rsidR="00FF1914">
          <w:rPr>
            <w:rStyle w:val="Hyperlink"/>
          </w:rPr>
          <w:noBreakHyphen/>
        </w:r>
        <w:r w:rsidRPr="00BE77ED">
          <w:rPr>
            <w:rStyle w:val="Hyperlink"/>
          </w:rPr>
          <w:t>in</w:t>
        </w:r>
        <w:r w:rsidR="00FF1914">
          <w:rPr>
            <w:rStyle w:val="Hyperlink"/>
          </w:rPr>
          <w:noBreakHyphen/>
        </w:r>
        <w:r w:rsidRPr="00BE77ED">
          <w:rPr>
            <w:rStyle w:val="Hyperlink"/>
          </w:rPr>
          <w:t>australia/</w:t>
        </w:r>
      </w:hyperlink>
      <w:r w:rsidRPr="00BE77ED">
        <w:t xml:space="preserve"> [accessed on 1/12/2025].</w:t>
      </w:r>
    </w:p>
  </w:footnote>
  <w:footnote w:id="8">
    <w:p w14:paraId="01A2D7DF" w14:textId="7BC487B5" w:rsidR="00BE77ED" w:rsidRDefault="00BE77ED">
      <w:pPr>
        <w:pStyle w:val="FootnoteText"/>
      </w:pPr>
      <w:r>
        <w:rPr>
          <w:rStyle w:val="FootnoteReference"/>
        </w:rPr>
        <w:footnoteRef/>
      </w:r>
      <w:r>
        <w:t xml:space="preserve"> </w:t>
      </w:r>
      <w:r w:rsidRPr="00BE77ED">
        <w:t>Malaweera A, Dayan S, Pellicano R, Hoi A, Kitching AR, Kent JR. The use of belimumab in three cases of refractory lupus nephritis. Intern Med J. 2023</w:t>
      </w:r>
      <w:r>
        <w:t xml:space="preserve">. </w:t>
      </w:r>
      <w:r w:rsidRPr="00BE77ED">
        <w:t>53(10):1901</w:t>
      </w:r>
      <w:r w:rsidR="00FF1914">
        <w:noBreakHyphen/>
      </w:r>
      <w:r w:rsidRPr="00BE77ED">
        <w:t>1906.</w:t>
      </w:r>
    </w:p>
  </w:footnote>
  <w:footnote w:id="9">
    <w:p w14:paraId="4BC8D525" w14:textId="77777777" w:rsidR="002427E3" w:rsidRPr="005A38BC" w:rsidRDefault="002427E3" w:rsidP="002427E3">
      <w:pPr>
        <w:pStyle w:val="FootnoteText"/>
        <w:rPr>
          <w:sz w:val="18"/>
        </w:rPr>
      </w:pPr>
      <w:r w:rsidRPr="00BE77ED">
        <w:rPr>
          <w:rStyle w:val="FootnoteReference"/>
          <w:szCs w:val="22"/>
        </w:rPr>
        <w:footnoteRef/>
      </w:r>
      <w:r w:rsidRPr="00BE77ED">
        <w:rPr>
          <w:szCs w:val="22"/>
        </w:rPr>
        <w:t xml:space="preserve"> Rossi GM, Vaglio A. New Treatment Regimens, New Drugs, and New Treatment Goals for Lupus Nephritis. J Clin Med. 2025. 14(2):584. doi: 10.3390/jcm14020584.</w:t>
      </w:r>
    </w:p>
  </w:footnote>
  <w:footnote w:id="10">
    <w:p w14:paraId="72A5CF92" w14:textId="7F55D5A3" w:rsidR="002427E3" w:rsidRPr="005A38BC" w:rsidRDefault="002427E3" w:rsidP="002427E3">
      <w:pPr>
        <w:pStyle w:val="FootnoteText"/>
        <w:rPr>
          <w:sz w:val="18"/>
        </w:rPr>
      </w:pPr>
      <w:r w:rsidRPr="005A38BC">
        <w:rPr>
          <w:rStyle w:val="FootnoteReference"/>
          <w:sz w:val="18"/>
        </w:rPr>
        <w:footnoteRef/>
      </w:r>
      <w:r w:rsidRPr="005A38BC">
        <w:rPr>
          <w:sz w:val="18"/>
        </w:rPr>
        <w:t xml:space="preserve"> Rovin BH, Furie R, </w:t>
      </w:r>
      <w:proofErr w:type="spellStart"/>
      <w:r w:rsidRPr="005A38BC">
        <w:rPr>
          <w:sz w:val="18"/>
        </w:rPr>
        <w:t>Latinis</w:t>
      </w:r>
      <w:proofErr w:type="spellEnd"/>
      <w:r w:rsidRPr="005A38BC">
        <w:rPr>
          <w:sz w:val="18"/>
        </w:rPr>
        <w:t xml:space="preserve"> K, Looney RJ, </w:t>
      </w:r>
      <w:proofErr w:type="spellStart"/>
      <w:r w:rsidRPr="005A38BC">
        <w:rPr>
          <w:sz w:val="18"/>
        </w:rPr>
        <w:t>Fervenza</w:t>
      </w:r>
      <w:proofErr w:type="spellEnd"/>
      <w:r w:rsidRPr="005A38BC">
        <w:rPr>
          <w:sz w:val="18"/>
        </w:rPr>
        <w:t xml:space="preserve"> FC, Sanchez</w:t>
      </w:r>
      <w:r w:rsidR="00FF1914">
        <w:rPr>
          <w:sz w:val="18"/>
        </w:rPr>
        <w:noBreakHyphen/>
      </w:r>
      <w:r w:rsidRPr="005A38BC">
        <w:rPr>
          <w:sz w:val="18"/>
        </w:rPr>
        <w:t xml:space="preserve">Guerrero J, </w:t>
      </w:r>
      <w:proofErr w:type="spellStart"/>
      <w:r w:rsidRPr="005A38BC">
        <w:rPr>
          <w:sz w:val="18"/>
        </w:rPr>
        <w:t>Maciuca</w:t>
      </w:r>
      <w:proofErr w:type="spellEnd"/>
      <w:r w:rsidRPr="005A38BC">
        <w:rPr>
          <w:sz w:val="18"/>
        </w:rPr>
        <w:t xml:space="preserve"> R, Zhang D, Garg JP, Brunetta P, Appel G; LUNAR Investigator Group. Efficacy and safety of rituximab in patients with active proliferative lupus nephritis: the Lupus Nephritis Assessment with Rituximab study. Arthritis Rheum. 2012. 64(4):1215</w:t>
      </w:r>
      <w:r w:rsidR="00FF1914">
        <w:rPr>
          <w:sz w:val="18"/>
        </w:rPr>
        <w:noBreakHyphen/>
      </w:r>
      <w:r w:rsidRPr="005A38BC">
        <w:rPr>
          <w:sz w:val="18"/>
        </w:rPr>
        <w:t>26.</w:t>
      </w:r>
    </w:p>
  </w:footnote>
  <w:footnote w:id="11">
    <w:p w14:paraId="5E18F9CA" w14:textId="2CA48621" w:rsidR="002427E3" w:rsidRPr="005A38BC" w:rsidRDefault="002427E3" w:rsidP="002427E3">
      <w:pPr>
        <w:pStyle w:val="FootnoteText"/>
        <w:rPr>
          <w:sz w:val="18"/>
        </w:rPr>
      </w:pPr>
      <w:r w:rsidRPr="005A38BC">
        <w:rPr>
          <w:rStyle w:val="FootnoteReference"/>
          <w:sz w:val="18"/>
        </w:rPr>
        <w:footnoteRef/>
      </w:r>
      <w:r w:rsidRPr="005A38BC">
        <w:rPr>
          <w:sz w:val="18"/>
        </w:rPr>
        <w:t xml:space="preserve"> Nakagawa S, Yeung EK, Hoi A, Morand EF, Kent JR, </w:t>
      </w:r>
      <w:proofErr w:type="spellStart"/>
      <w:r w:rsidRPr="005A38BC">
        <w:rPr>
          <w:sz w:val="18"/>
        </w:rPr>
        <w:t>Kandane</w:t>
      </w:r>
      <w:proofErr w:type="spellEnd"/>
      <w:r w:rsidR="00FF1914">
        <w:rPr>
          <w:sz w:val="18"/>
        </w:rPr>
        <w:noBreakHyphen/>
      </w:r>
      <w:r w:rsidRPr="005A38BC">
        <w:rPr>
          <w:sz w:val="18"/>
        </w:rPr>
        <w:t>Rathnayake R. Early Renal Remission Is Associated with Increased Likelihood of Subsequent Remission in Lupus Nephritis: Single</w:t>
      </w:r>
      <w:r w:rsidR="00FF1914">
        <w:rPr>
          <w:sz w:val="18"/>
        </w:rPr>
        <w:noBreakHyphen/>
      </w:r>
      <w:r w:rsidRPr="005A38BC">
        <w:rPr>
          <w:sz w:val="18"/>
        </w:rPr>
        <w:t>Centre Observational Study in Australia. Int J Mol Sci. 2025. 26(19):9634. doi: 10.3390/ijms26199634.</w:t>
      </w:r>
    </w:p>
  </w:footnote>
  <w:footnote w:id="12">
    <w:p w14:paraId="7ABE83A1" w14:textId="0DDBA580" w:rsidR="006376FC" w:rsidRPr="005A38BC" w:rsidRDefault="006376FC" w:rsidP="006376FC">
      <w:pPr>
        <w:pStyle w:val="FootnoteText"/>
        <w:rPr>
          <w:sz w:val="18"/>
        </w:rPr>
      </w:pPr>
      <w:r w:rsidRPr="005A38BC">
        <w:rPr>
          <w:rStyle w:val="FootnoteReference"/>
          <w:sz w:val="18"/>
        </w:rPr>
        <w:footnoteRef/>
      </w:r>
      <w:r w:rsidRPr="005A38BC">
        <w:rPr>
          <w:sz w:val="18"/>
        </w:rPr>
        <w:t xml:space="preserve"> Jayne D, Rovin B, </w:t>
      </w:r>
      <w:proofErr w:type="spellStart"/>
      <w:r w:rsidRPr="005A38BC">
        <w:rPr>
          <w:sz w:val="18"/>
        </w:rPr>
        <w:t>Mysler</w:t>
      </w:r>
      <w:proofErr w:type="spellEnd"/>
      <w:r w:rsidRPr="005A38BC">
        <w:rPr>
          <w:sz w:val="18"/>
        </w:rPr>
        <w:t xml:space="preserve"> EF, Furie RA, </w:t>
      </w:r>
      <w:proofErr w:type="spellStart"/>
      <w:r w:rsidRPr="005A38BC">
        <w:rPr>
          <w:sz w:val="18"/>
        </w:rPr>
        <w:t>Houssiau</w:t>
      </w:r>
      <w:proofErr w:type="spellEnd"/>
      <w:r w:rsidRPr="005A38BC">
        <w:rPr>
          <w:sz w:val="18"/>
        </w:rPr>
        <w:t xml:space="preserve"> FA, </w:t>
      </w:r>
      <w:proofErr w:type="spellStart"/>
      <w:r w:rsidRPr="005A38BC">
        <w:rPr>
          <w:sz w:val="18"/>
        </w:rPr>
        <w:t>Trasieva</w:t>
      </w:r>
      <w:proofErr w:type="spellEnd"/>
      <w:r w:rsidRPr="005A38BC">
        <w:rPr>
          <w:sz w:val="18"/>
        </w:rPr>
        <w:t xml:space="preserve"> T, </w:t>
      </w:r>
      <w:proofErr w:type="spellStart"/>
      <w:r w:rsidRPr="005A38BC">
        <w:rPr>
          <w:sz w:val="18"/>
        </w:rPr>
        <w:t>Knagenhjelm</w:t>
      </w:r>
      <w:proofErr w:type="spellEnd"/>
      <w:r w:rsidRPr="005A38BC">
        <w:rPr>
          <w:sz w:val="18"/>
        </w:rPr>
        <w:t xml:space="preserve"> J, </w:t>
      </w:r>
      <w:proofErr w:type="spellStart"/>
      <w:r w:rsidRPr="005A38BC">
        <w:rPr>
          <w:sz w:val="18"/>
        </w:rPr>
        <w:t>Schwetje</w:t>
      </w:r>
      <w:proofErr w:type="spellEnd"/>
      <w:r w:rsidRPr="005A38BC">
        <w:rPr>
          <w:sz w:val="18"/>
        </w:rPr>
        <w:t xml:space="preserve"> E, Chia YL, Tummala R, Lindholm C. Phase II randomised trial of type I interferon inhibitor anifrolumab in patients with active lupus nephritis. Ann Rheum Dis. 2022. 81(4):496</w:t>
      </w:r>
      <w:r w:rsidR="00FF1914">
        <w:rPr>
          <w:sz w:val="18"/>
        </w:rPr>
        <w:noBreakHyphen/>
      </w:r>
      <w:r w:rsidRPr="005A38BC">
        <w:rPr>
          <w:sz w:val="18"/>
        </w:rPr>
        <w:t>506.</w:t>
      </w:r>
    </w:p>
  </w:footnote>
  <w:footnote w:id="13">
    <w:p w14:paraId="79CCA601" w14:textId="77777777" w:rsidR="006376FC" w:rsidRDefault="006376FC" w:rsidP="006376FC">
      <w:pPr>
        <w:pStyle w:val="FootnoteText"/>
      </w:pPr>
      <w:r>
        <w:rPr>
          <w:rStyle w:val="FootnoteReference"/>
        </w:rPr>
        <w:footnoteRef/>
      </w:r>
      <w:r>
        <w:t xml:space="preserve"> </w:t>
      </w:r>
      <w:r w:rsidRPr="00527AD2">
        <w:t xml:space="preserve">Gatto M, Zen M, Cruciani C, Iaccarino L, Doria A. Navigating the landscape of SLE treatment: An expert viewpoint on the rationality and limitations of early biologic intervention. </w:t>
      </w:r>
      <w:proofErr w:type="spellStart"/>
      <w:r w:rsidRPr="00527AD2">
        <w:t>Autoimmun</w:t>
      </w:r>
      <w:proofErr w:type="spellEnd"/>
      <w:r w:rsidRPr="00527AD2">
        <w:t xml:space="preserve"> Rev. 2024</w:t>
      </w:r>
      <w:r>
        <w:t xml:space="preserve">. </w:t>
      </w:r>
      <w:r w:rsidRPr="00527AD2">
        <w:t>23(10):103612. doi: 10.1016/j.autrev.2024.103612.</w:t>
      </w:r>
    </w:p>
  </w:footnote>
  <w:footnote w:id="14">
    <w:p w14:paraId="3B097192" w14:textId="18FF9B18" w:rsidR="006376FC" w:rsidRDefault="006376FC" w:rsidP="006376FC">
      <w:pPr>
        <w:pStyle w:val="FootnoteText"/>
      </w:pPr>
      <w:r>
        <w:rPr>
          <w:rStyle w:val="FootnoteReference"/>
        </w:rPr>
        <w:footnoteRef/>
      </w:r>
      <w:r>
        <w:t xml:space="preserve"> </w:t>
      </w:r>
      <w:r w:rsidRPr="009D75BA">
        <w:t>Rovin BH, Ayoub IM, Chan TM, Liu ZH, Mejía</w:t>
      </w:r>
      <w:r w:rsidR="00FF1914">
        <w:noBreakHyphen/>
      </w:r>
      <w:r w:rsidRPr="009D75BA">
        <w:t xml:space="preserve">Vilet JM, Balk EM, Gordon CE, Adam G, Tonelli MA, Cheung M, Earley A, </w:t>
      </w:r>
      <w:proofErr w:type="spellStart"/>
      <w:r w:rsidRPr="009D75BA">
        <w:t>Floege</w:t>
      </w:r>
      <w:proofErr w:type="spellEnd"/>
      <w:r w:rsidRPr="009D75BA">
        <w:t xml:space="preserve"> J. Executive summary of the KDIGO 2024 Clinical Practice Guideline for the Management of Lupus Nephritis. Kidney Int. 2024</w:t>
      </w:r>
      <w:r>
        <w:t xml:space="preserve">. </w:t>
      </w:r>
      <w:r w:rsidRPr="009D75BA">
        <w:t>105(1):31</w:t>
      </w:r>
      <w:r w:rsidR="00FF1914">
        <w:noBreakHyphen/>
      </w:r>
      <w:r w:rsidRPr="009D75BA">
        <w:t>34.</w:t>
      </w:r>
    </w:p>
  </w:footnote>
  <w:footnote w:id="15">
    <w:p w14:paraId="53C5BFE4" w14:textId="46632E2C" w:rsidR="00854C8C" w:rsidRDefault="00854C8C">
      <w:pPr>
        <w:pStyle w:val="FootnoteText"/>
      </w:pPr>
      <w:r>
        <w:rPr>
          <w:rStyle w:val="FootnoteReference"/>
        </w:rPr>
        <w:footnoteRef/>
      </w:r>
      <w:r>
        <w:t xml:space="preserve"> </w:t>
      </w:r>
      <w:r w:rsidR="00754BB6" w:rsidRPr="00754BB6">
        <w:t>Rodziewicz</w:t>
      </w:r>
      <w:r w:rsidR="00754BB6">
        <w:t xml:space="preserve"> M</w:t>
      </w:r>
      <w:r w:rsidR="00754BB6" w:rsidRPr="00754BB6">
        <w:t xml:space="preserve">, </w:t>
      </w:r>
      <w:r w:rsidR="00754BB6">
        <w:t xml:space="preserve">et al. </w:t>
      </w:r>
      <w:r w:rsidR="00754BB6" w:rsidRPr="00754BB6">
        <w:t>The British Isles Lupus Assessment Group Biologics Register (BILAG</w:t>
      </w:r>
      <w:r w:rsidR="00FF1914">
        <w:noBreakHyphen/>
      </w:r>
      <w:r w:rsidR="00754BB6" w:rsidRPr="00754BB6">
        <w:t>BR) consortium, P153 The effectiveness of rituximab in the real</w:t>
      </w:r>
      <w:r w:rsidR="00FF1914">
        <w:noBreakHyphen/>
      </w:r>
      <w:r w:rsidR="00754BB6" w:rsidRPr="00754BB6">
        <w:t>world treatment of lupus nephritis: results from the British Isles Lupus Assessment Group Biologics Register (BILAG</w:t>
      </w:r>
      <w:r w:rsidR="00FF1914">
        <w:noBreakHyphen/>
      </w:r>
      <w:r w:rsidR="00754BB6" w:rsidRPr="00754BB6">
        <w:t>BR), Rheumatology, Volume 64, Issue Supplement_3, April 2025, keaf142.191, https://doi.org/10.1093/rheumatology/keaf142.191</w:t>
      </w:r>
    </w:p>
  </w:footnote>
  <w:footnote w:id="16">
    <w:p w14:paraId="66D101F4" w14:textId="2B0DF717" w:rsidR="007D13C6" w:rsidRDefault="007D13C6" w:rsidP="007D13C6">
      <w:pPr>
        <w:pStyle w:val="FootnoteText"/>
      </w:pPr>
      <w:r>
        <w:rPr>
          <w:rStyle w:val="FootnoteReference"/>
        </w:rPr>
        <w:footnoteRef/>
      </w:r>
      <w:r>
        <w:t xml:space="preserve"> Cosson V, Meneses</w:t>
      </w:r>
      <w:r w:rsidR="00FF1914">
        <w:noBreakHyphen/>
      </w:r>
      <w:r>
        <w:t>Lorente G, D’Arienzo V, Van Someren C, Wood N, Lehane P. POS1159 Interim population pharmacokinetic analysis of obinutuzumab in adolescents with active class III or IV lupus nephritis and simulations to confirm obinutuzumab dose selection in a younger paediatric cohort aged 5 to 12 years in POSTERITY clinical study. Annals of the Rheumatic Diseases. 2025. 84 (suppl 1):1231</w:t>
      </w:r>
      <w:r w:rsidR="00FF1914">
        <w:noBreakHyphen/>
      </w:r>
      <w:r>
        <w:t>1232.</w:t>
      </w:r>
    </w:p>
  </w:footnote>
  <w:footnote w:id="17">
    <w:p w14:paraId="3B2862A6" w14:textId="75AD7561" w:rsidR="007D13C6" w:rsidRDefault="007D13C6" w:rsidP="007D13C6">
      <w:pPr>
        <w:pStyle w:val="FootnoteText"/>
      </w:pPr>
      <w:r>
        <w:rPr>
          <w:rStyle w:val="FootnoteReference"/>
        </w:rPr>
        <w:footnoteRef/>
      </w:r>
      <w:r>
        <w:t xml:space="preserve"> </w:t>
      </w:r>
      <w:r w:rsidRPr="00567319">
        <w:t xml:space="preserve">Izcovich A, Tortosa F, </w:t>
      </w:r>
      <w:proofErr w:type="spellStart"/>
      <w:r w:rsidRPr="00567319">
        <w:t>Bengolea</w:t>
      </w:r>
      <w:proofErr w:type="spellEnd"/>
      <w:r w:rsidRPr="00567319">
        <w:t xml:space="preserve"> A, </w:t>
      </w:r>
      <w:proofErr w:type="spellStart"/>
      <w:r w:rsidRPr="00567319">
        <w:t>Pissinis</w:t>
      </w:r>
      <w:proofErr w:type="spellEnd"/>
      <w:r w:rsidRPr="00567319">
        <w:t xml:space="preserve"> MM, Ragusa M, </w:t>
      </w:r>
      <w:proofErr w:type="spellStart"/>
      <w:r w:rsidRPr="00567319">
        <w:t>Fielli</w:t>
      </w:r>
      <w:proofErr w:type="spellEnd"/>
      <w:r w:rsidRPr="00567319">
        <w:t xml:space="preserve"> M, </w:t>
      </w:r>
      <w:proofErr w:type="spellStart"/>
      <w:r w:rsidRPr="00567319">
        <w:t>Agnoletti</w:t>
      </w:r>
      <w:proofErr w:type="spellEnd"/>
      <w:r w:rsidRPr="00567319">
        <w:t xml:space="preserve"> C, </w:t>
      </w:r>
      <w:proofErr w:type="spellStart"/>
      <w:r w:rsidRPr="00567319">
        <w:t>Quintana</w:t>
      </w:r>
      <w:proofErr w:type="spellEnd"/>
      <w:r w:rsidRPr="00567319">
        <w:t xml:space="preserve"> R, Malvar A, Scolnik M, </w:t>
      </w:r>
      <w:proofErr w:type="spellStart"/>
      <w:r w:rsidRPr="00567319">
        <w:t>Bonfá</w:t>
      </w:r>
      <w:proofErr w:type="spellEnd"/>
      <w:r w:rsidRPr="00567319">
        <w:t xml:space="preserve"> E, Borba EF, </w:t>
      </w:r>
      <w:proofErr w:type="spellStart"/>
      <w:r w:rsidRPr="00567319">
        <w:t>Monticielo</w:t>
      </w:r>
      <w:proofErr w:type="spellEnd"/>
      <w:r w:rsidRPr="00567319">
        <w:t xml:space="preserve"> OA, Dos Reis</w:t>
      </w:r>
      <w:r w:rsidR="00FF1914">
        <w:noBreakHyphen/>
      </w:r>
      <w:r w:rsidRPr="00567319">
        <w:t xml:space="preserve">Neto ET, </w:t>
      </w:r>
      <w:proofErr w:type="spellStart"/>
      <w:r w:rsidRPr="00567319">
        <w:t>Massardo</w:t>
      </w:r>
      <w:proofErr w:type="spellEnd"/>
      <w:r w:rsidRPr="00567319">
        <w:t xml:space="preserve"> L, Gómez</w:t>
      </w:r>
      <w:r w:rsidR="00FF1914">
        <w:noBreakHyphen/>
      </w:r>
      <w:r w:rsidRPr="00567319">
        <w:t>Puerta JA, Toro</w:t>
      </w:r>
      <w:r w:rsidR="00FF1914">
        <w:noBreakHyphen/>
      </w:r>
      <w:r w:rsidRPr="00567319">
        <w:t>Gutiérrez CE, Esquivel</w:t>
      </w:r>
      <w:r w:rsidR="00FF1914">
        <w:noBreakHyphen/>
      </w:r>
      <w:r w:rsidRPr="00567319">
        <w:t>Valerio JA, Loyo HF, Mejia</w:t>
      </w:r>
      <w:r w:rsidR="00FF1914">
        <w:noBreakHyphen/>
      </w:r>
      <w:r w:rsidRPr="00567319">
        <w:t>Vilet JM, Alarcón GS, Ugarte</w:t>
      </w:r>
      <w:r w:rsidR="00FF1914">
        <w:noBreakHyphen/>
      </w:r>
      <w:r w:rsidRPr="00567319">
        <w:t>Gil MF, Pons</w:t>
      </w:r>
      <w:r w:rsidR="00FF1914">
        <w:noBreakHyphen/>
      </w:r>
      <w:r w:rsidRPr="00567319">
        <w:t>Estel BA, Pons</w:t>
      </w:r>
      <w:r w:rsidR="00FF1914">
        <w:noBreakHyphen/>
      </w:r>
      <w:r w:rsidRPr="00567319">
        <w:t xml:space="preserve">Estel G; Grupo Latino Americano de </w:t>
      </w:r>
      <w:proofErr w:type="spellStart"/>
      <w:r w:rsidRPr="00567319">
        <w:t>Estudio</w:t>
      </w:r>
      <w:proofErr w:type="spellEnd"/>
      <w:r w:rsidRPr="00567319">
        <w:t xml:space="preserve"> del Lupus (GLADEL). Systematic Review and Network Meta</w:t>
      </w:r>
      <w:r w:rsidR="00FF1914">
        <w:noBreakHyphen/>
      </w:r>
      <w:r w:rsidRPr="00567319">
        <w:t>Analysis of Initial Treatments for Lupus Nephritis. Kidney Int Rep. 2025</w:t>
      </w:r>
      <w:r>
        <w:t xml:space="preserve">. </w:t>
      </w:r>
      <w:r w:rsidRPr="00567319">
        <w:t>10(9):2977</w:t>
      </w:r>
      <w:r w:rsidR="00FF1914">
        <w:noBreakHyphen/>
      </w:r>
      <w:r w:rsidRPr="00567319">
        <w:t>2990. doi: 10.1016/j.ekir.2025.06.047</w:t>
      </w:r>
    </w:p>
  </w:footnote>
  <w:footnote w:id="18">
    <w:p w14:paraId="0C857FFD" w14:textId="4B2B959B" w:rsidR="006F0D5C" w:rsidRPr="00BE11C2" w:rsidRDefault="006F0D5C" w:rsidP="006F0D5C">
      <w:pPr>
        <w:pStyle w:val="FootnoteText"/>
        <w:rPr>
          <w:sz w:val="18"/>
          <w:szCs w:val="18"/>
        </w:rPr>
      </w:pPr>
      <w:r w:rsidRPr="00BE11C2">
        <w:rPr>
          <w:rStyle w:val="FootnoteReference"/>
          <w:sz w:val="18"/>
          <w:szCs w:val="18"/>
        </w:rPr>
        <w:footnoteRef/>
      </w:r>
      <w:r w:rsidRPr="00BE11C2">
        <w:rPr>
          <w:sz w:val="18"/>
          <w:szCs w:val="18"/>
        </w:rPr>
        <w:t xml:space="preserve"> Davidson JE, Fu Q, Ji B, Rao S, Roth D, </w:t>
      </w:r>
      <w:proofErr w:type="spellStart"/>
      <w:r w:rsidRPr="00BE11C2">
        <w:rPr>
          <w:sz w:val="18"/>
          <w:szCs w:val="18"/>
        </w:rPr>
        <w:t>Magder</w:t>
      </w:r>
      <w:proofErr w:type="spellEnd"/>
      <w:r w:rsidRPr="00BE11C2">
        <w:rPr>
          <w:sz w:val="18"/>
          <w:szCs w:val="18"/>
        </w:rPr>
        <w:t xml:space="preserve"> LS, Petri M. Renal Remission Status and Longterm Renal Survival in Patients with Lupus Nephritis: A Retrospective Cohort Analysis. J Rheumatol. 2018 May;45(5):671</w:t>
      </w:r>
      <w:r w:rsidR="00FF1914">
        <w:rPr>
          <w:sz w:val="18"/>
          <w:szCs w:val="18"/>
        </w:rPr>
        <w:noBreakHyphen/>
      </w:r>
      <w:r w:rsidRPr="00BE11C2">
        <w:rPr>
          <w:sz w:val="18"/>
          <w:szCs w:val="18"/>
        </w:rPr>
        <w:t xml:space="preserve">677. doi: 10.3899/jrheum.161554. </w:t>
      </w:r>
      <w:proofErr w:type="spellStart"/>
      <w:r w:rsidRPr="00BE11C2">
        <w:rPr>
          <w:sz w:val="18"/>
          <w:szCs w:val="18"/>
        </w:rPr>
        <w:t>Epub</w:t>
      </w:r>
      <w:proofErr w:type="spellEnd"/>
      <w:r w:rsidRPr="00BE11C2">
        <w:rPr>
          <w:sz w:val="18"/>
          <w:szCs w:val="18"/>
        </w:rPr>
        <w:t xml:space="preserve"> 2018 Mar 1. PMID: 29496892; PMCID: PMC5932209.</w:t>
      </w:r>
    </w:p>
  </w:footnote>
  <w:footnote w:id="19">
    <w:p w14:paraId="788BD404" w14:textId="77777777" w:rsidR="006F0D5C" w:rsidRPr="00BE11C2" w:rsidRDefault="006F0D5C" w:rsidP="006F0D5C">
      <w:pPr>
        <w:pStyle w:val="FootnoteText"/>
        <w:rPr>
          <w:sz w:val="18"/>
          <w:szCs w:val="18"/>
        </w:rPr>
      </w:pPr>
      <w:r w:rsidRPr="00BE11C2">
        <w:rPr>
          <w:rStyle w:val="FootnoteReference"/>
          <w:sz w:val="18"/>
          <w:szCs w:val="18"/>
        </w:rPr>
        <w:footnoteRef/>
      </w:r>
      <w:r w:rsidRPr="00BE11C2">
        <w:rPr>
          <w:sz w:val="18"/>
          <w:szCs w:val="18"/>
        </w:rPr>
        <w:t xml:space="preserve"> W Mulley, C Davies, E Au, S Bateman, J Chen, P Clayton, K Hurst, F </w:t>
      </w:r>
      <w:proofErr w:type="spellStart"/>
      <w:r w:rsidRPr="00BE11C2">
        <w:rPr>
          <w:sz w:val="18"/>
          <w:szCs w:val="18"/>
        </w:rPr>
        <w:t>Kholmurodova</w:t>
      </w:r>
      <w:proofErr w:type="spellEnd"/>
      <w:r w:rsidRPr="00BE11C2">
        <w:rPr>
          <w:sz w:val="18"/>
          <w:szCs w:val="18"/>
        </w:rPr>
        <w:t>, D Lee, H McCarthy, S McDonald, M Roberts, B Solomon, T Sun, G Irish. 47th Report, Chapter 7: Kidney Transplantation. Australia and New Zealand Dialysis and Transplant Registry, Adelaide, Australia. 2024. Available at: http://www.anzdata.org.au</w:t>
      </w:r>
    </w:p>
  </w:footnote>
  <w:footnote w:id="20">
    <w:p w14:paraId="275185C1" w14:textId="3AB9E80D" w:rsidR="006F0D5C" w:rsidRPr="00BE11C2" w:rsidRDefault="006F0D5C" w:rsidP="006F0D5C">
      <w:pPr>
        <w:pStyle w:val="FootnoteText"/>
        <w:rPr>
          <w:sz w:val="18"/>
          <w:szCs w:val="18"/>
        </w:rPr>
      </w:pPr>
      <w:r w:rsidRPr="00BE11C2">
        <w:rPr>
          <w:rStyle w:val="FootnoteReference"/>
          <w:sz w:val="18"/>
          <w:szCs w:val="18"/>
        </w:rPr>
        <w:footnoteRef/>
      </w:r>
      <w:r w:rsidRPr="00BE11C2">
        <w:rPr>
          <w:sz w:val="18"/>
          <w:szCs w:val="18"/>
        </w:rPr>
        <w:t xml:space="preserve"> Tice JA, Mandrik O, </w:t>
      </w:r>
      <w:proofErr w:type="spellStart"/>
      <w:r w:rsidRPr="00BE11C2">
        <w:rPr>
          <w:sz w:val="18"/>
          <w:szCs w:val="18"/>
        </w:rPr>
        <w:t>Thokala</w:t>
      </w:r>
      <w:proofErr w:type="spellEnd"/>
      <w:r w:rsidRPr="00BE11C2">
        <w:rPr>
          <w:sz w:val="18"/>
          <w:szCs w:val="18"/>
        </w:rPr>
        <w:t xml:space="preserve"> P, Fotheringham J, Agboola F, Herron</w:t>
      </w:r>
      <w:r w:rsidR="00FF1914">
        <w:rPr>
          <w:sz w:val="18"/>
          <w:szCs w:val="18"/>
        </w:rPr>
        <w:noBreakHyphen/>
      </w:r>
      <w:r w:rsidRPr="00BE11C2">
        <w:rPr>
          <w:sz w:val="18"/>
          <w:szCs w:val="18"/>
        </w:rPr>
        <w:t>Smith S, Chapman R, Pearson SD. Voclosporin and Belimumab for Lupus Nephritis: Effectiveness and Value; Evidence Report. Institute for Clinical and Economic Review, April 16, 2021. https://icer.org/wp</w:t>
      </w:r>
      <w:r w:rsidR="00FF1914">
        <w:rPr>
          <w:sz w:val="18"/>
          <w:szCs w:val="18"/>
        </w:rPr>
        <w:noBreakHyphen/>
      </w:r>
      <w:r w:rsidRPr="00BE11C2">
        <w:rPr>
          <w:sz w:val="18"/>
          <w:szCs w:val="18"/>
        </w:rPr>
        <w:t>content/uploads/2020/11/ICER_Lupus</w:t>
      </w:r>
      <w:r w:rsidR="00FF1914">
        <w:rPr>
          <w:sz w:val="18"/>
          <w:szCs w:val="18"/>
        </w:rPr>
        <w:noBreakHyphen/>
      </w:r>
      <w:r w:rsidRPr="00BE11C2">
        <w:rPr>
          <w:sz w:val="18"/>
          <w:szCs w:val="18"/>
        </w:rPr>
        <w:t>Nephritis_Final</w:t>
      </w:r>
      <w:r w:rsidR="00FF1914">
        <w:rPr>
          <w:sz w:val="18"/>
          <w:szCs w:val="18"/>
        </w:rPr>
        <w:noBreakHyphen/>
      </w:r>
      <w:r w:rsidRPr="00BE11C2">
        <w:rPr>
          <w:sz w:val="18"/>
          <w:szCs w:val="18"/>
        </w:rPr>
        <w:t>Evidence</w:t>
      </w:r>
      <w:r w:rsidR="00FF1914">
        <w:rPr>
          <w:sz w:val="18"/>
          <w:szCs w:val="18"/>
        </w:rPr>
        <w:noBreakHyphen/>
      </w:r>
      <w:r w:rsidRPr="00BE11C2">
        <w:rPr>
          <w:sz w:val="18"/>
          <w:szCs w:val="18"/>
        </w:rPr>
        <w:t>Report_041621.pdf</w:t>
      </w:r>
    </w:p>
  </w:footnote>
  <w:footnote w:id="21">
    <w:p w14:paraId="7D8510F4" w14:textId="1553439D" w:rsidR="006F0D5C" w:rsidRPr="00BE11C2" w:rsidRDefault="006F0D5C" w:rsidP="006F0D5C">
      <w:pPr>
        <w:pStyle w:val="FootnoteText"/>
        <w:rPr>
          <w:sz w:val="18"/>
          <w:szCs w:val="18"/>
        </w:rPr>
      </w:pPr>
      <w:r w:rsidRPr="00BE11C2">
        <w:rPr>
          <w:rStyle w:val="FootnoteReference"/>
          <w:sz w:val="18"/>
          <w:szCs w:val="18"/>
        </w:rPr>
        <w:footnoteRef/>
      </w:r>
      <w:r w:rsidRPr="00BE11C2">
        <w:rPr>
          <w:sz w:val="18"/>
          <w:szCs w:val="18"/>
        </w:rPr>
        <w:t xml:space="preserve"> Mandrik, O., Fotheringham, J., Ren, S., Tice, J. A., Chapman, R. H., Stevenson, M. D., Pearson, S. D., Herron</w:t>
      </w:r>
      <w:r w:rsidR="00FF1914">
        <w:rPr>
          <w:sz w:val="18"/>
          <w:szCs w:val="18"/>
        </w:rPr>
        <w:noBreakHyphen/>
      </w:r>
      <w:r w:rsidRPr="00BE11C2">
        <w:rPr>
          <w:sz w:val="18"/>
          <w:szCs w:val="18"/>
        </w:rPr>
        <w:t xml:space="preserve">Smith, S., Agboola, F., &amp; </w:t>
      </w:r>
      <w:proofErr w:type="spellStart"/>
      <w:r w:rsidRPr="00BE11C2">
        <w:rPr>
          <w:sz w:val="18"/>
          <w:szCs w:val="18"/>
        </w:rPr>
        <w:t>Thokala</w:t>
      </w:r>
      <w:proofErr w:type="spellEnd"/>
      <w:r w:rsidRPr="00BE11C2">
        <w:rPr>
          <w:sz w:val="18"/>
          <w:szCs w:val="18"/>
        </w:rPr>
        <w:t>, P. (2022). The Cost</w:t>
      </w:r>
      <w:r w:rsidR="00FF1914">
        <w:rPr>
          <w:sz w:val="18"/>
          <w:szCs w:val="18"/>
        </w:rPr>
        <w:noBreakHyphen/>
      </w:r>
      <w:r w:rsidRPr="00BE11C2">
        <w:rPr>
          <w:sz w:val="18"/>
          <w:szCs w:val="18"/>
        </w:rPr>
        <w:t>Effectiveness of Belimumab and Voclosporin for Patients with Lupus Nephritis in the United States. Clin J Am Soc Nephrol, 17(3), 385–394. https://doi.org/10.2215/cjn.13030921</w:t>
      </w:r>
    </w:p>
  </w:footnote>
  <w:footnote w:id="22">
    <w:p w14:paraId="74E86AA8" w14:textId="0DA7AA26" w:rsidR="006F0D5C" w:rsidRPr="00BE11C2" w:rsidRDefault="006F0D5C" w:rsidP="006F0D5C">
      <w:pPr>
        <w:pStyle w:val="FootnoteText"/>
        <w:rPr>
          <w:sz w:val="18"/>
          <w:szCs w:val="18"/>
        </w:rPr>
      </w:pPr>
      <w:r w:rsidRPr="00BE11C2">
        <w:rPr>
          <w:rStyle w:val="FootnoteReference"/>
          <w:sz w:val="18"/>
          <w:szCs w:val="18"/>
        </w:rPr>
        <w:footnoteRef/>
      </w:r>
      <w:r w:rsidRPr="00BE11C2">
        <w:rPr>
          <w:sz w:val="18"/>
          <w:szCs w:val="18"/>
        </w:rPr>
        <w:t xml:space="preserve"> Kennedy, L., Lee, E., Flauto, R., Atencio, V., &amp; </w:t>
      </w:r>
      <w:proofErr w:type="spellStart"/>
      <w:r w:rsidRPr="00BE11C2">
        <w:rPr>
          <w:sz w:val="18"/>
          <w:szCs w:val="18"/>
        </w:rPr>
        <w:t>Birardi</w:t>
      </w:r>
      <w:proofErr w:type="spellEnd"/>
      <w:r w:rsidRPr="00BE11C2">
        <w:rPr>
          <w:sz w:val="18"/>
          <w:szCs w:val="18"/>
        </w:rPr>
        <w:t>, V. (2024). Evaluating the cost</w:t>
      </w:r>
      <w:r w:rsidR="00FF1914">
        <w:rPr>
          <w:sz w:val="18"/>
          <w:szCs w:val="18"/>
        </w:rPr>
        <w:noBreakHyphen/>
      </w:r>
      <w:r w:rsidRPr="00BE11C2">
        <w:rPr>
          <w:sz w:val="18"/>
          <w:szCs w:val="18"/>
        </w:rPr>
        <w:t>effectiveness of voclosporin for the treatment of lupus nephritis in the United States. J Manag Care Spec Pharm, 30(8), 773–781. https://doi.org/10.18553/jmcp.2024.23324</w:t>
      </w:r>
    </w:p>
  </w:footnote>
  <w:footnote w:id="23">
    <w:p w14:paraId="13509F5A" w14:textId="07CB7028" w:rsidR="006F0D5C" w:rsidRDefault="006F0D5C" w:rsidP="006F0D5C">
      <w:pPr>
        <w:pStyle w:val="FootnoteText"/>
      </w:pPr>
      <w:r>
        <w:rPr>
          <w:rStyle w:val="FootnoteReference"/>
        </w:rPr>
        <w:footnoteRef/>
      </w:r>
      <w:r>
        <w:t xml:space="preserve"> </w:t>
      </w:r>
      <w:r w:rsidRPr="00B518E3">
        <w:t xml:space="preserve">Nakagawa S, Yeung EK, Hoi A, Morand EF, Kent JR, </w:t>
      </w:r>
      <w:proofErr w:type="spellStart"/>
      <w:r w:rsidRPr="00B518E3">
        <w:t>Kandane</w:t>
      </w:r>
      <w:proofErr w:type="spellEnd"/>
      <w:r w:rsidR="00FF1914">
        <w:noBreakHyphen/>
      </w:r>
      <w:r w:rsidRPr="00B518E3">
        <w:t>Rathnayake R. Early Renal Remission Is Associated with Increased Likelihood of Subsequent Remission in Lupus Nephritis: Single</w:t>
      </w:r>
      <w:r w:rsidR="00FF1914">
        <w:noBreakHyphen/>
      </w:r>
      <w:r w:rsidRPr="00B518E3">
        <w:t>Centre Observational Study in Australia. Int J Mol Sci. 2025 Oct 2;26(19):9634. doi: 10.3390/ijms26199634. PMID: 41096898; PMCID: PMC12525387.</w:t>
      </w:r>
    </w:p>
  </w:footnote>
  <w:footnote w:id="24">
    <w:p w14:paraId="16FDFDF7" w14:textId="5502C2E1" w:rsidR="006F0D5C" w:rsidRDefault="006F0D5C" w:rsidP="006F0D5C">
      <w:pPr>
        <w:pStyle w:val="FootnoteText"/>
      </w:pPr>
      <w:r>
        <w:rPr>
          <w:rStyle w:val="FootnoteReference"/>
        </w:rPr>
        <w:footnoteRef/>
      </w:r>
      <w:r>
        <w:t xml:space="preserve"> </w:t>
      </w:r>
      <w:r w:rsidRPr="00634516">
        <w:t xml:space="preserve">Hanly JG, Su L, </w:t>
      </w:r>
      <w:proofErr w:type="spellStart"/>
      <w:r w:rsidRPr="00634516">
        <w:t>Urowitz</w:t>
      </w:r>
      <w:proofErr w:type="spellEnd"/>
      <w:r w:rsidRPr="00634516">
        <w:t xml:space="preserve"> MB, Romero</w:t>
      </w:r>
      <w:r w:rsidR="00FF1914">
        <w:noBreakHyphen/>
      </w:r>
      <w:r w:rsidRPr="00634516">
        <w:t xml:space="preserve">Diaz J, Gordon C, Bae SC, Bernatsky S, Clarke AE, Wallace DJ, Merrill JT, Isenberg DA, Rahman A, </w:t>
      </w:r>
      <w:proofErr w:type="spellStart"/>
      <w:r w:rsidRPr="00634516">
        <w:t>Ginzler</w:t>
      </w:r>
      <w:proofErr w:type="spellEnd"/>
      <w:r w:rsidRPr="00634516">
        <w:t xml:space="preserve"> EM, Petri M, Bruce IN, Dooley MA, Fortin P, Gladman DD, Sanchez</w:t>
      </w:r>
      <w:r w:rsidR="00FF1914">
        <w:noBreakHyphen/>
      </w:r>
      <w:r w:rsidRPr="00634516">
        <w:t>Guerrero J, Steinsson K, Ramsey</w:t>
      </w:r>
      <w:r w:rsidR="00FF1914">
        <w:noBreakHyphen/>
      </w:r>
      <w:r w:rsidRPr="00634516">
        <w:t xml:space="preserve">Goldman R, </w:t>
      </w:r>
      <w:proofErr w:type="spellStart"/>
      <w:r w:rsidRPr="00634516">
        <w:t>Khamashta</w:t>
      </w:r>
      <w:proofErr w:type="spellEnd"/>
      <w:r w:rsidRPr="00634516">
        <w:t xml:space="preserve"> MA, </w:t>
      </w:r>
      <w:proofErr w:type="spellStart"/>
      <w:r w:rsidRPr="00634516">
        <w:t>Aranow</w:t>
      </w:r>
      <w:proofErr w:type="spellEnd"/>
      <w:r w:rsidRPr="00634516">
        <w:t xml:space="preserve"> C, Alarcón GS, Fessler BJ, Manzi S, Nived O, </w:t>
      </w:r>
      <w:proofErr w:type="spellStart"/>
      <w:r w:rsidRPr="00634516">
        <w:t>Sturfelt</w:t>
      </w:r>
      <w:proofErr w:type="spellEnd"/>
      <w:r w:rsidRPr="00634516">
        <w:t xml:space="preserve"> GK, Zoma AA, van Vollenhoven RF, Ramos</w:t>
      </w:r>
      <w:r w:rsidR="00FF1914">
        <w:noBreakHyphen/>
      </w:r>
      <w:r w:rsidRPr="00634516">
        <w:t>Casals M, Ruiz</w:t>
      </w:r>
      <w:r w:rsidR="00FF1914">
        <w:noBreakHyphen/>
      </w:r>
      <w:proofErr w:type="spellStart"/>
      <w:r w:rsidRPr="00634516">
        <w:t>Irastorza</w:t>
      </w:r>
      <w:proofErr w:type="spellEnd"/>
      <w:r w:rsidRPr="00634516">
        <w:t xml:space="preserve"> G, Lim SS, Kalunian KC, </w:t>
      </w:r>
      <w:proofErr w:type="spellStart"/>
      <w:r w:rsidRPr="00634516">
        <w:t>Inanc</w:t>
      </w:r>
      <w:proofErr w:type="spellEnd"/>
      <w:r w:rsidRPr="00634516">
        <w:t xml:space="preserve"> M, Kamen DL, </w:t>
      </w:r>
      <w:proofErr w:type="spellStart"/>
      <w:r w:rsidRPr="00634516">
        <w:t>Peschken</w:t>
      </w:r>
      <w:proofErr w:type="spellEnd"/>
      <w:r w:rsidRPr="00634516">
        <w:t xml:space="preserve"> CA, Jacobsen S, </w:t>
      </w:r>
      <w:proofErr w:type="spellStart"/>
      <w:r w:rsidRPr="00634516">
        <w:t>Askanase</w:t>
      </w:r>
      <w:proofErr w:type="spellEnd"/>
      <w:r w:rsidRPr="00634516">
        <w:t xml:space="preserve"> A, Theriault C, Farewell V. A Longitudinal Analysis of Outcomes of Lupus Nephritis in an International Inception Cohort Using a Multistate Model Approach. Arthritis </w:t>
      </w:r>
      <w:proofErr w:type="spellStart"/>
      <w:r w:rsidRPr="00634516">
        <w:t>Rheumatol</w:t>
      </w:r>
      <w:proofErr w:type="spellEnd"/>
      <w:r w:rsidRPr="00634516">
        <w:t>. 2016 Aug;68(8):1932</w:t>
      </w:r>
      <w:r w:rsidR="00FF1914">
        <w:noBreakHyphen/>
      </w:r>
      <w:r w:rsidRPr="00634516">
        <w:t>44. doi: 10.1002/art.39674. PMID: 26991067; PMCID: PMC5858760.</w:t>
      </w:r>
    </w:p>
  </w:footnote>
  <w:footnote w:id="25">
    <w:p w14:paraId="29049E09" w14:textId="6B5C99E9" w:rsidR="006F0D5C" w:rsidRDefault="006F0D5C" w:rsidP="006F0D5C">
      <w:pPr>
        <w:pStyle w:val="FootnoteText"/>
      </w:pPr>
      <w:r>
        <w:rPr>
          <w:rStyle w:val="FootnoteReference"/>
        </w:rPr>
        <w:footnoteRef/>
      </w:r>
      <w:r>
        <w:t xml:space="preserve"> </w:t>
      </w:r>
      <w:r w:rsidRPr="00C65EBF">
        <w:t>Lee, A. J., Morgan, C. Ll., Conway, P., &amp; Currie, C. J. (2005). Characterisation and comparison of health</w:t>
      </w:r>
      <w:r w:rsidR="00FF1914">
        <w:noBreakHyphen/>
      </w:r>
      <w:r w:rsidRPr="00C65EBF">
        <w:t>related quality of life for patients with renal failure. Current Medical Research and Opinion, 21(11), 1777–1783. https://doi.org/10.1185/030079905X65277</w:t>
      </w:r>
    </w:p>
  </w:footnote>
  <w:footnote w:id="26">
    <w:p w14:paraId="312F86AD" w14:textId="7BD982BE" w:rsidR="006F0D5C" w:rsidRDefault="006F0D5C" w:rsidP="006F0D5C">
      <w:pPr>
        <w:pStyle w:val="FootnoteText"/>
      </w:pPr>
      <w:r>
        <w:rPr>
          <w:rStyle w:val="FootnoteReference"/>
        </w:rPr>
        <w:footnoteRef/>
      </w:r>
      <w:r>
        <w:t xml:space="preserve"> </w:t>
      </w:r>
      <w:r w:rsidRPr="00C65EBF">
        <w:t>Bexelius C, Wachtmeister K, Skare P, Jönsson L, Vollenhoven Rv. Drivers of cost and health</w:t>
      </w:r>
      <w:r w:rsidR="00FF1914">
        <w:noBreakHyphen/>
      </w:r>
      <w:r w:rsidRPr="00C65EBF">
        <w:t>related quality of life in patients with systemic lupus erythematosus (SLE): a Swedish nationwide study based on patient reports. Lupus. 2013 Jul;22(8):793</w:t>
      </w:r>
      <w:r w:rsidR="00FF1914">
        <w:noBreakHyphen/>
      </w:r>
      <w:r w:rsidRPr="00C65EBF">
        <w:t xml:space="preserve">801. doi: 10.1177/0961203313491849. </w:t>
      </w:r>
      <w:proofErr w:type="spellStart"/>
      <w:r w:rsidRPr="00C65EBF">
        <w:t>Epub</w:t>
      </w:r>
      <w:proofErr w:type="spellEnd"/>
      <w:r w:rsidRPr="00C65EBF">
        <w:t xml:space="preserve"> 2013 Jun 11. PMID: 23761101.</w:t>
      </w:r>
    </w:p>
  </w:footnote>
  <w:footnote w:id="27">
    <w:p w14:paraId="074E78A9" w14:textId="41A5EDA1" w:rsidR="006F0D5C" w:rsidRDefault="006F0D5C" w:rsidP="006F0D5C">
      <w:pPr>
        <w:pStyle w:val="FootnoteText"/>
      </w:pPr>
      <w:r>
        <w:rPr>
          <w:rStyle w:val="FootnoteReference"/>
        </w:rPr>
        <w:footnoteRef/>
      </w:r>
      <w:r>
        <w:t xml:space="preserve"> </w:t>
      </w:r>
      <w:r w:rsidRPr="00CA66CC">
        <w:t xml:space="preserve">Liem, Y. S., Bosch, J. L., &amp; </w:t>
      </w:r>
      <w:proofErr w:type="spellStart"/>
      <w:r w:rsidRPr="00CA66CC">
        <w:t>Hunink</w:t>
      </w:r>
      <w:proofErr w:type="spellEnd"/>
      <w:r w:rsidRPr="00CA66CC">
        <w:t>, M. G. (2008). Preference</w:t>
      </w:r>
      <w:r w:rsidR="00FF1914">
        <w:noBreakHyphen/>
      </w:r>
      <w:r w:rsidRPr="00CA66CC">
        <w:t>based quality of life of patients on renal replacement therapy: a systematic review and meta</w:t>
      </w:r>
      <w:r w:rsidR="00FF1914">
        <w:noBreakHyphen/>
      </w:r>
      <w:r w:rsidRPr="00CA66CC">
        <w:t>analysis. Value Health, 11(4), 733–741. https://doi.org/10.1111/j.1524</w:t>
      </w:r>
      <w:r w:rsidR="00FF1914">
        <w:noBreakHyphen/>
      </w:r>
      <w:r w:rsidRPr="00CA66CC">
        <w:t>4733.2007.00308.x</w:t>
      </w:r>
    </w:p>
  </w:footnote>
  <w:footnote w:id="28">
    <w:p w14:paraId="101B8567" w14:textId="77777777" w:rsidR="00B041D6" w:rsidRPr="0084447B" w:rsidRDefault="00B041D6" w:rsidP="00B041D6">
      <w:pPr>
        <w:pStyle w:val="FootnoteText"/>
      </w:pPr>
      <w:r w:rsidRPr="0084447B">
        <w:rPr>
          <w:rStyle w:val="FootnoteReference"/>
        </w:rPr>
        <w:footnoteRef/>
      </w:r>
      <w:r w:rsidRPr="0084447B">
        <w:t xml:space="preserve"> Tian J, Zhang D, Yao X, et al. Ann Rheum Dis, 2023;82:351–356.</w:t>
      </w:r>
    </w:p>
  </w:footnote>
  <w:footnote w:id="29">
    <w:p w14:paraId="0AD987FA" w14:textId="50E3DA28" w:rsidR="00B041D6" w:rsidRDefault="00B041D6" w:rsidP="00B041D6">
      <w:pPr>
        <w:pStyle w:val="FootnoteText"/>
      </w:pPr>
      <w:r w:rsidRPr="0084447B">
        <w:rPr>
          <w:rStyle w:val="FootnoteReference"/>
        </w:rPr>
        <w:footnoteRef/>
      </w:r>
      <w:r w:rsidRPr="0084447B">
        <w:t xml:space="preserve"> Roper L, Cameron E, Yu T, Li N, Parker M, Nassar N, Nikpour M. Prevalence of vasculitis, systemic lupus erythematosus, rheumatoid arthritis, systemic sclerosis, idiopathic inflammatory myopathies and spondyloarthritis in Australia: a systematic review and meta</w:t>
      </w:r>
      <w:r w:rsidR="00FF1914">
        <w:noBreakHyphen/>
      </w:r>
      <w:r w:rsidRPr="0084447B">
        <w:t>analysis. Intern Med J. 2025 Dec;55(12):1985</w:t>
      </w:r>
      <w:r w:rsidR="00FF1914">
        <w:noBreakHyphen/>
      </w:r>
      <w:r w:rsidRPr="0084447B">
        <w:t xml:space="preserve">1996. doi: 10.1111/imj.70210. </w:t>
      </w:r>
      <w:proofErr w:type="spellStart"/>
      <w:r w:rsidRPr="0084447B">
        <w:t>Epub</w:t>
      </w:r>
      <w:proofErr w:type="spellEnd"/>
      <w:r w:rsidRPr="0084447B">
        <w:t xml:space="preserve"> 2025 Sep 15. PMID: 40955101; PMCID: PMC12704404.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9A49" w14:textId="2183EA2F" w:rsidR="005E39EA" w:rsidRDefault="000B7C6F">
    <w:pPr>
      <w:pStyle w:val="Header"/>
    </w:pPr>
    <w:r>
      <w:rPr>
        <w:noProof/>
      </w:rPr>
      <mc:AlternateContent>
        <mc:Choice Requires="wps">
          <w:drawing>
            <wp:anchor distT="0" distB="0" distL="0" distR="0" simplePos="0" relativeHeight="251658241" behindDoc="0" locked="0" layoutInCell="1" allowOverlap="1" wp14:anchorId="5CBBCE30" wp14:editId="3A9BE3DA">
              <wp:simplePos x="635" y="635"/>
              <wp:positionH relativeFrom="page">
                <wp:align>center</wp:align>
              </wp:positionH>
              <wp:positionV relativeFrom="page">
                <wp:align>top</wp:align>
              </wp:positionV>
              <wp:extent cx="622300" cy="376555"/>
              <wp:effectExtent l="0" t="0" r="6350" b="4445"/>
              <wp:wrapNone/>
              <wp:docPr id="8916335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1B94FB" w14:textId="3B2F27B1"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BBCE30"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61B94FB" w14:textId="3B2F27B1"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16AA61B" w:rsidR="00D843F2" w:rsidRPr="00195452" w:rsidRDefault="000B7C6F"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26187B52" wp14:editId="334BD563">
              <wp:simplePos x="635" y="635"/>
              <wp:positionH relativeFrom="page">
                <wp:align>center</wp:align>
              </wp:positionH>
              <wp:positionV relativeFrom="page">
                <wp:align>top</wp:align>
              </wp:positionV>
              <wp:extent cx="622300" cy="376555"/>
              <wp:effectExtent l="0" t="0" r="6350" b="4445"/>
              <wp:wrapNone/>
              <wp:docPr id="17518141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F3B984" w14:textId="5D20E51A"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87B52"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CF3B984" w14:textId="5D20E51A"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v:textbox>
              <w10:wrap anchorx="page" anchory="page"/>
            </v:shape>
          </w:pict>
        </mc:Fallback>
      </mc:AlternateContent>
    </w:r>
    <w:r w:rsidR="00CA2AD3">
      <w:rPr>
        <w:rFonts w:asciiTheme="minorHAnsi" w:hAnsiTheme="minorHAnsi"/>
        <w:color w:val="808080"/>
      </w:rPr>
      <w:t>Public Summary Document</w:t>
    </w:r>
    <w:r w:rsidR="006C3F0C">
      <w:rPr>
        <w:rFonts w:asciiTheme="minorHAnsi" w:hAnsiTheme="minorHAnsi"/>
        <w:color w:val="808080"/>
      </w:rPr>
      <w:t xml:space="preserve"> </w:t>
    </w:r>
    <w:r w:rsidR="00FF1914">
      <w:rPr>
        <w:rFonts w:asciiTheme="minorHAnsi" w:hAnsiTheme="minorHAnsi"/>
        <w:color w:val="808080"/>
      </w:rPr>
      <w:noBreakHyphen/>
    </w:r>
    <w:r w:rsidR="006C3F0C">
      <w:rPr>
        <w:rFonts w:asciiTheme="minorHAnsi" w:hAnsiTheme="minorHAnsi"/>
        <w:color w:val="808080"/>
      </w:rPr>
      <w:t xml:space="preserve"> </w:t>
    </w:r>
    <w:r w:rsidR="00C11AAB">
      <w:rPr>
        <w:rFonts w:asciiTheme="minorHAnsi" w:hAnsiTheme="minorHAnsi"/>
        <w:color w:val="808080"/>
      </w:rPr>
      <w:t>March 2026</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rsidP="00B34D38">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321C" w14:textId="34349396" w:rsidR="005E39EA" w:rsidRDefault="000B7C6F">
    <w:pPr>
      <w:pStyle w:val="Header"/>
    </w:pPr>
    <w:r>
      <w:rPr>
        <w:noProof/>
      </w:rPr>
      <mc:AlternateContent>
        <mc:Choice Requires="wps">
          <w:drawing>
            <wp:anchor distT="0" distB="0" distL="0" distR="0" simplePos="0" relativeHeight="251658240" behindDoc="0" locked="0" layoutInCell="1" allowOverlap="1" wp14:anchorId="600EA108" wp14:editId="26E03A84">
              <wp:simplePos x="635" y="635"/>
              <wp:positionH relativeFrom="page">
                <wp:align>center</wp:align>
              </wp:positionH>
              <wp:positionV relativeFrom="page">
                <wp:align>top</wp:align>
              </wp:positionV>
              <wp:extent cx="622300" cy="376555"/>
              <wp:effectExtent l="0" t="0" r="6350" b="4445"/>
              <wp:wrapNone/>
              <wp:docPr id="2968774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9333FD" w14:textId="163E5518"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0EA108"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C9333FD" w14:textId="163E5518" w:rsidR="000B7C6F" w:rsidRPr="000B7C6F" w:rsidRDefault="000B7C6F" w:rsidP="000B7C6F">
                    <w:pPr>
                      <w:rPr>
                        <w:rFonts w:ascii="Aptos" w:eastAsia="Aptos" w:hAnsi="Aptos" w:cs="Aptos"/>
                        <w:noProof/>
                        <w:color w:val="FF0000"/>
                      </w:rPr>
                    </w:pPr>
                    <w:r w:rsidRPr="000B7C6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97362"/>
    <w:multiLevelType w:val="hybridMultilevel"/>
    <w:tmpl w:val="6F7C560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C8E8E91A">
      <w:numFmt w:val="bullet"/>
      <w:lvlText w:val="-"/>
      <w:lvlJc w:val="left"/>
      <w:pPr>
        <w:ind w:left="1800" w:hanging="360"/>
      </w:pPr>
      <w:rPr>
        <w:rFonts w:ascii="Calibri" w:eastAsiaTheme="minorHAnsi"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055AA8"/>
    <w:multiLevelType w:val="hybridMultilevel"/>
    <w:tmpl w:val="43D21C64"/>
    <w:lvl w:ilvl="0" w:tplc="A902296A">
      <w:start w:val="1"/>
      <w:numFmt w:val="decimal"/>
      <w:lvlText w:val="%1."/>
      <w:lvlJc w:val="left"/>
      <w:pPr>
        <w:ind w:left="1020" w:hanging="360"/>
      </w:pPr>
    </w:lvl>
    <w:lvl w:ilvl="1" w:tplc="3054757A">
      <w:start w:val="1"/>
      <w:numFmt w:val="decimal"/>
      <w:lvlText w:val="%2."/>
      <w:lvlJc w:val="left"/>
      <w:pPr>
        <w:ind w:left="1020" w:hanging="360"/>
      </w:pPr>
    </w:lvl>
    <w:lvl w:ilvl="2" w:tplc="3C923EB0">
      <w:start w:val="1"/>
      <w:numFmt w:val="decimal"/>
      <w:lvlText w:val="%3."/>
      <w:lvlJc w:val="left"/>
      <w:pPr>
        <w:ind w:left="1020" w:hanging="360"/>
      </w:pPr>
    </w:lvl>
    <w:lvl w:ilvl="3" w:tplc="473C4616">
      <w:start w:val="1"/>
      <w:numFmt w:val="decimal"/>
      <w:lvlText w:val="%4."/>
      <w:lvlJc w:val="left"/>
      <w:pPr>
        <w:ind w:left="1020" w:hanging="360"/>
      </w:pPr>
    </w:lvl>
    <w:lvl w:ilvl="4" w:tplc="451EFA3A">
      <w:start w:val="1"/>
      <w:numFmt w:val="decimal"/>
      <w:lvlText w:val="%5."/>
      <w:lvlJc w:val="left"/>
      <w:pPr>
        <w:ind w:left="1020" w:hanging="360"/>
      </w:pPr>
    </w:lvl>
    <w:lvl w:ilvl="5" w:tplc="1D5A8EB0">
      <w:start w:val="1"/>
      <w:numFmt w:val="decimal"/>
      <w:lvlText w:val="%6."/>
      <w:lvlJc w:val="left"/>
      <w:pPr>
        <w:ind w:left="1020" w:hanging="360"/>
      </w:pPr>
    </w:lvl>
    <w:lvl w:ilvl="6" w:tplc="73D4F6DC">
      <w:start w:val="1"/>
      <w:numFmt w:val="decimal"/>
      <w:lvlText w:val="%7."/>
      <w:lvlJc w:val="left"/>
      <w:pPr>
        <w:ind w:left="1020" w:hanging="360"/>
      </w:pPr>
    </w:lvl>
    <w:lvl w:ilvl="7" w:tplc="F5EAAACA">
      <w:start w:val="1"/>
      <w:numFmt w:val="decimal"/>
      <w:lvlText w:val="%8."/>
      <w:lvlJc w:val="left"/>
      <w:pPr>
        <w:ind w:left="1020" w:hanging="360"/>
      </w:pPr>
    </w:lvl>
    <w:lvl w:ilvl="8" w:tplc="93FA4388">
      <w:start w:val="1"/>
      <w:numFmt w:val="decimal"/>
      <w:lvlText w:val="%9."/>
      <w:lvlJc w:val="left"/>
      <w:pPr>
        <w:ind w:left="1020" w:hanging="360"/>
      </w:pPr>
    </w:lvl>
  </w:abstractNum>
  <w:abstractNum w:abstractNumId="3" w15:restartNumberingAfterBreak="0">
    <w:nsid w:val="22D160FE"/>
    <w:multiLevelType w:val="hybridMultilevel"/>
    <w:tmpl w:val="641A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346AD7"/>
    <w:multiLevelType w:val="hybridMultilevel"/>
    <w:tmpl w:val="F5624472"/>
    <w:lvl w:ilvl="0" w:tplc="53A8D70A">
      <w:start w:val="1"/>
      <w:numFmt w:val="bullet"/>
      <w:pStyle w:val="ListParagraph"/>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2035664"/>
    <w:multiLevelType w:val="hybridMultilevel"/>
    <w:tmpl w:val="B0FADA20"/>
    <w:lvl w:ilvl="0" w:tplc="6B74D0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2F8167F"/>
    <w:multiLevelType w:val="hybridMultilevel"/>
    <w:tmpl w:val="9BBE3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B32228"/>
    <w:multiLevelType w:val="hybridMultilevel"/>
    <w:tmpl w:val="FC2E3B9A"/>
    <w:lvl w:ilvl="0" w:tplc="E62CED38">
      <w:start w:val="1"/>
      <w:numFmt w:val="decimal"/>
      <w:lvlText w:val="%1."/>
      <w:lvlJc w:val="left"/>
      <w:pPr>
        <w:ind w:left="1020" w:hanging="360"/>
      </w:pPr>
    </w:lvl>
    <w:lvl w:ilvl="1" w:tplc="0016B7BE">
      <w:start w:val="1"/>
      <w:numFmt w:val="decimal"/>
      <w:lvlText w:val="%2."/>
      <w:lvlJc w:val="left"/>
      <w:pPr>
        <w:ind w:left="1020" w:hanging="360"/>
      </w:pPr>
    </w:lvl>
    <w:lvl w:ilvl="2" w:tplc="6E924006">
      <w:start w:val="1"/>
      <w:numFmt w:val="decimal"/>
      <w:lvlText w:val="%3."/>
      <w:lvlJc w:val="left"/>
      <w:pPr>
        <w:ind w:left="1020" w:hanging="360"/>
      </w:pPr>
    </w:lvl>
    <w:lvl w:ilvl="3" w:tplc="92182522">
      <w:start w:val="1"/>
      <w:numFmt w:val="decimal"/>
      <w:lvlText w:val="%4."/>
      <w:lvlJc w:val="left"/>
      <w:pPr>
        <w:ind w:left="1020" w:hanging="360"/>
      </w:pPr>
    </w:lvl>
    <w:lvl w:ilvl="4" w:tplc="01D80C32">
      <w:start w:val="1"/>
      <w:numFmt w:val="decimal"/>
      <w:lvlText w:val="%5."/>
      <w:lvlJc w:val="left"/>
      <w:pPr>
        <w:ind w:left="1020" w:hanging="360"/>
      </w:pPr>
    </w:lvl>
    <w:lvl w:ilvl="5" w:tplc="53D440E0">
      <w:start w:val="1"/>
      <w:numFmt w:val="decimal"/>
      <w:lvlText w:val="%6."/>
      <w:lvlJc w:val="left"/>
      <w:pPr>
        <w:ind w:left="1020" w:hanging="360"/>
      </w:pPr>
    </w:lvl>
    <w:lvl w:ilvl="6" w:tplc="3BE64898">
      <w:start w:val="1"/>
      <w:numFmt w:val="decimal"/>
      <w:lvlText w:val="%7."/>
      <w:lvlJc w:val="left"/>
      <w:pPr>
        <w:ind w:left="1020" w:hanging="360"/>
      </w:pPr>
    </w:lvl>
    <w:lvl w:ilvl="7" w:tplc="6916D934">
      <w:start w:val="1"/>
      <w:numFmt w:val="decimal"/>
      <w:lvlText w:val="%8."/>
      <w:lvlJc w:val="left"/>
      <w:pPr>
        <w:ind w:left="1020" w:hanging="360"/>
      </w:pPr>
    </w:lvl>
    <w:lvl w:ilvl="8" w:tplc="2D6C0544">
      <w:start w:val="1"/>
      <w:numFmt w:val="decimal"/>
      <w:lvlText w:val="%9."/>
      <w:lvlJc w:val="left"/>
      <w:pPr>
        <w:ind w:left="1020" w:hanging="360"/>
      </w:pPr>
    </w:lvl>
  </w:abstractNum>
  <w:abstractNum w:abstractNumId="9" w15:restartNumberingAfterBreak="0">
    <w:nsid w:val="38890CAE"/>
    <w:multiLevelType w:val="hybridMultilevel"/>
    <w:tmpl w:val="1D96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A19A0"/>
    <w:multiLevelType w:val="hybridMultilevel"/>
    <w:tmpl w:val="94888A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8DB48DC"/>
    <w:multiLevelType w:val="hybridMultilevel"/>
    <w:tmpl w:val="C2E2EBB0"/>
    <w:lvl w:ilvl="0" w:tplc="7DD02C8E">
      <w:start w:val="1"/>
      <w:numFmt w:val="decimal"/>
      <w:lvlText w:val="%1."/>
      <w:lvlJc w:val="left"/>
      <w:pPr>
        <w:ind w:left="1020" w:hanging="360"/>
      </w:pPr>
    </w:lvl>
    <w:lvl w:ilvl="1" w:tplc="C92E9ACE">
      <w:start w:val="1"/>
      <w:numFmt w:val="decimal"/>
      <w:lvlText w:val="%2."/>
      <w:lvlJc w:val="left"/>
      <w:pPr>
        <w:ind w:left="1020" w:hanging="360"/>
      </w:pPr>
    </w:lvl>
    <w:lvl w:ilvl="2" w:tplc="51407B50">
      <w:start w:val="1"/>
      <w:numFmt w:val="decimal"/>
      <w:lvlText w:val="%3."/>
      <w:lvlJc w:val="left"/>
      <w:pPr>
        <w:ind w:left="1020" w:hanging="360"/>
      </w:pPr>
    </w:lvl>
    <w:lvl w:ilvl="3" w:tplc="4A6C76A0">
      <w:start w:val="1"/>
      <w:numFmt w:val="decimal"/>
      <w:lvlText w:val="%4."/>
      <w:lvlJc w:val="left"/>
      <w:pPr>
        <w:ind w:left="1020" w:hanging="360"/>
      </w:pPr>
    </w:lvl>
    <w:lvl w:ilvl="4" w:tplc="49081B4C">
      <w:start w:val="1"/>
      <w:numFmt w:val="decimal"/>
      <w:lvlText w:val="%5."/>
      <w:lvlJc w:val="left"/>
      <w:pPr>
        <w:ind w:left="1020" w:hanging="360"/>
      </w:pPr>
    </w:lvl>
    <w:lvl w:ilvl="5" w:tplc="87926156">
      <w:start w:val="1"/>
      <w:numFmt w:val="decimal"/>
      <w:lvlText w:val="%6."/>
      <w:lvlJc w:val="left"/>
      <w:pPr>
        <w:ind w:left="1020" w:hanging="360"/>
      </w:pPr>
    </w:lvl>
    <w:lvl w:ilvl="6" w:tplc="8708CF68">
      <w:start w:val="1"/>
      <w:numFmt w:val="decimal"/>
      <w:lvlText w:val="%7."/>
      <w:lvlJc w:val="left"/>
      <w:pPr>
        <w:ind w:left="1020" w:hanging="360"/>
      </w:pPr>
    </w:lvl>
    <w:lvl w:ilvl="7" w:tplc="4DD2C772">
      <w:start w:val="1"/>
      <w:numFmt w:val="decimal"/>
      <w:lvlText w:val="%8."/>
      <w:lvlJc w:val="left"/>
      <w:pPr>
        <w:ind w:left="1020" w:hanging="360"/>
      </w:pPr>
    </w:lvl>
    <w:lvl w:ilvl="8" w:tplc="E7D46E46">
      <w:start w:val="1"/>
      <w:numFmt w:val="decimal"/>
      <w:lvlText w:val="%9."/>
      <w:lvlJc w:val="left"/>
      <w:pPr>
        <w:ind w:left="1020" w:hanging="360"/>
      </w:p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05409C"/>
    <w:multiLevelType w:val="hybridMultilevel"/>
    <w:tmpl w:val="8FA08A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8A5196"/>
    <w:multiLevelType w:val="hybridMultilevel"/>
    <w:tmpl w:val="7BE81AC4"/>
    <w:lvl w:ilvl="0" w:tplc="1C5C6686">
      <w:start w:val="1"/>
      <w:numFmt w:val="decimal"/>
      <w:lvlText w:val="%1."/>
      <w:lvlJc w:val="left"/>
      <w:pPr>
        <w:ind w:left="1020" w:hanging="360"/>
      </w:pPr>
    </w:lvl>
    <w:lvl w:ilvl="1" w:tplc="C096D52A">
      <w:start w:val="1"/>
      <w:numFmt w:val="decimal"/>
      <w:lvlText w:val="%2."/>
      <w:lvlJc w:val="left"/>
      <w:pPr>
        <w:ind w:left="1020" w:hanging="360"/>
      </w:pPr>
    </w:lvl>
    <w:lvl w:ilvl="2" w:tplc="4FBA0EDA">
      <w:start w:val="1"/>
      <w:numFmt w:val="decimal"/>
      <w:lvlText w:val="%3."/>
      <w:lvlJc w:val="left"/>
      <w:pPr>
        <w:ind w:left="1020" w:hanging="360"/>
      </w:pPr>
    </w:lvl>
    <w:lvl w:ilvl="3" w:tplc="403A55AE">
      <w:start w:val="1"/>
      <w:numFmt w:val="decimal"/>
      <w:lvlText w:val="%4."/>
      <w:lvlJc w:val="left"/>
      <w:pPr>
        <w:ind w:left="1020" w:hanging="360"/>
      </w:pPr>
    </w:lvl>
    <w:lvl w:ilvl="4" w:tplc="8C26EF00">
      <w:start w:val="1"/>
      <w:numFmt w:val="decimal"/>
      <w:lvlText w:val="%5."/>
      <w:lvlJc w:val="left"/>
      <w:pPr>
        <w:ind w:left="1020" w:hanging="360"/>
      </w:pPr>
    </w:lvl>
    <w:lvl w:ilvl="5" w:tplc="8612E064">
      <w:start w:val="1"/>
      <w:numFmt w:val="decimal"/>
      <w:lvlText w:val="%6."/>
      <w:lvlJc w:val="left"/>
      <w:pPr>
        <w:ind w:left="1020" w:hanging="360"/>
      </w:pPr>
    </w:lvl>
    <w:lvl w:ilvl="6" w:tplc="F6BE7D28">
      <w:start w:val="1"/>
      <w:numFmt w:val="decimal"/>
      <w:lvlText w:val="%7."/>
      <w:lvlJc w:val="left"/>
      <w:pPr>
        <w:ind w:left="1020" w:hanging="360"/>
      </w:pPr>
    </w:lvl>
    <w:lvl w:ilvl="7" w:tplc="0BFAC762">
      <w:start w:val="1"/>
      <w:numFmt w:val="decimal"/>
      <w:lvlText w:val="%8."/>
      <w:lvlJc w:val="left"/>
      <w:pPr>
        <w:ind w:left="1020" w:hanging="360"/>
      </w:pPr>
    </w:lvl>
    <w:lvl w:ilvl="8" w:tplc="A6A0DB2A">
      <w:start w:val="1"/>
      <w:numFmt w:val="decimal"/>
      <w:lvlText w:val="%9."/>
      <w:lvlJc w:val="left"/>
      <w:pPr>
        <w:ind w:left="1020" w:hanging="360"/>
      </w:p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867295"/>
    <w:multiLevelType w:val="hybridMultilevel"/>
    <w:tmpl w:val="F80C6F54"/>
    <w:lvl w:ilvl="0" w:tplc="85521130">
      <w:start w:val="1"/>
      <w:numFmt w:val="decimal"/>
      <w:lvlText w:val="%1."/>
      <w:lvlJc w:val="left"/>
      <w:pPr>
        <w:ind w:left="1020" w:hanging="360"/>
      </w:pPr>
    </w:lvl>
    <w:lvl w:ilvl="1" w:tplc="C71E7F3C">
      <w:start w:val="1"/>
      <w:numFmt w:val="decimal"/>
      <w:lvlText w:val="%2."/>
      <w:lvlJc w:val="left"/>
      <w:pPr>
        <w:ind w:left="1020" w:hanging="360"/>
      </w:pPr>
    </w:lvl>
    <w:lvl w:ilvl="2" w:tplc="9C784642">
      <w:start w:val="1"/>
      <w:numFmt w:val="decimal"/>
      <w:lvlText w:val="%3."/>
      <w:lvlJc w:val="left"/>
      <w:pPr>
        <w:ind w:left="1020" w:hanging="360"/>
      </w:pPr>
    </w:lvl>
    <w:lvl w:ilvl="3" w:tplc="E9AE53A4">
      <w:start w:val="1"/>
      <w:numFmt w:val="decimal"/>
      <w:lvlText w:val="%4."/>
      <w:lvlJc w:val="left"/>
      <w:pPr>
        <w:ind w:left="1020" w:hanging="360"/>
      </w:pPr>
    </w:lvl>
    <w:lvl w:ilvl="4" w:tplc="4E92A41A">
      <w:start w:val="1"/>
      <w:numFmt w:val="decimal"/>
      <w:lvlText w:val="%5."/>
      <w:lvlJc w:val="left"/>
      <w:pPr>
        <w:ind w:left="1020" w:hanging="360"/>
      </w:pPr>
    </w:lvl>
    <w:lvl w:ilvl="5" w:tplc="F1E0E3D4">
      <w:start w:val="1"/>
      <w:numFmt w:val="decimal"/>
      <w:lvlText w:val="%6."/>
      <w:lvlJc w:val="left"/>
      <w:pPr>
        <w:ind w:left="1020" w:hanging="360"/>
      </w:pPr>
    </w:lvl>
    <w:lvl w:ilvl="6" w:tplc="BA0E5A82">
      <w:start w:val="1"/>
      <w:numFmt w:val="decimal"/>
      <w:lvlText w:val="%7."/>
      <w:lvlJc w:val="left"/>
      <w:pPr>
        <w:ind w:left="1020" w:hanging="360"/>
      </w:pPr>
    </w:lvl>
    <w:lvl w:ilvl="7" w:tplc="A9D4D6AE">
      <w:start w:val="1"/>
      <w:numFmt w:val="decimal"/>
      <w:lvlText w:val="%8."/>
      <w:lvlJc w:val="left"/>
      <w:pPr>
        <w:ind w:left="1020" w:hanging="360"/>
      </w:pPr>
    </w:lvl>
    <w:lvl w:ilvl="8" w:tplc="88E08EDA">
      <w:start w:val="1"/>
      <w:numFmt w:val="decimal"/>
      <w:lvlText w:val="%9."/>
      <w:lvlJc w:val="left"/>
      <w:pPr>
        <w:ind w:left="1020" w:hanging="360"/>
      </w:pPr>
    </w:lvl>
  </w:abstractNum>
  <w:abstractNum w:abstractNumId="20" w15:restartNumberingAfterBreak="0">
    <w:nsid w:val="73E02C94"/>
    <w:multiLevelType w:val="hybridMultilevel"/>
    <w:tmpl w:val="B07AADDE"/>
    <w:lvl w:ilvl="0" w:tplc="C9A45710">
      <w:start w:val="1"/>
      <w:numFmt w:val="bullet"/>
      <w:lvlText w:val=""/>
      <w:lvlJc w:val="left"/>
      <w:pPr>
        <w:ind w:left="720" w:hanging="360"/>
      </w:pPr>
      <w:rPr>
        <w:rFonts w:ascii="Symbol" w:hAnsi="Symbol"/>
      </w:rPr>
    </w:lvl>
    <w:lvl w:ilvl="1" w:tplc="85942952">
      <w:start w:val="1"/>
      <w:numFmt w:val="bullet"/>
      <w:lvlText w:val=""/>
      <w:lvlJc w:val="left"/>
      <w:pPr>
        <w:ind w:left="720" w:hanging="360"/>
      </w:pPr>
      <w:rPr>
        <w:rFonts w:ascii="Symbol" w:hAnsi="Symbol"/>
      </w:rPr>
    </w:lvl>
    <w:lvl w:ilvl="2" w:tplc="87206F08">
      <w:start w:val="1"/>
      <w:numFmt w:val="bullet"/>
      <w:lvlText w:val=""/>
      <w:lvlJc w:val="left"/>
      <w:pPr>
        <w:ind w:left="720" w:hanging="360"/>
      </w:pPr>
      <w:rPr>
        <w:rFonts w:ascii="Symbol" w:hAnsi="Symbol"/>
      </w:rPr>
    </w:lvl>
    <w:lvl w:ilvl="3" w:tplc="22CC6D1E">
      <w:start w:val="1"/>
      <w:numFmt w:val="bullet"/>
      <w:lvlText w:val=""/>
      <w:lvlJc w:val="left"/>
      <w:pPr>
        <w:ind w:left="720" w:hanging="360"/>
      </w:pPr>
      <w:rPr>
        <w:rFonts w:ascii="Symbol" w:hAnsi="Symbol"/>
      </w:rPr>
    </w:lvl>
    <w:lvl w:ilvl="4" w:tplc="9B48819A">
      <w:start w:val="1"/>
      <w:numFmt w:val="bullet"/>
      <w:lvlText w:val=""/>
      <w:lvlJc w:val="left"/>
      <w:pPr>
        <w:ind w:left="720" w:hanging="360"/>
      </w:pPr>
      <w:rPr>
        <w:rFonts w:ascii="Symbol" w:hAnsi="Symbol"/>
      </w:rPr>
    </w:lvl>
    <w:lvl w:ilvl="5" w:tplc="5B924BEC">
      <w:start w:val="1"/>
      <w:numFmt w:val="bullet"/>
      <w:lvlText w:val=""/>
      <w:lvlJc w:val="left"/>
      <w:pPr>
        <w:ind w:left="720" w:hanging="360"/>
      </w:pPr>
      <w:rPr>
        <w:rFonts w:ascii="Symbol" w:hAnsi="Symbol"/>
      </w:rPr>
    </w:lvl>
    <w:lvl w:ilvl="6" w:tplc="F13E651C">
      <w:start w:val="1"/>
      <w:numFmt w:val="bullet"/>
      <w:lvlText w:val=""/>
      <w:lvlJc w:val="left"/>
      <w:pPr>
        <w:ind w:left="720" w:hanging="360"/>
      </w:pPr>
      <w:rPr>
        <w:rFonts w:ascii="Symbol" w:hAnsi="Symbol"/>
      </w:rPr>
    </w:lvl>
    <w:lvl w:ilvl="7" w:tplc="7E9ED0D0">
      <w:start w:val="1"/>
      <w:numFmt w:val="bullet"/>
      <w:lvlText w:val=""/>
      <w:lvlJc w:val="left"/>
      <w:pPr>
        <w:ind w:left="720" w:hanging="360"/>
      </w:pPr>
      <w:rPr>
        <w:rFonts w:ascii="Symbol" w:hAnsi="Symbol"/>
      </w:rPr>
    </w:lvl>
    <w:lvl w:ilvl="8" w:tplc="475E6BBE">
      <w:start w:val="1"/>
      <w:numFmt w:val="bullet"/>
      <w:lvlText w:val=""/>
      <w:lvlJc w:val="left"/>
      <w:pPr>
        <w:ind w:left="720" w:hanging="360"/>
      </w:pPr>
      <w:rPr>
        <w:rFonts w:ascii="Symbol" w:hAnsi="Symbol"/>
      </w:rPr>
    </w:lvl>
  </w:abstractNum>
  <w:abstractNum w:abstractNumId="21" w15:restartNumberingAfterBreak="0">
    <w:nsid w:val="75B61D41"/>
    <w:multiLevelType w:val="hybridMultilevel"/>
    <w:tmpl w:val="415025AC"/>
    <w:lvl w:ilvl="0" w:tplc="0C090001">
      <w:start w:val="1"/>
      <w:numFmt w:val="bullet"/>
      <w:lvlText w:val=""/>
      <w:lvlJc w:val="left"/>
      <w:pPr>
        <w:ind w:left="1550" w:hanging="360"/>
      </w:pPr>
      <w:rPr>
        <w:rFonts w:ascii="Symbol" w:hAnsi="Symbol" w:hint="default"/>
      </w:rPr>
    </w:lvl>
    <w:lvl w:ilvl="1" w:tplc="FFFFFFFF">
      <w:start w:val="1"/>
      <w:numFmt w:val="bullet"/>
      <w:lvlText w:val="o"/>
      <w:lvlJc w:val="left"/>
      <w:pPr>
        <w:ind w:left="2270" w:hanging="360"/>
      </w:pPr>
      <w:rPr>
        <w:rFonts w:ascii="Courier New" w:hAnsi="Courier New" w:cs="Courier New" w:hint="default"/>
      </w:rPr>
    </w:lvl>
    <w:lvl w:ilvl="2" w:tplc="FFFFFFFF" w:tentative="1">
      <w:start w:val="1"/>
      <w:numFmt w:val="bullet"/>
      <w:lvlText w:val=""/>
      <w:lvlJc w:val="left"/>
      <w:pPr>
        <w:ind w:left="2990" w:hanging="360"/>
      </w:pPr>
      <w:rPr>
        <w:rFonts w:ascii="Wingdings" w:hAnsi="Wingdings" w:hint="default"/>
      </w:rPr>
    </w:lvl>
    <w:lvl w:ilvl="3" w:tplc="FFFFFFFF" w:tentative="1">
      <w:start w:val="1"/>
      <w:numFmt w:val="bullet"/>
      <w:lvlText w:val=""/>
      <w:lvlJc w:val="left"/>
      <w:pPr>
        <w:ind w:left="3710" w:hanging="360"/>
      </w:pPr>
      <w:rPr>
        <w:rFonts w:ascii="Symbol" w:hAnsi="Symbol" w:hint="default"/>
      </w:rPr>
    </w:lvl>
    <w:lvl w:ilvl="4" w:tplc="FFFFFFFF" w:tentative="1">
      <w:start w:val="1"/>
      <w:numFmt w:val="bullet"/>
      <w:lvlText w:val="o"/>
      <w:lvlJc w:val="left"/>
      <w:pPr>
        <w:ind w:left="4430" w:hanging="360"/>
      </w:pPr>
      <w:rPr>
        <w:rFonts w:ascii="Courier New" w:hAnsi="Courier New" w:cs="Courier New" w:hint="default"/>
      </w:rPr>
    </w:lvl>
    <w:lvl w:ilvl="5" w:tplc="FFFFFFFF" w:tentative="1">
      <w:start w:val="1"/>
      <w:numFmt w:val="bullet"/>
      <w:lvlText w:val=""/>
      <w:lvlJc w:val="left"/>
      <w:pPr>
        <w:ind w:left="5150" w:hanging="360"/>
      </w:pPr>
      <w:rPr>
        <w:rFonts w:ascii="Wingdings" w:hAnsi="Wingdings" w:hint="default"/>
      </w:rPr>
    </w:lvl>
    <w:lvl w:ilvl="6" w:tplc="FFFFFFFF" w:tentative="1">
      <w:start w:val="1"/>
      <w:numFmt w:val="bullet"/>
      <w:lvlText w:val=""/>
      <w:lvlJc w:val="left"/>
      <w:pPr>
        <w:ind w:left="5870" w:hanging="360"/>
      </w:pPr>
      <w:rPr>
        <w:rFonts w:ascii="Symbol" w:hAnsi="Symbol" w:hint="default"/>
      </w:rPr>
    </w:lvl>
    <w:lvl w:ilvl="7" w:tplc="FFFFFFFF" w:tentative="1">
      <w:start w:val="1"/>
      <w:numFmt w:val="bullet"/>
      <w:lvlText w:val="o"/>
      <w:lvlJc w:val="left"/>
      <w:pPr>
        <w:ind w:left="6590" w:hanging="360"/>
      </w:pPr>
      <w:rPr>
        <w:rFonts w:ascii="Courier New" w:hAnsi="Courier New" w:cs="Courier New" w:hint="default"/>
      </w:rPr>
    </w:lvl>
    <w:lvl w:ilvl="8" w:tplc="FFFFFFFF" w:tentative="1">
      <w:start w:val="1"/>
      <w:numFmt w:val="bullet"/>
      <w:lvlText w:val=""/>
      <w:lvlJc w:val="left"/>
      <w:pPr>
        <w:ind w:left="7310" w:hanging="360"/>
      </w:pPr>
      <w:rPr>
        <w:rFonts w:ascii="Wingdings" w:hAnsi="Wingdings" w:hint="default"/>
      </w:rPr>
    </w:lvl>
  </w:abstractNum>
  <w:abstractNum w:abstractNumId="22" w15:restartNumberingAfterBreak="0">
    <w:nsid w:val="784D033C"/>
    <w:multiLevelType w:val="multilevel"/>
    <w:tmpl w:val="F48AE46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C97582"/>
    <w:multiLevelType w:val="hybridMultilevel"/>
    <w:tmpl w:val="C046CEA0"/>
    <w:lvl w:ilvl="0" w:tplc="904088F2">
      <w:start w:val="1"/>
      <w:numFmt w:val="decimal"/>
      <w:lvlText w:val="%1."/>
      <w:lvlJc w:val="left"/>
      <w:pPr>
        <w:ind w:left="1020" w:hanging="360"/>
      </w:pPr>
    </w:lvl>
    <w:lvl w:ilvl="1" w:tplc="14823432">
      <w:start w:val="1"/>
      <w:numFmt w:val="decimal"/>
      <w:lvlText w:val="%2."/>
      <w:lvlJc w:val="left"/>
      <w:pPr>
        <w:ind w:left="1020" w:hanging="360"/>
      </w:pPr>
    </w:lvl>
    <w:lvl w:ilvl="2" w:tplc="BC00E00C">
      <w:start w:val="1"/>
      <w:numFmt w:val="decimal"/>
      <w:lvlText w:val="%3."/>
      <w:lvlJc w:val="left"/>
      <w:pPr>
        <w:ind w:left="1020" w:hanging="360"/>
      </w:pPr>
    </w:lvl>
    <w:lvl w:ilvl="3" w:tplc="A92EDA32">
      <w:start w:val="1"/>
      <w:numFmt w:val="decimal"/>
      <w:lvlText w:val="%4."/>
      <w:lvlJc w:val="left"/>
      <w:pPr>
        <w:ind w:left="1020" w:hanging="360"/>
      </w:pPr>
    </w:lvl>
    <w:lvl w:ilvl="4" w:tplc="6C22B588">
      <w:start w:val="1"/>
      <w:numFmt w:val="decimal"/>
      <w:lvlText w:val="%5."/>
      <w:lvlJc w:val="left"/>
      <w:pPr>
        <w:ind w:left="1020" w:hanging="360"/>
      </w:pPr>
    </w:lvl>
    <w:lvl w:ilvl="5" w:tplc="BF444962">
      <w:start w:val="1"/>
      <w:numFmt w:val="decimal"/>
      <w:lvlText w:val="%6."/>
      <w:lvlJc w:val="left"/>
      <w:pPr>
        <w:ind w:left="1020" w:hanging="360"/>
      </w:pPr>
    </w:lvl>
    <w:lvl w:ilvl="6" w:tplc="AC06DC8C">
      <w:start w:val="1"/>
      <w:numFmt w:val="decimal"/>
      <w:lvlText w:val="%7."/>
      <w:lvlJc w:val="left"/>
      <w:pPr>
        <w:ind w:left="1020" w:hanging="360"/>
      </w:pPr>
    </w:lvl>
    <w:lvl w:ilvl="7" w:tplc="6268C9E0">
      <w:start w:val="1"/>
      <w:numFmt w:val="decimal"/>
      <w:lvlText w:val="%8."/>
      <w:lvlJc w:val="left"/>
      <w:pPr>
        <w:ind w:left="1020" w:hanging="360"/>
      </w:pPr>
    </w:lvl>
    <w:lvl w:ilvl="8" w:tplc="4880A44A">
      <w:start w:val="1"/>
      <w:numFmt w:val="decimal"/>
      <w:lvlText w:val="%9."/>
      <w:lvlJc w:val="left"/>
      <w:pPr>
        <w:ind w:left="1020" w:hanging="360"/>
      </w:pPr>
    </w:lvl>
  </w:abstractNum>
  <w:num w:numId="1" w16cid:durableId="1912302973">
    <w:abstractNumId w:val="22"/>
  </w:num>
  <w:num w:numId="2" w16cid:durableId="367294551">
    <w:abstractNumId w:val="10"/>
  </w:num>
  <w:num w:numId="3" w16cid:durableId="2133012972">
    <w:abstractNumId w:val="0"/>
  </w:num>
  <w:num w:numId="4" w16cid:durableId="1774665282">
    <w:abstractNumId w:val="3"/>
  </w:num>
  <w:num w:numId="5" w16cid:durableId="1268465461">
    <w:abstractNumId w:val="17"/>
  </w:num>
  <w:num w:numId="6" w16cid:durableId="898982894">
    <w:abstractNumId w:val="5"/>
  </w:num>
  <w:num w:numId="7" w16cid:durableId="446656795">
    <w:abstractNumId w:val="22"/>
  </w:num>
  <w:num w:numId="8" w16cid:durableId="1492716621">
    <w:abstractNumId w:val="1"/>
  </w:num>
  <w:num w:numId="9" w16cid:durableId="1548760208">
    <w:abstractNumId w:val="11"/>
  </w:num>
  <w:num w:numId="10" w16cid:durableId="845630897">
    <w:abstractNumId w:val="9"/>
  </w:num>
  <w:num w:numId="11" w16cid:durableId="805704624">
    <w:abstractNumId w:val="14"/>
  </w:num>
  <w:num w:numId="12" w16cid:durableId="577130283">
    <w:abstractNumId w:val="21"/>
  </w:num>
  <w:num w:numId="13" w16cid:durableId="408699874">
    <w:abstractNumId w:val="13"/>
  </w:num>
  <w:num w:numId="14" w16cid:durableId="1979457665">
    <w:abstractNumId w:val="4"/>
  </w:num>
  <w:num w:numId="15"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997201">
    <w:abstractNumId w:val="18"/>
  </w:num>
  <w:num w:numId="17" w16cid:durableId="823397167">
    <w:abstractNumId w:val="7"/>
  </w:num>
  <w:num w:numId="18" w16cid:durableId="1812869634">
    <w:abstractNumId w:val="6"/>
  </w:num>
  <w:num w:numId="19" w16cid:durableId="2024622775">
    <w:abstractNumId w:val="20"/>
  </w:num>
  <w:num w:numId="20" w16cid:durableId="1924796937">
    <w:abstractNumId w:val="19"/>
  </w:num>
  <w:num w:numId="21" w16cid:durableId="205723528">
    <w:abstractNumId w:val="2"/>
  </w:num>
  <w:num w:numId="22" w16cid:durableId="402221012">
    <w:abstractNumId w:val="23"/>
  </w:num>
  <w:num w:numId="23" w16cid:durableId="848639778">
    <w:abstractNumId w:val="8"/>
  </w:num>
  <w:num w:numId="24" w16cid:durableId="1914849623">
    <w:abstractNumId w:val="12"/>
  </w:num>
  <w:num w:numId="25" w16cid:durableId="1166094934">
    <w:abstractNumId w:val="15"/>
  </w:num>
  <w:num w:numId="26" w16cid:durableId="247429396">
    <w:abstractNumId w:val="22"/>
  </w:num>
  <w:num w:numId="27" w16cid:durableId="1601722881">
    <w:abstractNumId w:val="22"/>
  </w:num>
  <w:num w:numId="28" w16cid:durableId="32269260">
    <w:abstractNumId w:val="22"/>
  </w:num>
  <w:num w:numId="29" w16cid:durableId="1895382834">
    <w:abstractNumId w:val="22"/>
  </w:num>
  <w:num w:numId="30" w16cid:durableId="935789437">
    <w:abstractNumId w:val="22"/>
  </w:num>
  <w:num w:numId="31" w16cid:durableId="1206135128">
    <w:abstractNumId w:val="22"/>
  </w:num>
  <w:num w:numId="32" w16cid:durableId="1646667704">
    <w:abstractNumId w:val="22"/>
  </w:num>
  <w:num w:numId="33" w16cid:durableId="638341029">
    <w:abstractNumId w:val="22"/>
  </w:num>
  <w:num w:numId="34" w16cid:durableId="2108429344">
    <w:abstractNumId w:val="22"/>
  </w:num>
  <w:num w:numId="35" w16cid:durableId="1928267281">
    <w:abstractNumId w:val="22"/>
  </w:num>
  <w:num w:numId="36" w16cid:durableId="139011130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F9"/>
    <w:rsid w:val="00000790"/>
    <w:rsid w:val="0000110B"/>
    <w:rsid w:val="00001475"/>
    <w:rsid w:val="00002609"/>
    <w:rsid w:val="00002AF7"/>
    <w:rsid w:val="00002ECE"/>
    <w:rsid w:val="000033B5"/>
    <w:rsid w:val="000033BA"/>
    <w:rsid w:val="00003499"/>
    <w:rsid w:val="000034F3"/>
    <w:rsid w:val="0000388C"/>
    <w:rsid w:val="00003903"/>
    <w:rsid w:val="000039B7"/>
    <w:rsid w:val="00004E45"/>
    <w:rsid w:val="000056B9"/>
    <w:rsid w:val="00005B84"/>
    <w:rsid w:val="00005C18"/>
    <w:rsid w:val="00005FA0"/>
    <w:rsid w:val="000061FD"/>
    <w:rsid w:val="000062E2"/>
    <w:rsid w:val="0000639A"/>
    <w:rsid w:val="00006D2C"/>
    <w:rsid w:val="00007046"/>
    <w:rsid w:val="00007459"/>
    <w:rsid w:val="0000766A"/>
    <w:rsid w:val="000078E6"/>
    <w:rsid w:val="0000797F"/>
    <w:rsid w:val="00010044"/>
    <w:rsid w:val="00010AEC"/>
    <w:rsid w:val="00010BCB"/>
    <w:rsid w:val="00010C87"/>
    <w:rsid w:val="0001114A"/>
    <w:rsid w:val="00011F1D"/>
    <w:rsid w:val="00012526"/>
    <w:rsid w:val="00012573"/>
    <w:rsid w:val="00012808"/>
    <w:rsid w:val="00012825"/>
    <w:rsid w:val="00012BF8"/>
    <w:rsid w:val="00012E2B"/>
    <w:rsid w:val="00013247"/>
    <w:rsid w:val="00013321"/>
    <w:rsid w:val="0001352B"/>
    <w:rsid w:val="00013B71"/>
    <w:rsid w:val="00013D37"/>
    <w:rsid w:val="00014066"/>
    <w:rsid w:val="000140E7"/>
    <w:rsid w:val="00014499"/>
    <w:rsid w:val="000149F8"/>
    <w:rsid w:val="00014A8B"/>
    <w:rsid w:val="00014DAC"/>
    <w:rsid w:val="00015886"/>
    <w:rsid w:val="00015ECE"/>
    <w:rsid w:val="00015EDC"/>
    <w:rsid w:val="0001603E"/>
    <w:rsid w:val="000162EF"/>
    <w:rsid w:val="00016344"/>
    <w:rsid w:val="00016A28"/>
    <w:rsid w:val="00017A1A"/>
    <w:rsid w:val="00017A55"/>
    <w:rsid w:val="00020574"/>
    <w:rsid w:val="000205D0"/>
    <w:rsid w:val="000205E4"/>
    <w:rsid w:val="000207A9"/>
    <w:rsid w:val="000207C9"/>
    <w:rsid w:val="00020804"/>
    <w:rsid w:val="00020BF9"/>
    <w:rsid w:val="00020FFA"/>
    <w:rsid w:val="000214FF"/>
    <w:rsid w:val="00021B4C"/>
    <w:rsid w:val="00021B92"/>
    <w:rsid w:val="0002225F"/>
    <w:rsid w:val="000226AC"/>
    <w:rsid w:val="0002278B"/>
    <w:rsid w:val="00022E3D"/>
    <w:rsid w:val="00022F9F"/>
    <w:rsid w:val="0002336B"/>
    <w:rsid w:val="00023763"/>
    <w:rsid w:val="00023EC2"/>
    <w:rsid w:val="00024C11"/>
    <w:rsid w:val="00024EB5"/>
    <w:rsid w:val="00025679"/>
    <w:rsid w:val="00025E41"/>
    <w:rsid w:val="00025F23"/>
    <w:rsid w:val="000265E8"/>
    <w:rsid w:val="00026669"/>
    <w:rsid w:val="0002669A"/>
    <w:rsid w:val="000266C1"/>
    <w:rsid w:val="00026FE3"/>
    <w:rsid w:val="000270BC"/>
    <w:rsid w:val="000272F9"/>
    <w:rsid w:val="000273E9"/>
    <w:rsid w:val="000274B8"/>
    <w:rsid w:val="0002757B"/>
    <w:rsid w:val="000275A5"/>
    <w:rsid w:val="00027866"/>
    <w:rsid w:val="00027D7E"/>
    <w:rsid w:val="0003001E"/>
    <w:rsid w:val="00030068"/>
    <w:rsid w:val="0003076C"/>
    <w:rsid w:val="0003142D"/>
    <w:rsid w:val="00031541"/>
    <w:rsid w:val="0003191F"/>
    <w:rsid w:val="00031A1F"/>
    <w:rsid w:val="00031EE9"/>
    <w:rsid w:val="00032383"/>
    <w:rsid w:val="00032A8E"/>
    <w:rsid w:val="00032B77"/>
    <w:rsid w:val="00032EE5"/>
    <w:rsid w:val="00033500"/>
    <w:rsid w:val="00033863"/>
    <w:rsid w:val="000339F6"/>
    <w:rsid w:val="00033B49"/>
    <w:rsid w:val="00033E92"/>
    <w:rsid w:val="000343D7"/>
    <w:rsid w:val="00034AE5"/>
    <w:rsid w:val="00034CE5"/>
    <w:rsid w:val="00034F5E"/>
    <w:rsid w:val="00035193"/>
    <w:rsid w:val="0003567B"/>
    <w:rsid w:val="00035DC0"/>
    <w:rsid w:val="00035EBA"/>
    <w:rsid w:val="000362C6"/>
    <w:rsid w:val="00036306"/>
    <w:rsid w:val="000364E9"/>
    <w:rsid w:val="00036829"/>
    <w:rsid w:val="000368B4"/>
    <w:rsid w:val="00036A4D"/>
    <w:rsid w:val="00036BC4"/>
    <w:rsid w:val="00036F79"/>
    <w:rsid w:val="000376A4"/>
    <w:rsid w:val="00037893"/>
    <w:rsid w:val="00037A13"/>
    <w:rsid w:val="00037A5E"/>
    <w:rsid w:val="00037B86"/>
    <w:rsid w:val="00040714"/>
    <w:rsid w:val="00040895"/>
    <w:rsid w:val="00040DCF"/>
    <w:rsid w:val="00040E62"/>
    <w:rsid w:val="000410A0"/>
    <w:rsid w:val="00041701"/>
    <w:rsid w:val="00041CED"/>
    <w:rsid w:val="00041DF5"/>
    <w:rsid w:val="00041ED0"/>
    <w:rsid w:val="000420C8"/>
    <w:rsid w:val="00042164"/>
    <w:rsid w:val="0004268B"/>
    <w:rsid w:val="00042EE7"/>
    <w:rsid w:val="0004348B"/>
    <w:rsid w:val="000435EE"/>
    <w:rsid w:val="00043C37"/>
    <w:rsid w:val="00043FE8"/>
    <w:rsid w:val="00044869"/>
    <w:rsid w:val="00045017"/>
    <w:rsid w:val="000451FE"/>
    <w:rsid w:val="0004529D"/>
    <w:rsid w:val="00045847"/>
    <w:rsid w:val="00045A2B"/>
    <w:rsid w:val="00045CBE"/>
    <w:rsid w:val="00046711"/>
    <w:rsid w:val="00046980"/>
    <w:rsid w:val="0004698F"/>
    <w:rsid w:val="000469F1"/>
    <w:rsid w:val="00046D0F"/>
    <w:rsid w:val="00046D64"/>
    <w:rsid w:val="00046FAC"/>
    <w:rsid w:val="00047171"/>
    <w:rsid w:val="000479AC"/>
    <w:rsid w:val="00047C01"/>
    <w:rsid w:val="00047C7E"/>
    <w:rsid w:val="0005003F"/>
    <w:rsid w:val="000508C2"/>
    <w:rsid w:val="00050EDB"/>
    <w:rsid w:val="00050F5C"/>
    <w:rsid w:val="00051287"/>
    <w:rsid w:val="00051369"/>
    <w:rsid w:val="00051625"/>
    <w:rsid w:val="000519AB"/>
    <w:rsid w:val="00052240"/>
    <w:rsid w:val="000529A0"/>
    <w:rsid w:val="0005374F"/>
    <w:rsid w:val="000539D0"/>
    <w:rsid w:val="00053B03"/>
    <w:rsid w:val="00053F0D"/>
    <w:rsid w:val="0005404F"/>
    <w:rsid w:val="00054194"/>
    <w:rsid w:val="00054621"/>
    <w:rsid w:val="000546D7"/>
    <w:rsid w:val="00054A8D"/>
    <w:rsid w:val="00055344"/>
    <w:rsid w:val="00055C76"/>
    <w:rsid w:val="00056663"/>
    <w:rsid w:val="00056D01"/>
    <w:rsid w:val="00056ECF"/>
    <w:rsid w:val="00057777"/>
    <w:rsid w:val="00060497"/>
    <w:rsid w:val="000604DF"/>
    <w:rsid w:val="00060AF1"/>
    <w:rsid w:val="00060D9C"/>
    <w:rsid w:val="000610D4"/>
    <w:rsid w:val="000618A4"/>
    <w:rsid w:val="00061BC8"/>
    <w:rsid w:val="00061BF1"/>
    <w:rsid w:val="00062324"/>
    <w:rsid w:val="00062B09"/>
    <w:rsid w:val="00062DEB"/>
    <w:rsid w:val="00062EB0"/>
    <w:rsid w:val="00062ED7"/>
    <w:rsid w:val="00062F98"/>
    <w:rsid w:val="0006352F"/>
    <w:rsid w:val="00063A45"/>
    <w:rsid w:val="00063A73"/>
    <w:rsid w:val="00064739"/>
    <w:rsid w:val="00064BBC"/>
    <w:rsid w:val="00064D2A"/>
    <w:rsid w:val="00064EF4"/>
    <w:rsid w:val="00065107"/>
    <w:rsid w:val="000653A7"/>
    <w:rsid w:val="000653B5"/>
    <w:rsid w:val="000655D8"/>
    <w:rsid w:val="00065941"/>
    <w:rsid w:val="00065D83"/>
    <w:rsid w:val="0006600F"/>
    <w:rsid w:val="000660EC"/>
    <w:rsid w:val="00066157"/>
    <w:rsid w:val="00066360"/>
    <w:rsid w:val="00066414"/>
    <w:rsid w:val="0006655C"/>
    <w:rsid w:val="00066AF8"/>
    <w:rsid w:val="00066C3B"/>
    <w:rsid w:val="00067C48"/>
    <w:rsid w:val="00067FBF"/>
    <w:rsid w:val="0007015E"/>
    <w:rsid w:val="000706F7"/>
    <w:rsid w:val="0007085C"/>
    <w:rsid w:val="00070B66"/>
    <w:rsid w:val="00070C7F"/>
    <w:rsid w:val="00070D15"/>
    <w:rsid w:val="00071248"/>
    <w:rsid w:val="0007141D"/>
    <w:rsid w:val="00071781"/>
    <w:rsid w:val="000720B9"/>
    <w:rsid w:val="000720E6"/>
    <w:rsid w:val="00072259"/>
    <w:rsid w:val="000723B2"/>
    <w:rsid w:val="000737F7"/>
    <w:rsid w:val="00073FEA"/>
    <w:rsid w:val="00073FF3"/>
    <w:rsid w:val="00074226"/>
    <w:rsid w:val="000742EC"/>
    <w:rsid w:val="0007434E"/>
    <w:rsid w:val="0007442A"/>
    <w:rsid w:val="000744E9"/>
    <w:rsid w:val="0007461F"/>
    <w:rsid w:val="00074935"/>
    <w:rsid w:val="00074B85"/>
    <w:rsid w:val="00074CAE"/>
    <w:rsid w:val="00074D60"/>
    <w:rsid w:val="000758E0"/>
    <w:rsid w:val="00075940"/>
    <w:rsid w:val="000763C5"/>
    <w:rsid w:val="0007641E"/>
    <w:rsid w:val="0007657D"/>
    <w:rsid w:val="0007672F"/>
    <w:rsid w:val="000769DB"/>
    <w:rsid w:val="00076B30"/>
    <w:rsid w:val="00076B54"/>
    <w:rsid w:val="00077268"/>
    <w:rsid w:val="000774F0"/>
    <w:rsid w:val="000774F7"/>
    <w:rsid w:val="00080503"/>
    <w:rsid w:val="00080527"/>
    <w:rsid w:val="0008069C"/>
    <w:rsid w:val="00080730"/>
    <w:rsid w:val="00080909"/>
    <w:rsid w:val="00080BDD"/>
    <w:rsid w:val="00080C47"/>
    <w:rsid w:val="00080D29"/>
    <w:rsid w:val="00080E5D"/>
    <w:rsid w:val="000812CA"/>
    <w:rsid w:val="00081724"/>
    <w:rsid w:val="0008173A"/>
    <w:rsid w:val="00081B73"/>
    <w:rsid w:val="00081E63"/>
    <w:rsid w:val="00082521"/>
    <w:rsid w:val="0008258D"/>
    <w:rsid w:val="00082670"/>
    <w:rsid w:val="00082BA0"/>
    <w:rsid w:val="00082E3C"/>
    <w:rsid w:val="00082E41"/>
    <w:rsid w:val="00083784"/>
    <w:rsid w:val="000839F0"/>
    <w:rsid w:val="00083CA9"/>
    <w:rsid w:val="00083E99"/>
    <w:rsid w:val="0008418D"/>
    <w:rsid w:val="00084239"/>
    <w:rsid w:val="000845EE"/>
    <w:rsid w:val="00084FA8"/>
    <w:rsid w:val="000853E7"/>
    <w:rsid w:val="000856C5"/>
    <w:rsid w:val="00085C31"/>
    <w:rsid w:val="00086BAD"/>
    <w:rsid w:val="00086C13"/>
    <w:rsid w:val="00087282"/>
    <w:rsid w:val="000902D9"/>
    <w:rsid w:val="00090C7E"/>
    <w:rsid w:val="000911AC"/>
    <w:rsid w:val="000914EA"/>
    <w:rsid w:val="000915D5"/>
    <w:rsid w:val="0009167B"/>
    <w:rsid w:val="000918E0"/>
    <w:rsid w:val="0009190F"/>
    <w:rsid w:val="00091C2C"/>
    <w:rsid w:val="00091F27"/>
    <w:rsid w:val="00092600"/>
    <w:rsid w:val="0009262B"/>
    <w:rsid w:val="00092938"/>
    <w:rsid w:val="00092B71"/>
    <w:rsid w:val="00092B95"/>
    <w:rsid w:val="00092F54"/>
    <w:rsid w:val="00093310"/>
    <w:rsid w:val="000942F1"/>
    <w:rsid w:val="0009445C"/>
    <w:rsid w:val="000945FA"/>
    <w:rsid w:val="00094CBA"/>
    <w:rsid w:val="00094E2D"/>
    <w:rsid w:val="00095200"/>
    <w:rsid w:val="000955A2"/>
    <w:rsid w:val="000956B3"/>
    <w:rsid w:val="00095FA4"/>
    <w:rsid w:val="00095FE5"/>
    <w:rsid w:val="00096012"/>
    <w:rsid w:val="000960C8"/>
    <w:rsid w:val="00096284"/>
    <w:rsid w:val="00096434"/>
    <w:rsid w:val="00096701"/>
    <w:rsid w:val="00096B94"/>
    <w:rsid w:val="00096BFE"/>
    <w:rsid w:val="0009778A"/>
    <w:rsid w:val="00097CF4"/>
    <w:rsid w:val="000A0478"/>
    <w:rsid w:val="000A04E1"/>
    <w:rsid w:val="000A05AD"/>
    <w:rsid w:val="000A05FE"/>
    <w:rsid w:val="000A1704"/>
    <w:rsid w:val="000A1935"/>
    <w:rsid w:val="000A19A8"/>
    <w:rsid w:val="000A1BC0"/>
    <w:rsid w:val="000A24D2"/>
    <w:rsid w:val="000A2F9E"/>
    <w:rsid w:val="000A342B"/>
    <w:rsid w:val="000A3744"/>
    <w:rsid w:val="000A3E47"/>
    <w:rsid w:val="000A3EA3"/>
    <w:rsid w:val="000A4049"/>
    <w:rsid w:val="000A40F4"/>
    <w:rsid w:val="000A4200"/>
    <w:rsid w:val="000A450B"/>
    <w:rsid w:val="000A4559"/>
    <w:rsid w:val="000A4A43"/>
    <w:rsid w:val="000A4B0A"/>
    <w:rsid w:val="000A5168"/>
    <w:rsid w:val="000A522B"/>
    <w:rsid w:val="000A54FF"/>
    <w:rsid w:val="000A5C01"/>
    <w:rsid w:val="000A5D37"/>
    <w:rsid w:val="000A6039"/>
    <w:rsid w:val="000A70AD"/>
    <w:rsid w:val="000A7453"/>
    <w:rsid w:val="000A785B"/>
    <w:rsid w:val="000A793E"/>
    <w:rsid w:val="000A7AF2"/>
    <w:rsid w:val="000A7B5B"/>
    <w:rsid w:val="000A7D08"/>
    <w:rsid w:val="000A7DC6"/>
    <w:rsid w:val="000A7F22"/>
    <w:rsid w:val="000A7F67"/>
    <w:rsid w:val="000B0121"/>
    <w:rsid w:val="000B0186"/>
    <w:rsid w:val="000B0427"/>
    <w:rsid w:val="000B049D"/>
    <w:rsid w:val="000B0670"/>
    <w:rsid w:val="000B089F"/>
    <w:rsid w:val="000B08B4"/>
    <w:rsid w:val="000B0939"/>
    <w:rsid w:val="000B0E1E"/>
    <w:rsid w:val="000B0E75"/>
    <w:rsid w:val="000B1817"/>
    <w:rsid w:val="000B1A65"/>
    <w:rsid w:val="000B1B99"/>
    <w:rsid w:val="000B1E54"/>
    <w:rsid w:val="000B2798"/>
    <w:rsid w:val="000B290B"/>
    <w:rsid w:val="000B2DCB"/>
    <w:rsid w:val="000B2F09"/>
    <w:rsid w:val="000B3203"/>
    <w:rsid w:val="000B3FF8"/>
    <w:rsid w:val="000B40E7"/>
    <w:rsid w:val="000B44A4"/>
    <w:rsid w:val="000B4972"/>
    <w:rsid w:val="000B4FB0"/>
    <w:rsid w:val="000B5218"/>
    <w:rsid w:val="000B5911"/>
    <w:rsid w:val="000B5969"/>
    <w:rsid w:val="000B5AE7"/>
    <w:rsid w:val="000B5CE0"/>
    <w:rsid w:val="000B65AB"/>
    <w:rsid w:val="000B67E1"/>
    <w:rsid w:val="000B6CAC"/>
    <w:rsid w:val="000B6DAE"/>
    <w:rsid w:val="000B7476"/>
    <w:rsid w:val="000B759C"/>
    <w:rsid w:val="000B7612"/>
    <w:rsid w:val="000B76FC"/>
    <w:rsid w:val="000B78AE"/>
    <w:rsid w:val="000B7C6F"/>
    <w:rsid w:val="000C0539"/>
    <w:rsid w:val="000C062F"/>
    <w:rsid w:val="000C0FCC"/>
    <w:rsid w:val="000C1159"/>
    <w:rsid w:val="000C1A50"/>
    <w:rsid w:val="000C1CC1"/>
    <w:rsid w:val="000C20E4"/>
    <w:rsid w:val="000C2BB0"/>
    <w:rsid w:val="000C326B"/>
    <w:rsid w:val="000C33C4"/>
    <w:rsid w:val="000C366B"/>
    <w:rsid w:val="000C368F"/>
    <w:rsid w:val="000C3C60"/>
    <w:rsid w:val="000C3DF9"/>
    <w:rsid w:val="000C3F1B"/>
    <w:rsid w:val="000C468F"/>
    <w:rsid w:val="000C46BD"/>
    <w:rsid w:val="000C4837"/>
    <w:rsid w:val="000C484C"/>
    <w:rsid w:val="000C4CF2"/>
    <w:rsid w:val="000C4D82"/>
    <w:rsid w:val="000C4F3B"/>
    <w:rsid w:val="000C50F9"/>
    <w:rsid w:val="000C5A1F"/>
    <w:rsid w:val="000C6713"/>
    <w:rsid w:val="000C6B8F"/>
    <w:rsid w:val="000C700B"/>
    <w:rsid w:val="000C70B6"/>
    <w:rsid w:val="000C7F56"/>
    <w:rsid w:val="000C7FF2"/>
    <w:rsid w:val="000D013F"/>
    <w:rsid w:val="000D06AA"/>
    <w:rsid w:val="000D07BB"/>
    <w:rsid w:val="000D0815"/>
    <w:rsid w:val="000D0956"/>
    <w:rsid w:val="000D0D30"/>
    <w:rsid w:val="000D1001"/>
    <w:rsid w:val="000D11E5"/>
    <w:rsid w:val="000D16D2"/>
    <w:rsid w:val="000D1995"/>
    <w:rsid w:val="000D1AF2"/>
    <w:rsid w:val="000D1BFC"/>
    <w:rsid w:val="000D1D5D"/>
    <w:rsid w:val="000D22D8"/>
    <w:rsid w:val="000D2634"/>
    <w:rsid w:val="000D281A"/>
    <w:rsid w:val="000D2848"/>
    <w:rsid w:val="000D2CA1"/>
    <w:rsid w:val="000D326A"/>
    <w:rsid w:val="000D37CB"/>
    <w:rsid w:val="000D406A"/>
    <w:rsid w:val="000D4283"/>
    <w:rsid w:val="000D44A1"/>
    <w:rsid w:val="000D47F1"/>
    <w:rsid w:val="000D4881"/>
    <w:rsid w:val="000D48AC"/>
    <w:rsid w:val="000D4C9B"/>
    <w:rsid w:val="000D511F"/>
    <w:rsid w:val="000D513F"/>
    <w:rsid w:val="000D51FB"/>
    <w:rsid w:val="000D5486"/>
    <w:rsid w:val="000D5713"/>
    <w:rsid w:val="000D574F"/>
    <w:rsid w:val="000D5B8F"/>
    <w:rsid w:val="000D5C57"/>
    <w:rsid w:val="000D5F30"/>
    <w:rsid w:val="000D622F"/>
    <w:rsid w:val="000D63D8"/>
    <w:rsid w:val="000D6884"/>
    <w:rsid w:val="000D6E7F"/>
    <w:rsid w:val="000D706C"/>
    <w:rsid w:val="000E02E4"/>
    <w:rsid w:val="000E0640"/>
    <w:rsid w:val="000E09A9"/>
    <w:rsid w:val="000E1278"/>
    <w:rsid w:val="000E135D"/>
    <w:rsid w:val="000E159C"/>
    <w:rsid w:val="000E17A2"/>
    <w:rsid w:val="000E1C61"/>
    <w:rsid w:val="000E2101"/>
    <w:rsid w:val="000E23E2"/>
    <w:rsid w:val="000E2BB3"/>
    <w:rsid w:val="000E2F30"/>
    <w:rsid w:val="000E2FF3"/>
    <w:rsid w:val="000E35C5"/>
    <w:rsid w:val="000E385A"/>
    <w:rsid w:val="000E47F3"/>
    <w:rsid w:val="000E4864"/>
    <w:rsid w:val="000E4942"/>
    <w:rsid w:val="000E4A5C"/>
    <w:rsid w:val="000E4AB3"/>
    <w:rsid w:val="000E4D67"/>
    <w:rsid w:val="000E4E72"/>
    <w:rsid w:val="000E51F1"/>
    <w:rsid w:val="000E537D"/>
    <w:rsid w:val="000E558E"/>
    <w:rsid w:val="000E562E"/>
    <w:rsid w:val="000E5CCE"/>
    <w:rsid w:val="000E6309"/>
    <w:rsid w:val="000E66D3"/>
    <w:rsid w:val="000E6808"/>
    <w:rsid w:val="000E695C"/>
    <w:rsid w:val="000E71F5"/>
    <w:rsid w:val="000F00BA"/>
    <w:rsid w:val="000F012D"/>
    <w:rsid w:val="000F0FE4"/>
    <w:rsid w:val="000F1076"/>
    <w:rsid w:val="000F108A"/>
    <w:rsid w:val="000F158D"/>
    <w:rsid w:val="000F1C12"/>
    <w:rsid w:val="000F2657"/>
    <w:rsid w:val="000F26DD"/>
    <w:rsid w:val="000F29BB"/>
    <w:rsid w:val="000F316A"/>
    <w:rsid w:val="000F31AD"/>
    <w:rsid w:val="000F3372"/>
    <w:rsid w:val="000F3393"/>
    <w:rsid w:val="000F3707"/>
    <w:rsid w:val="000F3C74"/>
    <w:rsid w:val="000F46D0"/>
    <w:rsid w:val="000F4834"/>
    <w:rsid w:val="000F4BB8"/>
    <w:rsid w:val="000F4FA9"/>
    <w:rsid w:val="000F53FB"/>
    <w:rsid w:val="000F5431"/>
    <w:rsid w:val="000F659B"/>
    <w:rsid w:val="000F66DC"/>
    <w:rsid w:val="000F7127"/>
    <w:rsid w:val="000F7470"/>
    <w:rsid w:val="000F7AD3"/>
    <w:rsid w:val="000F7B54"/>
    <w:rsid w:val="000F7BDB"/>
    <w:rsid w:val="0010008F"/>
    <w:rsid w:val="001000B3"/>
    <w:rsid w:val="00100604"/>
    <w:rsid w:val="00100CB2"/>
    <w:rsid w:val="00100F8A"/>
    <w:rsid w:val="001012DD"/>
    <w:rsid w:val="00101A05"/>
    <w:rsid w:val="00101F73"/>
    <w:rsid w:val="001020EF"/>
    <w:rsid w:val="00102218"/>
    <w:rsid w:val="00102373"/>
    <w:rsid w:val="0010278F"/>
    <w:rsid w:val="001027C8"/>
    <w:rsid w:val="00103675"/>
    <w:rsid w:val="00103741"/>
    <w:rsid w:val="001041D8"/>
    <w:rsid w:val="00104220"/>
    <w:rsid w:val="00104341"/>
    <w:rsid w:val="0010452E"/>
    <w:rsid w:val="00104622"/>
    <w:rsid w:val="001050D4"/>
    <w:rsid w:val="0010554F"/>
    <w:rsid w:val="00105AE2"/>
    <w:rsid w:val="00105CE4"/>
    <w:rsid w:val="001060C6"/>
    <w:rsid w:val="00106168"/>
    <w:rsid w:val="00106499"/>
    <w:rsid w:val="00106786"/>
    <w:rsid w:val="0010680A"/>
    <w:rsid w:val="00106B2A"/>
    <w:rsid w:val="00106B80"/>
    <w:rsid w:val="00106E49"/>
    <w:rsid w:val="00106F96"/>
    <w:rsid w:val="001071E4"/>
    <w:rsid w:val="00107795"/>
    <w:rsid w:val="00107919"/>
    <w:rsid w:val="0010792E"/>
    <w:rsid w:val="00107BBC"/>
    <w:rsid w:val="00107C4A"/>
    <w:rsid w:val="00107CD8"/>
    <w:rsid w:val="0011032E"/>
    <w:rsid w:val="001107F6"/>
    <w:rsid w:val="0011088B"/>
    <w:rsid w:val="00110B37"/>
    <w:rsid w:val="00110D72"/>
    <w:rsid w:val="00110EBA"/>
    <w:rsid w:val="00110FB0"/>
    <w:rsid w:val="00111A88"/>
    <w:rsid w:val="00111ED0"/>
    <w:rsid w:val="00111F2C"/>
    <w:rsid w:val="00111FCF"/>
    <w:rsid w:val="001121EC"/>
    <w:rsid w:val="00112299"/>
    <w:rsid w:val="0011239A"/>
    <w:rsid w:val="0011306C"/>
    <w:rsid w:val="0011348B"/>
    <w:rsid w:val="00113D2D"/>
    <w:rsid w:val="00113DDD"/>
    <w:rsid w:val="00114B34"/>
    <w:rsid w:val="00114CD6"/>
    <w:rsid w:val="001154E0"/>
    <w:rsid w:val="00115638"/>
    <w:rsid w:val="00115982"/>
    <w:rsid w:val="001159FA"/>
    <w:rsid w:val="00115E1B"/>
    <w:rsid w:val="001163E3"/>
    <w:rsid w:val="001165FC"/>
    <w:rsid w:val="00116C16"/>
    <w:rsid w:val="00116C53"/>
    <w:rsid w:val="001171CB"/>
    <w:rsid w:val="00117B42"/>
    <w:rsid w:val="00117E37"/>
    <w:rsid w:val="00117E78"/>
    <w:rsid w:val="001200C0"/>
    <w:rsid w:val="0012031E"/>
    <w:rsid w:val="001209BE"/>
    <w:rsid w:val="00120A88"/>
    <w:rsid w:val="00120AE0"/>
    <w:rsid w:val="00120B51"/>
    <w:rsid w:val="00120BB8"/>
    <w:rsid w:val="00120E24"/>
    <w:rsid w:val="0012111C"/>
    <w:rsid w:val="001212BD"/>
    <w:rsid w:val="001215E3"/>
    <w:rsid w:val="00121799"/>
    <w:rsid w:val="001219FA"/>
    <w:rsid w:val="00121BCA"/>
    <w:rsid w:val="00121D18"/>
    <w:rsid w:val="001222FC"/>
    <w:rsid w:val="0012241B"/>
    <w:rsid w:val="0012278A"/>
    <w:rsid w:val="00123778"/>
    <w:rsid w:val="00123902"/>
    <w:rsid w:val="00123C5C"/>
    <w:rsid w:val="00123EE2"/>
    <w:rsid w:val="001240B8"/>
    <w:rsid w:val="001247E5"/>
    <w:rsid w:val="00124A51"/>
    <w:rsid w:val="00124DD3"/>
    <w:rsid w:val="00125DB1"/>
    <w:rsid w:val="00126621"/>
    <w:rsid w:val="00126B1D"/>
    <w:rsid w:val="00126C57"/>
    <w:rsid w:val="00127804"/>
    <w:rsid w:val="001300B5"/>
    <w:rsid w:val="0013012D"/>
    <w:rsid w:val="001301E9"/>
    <w:rsid w:val="00130811"/>
    <w:rsid w:val="00130ED6"/>
    <w:rsid w:val="00131990"/>
    <w:rsid w:val="00131D82"/>
    <w:rsid w:val="00131EE0"/>
    <w:rsid w:val="00131FE1"/>
    <w:rsid w:val="00132387"/>
    <w:rsid w:val="00132B22"/>
    <w:rsid w:val="00132F8B"/>
    <w:rsid w:val="00132FFB"/>
    <w:rsid w:val="0013360B"/>
    <w:rsid w:val="00133741"/>
    <w:rsid w:val="00133832"/>
    <w:rsid w:val="00133C4F"/>
    <w:rsid w:val="00133D36"/>
    <w:rsid w:val="00133D9E"/>
    <w:rsid w:val="00134343"/>
    <w:rsid w:val="001351F7"/>
    <w:rsid w:val="001354DF"/>
    <w:rsid w:val="00135A20"/>
    <w:rsid w:val="00135EC1"/>
    <w:rsid w:val="00135F23"/>
    <w:rsid w:val="0013617E"/>
    <w:rsid w:val="0013638E"/>
    <w:rsid w:val="00136F3E"/>
    <w:rsid w:val="00136FE4"/>
    <w:rsid w:val="0013732C"/>
    <w:rsid w:val="001375B9"/>
    <w:rsid w:val="00137645"/>
    <w:rsid w:val="00137CAF"/>
    <w:rsid w:val="00137E7B"/>
    <w:rsid w:val="00140004"/>
    <w:rsid w:val="00140120"/>
    <w:rsid w:val="0014015A"/>
    <w:rsid w:val="0014075C"/>
    <w:rsid w:val="001407CF"/>
    <w:rsid w:val="00140941"/>
    <w:rsid w:val="00140CD9"/>
    <w:rsid w:val="00140E55"/>
    <w:rsid w:val="00140E99"/>
    <w:rsid w:val="00140F86"/>
    <w:rsid w:val="001410AC"/>
    <w:rsid w:val="001414C3"/>
    <w:rsid w:val="001419FA"/>
    <w:rsid w:val="00141E79"/>
    <w:rsid w:val="00142E2D"/>
    <w:rsid w:val="00143240"/>
    <w:rsid w:val="0014344B"/>
    <w:rsid w:val="001434C8"/>
    <w:rsid w:val="00143F67"/>
    <w:rsid w:val="0014464B"/>
    <w:rsid w:val="00144681"/>
    <w:rsid w:val="00145019"/>
    <w:rsid w:val="00145234"/>
    <w:rsid w:val="00145540"/>
    <w:rsid w:val="001455BB"/>
    <w:rsid w:val="001456B0"/>
    <w:rsid w:val="00145BAF"/>
    <w:rsid w:val="001461CC"/>
    <w:rsid w:val="00146555"/>
    <w:rsid w:val="001472DB"/>
    <w:rsid w:val="00147487"/>
    <w:rsid w:val="001474DF"/>
    <w:rsid w:val="001475ED"/>
    <w:rsid w:val="00147903"/>
    <w:rsid w:val="00147B6E"/>
    <w:rsid w:val="0015028D"/>
    <w:rsid w:val="00150629"/>
    <w:rsid w:val="0015092C"/>
    <w:rsid w:val="00150D27"/>
    <w:rsid w:val="00150DA1"/>
    <w:rsid w:val="00150DF6"/>
    <w:rsid w:val="00151136"/>
    <w:rsid w:val="001511AE"/>
    <w:rsid w:val="00151878"/>
    <w:rsid w:val="00151EDA"/>
    <w:rsid w:val="0015212E"/>
    <w:rsid w:val="0015217C"/>
    <w:rsid w:val="001523D9"/>
    <w:rsid w:val="00152BBE"/>
    <w:rsid w:val="00152BFF"/>
    <w:rsid w:val="00152EC2"/>
    <w:rsid w:val="00152ED5"/>
    <w:rsid w:val="00153476"/>
    <w:rsid w:val="001535B8"/>
    <w:rsid w:val="00153967"/>
    <w:rsid w:val="00154652"/>
    <w:rsid w:val="001547AB"/>
    <w:rsid w:val="00154B6B"/>
    <w:rsid w:val="0015516D"/>
    <w:rsid w:val="00155F93"/>
    <w:rsid w:val="001569FA"/>
    <w:rsid w:val="00156F8F"/>
    <w:rsid w:val="00157130"/>
    <w:rsid w:val="00157418"/>
    <w:rsid w:val="001574B7"/>
    <w:rsid w:val="001576B1"/>
    <w:rsid w:val="001576C5"/>
    <w:rsid w:val="00157D2A"/>
    <w:rsid w:val="00157D34"/>
    <w:rsid w:val="0016008C"/>
    <w:rsid w:val="00160459"/>
    <w:rsid w:val="0016047B"/>
    <w:rsid w:val="00160696"/>
    <w:rsid w:val="0016098C"/>
    <w:rsid w:val="00160A4C"/>
    <w:rsid w:val="00160BC1"/>
    <w:rsid w:val="00161393"/>
    <w:rsid w:val="001618DF"/>
    <w:rsid w:val="00161A61"/>
    <w:rsid w:val="00162074"/>
    <w:rsid w:val="00162362"/>
    <w:rsid w:val="00162913"/>
    <w:rsid w:val="001632EA"/>
    <w:rsid w:val="0016366A"/>
    <w:rsid w:val="0016378E"/>
    <w:rsid w:val="00163798"/>
    <w:rsid w:val="001638F5"/>
    <w:rsid w:val="00163E9D"/>
    <w:rsid w:val="00163EFF"/>
    <w:rsid w:val="00163F66"/>
    <w:rsid w:val="00164317"/>
    <w:rsid w:val="00164482"/>
    <w:rsid w:val="0016478E"/>
    <w:rsid w:val="00164A66"/>
    <w:rsid w:val="00164B0D"/>
    <w:rsid w:val="00164B50"/>
    <w:rsid w:val="00164BDC"/>
    <w:rsid w:val="00164E95"/>
    <w:rsid w:val="001650C6"/>
    <w:rsid w:val="001650DC"/>
    <w:rsid w:val="00165270"/>
    <w:rsid w:val="001653E5"/>
    <w:rsid w:val="0016587F"/>
    <w:rsid w:val="00165955"/>
    <w:rsid w:val="00165EC4"/>
    <w:rsid w:val="001661FB"/>
    <w:rsid w:val="00166365"/>
    <w:rsid w:val="00166E9D"/>
    <w:rsid w:val="00167012"/>
    <w:rsid w:val="00167054"/>
    <w:rsid w:val="001671A0"/>
    <w:rsid w:val="0016767F"/>
    <w:rsid w:val="001679E9"/>
    <w:rsid w:val="00170011"/>
    <w:rsid w:val="001702A4"/>
    <w:rsid w:val="001702BA"/>
    <w:rsid w:val="0017046A"/>
    <w:rsid w:val="0017094E"/>
    <w:rsid w:val="00170E50"/>
    <w:rsid w:val="0017136C"/>
    <w:rsid w:val="00171803"/>
    <w:rsid w:val="00171C5C"/>
    <w:rsid w:val="001720FD"/>
    <w:rsid w:val="00172215"/>
    <w:rsid w:val="00172ADA"/>
    <w:rsid w:val="00172BA5"/>
    <w:rsid w:val="00172F1C"/>
    <w:rsid w:val="00173565"/>
    <w:rsid w:val="001735CE"/>
    <w:rsid w:val="001737B3"/>
    <w:rsid w:val="001739C0"/>
    <w:rsid w:val="00173B07"/>
    <w:rsid w:val="00173D68"/>
    <w:rsid w:val="00173FF8"/>
    <w:rsid w:val="00174086"/>
    <w:rsid w:val="001744D9"/>
    <w:rsid w:val="00174803"/>
    <w:rsid w:val="00174C23"/>
    <w:rsid w:val="0017515E"/>
    <w:rsid w:val="001751FA"/>
    <w:rsid w:val="0017522A"/>
    <w:rsid w:val="0017548D"/>
    <w:rsid w:val="001758ED"/>
    <w:rsid w:val="00175947"/>
    <w:rsid w:val="001762A5"/>
    <w:rsid w:val="00176547"/>
    <w:rsid w:val="001769A6"/>
    <w:rsid w:val="00176A26"/>
    <w:rsid w:val="00176DE3"/>
    <w:rsid w:val="0017790E"/>
    <w:rsid w:val="00180B5A"/>
    <w:rsid w:val="00180BFC"/>
    <w:rsid w:val="00181032"/>
    <w:rsid w:val="001817E9"/>
    <w:rsid w:val="001818FC"/>
    <w:rsid w:val="00181C08"/>
    <w:rsid w:val="00181C10"/>
    <w:rsid w:val="00181D9C"/>
    <w:rsid w:val="00181DB2"/>
    <w:rsid w:val="00181DBB"/>
    <w:rsid w:val="00182021"/>
    <w:rsid w:val="001826F4"/>
    <w:rsid w:val="00182A28"/>
    <w:rsid w:val="001830F0"/>
    <w:rsid w:val="0018349C"/>
    <w:rsid w:val="001837FF"/>
    <w:rsid w:val="00183B92"/>
    <w:rsid w:val="00183E80"/>
    <w:rsid w:val="00184B0E"/>
    <w:rsid w:val="001853C1"/>
    <w:rsid w:val="0018542D"/>
    <w:rsid w:val="00185489"/>
    <w:rsid w:val="00185619"/>
    <w:rsid w:val="0018576E"/>
    <w:rsid w:val="00185975"/>
    <w:rsid w:val="00185AE1"/>
    <w:rsid w:val="00185E2D"/>
    <w:rsid w:val="001863DD"/>
    <w:rsid w:val="0018702B"/>
    <w:rsid w:val="001871A6"/>
    <w:rsid w:val="001872B4"/>
    <w:rsid w:val="001873DE"/>
    <w:rsid w:val="0018752F"/>
    <w:rsid w:val="001876C0"/>
    <w:rsid w:val="0019054C"/>
    <w:rsid w:val="001906CD"/>
    <w:rsid w:val="00190B0D"/>
    <w:rsid w:val="00190C67"/>
    <w:rsid w:val="00190F8A"/>
    <w:rsid w:val="001910E9"/>
    <w:rsid w:val="00191CA4"/>
    <w:rsid w:val="00192080"/>
    <w:rsid w:val="00192E20"/>
    <w:rsid w:val="00192E3E"/>
    <w:rsid w:val="00193108"/>
    <w:rsid w:val="001935CF"/>
    <w:rsid w:val="00193734"/>
    <w:rsid w:val="00193838"/>
    <w:rsid w:val="001939F3"/>
    <w:rsid w:val="00194045"/>
    <w:rsid w:val="00194AD8"/>
    <w:rsid w:val="00194BA7"/>
    <w:rsid w:val="00195222"/>
    <w:rsid w:val="00195452"/>
    <w:rsid w:val="001954F8"/>
    <w:rsid w:val="00195825"/>
    <w:rsid w:val="00195C0E"/>
    <w:rsid w:val="00195D68"/>
    <w:rsid w:val="00196309"/>
    <w:rsid w:val="001965E1"/>
    <w:rsid w:val="00196E0E"/>
    <w:rsid w:val="001972C5"/>
    <w:rsid w:val="001975D8"/>
    <w:rsid w:val="001A0294"/>
    <w:rsid w:val="001A05A2"/>
    <w:rsid w:val="001A1039"/>
    <w:rsid w:val="001A162A"/>
    <w:rsid w:val="001A178E"/>
    <w:rsid w:val="001A1910"/>
    <w:rsid w:val="001A1935"/>
    <w:rsid w:val="001A1BEB"/>
    <w:rsid w:val="001A1C9C"/>
    <w:rsid w:val="001A2701"/>
    <w:rsid w:val="001A284D"/>
    <w:rsid w:val="001A2F05"/>
    <w:rsid w:val="001A35D3"/>
    <w:rsid w:val="001A365B"/>
    <w:rsid w:val="001A3849"/>
    <w:rsid w:val="001A4079"/>
    <w:rsid w:val="001A43FA"/>
    <w:rsid w:val="001A4487"/>
    <w:rsid w:val="001A4618"/>
    <w:rsid w:val="001A47C5"/>
    <w:rsid w:val="001A4B95"/>
    <w:rsid w:val="001A4E12"/>
    <w:rsid w:val="001A508C"/>
    <w:rsid w:val="001A50CD"/>
    <w:rsid w:val="001A59FB"/>
    <w:rsid w:val="001A5AAE"/>
    <w:rsid w:val="001A5E9E"/>
    <w:rsid w:val="001A631C"/>
    <w:rsid w:val="001A6354"/>
    <w:rsid w:val="001A6366"/>
    <w:rsid w:val="001A68CA"/>
    <w:rsid w:val="001A6B50"/>
    <w:rsid w:val="001A6EB8"/>
    <w:rsid w:val="001A6F98"/>
    <w:rsid w:val="001A711F"/>
    <w:rsid w:val="001A7AE8"/>
    <w:rsid w:val="001B0810"/>
    <w:rsid w:val="001B0D0D"/>
    <w:rsid w:val="001B1490"/>
    <w:rsid w:val="001B204E"/>
    <w:rsid w:val="001B2372"/>
    <w:rsid w:val="001B24BF"/>
    <w:rsid w:val="001B2697"/>
    <w:rsid w:val="001B336D"/>
    <w:rsid w:val="001B3443"/>
    <w:rsid w:val="001B3980"/>
    <w:rsid w:val="001B39D0"/>
    <w:rsid w:val="001B3BEE"/>
    <w:rsid w:val="001B3C3F"/>
    <w:rsid w:val="001B4636"/>
    <w:rsid w:val="001B4926"/>
    <w:rsid w:val="001B4D20"/>
    <w:rsid w:val="001B51C3"/>
    <w:rsid w:val="001B5780"/>
    <w:rsid w:val="001B59B5"/>
    <w:rsid w:val="001B5F83"/>
    <w:rsid w:val="001B6F90"/>
    <w:rsid w:val="001B7422"/>
    <w:rsid w:val="001B7569"/>
    <w:rsid w:val="001B7D3F"/>
    <w:rsid w:val="001B7F84"/>
    <w:rsid w:val="001C0096"/>
    <w:rsid w:val="001C05E6"/>
    <w:rsid w:val="001C0F69"/>
    <w:rsid w:val="001C0F7B"/>
    <w:rsid w:val="001C12CF"/>
    <w:rsid w:val="001C12E6"/>
    <w:rsid w:val="001C1747"/>
    <w:rsid w:val="001C1E7F"/>
    <w:rsid w:val="001C1FD3"/>
    <w:rsid w:val="001C21FB"/>
    <w:rsid w:val="001C2A9B"/>
    <w:rsid w:val="001C2E78"/>
    <w:rsid w:val="001C31A6"/>
    <w:rsid w:val="001C382B"/>
    <w:rsid w:val="001C397F"/>
    <w:rsid w:val="001C3BD7"/>
    <w:rsid w:val="001C3CC8"/>
    <w:rsid w:val="001C3D07"/>
    <w:rsid w:val="001C3DD6"/>
    <w:rsid w:val="001C3ED9"/>
    <w:rsid w:val="001C4299"/>
    <w:rsid w:val="001C4874"/>
    <w:rsid w:val="001C51DD"/>
    <w:rsid w:val="001C57B3"/>
    <w:rsid w:val="001C5D7A"/>
    <w:rsid w:val="001C5F94"/>
    <w:rsid w:val="001C668B"/>
    <w:rsid w:val="001C686C"/>
    <w:rsid w:val="001C6D4E"/>
    <w:rsid w:val="001C6D5A"/>
    <w:rsid w:val="001C6E66"/>
    <w:rsid w:val="001C6E71"/>
    <w:rsid w:val="001C71C9"/>
    <w:rsid w:val="001C7364"/>
    <w:rsid w:val="001C75D5"/>
    <w:rsid w:val="001C7779"/>
    <w:rsid w:val="001C7DE2"/>
    <w:rsid w:val="001D0398"/>
    <w:rsid w:val="001D0AAC"/>
    <w:rsid w:val="001D0F49"/>
    <w:rsid w:val="001D1100"/>
    <w:rsid w:val="001D1388"/>
    <w:rsid w:val="001D1391"/>
    <w:rsid w:val="001D1624"/>
    <w:rsid w:val="001D25D7"/>
    <w:rsid w:val="001D25ED"/>
    <w:rsid w:val="001D2DB5"/>
    <w:rsid w:val="001D2E01"/>
    <w:rsid w:val="001D30D5"/>
    <w:rsid w:val="001D31C8"/>
    <w:rsid w:val="001D37EA"/>
    <w:rsid w:val="001D3FF2"/>
    <w:rsid w:val="001D4B5C"/>
    <w:rsid w:val="001D50B2"/>
    <w:rsid w:val="001D55DA"/>
    <w:rsid w:val="001D6043"/>
    <w:rsid w:val="001D6656"/>
    <w:rsid w:val="001D6677"/>
    <w:rsid w:val="001D6DA6"/>
    <w:rsid w:val="001D6DDF"/>
    <w:rsid w:val="001D6EA6"/>
    <w:rsid w:val="001D6FEE"/>
    <w:rsid w:val="001D7079"/>
    <w:rsid w:val="001D71F4"/>
    <w:rsid w:val="001D738C"/>
    <w:rsid w:val="001D73F9"/>
    <w:rsid w:val="001D7645"/>
    <w:rsid w:val="001D7844"/>
    <w:rsid w:val="001D799F"/>
    <w:rsid w:val="001D7C3B"/>
    <w:rsid w:val="001E0092"/>
    <w:rsid w:val="001E016F"/>
    <w:rsid w:val="001E02E4"/>
    <w:rsid w:val="001E0433"/>
    <w:rsid w:val="001E0550"/>
    <w:rsid w:val="001E0555"/>
    <w:rsid w:val="001E05B4"/>
    <w:rsid w:val="001E06B1"/>
    <w:rsid w:val="001E0A64"/>
    <w:rsid w:val="001E1230"/>
    <w:rsid w:val="001E1300"/>
    <w:rsid w:val="001E153B"/>
    <w:rsid w:val="001E15AD"/>
    <w:rsid w:val="001E1612"/>
    <w:rsid w:val="001E1E86"/>
    <w:rsid w:val="001E238E"/>
    <w:rsid w:val="001E23D7"/>
    <w:rsid w:val="001E2483"/>
    <w:rsid w:val="001E24DE"/>
    <w:rsid w:val="001E289B"/>
    <w:rsid w:val="001E2B1E"/>
    <w:rsid w:val="001E2CFF"/>
    <w:rsid w:val="001E2F24"/>
    <w:rsid w:val="001E30D4"/>
    <w:rsid w:val="001E3198"/>
    <w:rsid w:val="001E34DF"/>
    <w:rsid w:val="001E3774"/>
    <w:rsid w:val="001E3E34"/>
    <w:rsid w:val="001E4409"/>
    <w:rsid w:val="001E45F7"/>
    <w:rsid w:val="001E4958"/>
    <w:rsid w:val="001E4D6F"/>
    <w:rsid w:val="001E4F6C"/>
    <w:rsid w:val="001E503A"/>
    <w:rsid w:val="001E5265"/>
    <w:rsid w:val="001E52EB"/>
    <w:rsid w:val="001E52F9"/>
    <w:rsid w:val="001E61D2"/>
    <w:rsid w:val="001E64C8"/>
    <w:rsid w:val="001E65E2"/>
    <w:rsid w:val="001E6AE3"/>
    <w:rsid w:val="001E6F61"/>
    <w:rsid w:val="001E724A"/>
    <w:rsid w:val="001E72B0"/>
    <w:rsid w:val="001E740C"/>
    <w:rsid w:val="001E741D"/>
    <w:rsid w:val="001E7684"/>
    <w:rsid w:val="001E779B"/>
    <w:rsid w:val="001E784C"/>
    <w:rsid w:val="001E79AB"/>
    <w:rsid w:val="001E7CB6"/>
    <w:rsid w:val="001E7FB4"/>
    <w:rsid w:val="001F023F"/>
    <w:rsid w:val="001F05E2"/>
    <w:rsid w:val="001F0950"/>
    <w:rsid w:val="001F0999"/>
    <w:rsid w:val="001F0E29"/>
    <w:rsid w:val="001F1235"/>
    <w:rsid w:val="001F16A7"/>
    <w:rsid w:val="001F1CB3"/>
    <w:rsid w:val="001F1EA5"/>
    <w:rsid w:val="001F2017"/>
    <w:rsid w:val="001F2202"/>
    <w:rsid w:val="001F28C0"/>
    <w:rsid w:val="001F32BB"/>
    <w:rsid w:val="001F34E2"/>
    <w:rsid w:val="001F38B5"/>
    <w:rsid w:val="001F3BB6"/>
    <w:rsid w:val="001F3C3B"/>
    <w:rsid w:val="001F3F91"/>
    <w:rsid w:val="001F4081"/>
    <w:rsid w:val="001F451A"/>
    <w:rsid w:val="001F4630"/>
    <w:rsid w:val="001F482F"/>
    <w:rsid w:val="001F4A91"/>
    <w:rsid w:val="001F4BBD"/>
    <w:rsid w:val="001F4DC7"/>
    <w:rsid w:val="001F5534"/>
    <w:rsid w:val="001F5F0F"/>
    <w:rsid w:val="001F613E"/>
    <w:rsid w:val="001F625C"/>
    <w:rsid w:val="001F6428"/>
    <w:rsid w:val="001F66D9"/>
    <w:rsid w:val="001F6CBB"/>
    <w:rsid w:val="001F7361"/>
    <w:rsid w:val="001F7A39"/>
    <w:rsid w:val="001F7DFB"/>
    <w:rsid w:val="001F7E2B"/>
    <w:rsid w:val="00200974"/>
    <w:rsid w:val="002011B0"/>
    <w:rsid w:val="0020180D"/>
    <w:rsid w:val="00201E96"/>
    <w:rsid w:val="00201F7F"/>
    <w:rsid w:val="00202053"/>
    <w:rsid w:val="002025DC"/>
    <w:rsid w:val="00202D7E"/>
    <w:rsid w:val="00202E15"/>
    <w:rsid w:val="00202FE3"/>
    <w:rsid w:val="00203181"/>
    <w:rsid w:val="00203341"/>
    <w:rsid w:val="00203360"/>
    <w:rsid w:val="00203783"/>
    <w:rsid w:val="002037F0"/>
    <w:rsid w:val="0020385F"/>
    <w:rsid w:val="00203AB9"/>
    <w:rsid w:val="00203CBA"/>
    <w:rsid w:val="00204980"/>
    <w:rsid w:val="00205030"/>
    <w:rsid w:val="00205F1B"/>
    <w:rsid w:val="002068A0"/>
    <w:rsid w:val="00206BEC"/>
    <w:rsid w:val="00206E3D"/>
    <w:rsid w:val="00206F14"/>
    <w:rsid w:val="00207021"/>
    <w:rsid w:val="0020732F"/>
    <w:rsid w:val="00207D00"/>
    <w:rsid w:val="00207DC3"/>
    <w:rsid w:val="002103A5"/>
    <w:rsid w:val="002105C1"/>
    <w:rsid w:val="00210628"/>
    <w:rsid w:val="002107CC"/>
    <w:rsid w:val="00210C46"/>
    <w:rsid w:val="00210DD4"/>
    <w:rsid w:val="002114C6"/>
    <w:rsid w:val="00211678"/>
    <w:rsid w:val="002116FD"/>
    <w:rsid w:val="00211D56"/>
    <w:rsid w:val="00211F8F"/>
    <w:rsid w:val="00212121"/>
    <w:rsid w:val="002122A9"/>
    <w:rsid w:val="00212439"/>
    <w:rsid w:val="002125DE"/>
    <w:rsid w:val="0021262C"/>
    <w:rsid w:val="00212873"/>
    <w:rsid w:val="00213012"/>
    <w:rsid w:val="0021302F"/>
    <w:rsid w:val="002131E0"/>
    <w:rsid w:val="00213264"/>
    <w:rsid w:val="002133F6"/>
    <w:rsid w:val="00213415"/>
    <w:rsid w:val="002134FC"/>
    <w:rsid w:val="00213EF5"/>
    <w:rsid w:val="0021432C"/>
    <w:rsid w:val="00214385"/>
    <w:rsid w:val="00214E50"/>
    <w:rsid w:val="00214ED7"/>
    <w:rsid w:val="00215BCA"/>
    <w:rsid w:val="00215CB1"/>
    <w:rsid w:val="002161F0"/>
    <w:rsid w:val="002166FA"/>
    <w:rsid w:val="00216BF5"/>
    <w:rsid w:val="00216E7B"/>
    <w:rsid w:val="00217448"/>
    <w:rsid w:val="00220CB8"/>
    <w:rsid w:val="00220F83"/>
    <w:rsid w:val="00221363"/>
    <w:rsid w:val="00221568"/>
    <w:rsid w:val="00221E0B"/>
    <w:rsid w:val="00221E1F"/>
    <w:rsid w:val="00221F2C"/>
    <w:rsid w:val="00222164"/>
    <w:rsid w:val="00222638"/>
    <w:rsid w:val="00222E1F"/>
    <w:rsid w:val="00223A4E"/>
    <w:rsid w:val="00223B49"/>
    <w:rsid w:val="00223B51"/>
    <w:rsid w:val="00223D5A"/>
    <w:rsid w:val="002244F0"/>
    <w:rsid w:val="00224DC7"/>
    <w:rsid w:val="00224DD4"/>
    <w:rsid w:val="00225181"/>
    <w:rsid w:val="002255D9"/>
    <w:rsid w:val="00226462"/>
    <w:rsid w:val="002264D9"/>
    <w:rsid w:val="002269BF"/>
    <w:rsid w:val="00226A2B"/>
    <w:rsid w:val="002278A0"/>
    <w:rsid w:val="00230654"/>
    <w:rsid w:val="00230924"/>
    <w:rsid w:val="002309CC"/>
    <w:rsid w:val="00230DBD"/>
    <w:rsid w:val="00230F7E"/>
    <w:rsid w:val="00231A63"/>
    <w:rsid w:val="00231BA9"/>
    <w:rsid w:val="0023209F"/>
    <w:rsid w:val="0023266F"/>
    <w:rsid w:val="002329E9"/>
    <w:rsid w:val="0023326C"/>
    <w:rsid w:val="00233281"/>
    <w:rsid w:val="00233412"/>
    <w:rsid w:val="00233646"/>
    <w:rsid w:val="00233C01"/>
    <w:rsid w:val="002340FB"/>
    <w:rsid w:val="0023413C"/>
    <w:rsid w:val="00234570"/>
    <w:rsid w:val="002346F0"/>
    <w:rsid w:val="00234D60"/>
    <w:rsid w:val="00235EF6"/>
    <w:rsid w:val="00236244"/>
    <w:rsid w:val="0023629D"/>
    <w:rsid w:val="002366F1"/>
    <w:rsid w:val="00236DBD"/>
    <w:rsid w:val="00237255"/>
    <w:rsid w:val="00237910"/>
    <w:rsid w:val="00237B75"/>
    <w:rsid w:val="00237C41"/>
    <w:rsid w:val="00237D25"/>
    <w:rsid w:val="002407F4"/>
    <w:rsid w:val="00240FD4"/>
    <w:rsid w:val="0024126A"/>
    <w:rsid w:val="00241568"/>
    <w:rsid w:val="00241E5A"/>
    <w:rsid w:val="002424AF"/>
    <w:rsid w:val="002427E3"/>
    <w:rsid w:val="00242DF6"/>
    <w:rsid w:val="00242E47"/>
    <w:rsid w:val="0024343A"/>
    <w:rsid w:val="00243782"/>
    <w:rsid w:val="002439DC"/>
    <w:rsid w:val="002441D2"/>
    <w:rsid w:val="00244D8D"/>
    <w:rsid w:val="00244DC8"/>
    <w:rsid w:val="00245042"/>
    <w:rsid w:val="00245089"/>
    <w:rsid w:val="002453F0"/>
    <w:rsid w:val="002458BA"/>
    <w:rsid w:val="00245CE9"/>
    <w:rsid w:val="00245E34"/>
    <w:rsid w:val="00245FDD"/>
    <w:rsid w:val="002462BB"/>
    <w:rsid w:val="00246352"/>
    <w:rsid w:val="0024636C"/>
    <w:rsid w:val="0024675E"/>
    <w:rsid w:val="00246B7B"/>
    <w:rsid w:val="00246DC2"/>
    <w:rsid w:val="0024711D"/>
    <w:rsid w:val="00247289"/>
    <w:rsid w:val="00247386"/>
    <w:rsid w:val="0024756E"/>
    <w:rsid w:val="00247925"/>
    <w:rsid w:val="0024797E"/>
    <w:rsid w:val="00247AC2"/>
    <w:rsid w:val="002500C3"/>
    <w:rsid w:val="0025047B"/>
    <w:rsid w:val="002508C8"/>
    <w:rsid w:val="00251006"/>
    <w:rsid w:val="002513B9"/>
    <w:rsid w:val="0025167C"/>
    <w:rsid w:val="002516C9"/>
    <w:rsid w:val="002517BB"/>
    <w:rsid w:val="002522FB"/>
    <w:rsid w:val="002524D5"/>
    <w:rsid w:val="0025294D"/>
    <w:rsid w:val="00252E5E"/>
    <w:rsid w:val="002539C7"/>
    <w:rsid w:val="00253A8A"/>
    <w:rsid w:val="00253B1D"/>
    <w:rsid w:val="00254394"/>
    <w:rsid w:val="002547DE"/>
    <w:rsid w:val="00254DCF"/>
    <w:rsid w:val="002551F9"/>
    <w:rsid w:val="0025534B"/>
    <w:rsid w:val="0025584B"/>
    <w:rsid w:val="00255A19"/>
    <w:rsid w:val="00255A72"/>
    <w:rsid w:val="00255B14"/>
    <w:rsid w:val="00255BB7"/>
    <w:rsid w:val="00256191"/>
    <w:rsid w:val="0025747F"/>
    <w:rsid w:val="00257541"/>
    <w:rsid w:val="00257A39"/>
    <w:rsid w:val="00257AC4"/>
    <w:rsid w:val="00257B36"/>
    <w:rsid w:val="00257BBE"/>
    <w:rsid w:val="002601BF"/>
    <w:rsid w:val="0026045F"/>
    <w:rsid w:val="0026083B"/>
    <w:rsid w:val="002609F5"/>
    <w:rsid w:val="00260E85"/>
    <w:rsid w:val="0026109D"/>
    <w:rsid w:val="00261453"/>
    <w:rsid w:val="0026191D"/>
    <w:rsid w:val="00261B80"/>
    <w:rsid w:val="00261EEF"/>
    <w:rsid w:val="002621E0"/>
    <w:rsid w:val="00262825"/>
    <w:rsid w:val="00262A1A"/>
    <w:rsid w:val="00262A87"/>
    <w:rsid w:val="002642D9"/>
    <w:rsid w:val="0026445D"/>
    <w:rsid w:val="002644DF"/>
    <w:rsid w:val="00264739"/>
    <w:rsid w:val="0026480F"/>
    <w:rsid w:val="00264D26"/>
    <w:rsid w:val="00265138"/>
    <w:rsid w:val="002652A2"/>
    <w:rsid w:val="0026530F"/>
    <w:rsid w:val="00265557"/>
    <w:rsid w:val="002658E4"/>
    <w:rsid w:val="00265D22"/>
    <w:rsid w:val="0026648B"/>
    <w:rsid w:val="00266714"/>
    <w:rsid w:val="00267249"/>
    <w:rsid w:val="002672E3"/>
    <w:rsid w:val="002675D9"/>
    <w:rsid w:val="00267642"/>
    <w:rsid w:val="002679E7"/>
    <w:rsid w:val="00267AEA"/>
    <w:rsid w:val="002700E5"/>
    <w:rsid w:val="002700E6"/>
    <w:rsid w:val="002701CF"/>
    <w:rsid w:val="002702CC"/>
    <w:rsid w:val="00270A5C"/>
    <w:rsid w:val="00270BA9"/>
    <w:rsid w:val="00270CEB"/>
    <w:rsid w:val="00271006"/>
    <w:rsid w:val="002710A6"/>
    <w:rsid w:val="002713FF"/>
    <w:rsid w:val="00271774"/>
    <w:rsid w:val="0027294B"/>
    <w:rsid w:val="00272BAF"/>
    <w:rsid w:val="00272D4F"/>
    <w:rsid w:val="00272FF0"/>
    <w:rsid w:val="002732B6"/>
    <w:rsid w:val="00273368"/>
    <w:rsid w:val="002737AF"/>
    <w:rsid w:val="00273EB4"/>
    <w:rsid w:val="00274682"/>
    <w:rsid w:val="0027490B"/>
    <w:rsid w:val="00274A7E"/>
    <w:rsid w:val="0027512C"/>
    <w:rsid w:val="00275158"/>
    <w:rsid w:val="0027526D"/>
    <w:rsid w:val="00275445"/>
    <w:rsid w:val="002755DA"/>
    <w:rsid w:val="00275857"/>
    <w:rsid w:val="00275C5A"/>
    <w:rsid w:val="00275D0A"/>
    <w:rsid w:val="0027611B"/>
    <w:rsid w:val="002761AD"/>
    <w:rsid w:val="002761AE"/>
    <w:rsid w:val="00276E5D"/>
    <w:rsid w:val="002773B5"/>
    <w:rsid w:val="00277C75"/>
    <w:rsid w:val="0028012F"/>
    <w:rsid w:val="002803FA"/>
    <w:rsid w:val="00280B51"/>
    <w:rsid w:val="00281014"/>
    <w:rsid w:val="00281031"/>
    <w:rsid w:val="00281975"/>
    <w:rsid w:val="00281C8A"/>
    <w:rsid w:val="00281F8C"/>
    <w:rsid w:val="00281FC1"/>
    <w:rsid w:val="002821CC"/>
    <w:rsid w:val="00282A18"/>
    <w:rsid w:val="00282C11"/>
    <w:rsid w:val="00283574"/>
    <w:rsid w:val="002838AF"/>
    <w:rsid w:val="00283961"/>
    <w:rsid w:val="00283D62"/>
    <w:rsid w:val="00285219"/>
    <w:rsid w:val="00285249"/>
    <w:rsid w:val="00285300"/>
    <w:rsid w:val="00285A4B"/>
    <w:rsid w:val="00285BCE"/>
    <w:rsid w:val="00285D68"/>
    <w:rsid w:val="002862B0"/>
    <w:rsid w:val="002862B2"/>
    <w:rsid w:val="0028665D"/>
    <w:rsid w:val="00286785"/>
    <w:rsid w:val="00286FF6"/>
    <w:rsid w:val="00287C59"/>
    <w:rsid w:val="00287C6A"/>
    <w:rsid w:val="002901F5"/>
    <w:rsid w:val="00290946"/>
    <w:rsid w:val="00290CC7"/>
    <w:rsid w:val="0029175B"/>
    <w:rsid w:val="00291EC0"/>
    <w:rsid w:val="00291ED0"/>
    <w:rsid w:val="002933A0"/>
    <w:rsid w:val="002935DB"/>
    <w:rsid w:val="002938EE"/>
    <w:rsid w:val="00294C9F"/>
    <w:rsid w:val="00294F86"/>
    <w:rsid w:val="00294FFD"/>
    <w:rsid w:val="0029525D"/>
    <w:rsid w:val="0029533D"/>
    <w:rsid w:val="002954AF"/>
    <w:rsid w:val="002958FF"/>
    <w:rsid w:val="00295B2A"/>
    <w:rsid w:val="00296099"/>
    <w:rsid w:val="002960C5"/>
    <w:rsid w:val="0029690E"/>
    <w:rsid w:val="002969C3"/>
    <w:rsid w:val="00296A41"/>
    <w:rsid w:val="00296CD5"/>
    <w:rsid w:val="00296D15"/>
    <w:rsid w:val="00296E07"/>
    <w:rsid w:val="00296E38"/>
    <w:rsid w:val="002970AB"/>
    <w:rsid w:val="00297180"/>
    <w:rsid w:val="00297A4B"/>
    <w:rsid w:val="00297A86"/>
    <w:rsid w:val="00297B6F"/>
    <w:rsid w:val="002A14AB"/>
    <w:rsid w:val="002A1618"/>
    <w:rsid w:val="002A1744"/>
    <w:rsid w:val="002A1B49"/>
    <w:rsid w:val="002A1FC3"/>
    <w:rsid w:val="002A2041"/>
    <w:rsid w:val="002A2388"/>
    <w:rsid w:val="002A248C"/>
    <w:rsid w:val="002A2646"/>
    <w:rsid w:val="002A28CC"/>
    <w:rsid w:val="002A2ADE"/>
    <w:rsid w:val="002A2AE7"/>
    <w:rsid w:val="002A2AF2"/>
    <w:rsid w:val="002A2B65"/>
    <w:rsid w:val="002A2BC9"/>
    <w:rsid w:val="002A2D44"/>
    <w:rsid w:val="002A2F50"/>
    <w:rsid w:val="002A2FD8"/>
    <w:rsid w:val="002A320B"/>
    <w:rsid w:val="002A3A43"/>
    <w:rsid w:val="002A419B"/>
    <w:rsid w:val="002A45C4"/>
    <w:rsid w:val="002A4D12"/>
    <w:rsid w:val="002A5943"/>
    <w:rsid w:val="002A6223"/>
    <w:rsid w:val="002A652E"/>
    <w:rsid w:val="002A69E2"/>
    <w:rsid w:val="002A78DF"/>
    <w:rsid w:val="002A7943"/>
    <w:rsid w:val="002A7A00"/>
    <w:rsid w:val="002A7DB1"/>
    <w:rsid w:val="002B016B"/>
    <w:rsid w:val="002B02F4"/>
    <w:rsid w:val="002B05A1"/>
    <w:rsid w:val="002B07CD"/>
    <w:rsid w:val="002B084B"/>
    <w:rsid w:val="002B09A4"/>
    <w:rsid w:val="002B0F1D"/>
    <w:rsid w:val="002B0FC4"/>
    <w:rsid w:val="002B1464"/>
    <w:rsid w:val="002B14CC"/>
    <w:rsid w:val="002B1521"/>
    <w:rsid w:val="002B1C1F"/>
    <w:rsid w:val="002B3772"/>
    <w:rsid w:val="002B3B10"/>
    <w:rsid w:val="002B4250"/>
    <w:rsid w:val="002B432F"/>
    <w:rsid w:val="002B44D5"/>
    <w:rsid w:val="002B4CFB"/>
    <w:rsid w:val="002B4EB7"/>
    <w:rsid w:val="002B5057"/>
    <w:rsid w:val="002B5459"/>
    <w:rsid w:val="002B5AE9"/>
    <w:rsid w:val="002B5C30"/>
    <w:rsid w:val="002B5DD7"/>
    <w:rsid w:val="002B5EC2"/>
    <w:rsid w:val="002B62B3"/>
    <w:rsid w:val="002B6754"/>
    <w:rsid w:val="002B681C"/>
    <w:rsid w:val="002B688A"/>
    <w:rsid w:val="002B6A7F"/>
    <w:rsid w:val="002B6C9D"/>
    <w:rsid w:val="002B6CCE"/>
    <w:rsid w:val="002B730E"/>
    <w:rsid w:val="002B770C"/>
    <w:rsid w:val="002B7A5F"/>
    <w:rsid w:val="002B7DA1"/>
    <w:rsid w:val="002C0462"/>
    <w:rsid w:val="002C0519"/>
    <w:rsid w:val="002C0663"/>
    <w:rsid w:val="002C07A0"/>
    <w:rsid w:val="002C0BA5"/>
    <w:rsid w:val="002C16F3"/>
    <w:rsid w:val="002C178D"/>
    <w:rsid w:val="002C18E1"/>
    <w:rsid w:val="002C1B2B"/>
    <w:rsid w:val="002C2510"/>
    <w:rsid w:val="002C2775"/>
    <w:rsid w:val="002C27C1"/>
    <w:rsid w:val="002C2860"/>
    <w:rsid w:val="002C2E1D"/>
    <w:rsid w:val="002C2E31"/>
    <w:rsid w:val="002C327F"/>
    <w:rsid w:val="002C36E3"/>
    <w:rsid w:val="002C3A76"/>
    <w:rsid w:val="002C3D90"/>
    <w:rsid w:val="002C3EC2"/>
    <w:rsid w:val="002C4264"/>
    <w:rsid w:val="002C429F"/>
    <w:rsid w:val="002C45B9"/>
    <w:rsid w:val="002C4974"/>
    <w:rsid w:val="002C5099"/>
    <w:rsid w:val="002C5889"/>
    <w:rsid w:val="002C620E"/>
    <w:rsid w:val="002C62F8"/>
    <w:rsid w:val="002C65A2"/>
    <w:rsid w:val="002C66C7"/>
    <w:rsid w:val="002C68D7"/>
    <w:rsid w:val="002C6EED"/>
    <w:rsid w:val="002C6EF0"/>
    <w:rsid w:val="002C7182"/>
    <w:rsid w:val="002C71CE"/>
    <w:rsid w:val="002C72A8"/>
    <w:rsid w:val="002C7842"/>
    <w:rsid w:val="002C7862"/>
    <w:rsid w:val="002C7D08"/>
    <w:rsid w:val="002D01C4"/>
    <w:rsid w:val="002D0323"/>
    <w:rsid w:val="002D06DD"/>
    <w:rsid w:val="002D085F"/>
    <w:rsid w:val="002D08F8"/>
    <w:rsid w:val="002D0B1C"/>
    <w:rsid w:val="002D1079"/>
    <w:rsid w:val="002D1236"/>
    <w:rsid w:val="002D13A0"/>
    <w:rsid w:val="002D13D7"/>
    <w:rsid w:val="002D184D"/>
    <w:rsid w:val="002D18F6"/>
    <w:rsid w:val="002D19F2"/>
    <w:rsid w:val="002D1F2E"/>
    <w:rsid w:val="002D1FE6"/>
    <w:rsid w:val="002D2078"/>
    <w:rsid w:val="002D2A0C"/>
    <w:rsid w:val="002D3110"/>
    <w:rsid w:val="002D3A41"/>
    <w:rsid w:val="002D4DD8"/>
    <w:rsid w:val="002D577C"/>
    <w:rsid w:val="002D5A61"/>
    <w:rsid w:val="002D5EF9"/>
    <w:rsid w:val="002D5F54"/>
    <w:rsid w:val="002D6033"/>
    <w:rsid w:val="002D60F7"/>
    <w:rsid w:val="002D6B9B"/>
    <w:rsid w:val="002D6C60"/>
    <w:rsid w:val="002D7032"/>
    <w:rsid w:val="002D74B7"/>
    <w:rsid w:val="002D7832"/>
    <w:rsid w:val="002D7B50"/>
    <w:rsid w:val="002D7E61"/>
    <w:rsid w:val="002E02E5"/>
    <w:rsid w:val="002E0586"/>
    <w:rsid w:val="002E1071"/>
    <w:rsid w:val="002E13E3"/>
    <w:rsid w:val="002E1570"/>
    <w:rsid w:val="002E15B9"/>
    <w:rsid w:val="002E1978"/>
    <w:rsid w:val="002E2158"/>
    <w:rsid w:val="002E21CD"/>
    <w:rsid w:val="002E22A8"/>
    <w:rsid w:val="002E2328"/>
    <w:rsid w:val="002E27D8"/>
    <w:rsid w:val="002E356C"/>
    <w:rsid w:val="002E36FC"/>
    <w:rsid w:val="002E3F77"/>
    <w:rsid w:val="002E4043"/>
    <w:rsid w:val="002E4263"/>
    <w:rsid w:val="002E469D"/>
    <w:rsid w:val="002E4A73"/>
    <w:rsid w:val="002E4F02"/>
    <w:rsid w:val="002E52A9"/>
    <w:rsid w:val="002E59ED"/>
    <w:rsid w:val="002E5C4E"/>
    <w:rsid w:val="002E5D30"/>
    <w:rsid w:val="002E6B39"/>
    <w:rsid w:val="002E6F26"/>
    <w:rsid w:val="002E7358"/>
    <w:rsid w:val="002E7722"/>
    <w:rsid w:val="002E778E"/>
    <w:rsid w:val="002E7926"/>
    <w:rsid w:val="002E7F12"/>
    <w:rsid w:val="002E7F88"/>
    <w:rsid w:val="002F0204"/>
    <w:rsid w:val="002F07BA"/>
    <w:rsid w:val="002F0CC2"/>
    <w:rsid w:val="002F0D0C"/>
    <w:rsid w:val="002F0DA9"/>
    <w:rsid w:val="002F1014"/>
    <w:rsid w:val="002F1E3B"/>
    <w:rsid w:val="002F254B"/>
    <w:rsid w:val="002F2765"/>
    <w:rsid w:val="002F30EA"/>
    <w:rsid w:val="002F33B4"/>
    <w:rsid w:val="002F3872"/>
    <w:rsid w:val="002F4437"/>
    <w:rsid w:val="002F457E"/>
    <w:rsid w:val="002F48A6"/>
    <w:rsid w:val="002F4BCD"/>
    <w:rsid w:val="002F4C04"/>
    <w:rsid w:val="002F4D0A"/>
    <w:rsid w:val="002F5341"/>
    <w:rsid w:val="002F5C22"/>
    <w:rsid w:val="002F641E"/>
    <w:rsid w:val="002F643C"/>
    <w:rsid w:val="002F65C0"/>
    <w:rsid w:val="002F67B9"/>
    <w:rsid w:val="002F6A11"/>
    <w:rsid w:val="002F6AD4"/>
    <w:rsid w:val="002F6BF7"/>
    <w:rsid w:val="002F6FE6"/>
    <w:rsid w:val="002F71C0"/>
    <w:rsid w:val="002F7222"/>
    <w:rsid w:val="002F74F1"/>
    <w:rsid w:val="00301017"/>
    <w:rsid w:val="0030155F"/>
    <w:rsid w:val="003018C3"/>
    <w:rsid w:val="00301BDE"/>
    <w:rsid w:val="003021B1"/>
    <w:rsid w:val="003021CE"/>
    <w:rsid w:val="0030267F"/>
    <w:rsid w:val="003029C4"/>
    <w:rsid w:val="0030312D"/>
    <w:rsid w:val="00303496"/>
    <w:rsid w:val="00304465"/>
    <w:rsid w:val="003046F9"/>
    <w:rsid w:val="00304D62"/>
    <w:rsid w:val="0030587B"/>
    <w:rsid w:val="00305D29"/>
    <w:rsid w:val="00306076"/>
    <w:rsid w:val="003060E3"/>
    <w:rsid w:val="00306229"/>
    <w:rsid w:val="00306263"/>
    <w:rsid w:val="0030633A"/>
    <w:rsid w:val="0030643B"/>
    <w:rsid w:val="00306D92"/>
    <w:rsid w:val="00306D98"/>
    <w:rsid w:val="00306FBD"/>
    <w:rsid w:val="0030786C"/>
    <w:rsid w:val="0031031A"/>
    <w:rsid w:val="003103B7"/>
    <w:rsid w:val="00310568"/>
    <w:rsid w:val="003107D8"/>
    <w:rsid w:val="00310813"/>
    <w:rsid w:val="00310902"/>
    <w:rsid w:val="00310981"/>
    <w:rsid w:val="00310F1A"/>
    <w:rsid w:val="00310FFE"/>
    <w:rsid w:val="00311538"/>
    <w:rsid w:val="003119CF"/>
    <w:rsid w:val="00311D9B"/>
    <w:rsid w:val="00311E79"/>
    <w:rsid w:val="003123A1"/>
    <w:rsid w:val="003124D9"/>
    <w:rsid w:val="00312594"/>
    <w:rsid w:val="0031259E"/>
    <w:rsid w:val="003127F7"/>
    <w:rsid w:val="00312891"/>
    <w:rsid w:val="00312B91"/>
    <w:rsid w:val="00313899"/>
    <w:rsid w:val="003138A8"/>
    <w:rsid w:val="0031442F"/>
    <w:rsid w:val="0031448A"/>
    <w:rsid w:val="0031450B"/>
    <w:rsid w:val="003146FD"/>
    <w:rsid w:val="00314A60"/>
    <w:rsid w:val="00314AFB"/>
    <w:rsid w:val="00314E7B"/>
    <w:rsid w:val="00315032"/>
    <w:rsid w:val="00315498"/>
    <w:rsid w:val="00315984"/>
    <w:rsid w:val="0031627E"/>
    <w:rsid w:val="00316474"/>
    <w:rsid w:val="0031690D"/>
    <w:rsid w:val="00316E8E"/>
    <w:rsid w:val="00317259"/>
    <w:rsid w:val="003172B4"/>
    <w:rsid w:val="003174B3"/>
    <w:rsid w:val="00317B78"/>
    <w:rsid w:val="00317D45"/>
    <w:rsid w:val="00317EC0"/>
    <w:rsid w:val="003204AA"/>
    <w:rsid w:val="00321274"/>
    <w:rsid w:val="003219C1"/>
    <w:rsid w:val="00321A77"/>
    <w:rsid w:val="00321F93"/>
    <w:rsid w:val="00322107"/>
    <w:rsid w:val="00322355"/>
    <w:rsid w:val="00322846"/>
    <w:rsid w:val="00322AF6"/>
    <w:rsid w:val="00323470"/>
    <w:rsid w:val="00324278"/>
    <w:rsid w:val="0032441F"/>
    <w:rsid w:val="00324426"/>
    <w:rsid w:val="00324498"/>
    <w:rsid w:val="0032464E"/>
    <w:rsid w:val="00324845"/>
    <w:rsid w:val="003253E0"/>
    <w:rsid w:val="0032654E"/>
    <w:rsid w:val="0032661D"/>
    <w:rsid w:val="00326D66"/>
    <w:rsid w:val="00326DA7"/>
    <w:rsid w:val="003270E4"/>
    <w:rsid w:val="00327132"/>
    <w:rsid w:val="00327C78"/>
    <w:rsid w:val="003304A0"/>
    <w:rsid w:val="00330DAA"/>
    <w:rsid w:val="00330F5C"/>
    <w:rsid w:val="003312FC"/>
    <w:rsid w:val="00331BB5"/>
    <w:rsid w:val="003326FB"/>
    <w:rsid w:val="00332AED"/>
    <w:rsid w:val="00332E8B"/>
    <w:rsid w:val="0033308F"/>
    <w:rsid w:val="003332CB"/>
    <w:rsid w:val="0033369F"/>
    <w:rsid w:val="00333FFA"/>
    <w:rsid w:val="003346BF"/>
    <w:rsid w:val="00334962"/>
    <w:rsid w:val="00334983"/>
    <w:rsid w:val="00334A52"/>
    <w:rsid w:val="00335148"/>
    <w:rsid w:val="00335387"/>
    <w:rsid w:val="003353BE"/>
    <w:rsid w:val="0033558F"/>
    <w:rsid w:val="003358E3"/>
    <w:rsid w:val="003359FA"/>
    <w:rsid w:val="00335D3E"/>
    <w:rsid w:val="003363ED"/>
    <w:rsid w:val="003366C9"/>
    <w:rsid w:val="00336EC0"/>
    <w:rsid w:val="003371B0"/>
    <w:rsid w:val="00337301"/>
    <w:rsid w:val="00337753"/>
    <w:rsid w:val="00337A9A"/>
    <w:rsid w:val="00337F0C"/>
    <w:rsid w:val="00340365"/>
    <w:rsid w:val="00340846"/>
    <w:rsid w:val="00340B94"/>
    <w:rsid w:val="00340DF1"/>
    <w:rsid w:val="00340F81"/>
    <w:rsid w:val="003415D6"/>
    <w:rsid w:val="003417EE"/>
    <w:rsid w:val="0034197B"/>
    <w:rsid w:val="00341F5A"/>
    <w:rsid w:val="0034246A"/>
    <w:rsid w:val="00342724"/>
    <w:rsid w:val="00342913"/>
    <w:rsid w:val="00342AB0"/>
    <w:rsid w:val="003431D0"/>
    <w:rsid w:val="0034329C"/>
    <w:rsid w:val="00343AA8"/>
    <w:rsid w:val="00343CE7"/>
    <w:rsid w:val="00343E46"/>
    <w:rsid w:val="0034486F"/>
    <w:rsid w:val="00344A37"/>
    <w:rsid w:val="00344A97"/>
    <w:rsid w:val="003451CB"/>
    <w:rsid w:val="00345210"/>
    <w:rsid w:val="003463D6"/>
    <w:rsid w:val="00346B24"/>
    <w:rsid w:val="00346DA5"/>
    <w:rsid w:val="00347030"/>
    <w:rsid w:val="003470AA"/>
    <w:rsid w:val="0034714D"/>
    <w:rsid w:val="00347376"/>
    <w:rsid w:val="003474E0"/>
    <w:rsid w:val="00347886"/>
    <w:rsid w:val="00347A88"/>
    <w:rsid w:val="003500D9"/>
    <w:rsid w:val="003505C9"/>
    <w:rsid w:val="003505F0"/>
    <w:rsid w:val="003506E5"/>
    <w:rsid w:val="00350B3A"/>
    <w:rsid w:val="00350C03"/>
    <w:rsid w:val="00350FB4"/>
    <w:rsid w:val="00350FBE"/>
    <w:rsid w:val="00351459"/>
    <w:rsid w:val="003517F9"/>
    <w:rsid w:val="00351BA9"/>
    <w:rsid w:val="00351BCD"/>
    <w:rsid w:val="00351EF4"/>
    <w:rsid w:val="00352039"/>
    <w:rsid w:val="00352DC0"/>
    <w:rsid w:val="00353118"/>
    <w:rsid w:val="0035341A"/>
    <w:rsid w:val="00353C6D"/>
    <w:rsid w:val="0035416D"/>
    <w:rsid w:val="003544E8"/>
    <w:rsid w:val="0035497C"/>
    <w:rsid w:val="00354F64"/>
    <w:rsid w:val="0035512D"/>
    <w:rsid w:val="00355F37"/>
    <w:rsid w:val="0035620E"/>
    <w:rsid w:val="0035622E"/>
    <w:rsid w:val="00356612"/>
    <w:rsid w:val="00356767"/>
    <w:rsid w:val="00356A99"/>
    <w:rsid w:val="00356ABB"/>
    <w:rsid w:val="003572BA"/>
    <w:rsid w:val="003575BE"/>
    <w:rsid w:val="00357A67"/>
    <w:rsid w:val="00357DF2"/>
    <w:rsid w:val="00357F68"/>
    <w:rsid w:val="003600C5"/>
    <w:rsid w:val="00360251"/>
    <w:rsid w:val="00360345"/>
    <w:rsid w:val="0036103B"/>
    <w:rsid w:val="003617BE"/>
    <w:rsid w:val="00361A05"/>
    <w:rsid w:val="00361F89"/>
    <w:rsid w:val="003624C4"/>
    <w:rsid w:val="00363127"/>
    <w:rsid w:val="00363263"/>
    <w:rsid w:val="0036333D"/>
    <w:rsid w:val="00363384"/>
    <w:rsid w:val="00363B00"/>
    <w:rsid w:val="00364196"/>
    <w:rsid w:val="00364230"/>
    <w:rsid w:val="003654AC"/>
    <w:rsid w:val="0036561A"/>
    <w:rsid w:val="00365C1E"/>
    <w:rsid w:val="0036600E"/>
    <w:rsid w:val="00366143"/>
    <w:rsid w:val="00366A00"/>
    <w:rsid w:val="00366DFB"/>
    <w:rsid w:val="00367031"/>
    <w:rsid w:val="003670F8"/>
    <w:rsid w:val="00367C1C"/>
    <w:rsid w:val="00367CAF"/>
    <w:rsid w:val="00370BD6"/>
    <w:rsid w:val="00370C24"/>
    <w:rsid w:val="003710CF"/>
    <w:rsid w:val="003716D3"/>
    <w:rsid w:val="003718E2"/>
    <w:rsid w:val="003718FC"/>
    <w:rsid w:val="00371B5C"/>
    <w:rsid w:val="00371E42"/>
    <w:rsid w:val="00371F97"/>
    <w:rsid w:val="0037250F"/>
    <w:rsid w:val="00372631"/>
    <w:rsid w:val="00372CBB"/>
    <w:rsid w:val="00372F93"/>
    <w:rsid w:val="003732F9"/>
    <w:rsid w:val="0037358A"/>
    <w:rsid w:val="00373F5F"/>
    <w:rsid w:val="003741CF"/>
    <w:rsid w:val="00374644"/>
    <w:rsid w:val="00374796"/>
    <w:rsid w:val="00374882"/>
    <w:rsid w:val="00374D94"/>
    <w:rsid w:val="003750F6"/>
    <w:rsid w:val="003753A8"/>
    <w:rsid w:val="00375737"/>
    <w:rsid w:val="00375A7B"/>
    <w:rsid w:val="00375A8F"/>
    <w:rsid w:val="00375D86"/>
    <w:rsid w:val="003760FC"/>
    <w:rsid w:val="003764C9"/>
    <w:rsid w:val="0037666E"/>
    <w:rsid w:val="00376BE4"/>
    <w:rsid w:val="00376DDD"/>
    <w:rsid w:val="00376FA6"/>
    <w:rsid w:val="00377009"/>
    <w:rsid w:val="003771E7"/>
    <w:rsid w:val="00377319"/>
    <w:rsid w:val="003776D8"/>
    <w:rsid w:val="00377F9B"/>
    <w:rsid w:val="00380387"/>
    <w:rsid w:val="00380493"/>
    <w:rsid w:val="0038095C"/>
    <w:rsid w:val="00380BC4"/>
    <w:rsid w:val="00380D6E"/>
    <w:rsid w:val="0038124D"/>
    <w:rsid w:val="003813AC"/>
    <w:rsid w:val="003814A2"/>
    <w:rsid w:val="003814FE"/>
    <w:rsid w:val="0038224F"/>
    <w:rsid w:val="003822F0"/>
    <w:rsid w:val="003826FB"/>
    <w:rsid w:val="003827FB"/>
    <w:rsid w:val="0038287E"/>
    <w:rsid w:val="0038365C"/>
    <w:rsid w:val="0038369B"/>
    <w:rsid w:val="00383701"/>
    <w:rsid w:val="00383AE5"/>
    <w:rsid w:val="00383B78"/>
    <w:rsid w:val="00383DF4"/>
    <w:rsid w:val="00384029"/>
    <w:rsid w:val="003844E9"/>
    <w:rsid w:val="0038503D"/>
    <w:rsid w:val="00385263"/>
    <w:rsid w:val="00385A9D"/>
    <w:rsid w:val="003865F7"/>
    <w:rsid w:val="00386719"/>
    <w:rsid w:val="00386D15"/>
    <w:rsid w:val="00387121"/>
    <w:rsid w:val="00387631"/>
    <w:rsid w:val="003902B1"/>
    <w:rsid w:val="003905B7"/>
    <w:rsid w:val="00391440"/>
    <w:rsid w:val="00391710"/>
    <w:rsid w:val="0039179C"/>
    <w:rsid w:val="00391AA8"/>
    <w:rsid w:val="00391C5F"/>
    <w:rsid w:val="00392231"/>
    <w:rsid w:val="00392503"/>
    <w:rsid w:val="00392A4F"/>
    <w:rsid w:val="00392E22"/>
    <w:rsid w:val="00392E97"/>
    <w:rsid w:val="00393313"/>
    <w:rsid w:val="00393611"/>
    <w:rsid w:val="00394410"/>
    <w:rsid w:val="00394745"/>
    <w:rsid w:val="00394845"/>
    <w:rsid w:val="00394B00"/>
    <w:rsid w:val="00394D5C"/>
    <w:rsid w:val="00395360"/>
    <w:rsid w:val="003956E5"/>
    <w:rsid w:val="00395941"/>
    <w:rsid w:val="00395DFA"/>
    <w:rsid w:val="003961BA"/>
    <w:rsid w:val="00396473"/>
    <w:rsid w:val="00396638"/>
    <w:rsid w:val="00396896"/>
    <w:rsid w:val="00396AFE"/>
    <w:rsid w:val="00396FD0"/>
    <w:rsid w:val="00397488"/>
    <w:rsid w:val="00397728"/>
    <w:rsid w:val="00397946"/>
    <w:rsid w:val="0039799B"/>
    <w:rsid w:val="003979CA"/>
    <w:rsid w:val="003A0068"/>
    <w:rsid w:val="003A04F4"/>
    <w:rsid w:val="003A0604"/>
    <w:rsid w:val="003A0C47"/>
    <w:rsid w:val="003A0CF1"/>
    <w:rsid w:val="003A0D63"/>
    <w:rsid w:val="003A0F8D"/>
    <w:rsid w:val="003A10B0"/>
    <w:rsid w:val="003A1A7A"/>
    <w:rsid w:val="003A1B8B"/>
    <w:rsid w:val="003A22BE"/>
    <w:rsid w:val="003A2346"/>
    <w:rsid w:val="003A2392"/>
    <w:rsid w:val="003A23EB"/>
    <w:rsid w:val="003A2831"/>
    <w:rsid w:val="003A2BAF"/>
    <w:rsid w:val="003A2BB8"/>
    <w:rsid w:val="003A3140"/>
    <w:rsid w:val="003A3CB6"/>
    <w:rsid w:val="003A3DCA"/>
    <w:rsid w:val="003A3ED1"/>
    <w:rsid w:val="003A41B7"/>
    <w:rsid w:val="003A4420"/>
    <w:rsid w:val="003A44DB"/>
    <w:rsid w:val="003A4C14"/>
    <w:rsid w:val="003A548F"/>
    <w:rsid w:val="003A55FD"/>
    <w:rsid w:val="003A6402"/>
    <w:rsid w:val="003A6865"/>
    <w:rsid w:val="003A6E58"/>
    <w:rsid w:val="003A7063"/>
    <w:rsid w:val="003A73D8"/>
    <w:rsid w:val="003A7521"/>
    <w:rsid w:val="003A7708"/>
    <w:rsid w:val="003A779C"/>
    <w:rsid w:val="003A7F58"/>
    <w:rsid w:val="003B00CB"/>
    <w:rsid w:val="003B013A"/>
    <w:rsid w:val="003B0495"/>
    <w:rsid w:val="003B0702"/>
    <w:rsid w:val="003B0963"/>
    <w:rsid w:val="003B107A"/>
    <w:rsid w:val="003B1524"/>
    <w:rsid w:val="003B174A"/>
    <w:rsid w:val="003B1CE5"/>
    <w:rsid w:val="003B213C"/>
    <w:rsid w:val="003B240A"/>
    <w:rsid w:val="003B2965"/>
    <w:rsid w:val="003B2F59"/>
    <w:rsid w:val="003B3697"/>
    <w:rsid w:val="003B3971"/>
    <w:rsid w:val="003B4079"/>
    <w:rsid w:val="003B4460"/>
    <w:rsid w:val="003B498D"/>
    <w:rsid w:val="003B4C51"/>
    <w:rsid w:val="003B4E58"/>
    <w:rsid w:val="003B5537"/>
    <w:rsid w:val="003B55D1"/>
    <w:rsid w:val="003B5960"/>
    <w:rsid w:val="003B5B61"/>
    <w:rsid w:val="003B63DE"/>
    <w:rsid w:val="003B6448"/>
    <w:rsid w:val="003B69FD"/>
    <w:rsid w:val="003B6A69"/>
    <w:rsid w:val="003B6B96"/>
    <w:rsid w:val="003B7002"/>
    <w:rsid w:val="003B73E3"/>
    <w:rsid w:val="003B7590"/>
    <w:rsid w:val="003B7A14"/>
    <w:rsid w:val="003B7C47"/>
    <w:rsid w:val="003B7CF8"/>
    <w:rsid w:val="003B7D3A"/>
    <w:rsid w:val="003C00A8"/>
    <w:rsid w:val="003C041F"/>
    <w:rsid w:val="003C0817"/>
    <w:rsid w:val="003C09C2"/>
    <w:rsid w:val="003C0E04"/>
    <w:rsid w:val="003C100D"/>
    <w:rsid w:val="003C1179"/>
    <w:rsid w:val="003C13DD"/>
    <w:rsid w:val="003C1654"/>
    <w:rsid w:val="003C1769"/>
    <w:rsid w:val="003C1897"/>
    <w:rsid w:val="003C202A"/>
    <w:rsid w:val="003C2075"/>
    <w:rsid w:val="003C2137"/>
    <w:rsid w:val="003C2449"/>
    <w:rsid w:val="003C247B"/>
    <w:rsid w:val="003C2B27"/>
    <w:rsid w:val="003C3402"/>
    <w:rsid w:val="003C3DF2"/>
    <w:rsid w:val="003C425B"/>
    <w:rsid w:val="003C4F86"/>
    <w:rsid w:val="003C512F"/>
    <w:rsid w:val="003C5542"/>
    <w:rsid w:val="003C6A35"/>
    <w:rsid w:val="003C6CA4"/>
    <w:rsid w:val="003C7181"/>
    <w:rsid w:val="003C73D7"/>
    <w:rsid w:val="003C7C15"/>
    <w:rsid w:val="003C7C8B"/>
    <w:rsid w:val="003C7D19"/>
    <w:rsid w:val="003C7D2F"/>
    <w:rsid w:val="003C7E0C"/>
    <w:rsid w:val="003D000E"/>
    <w:rsid w:val="003D041D"/>
    <w:rsid w:val="003D0727"/>
    <w:rsid w:val="003D0BDE"/>
    <w:rsid w:val="003D0C5A"/>
    <w:rsid w:val="003D0F1E"/>
    <w:rsid w:val="003D0FD8"/>
    <w:rsid w:val="003D1692"/>
    <w:rsid w:val="003D16BE"/>
    <w:rsid w:val="003D1828"/>
    <w:rsid w:val="003D1B9C"/>
    <w:rsid w:val="003D1DE4"/>
    <w:rsid w:val="003D1E9A"/>
    <w:rsid w:val="003D23AA"/>
    <w:rsid w:val="003D2422"/>
    <w:rsid w:val="003D2965"/>
    <w:rsid w:val="003D2AE3"/>
    <w:rsid w:val="003D2EF9"/>
    <w:rsid w:val="003D3470"/>
    <w:rsid w:val="003D3833"/>
    <w:rsid w:val="003D3846"/>
    <w:rsid w:val="003D387B"/>
    <w:rsid w:val="003D39A1"/>
    <w:rsid w:val="003D3FBF"/>
    <w:rsid w:val="003D4455"/>
    <w:rsid w:val="003D4A30"/>
    <w:rsid w:val="003D4E6F"/>
    <w:rsid w:val="003D4F12"/>
    <w:rsid w:val="003D50FC"/>
    <w:rsid w:val="003D5847"/>
    <w:rsid w:val="003D58B2"/>
    <w:rsid w:val="003D5B66"/>
    <w:rsid w:val="003D5FF8"/>
    <w:rsid w:val="003D620E"/>
    <w:rsid w:val="003D65BD"/>
    <w:rsid w:val="003D6B0F"/>
    <w:rsid w:val="003D7452"/>
    <w:rsid w:val="003D75CB"/>
    <w:rsid w:val="003D79BB"/>
    <w:rsid w:val="003D7C98"/>
    <w:rsid w:val="003D7D9D"/>
    <w:rsid w:val="003E01F2"/>
    <w:rsid w:val="003E0543"/>
    <w:rsid w:val="003E0998"/>
    <w:rsid w:val="003E0EA2"/>
    <w:rsid w:val="003E1625"/>
    <w:rsid w:val="003E277B"/>
    <w:rsid w:val="003E2AF1"/>
    <w:rsid w:val="003E318C"/>
    <w:rsid w:val="003E3DAA"/>
    <w:rsid w:val="003E42FD"/>
    <w:rsid w:val="003E4756"/>
    <w:rsid w:val="003E4DCD"/>
    <w:rsid w:val="003E50C3"/>
    <w:rsid w:val="003E52A0"/>
    <w:rsid w:val="003E5434"/>
    <w:rsid w:val="003E5603"/>
    <w:rsid w:val="003E5821"/>
    <w:rsid w:val="003E5BCF"/>
    <w:rsid w:val="003E5E30"/>
    <w:rsid w:val="003E6251"/>
    <w:rsid w:val="003E6A40"/>
    <w:rsid w:val="003E6DB8"/>
    <w:rsid w:val="003E6FD1"/>
    <w:rsid w:val="003E749E"/>
    <w:rsid w:val="003E77A7"/>
    <w:rsid w:val="003E7C90"/>
    <w:rsid w:val="003F0145"/>
    <w:rsid w:val="003F0AC1"/>
    <w:rsid w:val="003F0BF6"/>
    <w:rsid w:val="003F0CA7"/>
    <w:rsid w:val="003F0EDF"/>
    <w:rsid w:val="003F0FD8"/>
    <w:rsid w:val="003F160A"/>
    <w:rsid w:val="003F19EB"/>
    <w:rsid w:val="003F1A49"/>
    <w:rsid w:val="003F1F3A"/>
    <w:rsid w:val="003F2622"/>
    <w:rsid w:val="003F2663"/>
    <w:rsid w:val="003F28E8"/>
    <w:rsid w:val="003F29BC"/>
    <w:rsid w:val="003F316B"/>
    <w:rsid w:val="003F36E3"/>
    <w:rsid w:val="003F3D2B"/>
    <w:rsid w:val="003F4156"/>
    <w:rsid w:val="003F507A"/>
    <w:rsid w:val="003F52E1"/>
    <w:rsid w:val="003F5800"/>
    <w:rsid w:val="003F5840"/>
    <w:rsid w:val="003F5ADF"/>
    <w:rsid w:val="003F62F2"/>
    <w:rsid w:val="003F6443"/>
    <w:rsid w:val="003F6613"/>
    <w:rsid w:val="003F68B9"/>
    <w:rsid w:val="003F69C0"/>
    <w:rsid w:val="003F6FF1"/>
    <w:rsid w:val="003F7637"/>
    <w:rsid w:val="003F78E1"/>
    <w:rsid w:val="003F7976"/>
    <w:rsid w:val="003F7A51"/>
    <w:rsid w:val="003F7AC0"/>
    <w:rsid w:val="003F7F2A"/>
    <w:rsid w:val="004000C8"/>
    <w:rsid w:val="00400149"/>
    <w:rsid w:val="00400211"/>
    <w:rsid w:val="004007A7"/>
    <w:rsid w:val="00400B29"/>
    <w:rsid w:val="004010D8"/>
    <w:rsid w:val="00401847"/>
    <w:rsid w:val="00401B16"/>
    <w:rsid w:val="0040254A"/>
    <w:rsid w:val="00402812"/>
    <w:rsid w:val="00403A6D"/>
    <w:rsid w:val="00403B86"/>
    <w:rsid w:val="004049B7"/>
    <w:rsid w:val="00404A26"/>
    <w:rsid w:val="00404A55"/>
    <w:rsid w:val="00404BE9"/>
    <w:rsid w:val="00404C09"/>
    <w:rsid w:val="00404E2F"/>
    <w:rsid w:val="0040504B"/>
    <w:rsid w:val="004059F4"/>
    <w:rsid w:val="0040689B"/>
    <w:rsid w:val="00407364"/>
    <w:rsid w:val="0040760C"/>
    <w:rsid w:val="00407694"/>
    <w:rsid w:val="00407ADB"/>
    <w:rsid w:val="00407FE5"/>
    <w:rsid w:val="004101B0"/>
    <w:rsid w:val="00410326"/>
    <w:rsid w:val="004103A6"/>
    <w:rsid w:val="004104E6"/>
    <w:rsid w:val="004105C4"/>
    <w:rsid w:val="00410694"/>
    <w:rsid w:val="00410708"/>
    <w:rsid w:val="00410E58"/>
    <w:rsid w:val="00410EC7"/>
    <w:rsid w:val="00410ECC"/>
    <w:rsid w:val="00411783"/>
    <w:rsid w:val="00411AB2"/>
    <w:rsid w:val="00411B39"/>
    <w:rsid w:val="00412126"/>
    <w:rsid w:val="004123E6"/>
    <w:rsid w:val="004127A7"/>
    <w:rsid w:val="004128A0"/>
    <w:rsid w:val="00412BA1"/>
    <w:rsid w:val="00412DAA"/>
    <w:rsid w:val="0041317C"/>
    <w:rsid w:val="00413A1E"/>
    <w:rsid w:val="00413AE3"/>
    <w:rsid w:val="00413D96"/>
    <w:rsid w:val="00414476"/>
    <w:rsid w:val="0041448F"/>
    <w:rsid w:val="00414539"/>
    <w:rsid w:val="004149D3"/>
    <w:rsid w:val="00414C2E"/>
    <w:rsid w:val="00414EA1"/>
    <w:rsid w:val="004151CF"/>
    <w:rsid w:val="00415577"/>
    <w:rsid w:val="0041582D"/>
    <w:rsid w:val="00415EA5"/>
    <w:rsid w:val="00416208"/>
    <w:rsid w:val="00416364"/>
    <w:rsid w:val="00417391"/>
    <w:rsid w:val="004174FF"/>
    <w:rsid w:val="004177BD"/>
    <w:rsid w:val="004179B4"/>
    <w:rsid w:val="00417ADC"/>
    <w:rsid w:val="00417B0C"/>
    <w:rsid w:val="00417CAD"/>
    <w:rsid w:val="0042047F"/>
    <w:rsid w:val="00420AA6"/>
    <w:rsid w:val="00420B9F"/>
    <w:rsid w:val="00420BF0"/>
    <w:rsid w:val="00420E47"/>
    <w:rsid w:val="00421740"/>
    <w:rsid w:val="0042192C"/>
    <w:rsid w:val="00421949"/>
    <w:rsid w:val="00421C61"/>
    <w:rsid w:val="00422260"/>
    <w:rsid w:val="0042388A"/>
    <w:rsid w:val="00423B7C"/>
    <w:rsid w:val="00423C64"/>
    <w:rsid w:val="0042413F"/>
    <w:rsid w:val="004248B3"/>
    <w:rsid w:val="00424DC0"/>
    <w:rsid w:val="0042500B"/>
    <w:rsid w:val="00425738"/>
    <w:rsid w:val="00425E6E"/>
    <w:rsid w:val="00425FA7"/>
    <w:rsid w:val="00426A41"/>
    <w:rsid w:val="00426AB5"/>
    <w:rsid w:val="00426F69"/>
    <w:rsid w:val="00426FE8"/>
    <w:rsid w:val="0042748B"/>
    <w:rsid w:val="00427693"/>
    <w:rsid w:val="00430070"/>
    <w:rsid w:val="00430245"/>
    <w:rsid w:val="00430343"/>
    <w:rsid w:val="00430A2B"/>
    <w:rsid w:val="00430D50"/>
    <w:rsid w:val="0043107A"/>
    <w:rsid w:val="00431800"/>
    <w:rsid w:val="004319F8"/>
    <w:rsid w:val="00431E55"/>
    <w:rsid w:val="004321F6"/>
    <w:rsid w:val="004325BC"/>
    <w:rsid w:val="00432740"/>
    <w:rsid w:val="00432DD5"/>
    <w:rsid w:val="00433044"/>
    <w:rsid w:val="004330C6"/>
    <w:rsid w:val="0043314E"/>
    <w:rsid w:val="00433764"/>
    <w:rsid w:val="00433D84"/>
    <w:rsid w:val="00434088"/>
    <w:rsid w:val="004348A9"/>
    <w:rsid w:val="00434E88"/>
    <w:rsid w:val="00435261"/>
    <w:rsid w:val="00435652"/>
    <w:rsid w:val="004364C2"/>
    <w:rsid w:val="004366EF"/>
    <w:rsid w:val="00436A00"/>
    <w:rsid w:val="00436E66"/>
    <w:rsid w:val="004375B9"/>
    <w:rsid w:val="00442001"/>
    <w:rsid w:val="0044207C"/>
    <w:rsid w:val="004427D6"/>
    <w:rsid w:val="00442828"/>
    <w:rsid w:val="004428D0"/>
    <w:rsid w:val="00443023"/>
    <w:rsid w:val="00444185"/>
    <w:rsid w:val="00444194"/>
    <w:rsid w:val="004443A7"/>
    <w:rsid w:val="0044442C"/>
    <w:rsid w:val="00444727"/>
    <w:rsid w:val="0044496A"/>
    <w:rsid w:val="00444B73"/>
    <w:rsid w:val="00445050"/>
    <w:rsid w:val="00445726"/>
    <w:rsid w:val="0044574B"/>
    <w:rsid w:val="00445941"/>
    <w:rsid w:val="004459D3"/>
    <w:rsid w:val="00445B01"/>
    <w:rsid w:val="00445CA2"/>
    <w:rsid w:val="004460B1"/>
    <w:rsid w:val="00446149"/>
    <w:rsid w:val="00446191"/>
    <w:rsid w:val="004464EB"/>
    <w:rsid w:val="004464EC"/>
    <w:rsid w:val="00446665"/>
    <w:rsid w:val="00446FA4"/>
    <w:rsid w:val="00447082"/>
    <w:rsid w:val="004470AC"/>
    <w:rsid w:val="004476FC"/>
    <w:rsid w:val="00447A7D"/>
    <w:rsid w:val="00447C8D"/>
    <w:rsid w:val="00447D26"/>
    <w:rsid w:val="00447DB1"/>
    <w:rsid w:val="00447DF7"/>
    <w:rsid w:val="00447DFC"/>
    <w:rsid w:val="00447F00"/>
    <w:rsid w:val="004512A2"/>
    <w:rsid w:val="004515FD"/>
    <w:rsid w:val="00451ACF"/>
    <w:rsid w:val="0045227F"/>
    <w:rsid w:val="004528D3"/>
    <w:rsid w:val="0045358B"/>
    <w:rsid w:val="0045359F"/>
    <w:rsid w:val="0045428C"/>
    <w:rsid w:val="00454344"/>
    <w:rsid w:val="00454725"/>
    <w:rsid w:val="00454A2A"/>
    <w:rsid w:val="00454CAF"/>
    <w:rsid w:val="00454ED9"/>
    <w:rsid w:val="00454F63"/>
    <w:rsid w:val="00454FFA"/>
    <w:rsid w:val="0045502F"/>
    <w:rsid w:val="0045506C"/>
    <w:rsid w:val="004558F2"/>
    <w:rsid w:val="00455A7C"/>
    <w:rsid w:val="00455D45"/>
    <w:rsid w:val="004560C0"/>
    <w:rsid w:val="00456AF4"/>
    <w:rsid w:val="00456B61"/>
    <w:rsid w:val="004577B8"/>
    <w:rsid w:val="00457C2B"/>
    <w:rsid w:val="00457C63"/>
    <w:rsid w:val="00460240"/>
    <w:rsid w:val="00460545"/>
    <w:rsid w:val="00460EC6"/>
    <w:rsid w:val="00460FA8"/>
    <w:rsid w:val="00461120"/>
    <w:rsid w:val="00462296"/>
    <w:rsid w:val="0046258D"/>
    <w:rsid w:val="0046311C"/>
    <w:rsid w:val="004633BA"/>
    <w:rsid w:val="0046343B"/>
    <w:rsid w:val="00463BD6"/>
    <w:rsid w:val="00463FEF"/>
    <w:rsid w:val="00464090"/>
    <w:rsid w:val="0046436A"/>
    <w:rsid w:val="00464595"/>
    <w:rsid w:val="00464A8E"/>
    <w:rsid w:val="00464D6E"/>
    <w:rsid w:val="00464FB7"/>
    <w:rsid w:val="004653F6"/>
    <w:rsid w:val="004654D1"/>
    <w:rsid w:val="00465754"/>
    <w:rsid w:val="004658B5"/>
    <w:rsid w:val="00465B4C"/>
    <w:rsid w:val="00465D42"/>
    <w:rsid w:val="00466356"/>
    <w:rsid w:val="00466B77"/>
    <w:rsid w:val="00467425"/>
    <w:rsid w:val="00467562"/>
    <w:rsid w:val="004702A8"/>
    <w:rsid w:val="00470C6E"/>
    <w:rsid w:val="00470EAE"/>
    <w:rsid w:val="00471106"/>
    <w:rsid w:val="00471B04"/>
    <w:rsid w:val="00471B56"/>
    <w:rsid w:val="00471EA5"/>
    <w:rsid w:val="0047253F"/>
    <w:rsid w:val="00472A79"/>
    <w:rsid w:val="004732CA"/>
    <w:rsid w:val="004735D7"/>
    <w:rsid w:val="0047371F"/>
    <w:rsid w:val="00473F19"/>
    <w:rsid w:val="00474502"/>
    <w:rsid w:val="00475E22"/>
    <w:rsid w:val="004760A1"/>
    <w:rsid w:val="00476770"/>
    <w:rsid w:val="00476950"/>
    <w:rsid w:val="00476D2F"/>
    <w:rsid w:val="00480281"/>
    <w:rsid w:val="00480552"/>
    <w:rsid w:val="0048088E"/>
    <w:rsid w:val="00480893"/>
    <w:rsid w:val="00480C36"/>
    <w:rsid w:val="00480F2B"/>
    <w:rsid w:val="0048161C"/>
    <w:rsid w:val="00482212"/>
    <w:rsid w:val="00482232"/>
    <w:rsid w:val="0048247E"/>
    <w:rsid w:val="00482720"/>
    <w:rsid w:val="00482D97"/>
    <w:rsid w:val="0048327D"/>
    <w:rsid w:val="004835E7"/>
    <w:rsid w:val="004837A5"/>
    <w:rsid w:val="00483CEE"/>
    <w:rsid w:val="00484394"/>
    <w:rsid w:val="0048446D"/>
    <w:rsid w:val="004848BB"/>
    <w:rsid w:val="00484AF0"/>
    <w:rsid w:val="00484EE4"/>
    <w:rsid w:val="00485005"/>
    <w:rsid w:val="00485201"/>
    <w:rsid w:val="004856F1"/>
    <w:rsid w:val="00485977"/>
    <w:rsid w:val="004859E1"/>
    <w:rsid w:val="00485E0A"/>
    <w:rsid w:val="00486024"/>
    <w:rsid w:val="004867E2"/>
    <w:rsid w:val="004867EC"/>
    <w:rsid w:val="00486D7B"/>
    <w:rsid w:val="004870CC"/>
    <w:rsid w:val="00487501"/>
    <w:rsid w:val="004875E6"/>
    <w:rsid w:val="00487649"/>
    <w:rsid w:val="00487AA1"/>
    <w:rsid w:val="00490B17"/>
    <w:rsid w:val="0049122E"/>
    <w:rsid w:val="004913D3"/>
    <w:rsid w:val="004916D6"/>
    <w:rsid w:val="00491B3A"/>
    <w:rsid w:val="00491D0A"/>
    <w:rsid w:val="00492864"/>
    <w:rsid w:val="0049294F"/>
    <w:rsid w:val="00492CFD"/>
    <w:rsid w:val="00492D34"/>
    <w:rsid w:val="004934A4"/>
    <w:rsid w:val="00493D3E"/>
    <w:rsid w:val="00494207"/>
    <w:rsid w:val="004944E9"/>
    <w:rsid w:val="00494904"/>
    <w:rsid w:val="00494DD5"/>
    <w:rsid w:val="00495171"/>
    <w:rsid w:val="00495384"/>
    <w:rsid w:val="004955D6"/>
    <w:rsid w:val="00495AD4"/>
    <w:rsid w:val="00495BA4"/>
    <w:rsid w:val="004962D2"/>
    <w:rsid w:val="004964BC"/>
    <w:rsid w:val="00496E29"/>
    <w:rsid w:val="00496EDF"/>
    <w:rsid w:val="00497065"/>
    <w:rsid w:val="00497652"/>
    <w:rsid w:val="004978A3"/>
    <w:rsid w:val="00497DB6"/>
    <w:rsid w:val="00497E67"/>
    <w:rsid w:val="004A04A2"/>
    <w:rsid w:val="004A0DA1"/>
    <w:rsid w:val="004A0F67"/>
    <w:rsid w:val="004A0FD0"/>
    <w:rsid w:val="004A13D6"/>
    <w:rsid w:val="004A14F0"/>
    <w:rsid w:val="004A181D"/>
    <w:rsid w:val="004A1FE7"/>
    <w:rsid w:val="004A2745"/>
    <w:rsid w:val="004A278A"/>
    <w:rsid w:val="004A2793"/>
    <w:rsid w:val="004A2BFF"/>
    <w:rsid w:val="004A2F30"/>
    <w:rsid w:val="004A2FFA"/>
    <w:rsid w:val="004A3551"/>
    <w:rsid w:val="004A36AC"/>
    <w:rsid w:val="004A3D36"/>
    <w:rsid w:val="004A3D7E"/>
    <w:rsid w:val="004A3E8A"/>
    <w:rsid w:val="004A52E9"/>
    <w:rsid w:val="004A54D3"/>
    <w:rsid w:val="004A58C1"/>
    <w:rsid w:val="004A6040"/>
    <w:rsid w:val="004A6597"/>
    <w:rsid w:val="004A6B58"/>
    <w:rsid w:val="004A7034"/>
    <w:rsid w:val="004A7138"/>
    <w:rsid w:val="004A7344"/>
    <w:rsid w:val="004A7848"/>
    <w:rsid w:val="004A793B"/>
    <w:rsid w:val="004A799B"/>
    <w:rsid w:val="004A79A5"/>
    <w:rsid w:val="004A7CC5"/>
    <w:rsid w:val="004B054B"/>
    <w:rsid w:val="004B086F"/>
    <w:rsid w:val="004B0ABD"/>
    <w:rsid w:val="004B14EE"/>
    <w:rsid w:val="004B1551"/>
    <w:rsid w:val="004B1B7D"/>
    <w:rsid w:val="004B1CB4"/>
    <w:rsid w:val="004B1EB6"/>
    <w:rsid w:val="004B289D"/>
    <w:rsid w:val="004B2B9D"/>
    <w:rsid w:val="004B2C8E"/>
    <w:rsid w:val="004B2F18"/>
    <w:rsid w:val="004B3D5A"/>
    <w:rsid w:val="004B3DDB"/>
    <w:rsid w:val="004B4255"/>
    <w:rsid w:val="004B43EC"/>
    <w:rsid w:val="004B44FD"/>
    <w:rsid w:val="004B49E7"/>
    <w:rsid w:val="004B4CAC"/>
    <w:rsid w:val="004B4CC3"/>
    <w:rsid w:val="004B51A6"/>
    <w:rsid w:val="004B5620"/>
    <w:rsid w:val="004B5765"/>
    <w:rsid w:val="004B5A75"/>
    <w:rsid w:val="004B5B64"/>
    <w:rsid w:val="004B5CFC"/>
    <w:rsid w:val="004B5EA6"/>
    <w:rsid w:val="004B6ADC"/>
    <w:rsid w:val="004B6DB4"/>
    <w:rsid w:val="004B6DDE"/>
    <w:rsid w:val="004B6DFC"/>
    <w:rsid w:val="004B6EA2"/>
    <w:rsid w:val="004B6F5B"/>
    <w:rsid w:val="004B6F79"/>
    <w:rsid w:val="004B755D"/>
    <w:rsid w:val="004B761D"/>
    <w:rsid w:val="004B774D"/>
    <w:rsid w:val="004B7769"/>
    <w:rsid w:val="004B7C37"/>
    <w:rsid w:val="004B7E02"/>
    <w:rsid w:val="004C0202"/>
    <w:rsid w:val="004C0620"/>
    <w:rsid w:val="004C0E14"/>
    <w:rsid w:val="004C1425"/>
    <w:rsid w:val="004C151F"/>
    <w:rsid w:val="004C1574"/>
    <w:rsid w:val="004C175E"/>
    <w:rsid w:val="004C193C"/>
    <w:rsid w:val="004C1A1C"/>
    <w:rsid w:val="004C1E30"/>
    <w:rsid w:val="004C1EE7"/>
    <w:rsid w:val="004C2AC2"/>
    <w:rsid w:val="004C2CE6"/>
    <w:rsid w:val="004C2D3E"/>
    <w:rsid w:val="004C340C"/>
    <w:rsid w:val="004C3B02"/>
    <w:rsid w:val="004C3C41"/>
    <w:rsid w:val="004C41D8"/>
    <w:rsid w:val="004C4AED"/>
    <w:rsid w:val="004C4C1B"/>
    <w:rsid w:val="004C5294"/>
    <w:rsid w:val="004C547B"/>
    <w:rsid w:val="004C5936"/>
    <w:rsid w:val="004C6418"/>
    <w:rsid w:val="004C6ABA"/>
    <w:rsid w:val="004C6ABB"/>
    <w:rsid w:val="004C6B17"/>
    <w:rsid w:val="004C6C49"/>
    <w:rsid w:val="004C71C4"/>
    <w:rsid w:val="004C75EC"/>
    <w:rsid w:val="004C768D"/>
    <w:rsid w:val="004C780A"/>
    <w:rsid w:val="004C7B4B"/>
    <w:rsid w:val="004C7C63"/>
    <w:rsid w:val="004C7E99"/>
    <w:rsid w:val="004D003B"/>
    <w:rsid w:val="004D0059"/>
    <w:rsid w:val="004D00B6"/>
    <w:rsid w:val="004D0DC8"/>
    <w:rsid w:val="004D0F38"/>
    <w:rsid w:val="004D19CC"/>
    <w:rsid w:val="004D1DCC"/>
    <w:rsid w:val="004D20EE"/>
    <w:rsid w:val="004D231E"/>
    <w:rsid w:val="004D258E"/>
    <w:rsid w:val="004D2B7B"/>
    <w:rsid w:val="004D2C2D"/>
    <w:rsid w:val="004D2F00"/>
    <w:rsid w:val="004D2F5C"/>
    <w:rsid w:val="004D424A"/>
    <w:rsid w:val="004D476A"/>
    <w:rsid w:val="004D4771"/>
    <w:rsid w:val="004D47F6"/>
    <w:rsid w:val="004D48D5"/>
    <w:rsid w:val="004D4B73"/>
    <w:rsid w:val="004D4BC2"/>
    <w:rsid w:val="004D4C21"/>
    <w:rsid w:val="004D4D82"/>
    <w:rsid w:val="004D5683"/>
    <w:rsid w:val="004D579B"/>
    <w:rsid w:val="004D5A31"/>
    <w:rsid w:val="004D5C5D"/>
    <w:rsid w:val="004D6301"/>
    <w:rsid w:val="004D6366"/>
    <w:rsid w:val="004D683D"/>
    <w:rsid w:val="004D69B5"/>
    <w:rsid w:val="004D6C5E"/>
    <w:rsid w:val="004D7053"/>
    <w:rsid w:val="004D7227"/>
    <w:rsid w:val="004D72AF"/>
    <w:rsid w:val="004D7610"/>
    <w:rsid w:val="004D77AF"/>
    <w:rsid w:val="004D780E"/>
    <w:rsid w:val="004D7A80"/>
    <w:rsid w:val="004D7B5E"/>
    <w:rsid w:val="004D7FDE"/>
    <w:rsid w:val="004E057E"/>
    <w:rsid w:val="004E0918"/>
    <w:rsid w:val="004E0BDD"/>
    <w:rsid w:val="004E0E7F"/>
    <w:rsid w:val="004E0EB8"/>
    <w:rsid w:val="004E1237"/>
    <w:rsid w:val="004E12C1"/>
    <w:rsid w:val="004E15C0"/>
    <w:rsid w:val="004E1778"/>
    <w:rsid w:val="004E18C6"/>
    <w:rsid w:val="004E18E9"/>
    <w:rsid w:val="004E1D01"/>
    <w:rsid w:val="004E20DF"/>
    <w:rsid w:val="004E2514"/>
    <w:rsid w:val="004E2ADC"/>
    <w:rsid w:val="004E3264"/>
    <w:rsid w:val="004E3605"/>
    <w:rsid w:val="004E3FF5"/>
    <w:rsid w:val="004E4308"/>
    <w:rsid w:val="004E43B2"/>
    <w:rsid w:val="004E4857"/>
    <w:rsid w:val="004E5110"/>
    <w:rsid w:val="004E5795"/>
    <w:rsid w:val="004E58FA"/>
    <w:rsid w:val="004E59E2"/>
    <w:rsid w:val="004E5ABE"/>
    <w:rsid w:val="004E5F40"/>
    <w:rsid w:val="004E6151"/>
    <w:rsid w:val="004E6ECD"/>
    <w:rsid w:val="004E70CA"/>
    <w:rsid w:val="004E7E79"/>
    <w:rsid w:val="004F001A"/>
    <w:rsid w:val="004F03EE"/>
    <w:rsid w:val="004F0749"/>
    <w:rsid w:val="004F1099"/>
    <w:rsid w:val="004F19CE"/>
    <w:rsid w:val="004F1D02"/>
    <w:rsid w:val="004F1F6D"/>
    <w:rsid w:val="004F2679"/>
    <w:rsid w:val="004F2A05"/>
    <w:rsid w:val="004F2F21"/>
    <w:rsid w:val="004F34FC"/>
    <w:rsid w:val="004F3907"/>
    <w:rsid w:val="004F3AB9"/>
    <w:rsid w:val="004F3DE5"/>
    <w:rsid w:val="004F4296"/>
    <w:rsid w:val="004F464B"/>
    <w:rsid w:val="004F4D00"/>
    <w:rsid w:val="004F4EDD"/>
    <w:rsid w:val="004F5111"/>
    <w:rsid w:val="004F5998"/>
    <w:rsid w:val="004F5DE3"/>
    <w:rsid w:val="004F67BE"/>
    <w:rsid w:val="004F688D"/>
    <w:rsid w:val="004F6913"/>
    <w:rsid w:val="004F69B1"/>
    <w:rsid w:val="004F6BF0"/>
    <w:rsid w:val="004F6E72"/>
    <w:rsid w:val="004F6E8D"/>
    <w:rsid w:val="004F76BF"/>
    <w:rsid w:val="004F7865"/>
    <w:rsid w:val="004F78ED"/>
    <w:rsid w:val="004F7A89"/>
    <w:rsid w:val="004F7AB3"/>
    <w:rsid w:val="004F7E48"/>
    <w:rsid w:val="00500797"/>
    <w:rsid w:val="00500AA7"/>
    <w:rsid w:val="005014F3"/>
    <w:rsid w:val="0050151E"/>
    <w:rsid w:val="00501573"/>
    <w:rsid w:val="0050174E"/>
    <w:rsid w:val="0050178A"/>
    <w:rsid w:val="00501854"/>
    <w:rsid w:val="00501BF1"/>
    <w:rsid w:val="00501F23"/>
    <w:rsid w:val="0050219B"/>
    <w:rsid w:val="00502540"/>
    <w:rsid w:val="005025E2"/>
    <w:rsid w:val="00502671"/>
    <w:rsid w:val="005028C1"/>
    <w:rsid w:val="00502EF5"/>
    <w:rsid w:val="005030E3"/>
    <w:rsid w:val="005036E4"/>
    <w:rsid w:val="005037FE"/>
    <w:rsid w:val="00503F17"/>
    <w:rsid w:val="00503F3A"/>
    <w:rsid w:val="005045E8"/>
    <w:rsid w:val="0050493B"/>
    <w:rsid w:val="00504D2A"/>
    <w:rsid w:val="0050504B"/>
    <w:rsid w:val="0050585A"/>
    <w:rsid w:val="0050593B"/>
    <w:rsid w:val="00505C94"/>
    <w:rsid w:val="0050671F"/>
    <w:rsid w:val="00506928"/>
    <w:rsid w:val="00506D54"/>
    <w:rsid w:val="00507093"/>
    <w:rsid w:val="00507144"/>
    <w:rsid w:val="00507294"/>
    <w:rsid w:val="005077EF"/>
    <w:rsid w:val="00507E0A"/>
    <w:rsid w:val="00507FB5"/>
    <w:rsid w:val="005100D5"/>
    <w:rsid w:val="00510738"/>
    <w:rsid w:val="00511235"/>
    <w:rsid w:val="00511AD5"/>
    <w:rsid w:val="00511DC7"/>
    <w:rsid w:val="00511ED6"/>
    <w:rsid w:val="00512022"/>
    <w:rsid w:val="0051219F"/>
    <w:rsid w:val="0051356E"/>
    <w:rsid w:val="00513C02"/>
    <w:rsid w:val="00513E78"/>
    <w:rsid w:val="00513E9E"/>
    <w:rsid w:val="005142C5"/>
    <w:rsid w:val="0051501B"/>
    <w:rsid w:val="005152B5"/>
    <w:rsid w:val="00515414"/>
    <w:rsid w:val="005155EF"/>
    <w:rsid w:val="00515738"/>
    <w:rsid w:val="00515886"/>
    <w:rsid w:val="0051613E"/>
    <w:rsid w:val="00516610"/>
    <w:rsid w:val="005166B6"/>
    <w:rsid w:val="0051670A"/>
    <w:rsid w:val="005167E3"/>
    <w:rsid w:val="005168E3"/>
    <w:rsid w:val="00516F19"/>
    <w:rsid w:val="005177D7"/>
    <w:rsid w:val="0051792F"/>
    <w:rsid w:val="00520391"/>
    <w:rsid w:val="00520990"/>
    <w:rsid w:val="00520D08"/>
    <w:rsid w:val="0052123C"/>
    <w:rsid w:val="00521319"/>
    <w:rsid w:val="00521D0E"/>
    <w:rsid w:val="00521F31"/>
    <w:rsid w:val="0052245B"/>
    <w:rsid w:val="00522BC8"/>
    <w:rsid w:val="00522C62"/>
    <w:rsid w:val="00522D5A"/>
    <w:rsid w:val="00522D72"/>
    <w:rsid w:val="005233F2"/>
    <w:rsid w:val="005234BA"/>
    <w:rsid w:val="00523C28"/>
    <w:rsid w:val="00523C5A"/>
    <w:rsid w:val="0052410E"/>
    <w:rsid w:val="005246A2"/>
    <w:rsid w:val="00524DEB"/>
    <w:rsid w:val="00525307"/>
    <w:rsid w:val="00525CFF"/>
    <w:rsid w:val="00526145"/>
    <w:rsid w:val="00526A8B"/>
    <w:rsid w:val="005271B4"/>
    <w:rsid w:val="00527567"/>
    <w:rsid w:val="00527A82"/>
    <w:rsid w:val="00527AD2"/>
    <w:rsid w:val="00530037"/>
    <w:rsid w:val="0053048B"/>
    <w:rsid w:val="00530638"/>
    <w:rsid w:val="005306D1"/>
    <w:rsid w:val="00530750"/>
    <w:rsid w:val="00530BE3"/>
    <w:rsid w:val="00530C54"/>
    <w:rsid w:val="00531091"/>
    <w:rsid w:val="00531462"/>
    <w:rsid w:val="0053176B"/>
    <w:rsid w:val="00531799"/>
    <w:rsid w:val="005318B6"/>
    <w:rsid w:val="00531959"/>
    <w:rsid w:val="00531DD2"/>
    <w:rsid w:val="0053216D"/>
    <w:rsid w:val="0053304D"/>
    <w:rsid w:val="005333F2"/>
    <w:rsid w:val="005337D8"/>
    <w:rsid w:val="00534183"/>
    <w:rsid w:val="005341B3"/>
    <w:rsid w:val="00534467"/>
    <w:rsid w:val="00534606"/>
    <w:rsid w:val="005346CB"/>
    <w:rsid w:val="00534712"/>
    <w:rsid w:val="0053477F"/>
    <w:rsid w:val="00534E6E"/>
    <w:rsid w:val="00534FAF"/>
    <w:rsid w:val="005351FF"/>
    <w:rsid w:val="005354E3"/>
    <w:rsid w:val="005354F3"/>
    <w:rsid w:val="005355BE"/>
    <w:rsid w:val="00535D70"/>
    <w:rsid w:val="005368E9"/>
    <w:rsid w:val="00536F42"/>
    <w:rsid w:val="00537182"/>
    <w:rsid w:val="00537225"/>
    <w:rsid w:val="005373C1"/>
    <w:rsid w:val="005374A5"/>
    <w:rsid w:val="00537767"/>
    <w:rsid w:val="00537788"/>
    <w:rsid w:val="005379BD"/>
    <w:rsid w:val="00537D30"/>
    <w:rsid w:val="00537D5F"/>
    <w:rsid w:val="0054091C"/>
    <w:rsid w:val="00541209"/>
    <w:rsid w:val="005416DC"/>
    <w:rsid w:val="00541C9E"/>
    <w:rsid w:val="00541EDD"/>
    <w:rsid w:val="00542056"/>
    <w:rsid w:val="005422DD"/>
    <w:rsid w:val="00542353"/>
    <w:rsid w:val="005423DC"/>
    <w:rsid w:val="00542542"/>
    <w:rsid w:val="00542743"/>
    <w:rsid w:val="00542C2D"/>
    <w:rsid w:val="00542C2F"/>
    <w:rsid w:val="00542CC9"/>
    <w:rsid w:val="005433CE"/>
    <w:rsid w:val="00543484"/>
    <w:rsid w:val="00543807"/>
    <w:rsid w:val="00543BDD"/>
    <w:rsid w:val="0054519C"/>
    <w:rsid w:val="005453AF"/>
    <w:rsid w:val="005453DA"/>
    <w:rsid w:val="005457AE"/>
    <w:rsid w:val="00545F00"/>
    <w:rsid w:val="005467D6"/>
    <w:rsid w:val="00546C70"/>
    <w:rsid w:val="00546CEB"/>
    <w:rsid w:val="00546D1E"/>
    <w:rsid w:val="005478BD"/>
    <w:rsid w:val="005479E3"/>
    <w:rsid w:val="00547BAD"/>
    <w:rsid w:val="00547FC3"/>
    <w:rsid w:val="00550208"/>
    <w:rsid w:val="00550266"/>
    <w:rsid w:val="0055050A"/>
    <w:rsid w:val="00550B0B"/>
    <w:rsid w:val="00550BB2"/>
    <w:rsid w:val="00550CDA"/>
    <w:rsid w:val="00550F5E"/>
    <w:rsid w:val="0055118A"/>
    <w:rsid w:val="005512EF"/>
    <w:rsid w:val="0055158F"/>
    <w:rsid w:val="0055195B"/>
    <w:rsid w:val="00551985"/>
    <w:rsid w:val="00551F11"/>
    <w:rsid w:val="0055205D"/>
    <w:rsid w:val="00552189"/>
    <w:rsid w:val="0055264B"/>
    <w:rsid w:val="005528D5"/>
    <w:rsid w:val="00552AE4"/>
    <w:rsid w:val="00552BD3"/>
    <w:rsid w:val="00552D33"/>
    <w:rsid w:val="00552ED0"/>
    <w:rsid w:val="0055302F"/>
    <w:rsid w:val="005532A0"/>
    <w:rsid w:val="005532A2"/>
    <w:rsid w:val="005538AD"/>
    <w:rsid w:val="00553AC2"/>
    <w:rsid w:val="00553CF5"/>
    <w:rsid w:val="00554337"/>
    <w:rsid w:val="005547E3"/>
    <w:rsid w:val="00554DF2"/>
    <w:rsid w:val="0055507C"/>
    <w:rsid w:val="00555109"/>
    <w:rsid w:val="00555B51"/>
    <w:rsid w:val="00555E7E"/>
    <w:rsid w:val="00556262"/>
    <w:rsid w:val="00556798"/>
    <w:rsid w:val="0055692A"/>
    <w:rsid w:val="00556B35"/>
    <w:rsid w:val="00556DA9"/>
    <w:rsid w:val="0055741A"/>
    <w:rsid w:val="005574A3"/>
    <w:rsid w:val="00557B07"/>
    <w:rsid w:val="00560B36"/>
    <w:rsid w:val="00560B9F"/>
    <w:rsid w:val="005611B7"/>
    <w:rsid w:val="005618D4"/>
    <w:rsid w:val="00561F75"/>
    <w:rsid w:val="0056236A"/>
    <w:rsid w:val="005627C0"/>
    <w:rsid w:val="00563D7C"/>
    <w:rsid w:val="00563FDD"/>
    <w:rsid w:val="00564867"/>
    <w:rsid w:val="00564F74"/>
    <w:rsid w:val="0056507E"/>
    <w:rsid w:val="00565C79"/>
    <w:rsid w:val="00565C87"/>
    <w:rsid w:val="00565DF0"/>
    <w:rsid w:val="00566559"/>
    <w:rsid w:val="005665F6"/>
    <w:rsid w:val="0056696F"/>
    <w:rsid w:val="00566975"/>
    <w:rsid w:val="00567319"/>
    <w:rsid w:val="00567BB1"/>
    <w:rsid w:val="005700B5"/>
    <w:rsid w:val="005701A7"/>
    <w:rsid w:val="00570352"/>
    <w:rsid w:val="005706CE"/>
    <w:rsid w:val="00570811"/>
    <w:rsid w:val="00571454"/>
    <w:rsid w:val="005719C1"/>
    <w:rsid w:val="00571D55"/>
    <w:rsid w:val="00571D77"/>
    <w:rsid w:val="00572269"/>
    <w:rsid w:val="0057244A"/>
    <w:rsid w:val="00572661"/>
    <w:rsid w:val="00572F26"/>
    <w:rsid w:val="00572F3A"/>
    <w:rsid w:val="00573004"/>
    <w:rsid w:val="00573247"/>
    <w:rsid w:val="00573E3E"/>
    <w:rsid w:val="005744C8"/>
    <w:rsid w:val="005748F2"/>
    <w:rsid w:val="00574C27"/>
    <w:rsid w:val="005750C5"/>
    <w:rsid w:val="005752DE"/>
    <w:rsid w:val="00575992"/>
    <w:rsid w:val="00575C0C"/>
    <w:rsid w:val="00575D60"/>
    <w:rsid w:val="00575D8D"/>
    <w:rsid w:val="0057616F"/>
    <w:rsid w:val="00576422"/>
    <w:rsid w:val="00576950"/>
    <w:rsid w:val="00576972"/>
    <w:rsid w:val="00577248"/>
    <w:rsid w:val="00577459"/>
    <w:rsid w:val="005777AE"/>
    <w:rsid w:val="005777D4"/>
    <w:rsid w:val="00577C59"/>
    <w:rsid w:val="0058086E"/>
    <w:rsid w:val="00580B19"/>
    <w:rsid w:val="00580BAD"/>
    <w:rsid w:val="00580C13"/>
    <w:rsid w:val="00580F84"/>
    <w:rsid w:val="005816B4"/>
    <w:rsid w:val="005816C3"/>
    <w:rsid w:val="0058172C"/>
    <w:rsid w:val="00581C71"/>
    <w:rsid w:val="00581D26"/>
    <w:rsid w:val="00581D62"/>
    <w:rsid w:val="00582121"/>
    <w:rsid w:val="005826F1"/>
    <w:rsid w:val="00582964"/>
    <w:rsid w:val="00582E30"/>
    <w:rsid w:val="005831B5"/>
    <w:rsid w:val="005831F1"/>
    <w:rsid w:val="005831FF"/>
    <w:rsid w:val="00583699"/>
    <w:rsid w:val="00583999"/>
    <w:rsid w:val="00583BAE"/>
    <w:rsid w:val="00583DC3"/>
    <w:rsid w:val="00584073"/>
    <w:rsid w:val="005850C5"/>
    <w:rsid w:val="005855D6"/>
    <w:rsid w:val="0058582D"/>
    <w:rsid w:val="00585CDD"/>
    <w:rsid w:val="00585F9C"/>
    <w:rsid w:val="005868C9"/>
    <w:rsid w:val="00587058"/>
    <w:rsid w:val="005870EF"/>
    <w:rsid w:val="00587130"/>
    <w:rsid w:val="0058797E"/>
    <w:rsid w:val="005906DA"/>
    <w:rsid w:val="00590CBA"/>
    <w:rsid w:val="00590F03"/>
    <w:rsid w:val="005910B1"/>
    <w:rsid w:val="00591363"/>
    <w:rsid w:val="0059164F"/>
    <w:rsid w:val="00591957"/>
    <w:rsid w:val="00591F15"/>
    <w:rsid w:val="005923FA"/>
    <w:rsid w:val="005926AE"/>
    <w:rsid w:val="005928B8"/>
    <w:rsid w:val="00592A9C"/>
    <w:rsid w:val="00592F2E"/>
    <w:rsid w:val="005932A3"/>
    <w:rsid w:val="005932B0"/>
    <w:rsid w:val="00593420"/>
    <w:rsid w:val="00593582"/>
    <w:rsid w:val="00593681"/>
    <w:rsid w:val="00593868"/>
    <w:rsid w:val="005939C9"/>
    <w:rsid w:val="0059469D"/>
    <w:rsid w:val="0059544A"/>
    <w:rsid w:val="00595535"/>
    <w:rsid w:val="00595670"/>
    <w:rsid w:val="00595F3D"/>
    <w:rsid w:val="00596720"/>
    <w:rsid w:val="00596B5A"/>
    <w:rsid w:val="00596E50"/>
    <w:rsid w:val="0059727A"/>
    <w:rsid w:val="00597330"/>
    <w:rsid w:val="005974E5"/>
    <w:rsid w:val="00597571"/>
    <w:rsid w:val="005979DD"/>
    <w:rsid w:val="00597BF9"/>
    <w:rsid w:val="00597ED8"/>
    <w:rsid w:val="00597EED"/>
    <w:rsid w:val="005A066B"/>
    <w:rsid w:val="005A078B"/>
    <w:rsid w:val="005A0A02"/>
    <w:rsid w:val="005A0C11"/>
    <w:rsid w:val="005A102E"/>
    <w:rsid w:val="005A16F0"/>
    <w:rsid w:val="005A17D4"/>
    <w:rsid w:val="005A1817"/>
    <w:rsid w:val="005A1BA5"/>
    <w:rsid w:val="005A21C6"/>
    <w:rsid w:val="005A222C"/>
    <w:rsid w:val="005A25EC"/>
    <w:rsid w:val="005A2855"/>
    <w:rsid w:val="005A2976"/>
    <w:rsid w:val="005A2D64"/>
    <w:rsid w:val="005A309A"/>
    <w:rsid w:val="005A3275"/>
    <w:rsid w:val="005A334B"/>
    <w:rsid w:val="005A3535"/>
    <w:rsid w:val="005A373D"/>
    <w:rsid w:val="005A3BCF"/>
    <w:rsid w:val="005A49E7"/>
    <w:rsid w:val="005A4D26"/>
    <w:rsid w:val="005A4E57"/>
    <w:rsid w:val="005A58C8"/>
    <w:rsid w:val="005A59BD"/>
    <w:rsid w:val="005A5E9A"/>
    <w:rsid w:val="005A5FE4"/>
    <w:rsid w:val="005A6000"/>
    <w:rsid w:val="005A631B"/>
    <w:rsid w:val="005A6B0B"/>
    <w:rsid w:val="005A6F86"/>
    <w:rsid w:val="005A7456"/>
    <w:rsid w:val="005A7710"/>
    <w:rsid w:val="005A7888"/>
    <w:rsid w:val="005A7FB5"/>
    <w:rsid w:val="005B0451"/>
    <w:rsid w:val="005B04C4"/>
    <w:rsid w:val="005B07BE"/>
    <w:rsid w:val="005B0B58"/>
    <w:rsid w:val="005B123C"/>
    <w:rsid w:val="005B129D"/>
    <w:rsid w:val="005B134D"/>
    <w:rsid w:val="005B187A"/>
    <w:rsid w:val="005B1AFF"/>
    <w:rsid w:val="005B283C"/>
    <w:rsid w:val="005B2AB2"/>
    <w:rsid w:val="005B2F99"/>
    <w:rsid w:val="005B3323"/>
    <w:rsid w:val="005B36EA"/>
    <w:rsid w:val="005B3786"/>
    <w:rsid w:val="005B39F3"/>
    <w:rsid w:val="005B3FE3"/>
    <w:rsid w:val="005B44DB"/>
    <w:rsid w:val="005B4732"/>
    <w:rsid w:val="005B4821"/>
    <w:rsid w:val="005B49DA"/>
    <w:rsid w:val="005B4D76"/>
    <w:rsid w:val="005B4E53"/>
    <w:rsid w:val="005B5857"/>
    <w:rsid w:val="005B5F9A"/>
    <w:rsid w:val="005B6264"/>
    <w:rsid w:val="005B668A"/>
    <w:rsid w:val="005B6E97"/>
    <w:rsid w:val="005B7168"/>
    <w:rsid w:val="005B7299"/>
    <w:rsid w:val="005B7AF9"/>
    <w:rsid w:val="005B7EFB"/>
    <w:rsid w:val="005C085B"/>
    <w:rsid w:val="005C089F"/>
    <w:rsid w:val="005C1984"/>
    <w:rsid w:val="005C19C4"/>
    <w:rsid w:val="005C1B83"/>
    <w:rsid w:val="005C1DBA"/>
    <w:rsid w:val="005C1DCA"/>
    <w:rsid w:val="005C1F63"/>
    <w:rsid w:val="005C2172"/>
    <w:rsid w:val="005C25FF"/>
    <w:rsid w:val="005C2BF4"/>
    <w:rsid w:val="005C2D55"/>
    <w:rsid w:val="005C2FF6"/>
    <w:rsid w:val="005C346B"/>
    <w:rsid w:val="005C374A"/>
    <w:rsid w:val="005C39F8"/>
    <w:rsid w:val="005C41A8"/>
    <w:rsid w:val="005C430E"/>
    <w:rsid w:val="005C48E8"/>
    <w:rsid w:val="005C495C"/>
    <w:rsid w:val="005C4C1E"/>
    <w:rsid w:val="005C526A"/>
    <w:rsid w:val="005C56C6"/>
    <w:rsid w:val="005C587B"/>
    <w:rsid w:val="005C594D"/>
    <w:rsid w:val="005C59DB"/>
    <w:rsid w:val="005C5ABC"/>
    <w:rsid w:val="005C5C45"/>
    <w:rsid w:val="005C63AE"/>
    <w:rsid w:val="005C64BC"/>
    <w:rsid w:val="005C6B0A"/>
    <w:rsid w:val="005C72FB"/>
    <w:rsid w:val="005D03BF"/>
    <w:rsid w:val="005D044D"/>
    <w:rsid w:val="005D0ABD"/>
    <w:rsid w:val="005D0C6F"/>
    <w:rsid w:val="005D154A"/>
    <w:rsid w:val="005D175C"/>
    <w:rsid w:val="005D18AD"/>
    <w:rsid w:val="005D1B76"/>
    <w:rsid w:val="005D1DC8"/>
    <w:rsid w:val="005D1E58"/>
    <w:rsid w:val="005D26B4"/>
    <w:rsid w:val="005D396C"/>
    <w:rsid w:val="005D3F98"/>
    <w:rsid w:val="005D4098"/>
    <w:rsid w:val="005D416F"/>
    <w:rsid w:val="005D44D8"/>
    <w:rsid w:val="005D461E"/>
    <w:rsid w:val="005D4B16"/>
    <w:rsid w:val="005D4C1E"/>
    <w:rsid w:val="005D4D05"/>
    <w:rsid w:val="005D50AA"/>
    <w:rsid w:val="005D51BF"/>
    <w:rsid w:val="005D604F"/>
    <w:rsid w:val="005D62C2"/>
    <w:rsid w:val="005D6471"/>
    <w:rsid w:val="005D6A12"/>
    <w:rsid w:val="005D6B3F"/>
    <w:rsid w:val="005D789D"/>
    <w:rsid w:val="005D7EAE"/>
    <w:rsid w:val="005E0F84"/>
    <w:rsid w:val="005E13F8"/>
    <w:rsid w:val="005E1995"/>
    <w:rsid w:val="005E1ACB"/>
    <w:rsid w:val="005E1B38"/>
    <w:rsid w:val="005E241F"/>
    <w:rsid w:val="005E266C"/>
    <w:rsid w:val="005E2776"/>
    <w:rsid w:val="005E2799"/>
    <w:rsid w:val="005E2AA3"/>
    <w:rsid w:val="005E2BD0"/>
    <w:rsid w:val="005E2D17"/>
    <w:rsid w:val="005E2D4E"/>
    <w:rsid w:val="005E371E"/>
    <w:rsid w:val="005E38C8"/>
    <w:rsid w:val="005E39EA"/>
    <w:rsid w:val="005E3AA3"/>
    <w:rsid w:val="005E3C38"/>
    <w:rsid w:val="005E4369"/>
    <w:rsid w:val="005E47D4"/>
    <w:rsid w:val="005E5696"/>
    <w:rsid w:val="005E5B60"/>
    <w:rsid w:val="005E625C"/>
    <w:rsid w:val="005E6C97"/>
    <w:rsid w:val="005E6CBC"/>
    <w:rsid w:val="005E71AF"/>
    <w:rsid w:val="005E72FF"/>
    <w:rsid w:val="005E73C0"/>
    <w:rsid w:val="005E74EB"/>
    <w:rsid w:val="005E77C0"/>
    <w:rsid w:val="005F0605"/>
    <w:rsid w:val="005F0768"/>
    <w:rsid w:val="005F07ED"/>
    <w:rsid w:val="005F0E49"/>
    <w:rsid w:val="005F1563"/>
    <w:rsid w:val="005F17A3"/>
    <w:rsid w:val="005F26C9"/>
    <w:rsid w:val="005F2706"/>
    <w:rsid w:val="005F2B60"/>
    <w:rsid w:val="005F2B73"/>
    <w:rsid w:val="005F2E40"/>
    <w:rsid w:val="005F2E50"/>
    <w:rsid w:val="005F327B"/>
    <w:rsid w:val="005F357F"/>
    <w:rsid w:val="005F3726"/>
    <w:rsid w:val="005F3850"/>
    <w:rsid w:val="005F474C"/>
    <w:rsid w:val="005F4A85"/>
    <w:rsid w:val="005F4C16"/>
    <w:rsid w:val="005F506C"/>
    <w:rsid w:val="005F55E7"/>
    <w:rsid w:val="005F5A90"/>
    <w:rsid w:val="005F6A8F"/>
    <w:rsid w:val="005F6B01"/>
    <w:rsid w:val="005F6BB7"/>
    <w:rsid w:val="005F6CF9"/>
    <w:rsid w:val="005F723E"/>
    <w:rsid w:val="005F73F1"/>
    <w:rsid w:val="005F7588"/>
    <w:rsid w:val="005F7783"/>
    <w:rsid w:val="005F7A28"/>
    <w:rsid w:val="0060013E"/>
    <w:rsid w:val="0060066C"/>
    <w:rsid w:val="006006FC"/>
    <w:rsid w:val="00600D58"/>
    <w:rsid w:val="00600DC5"/>
    <w:rsid w:val="00601D6E"/>
    <w:rsid w:val="00602022"/>
    <w:rsid w:val="00602793"/>
    <w:rsid w:val="006028D3"/>
    <w:rsid w:val="00602960"/>
    <w:rsid w:val="006034E4"/>
    <w:rsid w:val="0060350A"/>
    <w:rsid w:val="006036EA"/>
    <w:rsid w:val="00603A0E"/>
    <w:rsid w:val="00603DB9"/>
    <w:rsid w:val="00604B2B"/>
    <w:rsid w:val="0060527E"/>
    <w:rsid w:val="006062A2"/>
    <w:rsid w:val="00606489"/>
    <w:rsid w:val="0060663C"/>
    <w:rsid w:val="00606E9A"/>
    <w:rsid w:val="00606F4C"/>
    <w:rsid w:val="00606FBA"/>
    <w:rsid w:val="00606FE0"/>
    <w:rsid w:val="00606FEA"/>
    <w:rsid w:val="006070D0"/>
    <w:rsid w:val="00607669"/>
    <w:rsid w:val="00607672"/>
    <w:rsid w:val="006076F4"/>
    <w:rsid w:val="00607822"/>
    <w:rsid w:val="00607AFD"/>
    <w:rsid w:val="0061006B"/>
    <w:rsid w:val="0061068E"/>
    <w:rsid w:val="006107C1"/>
    <w:rsid w:val="00610E0A"/>
    <w:rsid w:val="00610F1A"/>
    <w:rsid w:val="0061173B"/>
    <w:rsid w:val="00611792"/>
    <w:rsid w:val="006117B6"/>
    <w:rsid w:val="006118E4"/>
    <w:rsid w:val="00611B12"/>
    <w:rsid w:val="00611C68"/>
    <w:rsid w:val="00611E07"/>
    <w:rsid w:val="006123CC"/>
    <w:rsid w:val="006126CD"/>
    <w:rsid w:val="006127FB"/>
    <w:rsid w:val="00612F97"/>
    <w:rsid w:val="00612F99"/>
    <w:rsid w:val="0061343B"/>
    <w:rsid w:val="0061345D"/>
    <w:rsid w:val="00613D33"/>
    <w:rsid w:val="00613DB2"/>
    <w:rsid w:val="006142B9"/>
    <w:rsid w:val="00614301"/>
    <w:rsid w:val="00614F3B"/>
    <w:rsid w:val="00615020"/>
    <w:rsid w:val="0061507A"/>
    <w:rsid w:val="0061549B"/>
    <w:rsid w:val="00615EFC"/>
    <w:rsid w:val="006165DA"/>
    <w:rsid w:val="00616802"/>
    <w:rsid w:val="00616BD5"/>
    <w:rsid w:val="00616C9E"/>
    <w:rsid w:val="00616DE4"/>
    <w:rsid w:val="00617020"/>
    <w:rsid w:val="00617E12"/>
    <w:rsid w:val="00617E83"/>
    <w:rsid w:val="0062028B"/>
    <w:rsid w:val="006208F9"/>
    <w:rsid w:val="00620946"/>
    <w:rsid w:val="00620C25"/>
    <w:rsid w:val="00621106"/>
    <w:rsid w:val="0062119C"/>
    <w:rsid w:val="006213BE"/>
    <w:rsid w:val="00621477"/>
    <w:rsid w:val="00621ADA"/>
    <w:rsid w:val="006226B0"/>
    <w:rsid w:val="00622C80"/>
    <w:rsid w:val="00623687"/>
    <w:rsid w:val="00623F1C"/>
    <w:rsid w:val="00623F7B"/>
    <w:rsid w:val="00624329"/>
    <w:rsid w:val="0062477F"/>
    <w:rsid w:val="00624794"/>
    <w:rsid w:val="00624BD4"/>
    <w:rsid w:val="00625047"/>
    <w:rsid w:val="006253DA"/>
    <w:rsid w:val="0062596C"/>
    <w:rsid w:val="00625B45"/>
    <w:rsid w:val="00626CAF"/>
    <w:rsid w:val="00626D99"/>
    <w:rsid w:val="00627D16"/>
    <w:rsid w:val="00627D56"/>
    <w:rsid w:val="00627E18"/>
    <w:rsid w:val="00630375"/>
    <w:rsid w:val="00630BE2"/>
    <w:rsid w:val="00630C6F"/>
    <w:rsid w:val="00630E7B"/>
    <w:rsid w:val="00631144"/>
    <w:rsid w:val="0063158F"/>
    <w:rsid w:val="00631D6B"/>
    <w:rsid w:val="00631E3B"/>
    <w:rsid w:val="00632084"/>
    <w:rsid w:val="00632102"/>
    <w:rsid w:val="0063211E"/>
    <w:rsid w:val="00632183"/>
    <w:rsid w:val="006322E8"/>
    <w:rsid w:val="00632BB1"/>
    <w:rsid w:val="006330A1"/>
    <w:rsid w:val="006331F4"/>
    <w:rsid w:val="0063337F"/>
    <w:rsid w:val="006337F0"/>
    <w:rsid w:val="00633B33"/>
    <w:rsid w:val="00633CFB"/>
    <w:rsid w:val="00634200"/>
    <w:rsid w:val="0063479F"/>
    <w:rsid w:val="00634A9E"/>
    <w:rsid w:val="00634D5C"/>
    <w:rsid w:val="00634D78"/>
    <w:rsid w:val="006353F0"/>
    <w:rsid w:val="0063564E"/>
    <w:rsid w:val="0063565D"/>
    <w:rsid w:val="0063574F"/>
    <w:rsid w:val="006357B5"/>
    <w:rsid w:val="00635965"/>
    <w:rsid w:val="00635C7B"/>
    <w:rsid w:val="006364A1"/>
    <w:rsid w:val="0063678E"/>
    <w:rsid w:val="0063689F"/>
    <w:rsid w:val="0063690A"/>
    <w:rsid w:val="00636A8A"/>
    <w:rsid w:val="0063708A"/>
    <w:rsid w:val="00637309"/>
    <w:rsid w:val="0063732A"/>
    <w:rsid w:val="006376EB"/>
    <w:rsid w:val="006376FC"/>
    <w:rsid w:val="00637951"/>
    <w:rsid w:val="00637BFD"/>
    <w:rsid w:val="00637C5C"/>
    <w:rsid w:val="00637CF2"/>
    <w:rsid w:val="006403F5"/>
    <w:rsid w:val="00640A92"/>
    <w:rsid w:val="00640ED3"/>
    <w:rsid w:val="006410E6"/>
    <w:rsid w:val="00641420"/>
    <w:rsid w:val="006418BF"/>
    <w:rsid w:val="00641970"/>
    <w:rsid w:val="006419C5"/>
    <w:rsid w:val="00641C4E"/>
    <w:rsid w:val="00641E5E"/>
    <w:rsid w:val="00641F61"/>
    <w:rsid w:val="00641FB3"/>
    <w:rsid w:val="00642AD0"/>
    <w:rsid w:val="00642C6A"/>
    <w:rsid w:val="00642DAA"/>
    <w:rsid w:val="00643DE1"/>
    <w:rsid w:val="0064434C"/>
    <w:rsid w:val="0064481B"/>
    <w:rsid w:val="00645197"/>
    <w:rsid w:val="0064538A"/>
    <w:rsid w:val="0064558A"/>
    <w:rsid w:val="006461EA"/>
    <w:rsid w:val="006469DF"/>
    <w:rsid w:val="00646E14"/>
    <w:rsid w:val="00647165"/>
    <w:rsid w:val="006471CC"/>
    <w:rsid w:val="006472FE"/>
    <w:rsid w:val="006474C4"/>
    <w:rsid w:val="006478D4"/>
    <w:rsid w:val="00647A29"/>
    <w:rsid w:val="00647C6C"/>
    <w:rsid w:val="006506A3"/>
    <w:rsid w:val="0065079F"/>
    <w:rsid w:val="00650841"/>
    <w:rsid w:val="0065099A"/>
    <w:rsid w:val="00650B2C"/>
    <w:rsid w:val="00650B60"/>
    <w:rsid w:val="00650C0D"/>
    <w:rsid w:val="00651437"/>
    <w:rsid w:val="00651583"/>
    <w:rsid w:val="006526D4"/>
    <w:rsid w:val="006527A3"/>
    <w:rsid w:val="006527C8"/>
    <w:rsid w:val="00652A20"/>
    <w:rsid w:val="00652A28"/>
    <w:rsid w:val="006530BB"/>
    <w:rsid w:val="0065379F"/>
    <w:rsid w:val="006539DF"/>
    <w:rsid w:val="00653C98"/>
    <w:rsid w:val="00653EF5"/>
    <w:rsid w:val="00654140"/>
    <w:rsid w:val="00654C37"/>
    <w:rsid w:val="00654D36"/>
    <w:rsid w:val="00655120"/>
    <w:rsid w:val="0065514F"/>
    <w:rsid w:val="0065559B"/>
    <w:rsid w:val="00655B77"/>
    <w:rsid w:val="00656188"/>
    <w:rsid w:val="006566F1"/>
    <w:rsid w:val="00656988"/>
    <w:rsid w:val="00656C66"/>
    <w:rsid w:val="00656E50"/>
    <w:rsid w:val="0065715A"/>
    <w:rsid w:val="006571A6"/>
    <w:rsid w:val="00657590"/>
    <w:rsid w:val="006578D9"/>
    <w:rsid w:val="00657DEA"/>
    <w:rsid w:val="0066005E"/>
    <w:rsid w:val="00660858"/>
    <w:rsid w:val="00660E94"/>
    <w:rsid w:val="006610F1"/>
    <w:rsid w:val="006615CD"/>
    <w:rsid w:val="006619EC"/>
    <w:rsid w:val="00661C6B"/>
    <w:rsid w:val="00661D0F"/>
    <w:rsid w:val="00661DA7"/>
    <w:rsid w:val="00661E3C"/>
    <w:rsid w:val="0066213F"/>
    <w:rsid w:val="00662979"/>
    <w:rsid w:val="00662D3E"/>
    <w:rsid w:val="00662DDD"/>
    <w:rsid w:val="00662E8C"/>
    <w:rsid w:val="0066307E"/>
    <w:rsid w:val="006631DC"/>
    <w:rsid w:val="006632D0"/>
    <w:rsid w:val="00664242"/>
    <w:rsid w:val="00664A1F"/>
    <w:rsid w:val="00664C7A"/>
    <w:rsid w:val="00664F09"/>
    <w:rsid w:val="00665913"/>
    <w:rsid w:val="00665B6F"/>
    <w:rsid w:val="0066605F"/>
    <w:rsid w:val="00666E66"/>
    <w:rsid w:val="006673A1"/>
    <w:rsid w:val="00667813"/>
    <w:rsid w:val="00667BE3"/>
    <w:rsid w:val="00667E2C"/>
    <w:rsid w:val="00670226"/>
    <w:rsid w:val="00670764"/>
    <w:rsid w:val="00670C67"/>
    <w:rsid w:val="00671004"/>
    <w:rsid w:val="006714B5"/>
    <w:rsid w:val="006714C9"/>
    <w:rsid w:val="006717F6"/>
    <w:rsid w:val="0067223A"/>
    <w:rsid w:val="00672646"/>
    <w:rsid w:val="00672885"/>
    <w:rsid w:val="00672C72"/>
    <w:rsid w:val="006730A3"/>
    <w:rsid w:val="00673944"/>
    <w:rsid w:val="00674060"/>
    <w:rsid w:val="006740AD"/>
    <w:rsid w:val="006741B7"/>
    <w:rsid w:val="00674E42"/>
    <w:rsid w:val="006751DA"/>
    <w:rsid w:val="006755A0"/>
    <w:rsid w:val="006755F5"/>
    <w:rsid w:val="00675612"/>
    <w:rsid w:val="006757C7"/>
    <w:rsid w:val="006758EB"/>
    <w:rsid w:val="00675917"/>
    <w:rsid w:val="00675B80"/>
    <w:rsid w:val="00675D81"/>
    <w:rsid w:val="00676563"/>
    <w:rsid w:val="00676AEF"/>
    <w:rsid w:val="00676B5A"/>
    <w:rsid w:val="00676C08"/>
    <w:rsid w:val="0067799E"/>
    <w:rsid w:val="00677B73"/>
    <w:rsid w:val="00677DDA"/>
    <w:rsid w:val="00677E44"/>
    <w:rsid w:val="006805A4"/>
    <w:rsid w:val="00680B49"/>
    <w:rsid w:val="006813F8"/>
    <w:rsid w:val="006818DA"/>
    <w:rsid w:val="006819B9"/>
    <w:rsid w:val="00682112"/>
    <w:rsid w:val="00682BA6"/>
    <w:rsid w:val="00682F77"/>
    <w:rsid w:val="00683B45"/>
    <w:rsid w:val="0068453C"/>
    <w:rsid w:val="00684988"/>
    <w:rsid w:val="006849E2"/>
    <w:rsid w:val="00684A22"/>
    <w:rsid w:val="00684DA3"/>
    <w:rsid w:val="00685190"/>
    <w:rsid w:val="00685474"/>
    <w:rsid w:val="0068550A"/>
    <w:rsid w:val="0068554B"/>
    <w:rsid w:val="0068644B"/>
    <w:rsid w:val="00686957"/>
    <w:rsid w:val="00686AFD"/>
    <w:rsid w:val="00686D6A"/>
    <w:rsid w:val="006872BA"/>
    <w:rsid w:val="0068736B"/>
    <w:rsid w:val="00687A84"/>
    <w:rsid w:val="00690113"/>
    <w:rsid w:val="00690795"/>
    <w:rsid w:val="006908BB"/>
    <w:rsid w:val="00690B4A"/>
    <w:rsid w:val="00691114"/>
    <w:rsid w:val="00691648"/>
    <w:rsid w:val="006917D7"/>
    <w:rsid w:val="006924C7"/>
    <w:rsid w:val="00692657"/>
    <w:rsid w:val="00692B10"/>
    <w:rsid w:val="00692FC1"/>
    <w:rsid w:val="00693044"/>
    <w:rsid w:val="00693175"/>
    <w:rsid w:val="00693212"/>
    <w:rsid w:val="006933F1"/>
    <w:rsid w:val="00693402"/>
    <w:rsid w:val="0069344D"/>
    <w:rsid w:val="006935BF"/>
    <w:rsid w:val="00693618"/>
    <w:rsid w:val="006936CC"/>
    <w:rsid w:val="00693893"/>
    <w:rsid w:val="006942A0"/>
    <w:rsid w:val="006942A6"/>
    <w:rsid w:val="0069434C"/>
    <w:rsid w:val="0069442E"/>
    <w:rsid w:val="00694B39"/>
    <w:rsid w:val="00694EA3"/>
    <w:rsid w:val="00694EE1"/>
    <w:rsid w:val="00694F44"/>
    <w:rsid w:val="006965BF"/>
    <w:rsid w:val="00696EF9"/>
    <w:rsid w:val="00696F51"/>
    <w:rsid w:val="0069773E"/>
    <w:rsid w:val="006979A5"/>
    <w:rsid w:val="006979D5"/>
    <w:rsid w:val="00697F16"/>
    <w:rsid w:val="006A016F"/>
    <w:rsid w:val="006A040A"/>
    <w:rsid w:val="006A052D"/>
    <w:rsid w:val="006A099E"/>
    <w:rsid w:val="006A0DF7"/>
    <w:rsid w:val="006A1BCB"/>
    <w:rsid w:val="006A26B2"/>
    <w:rsid w:val="006A2FAD"/>
    <w:rsid w:val="006A325A"/>
    <w:rsid w:val="006A3C98"/>
    <w:rsid w:val="006A3E75"/>
    <w:rsid w:val="006A4321"/>
    <w:rsid w:val="006A43D9"/>
    <w:rsid w:val="006A5B2D"/>
    <w:rsid w:val="006A69F5"/>
    <w:rsid w:val="006A6B15"/>
    <w:rsid w:val="006A6B99"/>
    <w:rsid w:val="006A7181"/>
    <w:rsid w:val="006A792C"/>
    <w:rsid w:val="006A7E5F"/>
    <w:rsid w:val="006B01AE"/>
    <w:rsid w:val="006B0354"/>
    <w:rsid w:val="006B15F7"/>
    <w:rsid w:val="006B1E88"/>
    <w:rsid w:val="006B23CD"/>
    <w:rsid w:val="006B261B"/>
    <w:rsid w:val="006B2C90"/>
    <w:rsid w:val="006B2DA5"/>
    <w:rsid w:val="006B2FF3"/>
    <w:rsid w:val="006B3043"/>
    <w:rsid w:val="006B35E6"/>
    <w:rsid w:val="006B3A51"/>
    <w:rsid w:val="006B3DE7"/>
    <w:rsid w:val="006B3FE9"/>
    <w:rsid w:val="006B465A"/>
    <w:rsid w:val="006B4C1D"/>
    <w:rsid w:val="006B4C76"/>
    <w:rsid w:val="006B531A"/>
    <w:rsid w:val="006B5623"/>
    <w:rsid w:val="006B6573"/>
    <w:rsid w:val="006B67E0"/>
    <w:rsid w:val="006B6AF6"/>
    <w:rsid w:val="006B6DD0"/>
    <w:rsid w:val="006B6E06"/>
    <w:rsid w:val="006B70A5"/>
    <w:rsid w:val="006B76B9"/>
    <w:rsid w:val="006B7D7C"/>
    <w:rsid w:val="006B7FB8"/>
    <w:rsid w:val="006C0214"/>
    <w:rsid w:val="006C023A"/>
    <w:rsid w:val="006C0399"/>
    <w:rsid w:val="006C136E"/>
    <w:rsid w:val="006C15D4"/>
    <w:rsid w:val="006C1810"/>
    <w:rsid w:val="006C1A01"/>
    <w:rsid w:val="006C2A8E"/>
    <w:rsid w:val="006C2CBE"/>
    <w:rsid w:val="006C2CEE"/>
    <w:rsid w:val="006C3020"/>
    <w:rsid w:val="006C31E7"/>
    <w:rsid w:val="006C3255"/>
    <w:rsid w:val="006C3442"/>
    <w:rsid w:val="006C34EB"/>
    <w:rsid w:val="006C35E2"/>
    <w:rsid w:val="006C3C58"/>
    <w:rsid w:val="006C3F0C"/>
    <w:rsid w:val="006C3F26"/>
    <w:rsid w:val="006C3F70"/>
    <w:rsid w:val="006C4E96"/>
    <w:rsid w:val="006C4FB0"/>
    <w:rsid w:val="006C519D"/>
    <w:rsid w:val="006C5425"/>
    <w:rsid w:val="006C546E"/>
    <w:rsid w:val="006C54FC"/>
    <w:rsid w:val="006C59E7"/>
    <w:rsid w:val="006C5E47"/>
    <w:rsid w:val="006C5F39"/>
    <w:rsid w:val="006C6F8A"/>
    <w:rsid w:val="006C7227"/>
    <w:rsid w:val="006C7B64"/>
    <w:rsid w:val="006C7D70"/>
    <w:rsid w:val="006D0044"/>
    <w:rsid w:val="006D0451"/>
    <w:rsid w:val="006D050F"/>
    <w:rsid w:val="006D0D17"/>
    <w:rsid w:val="006D0EE0"/>
    <w:rsid w:val="006D13F9"/>
    <w:rsid w:val="006D144A"/>
    <w:rsid w:val="006D1679"/>
    <w:rsid w:val="006D16FC"/>
    <w:rsid w:val="006D17EE"/>
    <w:rsid w:val="006D1CDE"/>
    <w:rsid w:val="006D1F4E"/>
    <w:rsid w:val="006D263C"/>
    <w:rsid w:val="006D2959"/>
    <w:rsid w:val="006D2A77"/>
    <w:rsid w:val="006D2C88"/>
    <w:rsid w:val="006D2FCD"/>
    <w:rsid w:val="006D346B"/>
    <w:rsid w:val="006D3750"/>
    <w:rsid w:val="006D38A3"/>
    <w:rsid w:val="006D3A6B"/>
    <w:rsid w:val="006D3C77"/>
    <w:rsid w:val="006D3C7D"/>
    <w:rsid w:val="006D3F39"/>
    <w:rsid w:val="006D4087"/>
    <w:rsid w:val="006D4343"/>
    <w:rsid w:val="006D4659"/>
    <w:rsid w:val="006D4A68"/>
    <w:rsid w:val="006D4B49"/>
    <w:rsid w:val="006D4BAD"/>
    <w:rsid w:val="006D4E31"/>
    <w:rsid w:val="006D5205"/>
    <w:rsid w:val="006D584E"/>
    <w:rsid w:val="006D5D5F"/>
    <w:rsid w:val="006D6140"/>
    <w:rsid w:val="006D6418"/>
    <w:rsid w:val="006D65AB"/>
    <w:rsid w:val="006D68FB"/>
    <w:rsid w:val="006D697F"/>
    <w:rsid w:val="006D76C2"/>
    <w:rsid w:val="006D7B52"/>
    <w:rsid w:val="006D7D9C"/>
    <w:rsid w:val="006D7F7A"/>
    <w:rsid w:val="006E0CB0"/>
    <w:rsid w:val="006E0CB8"/>
    <w:rsid w:val="006E0D9F"/>
    <w:rsid w:val="006E192F"/>
    <w:rsid w:val="006E1D00"/>
    <w:rsid w:val="006E1D49"/>
    <w:rsid w:val="006E23B3"/>
    <w:rsid w:val="006E2868"/>
    <w:rsid w:val="006E2B5F"/>
    <w:rsid w:val="006E2CA2"/>
    <w:rsid w:val="006E2D9A"/>
    <w:rsid w:val="006E2F55"/>
    <w:rsid w:val="006E3B41"/>
    <w:rsid w:val="006E41AE"/>
    <w:rsid w:val="006E4474"/>
    <w:rsid w:val="006E50C9"/>
    <w:rsid w:val="006E538F"/>
    <w:rsid w:val="006E54CA"/>
    <w:rsid w:val="006E55C4"/>
    <w:rsid w:val="006E59B9"/>
    <w:rsid w:val="006E6041"/>
    <w:rsid w:val="006E6B52"/>
    <w:rsid w:val="006E6DBE"/>
    <w:rsid w:val="006E6EA4"/>
    <w:rsid w:val="006E77DF"/>
    <w:rsid w:val="006E7C1E"/>
    <w:rsid w:val="006E7F61"/>
    <w:rsid w:val="006F02A1"/>
    <w:rsid w:val="006F0442"/>
    <w:rsid w:val="006F04C4"/>
    <w:rsid w:val="006F0D5C"/>
    <w:rsid w:val="006F107E"/>
    <w:rsid w:val="006F13C1"/>
    <w:rsid w:val="006F13CB"/>
    <w:rsid w:val="006F17F4"/>
    <w:rsid w:val="006F1F50"/>
    <w:rsid w:val="006F23B1"/>
    <w:rsid w:val="006F23C1"/>
    <w:rsid w:val="006F240F"/>
    <w:rsid w:val="006F24C2"/>
    <w:rsid w:val="006F2964"/>
    <w:rsid w:val="006F2CB8"/>
    <w:rsid w:val="006F306C"/>
    <w:rsid w:val="006F30CC"/>
    <w:rsid w:val="006F3907"/>
    <w:rsid w:val="006F3E11"/>
    <w:rsid w:val="006F45E3"/>
    <w:rsid w:val="006F4600"/>
    <w:rsid w:val="006F4748"/>
    <w:rsid w:val="006F50DB"/>
    <w:rsid w:val="006F5321"/>
    <w:rsid w:val="006F5FA9"/>
    <w:rsid w:val="006F61BB"/>
    <w:rsid w:val="006F63A5"/>
    <w:rsid w:val="006F682D"/>
    <w:rsid w:val="006F6BED"/>
    <w:rsid w:val="006F720D"/>
    <w:rsid w:val="006F7339"/>
    <w:rsid w:val="006F7924"/>
    <w:rsid w:val="006F7A0E"/>
    <w:rsid w:val="006F7ED0"/>
    <w:rsid w:val="00700061"/>
    <w:rsid w:val="00700099"/>
    <w:rsid w:val="007000C6"/>
    <w:rsid w:val="0070028E"/>
    <w:rsid w:val="007002F1"/>
    <w:rsid w:val="007003BA"/>
    <w:rsid w:val="0070044D"/>
    <w:rsid w:val="00700657"/>
    <w:rsid w:val="007008E5"/>
    <w:rsid w:val="007010C2"/>
    <w:rsid w:val="0070142B"/>
    <w:rsid w:val="0070152F"/>
    <w:rsid w:val="00701ADD"/>
    <w:rsid w:val="00701F5B"/>
    <w:rsid w:val="0070276E"/>
    <w:rsid w:val="00702F8F"/>
    <w:rsid w:val="00703609"/>
    <w:rsid w:val="00703DE0"/>
    <w:rsid w:val="0070409F"/>
    <w:rsid w:val="00704A25"/>
    <w:rsid w:val="00705265"/>
    <w:rsid w:val="0070534C"/>
    <w:rsid w:val="00705600"/>
    <w:rsid w:val="00705763"/>
    <w:rsid w:val="0070585C"/>
    <w:rsid w:val="00705A58"/>
    <w:rsid w:val="00705C8B"/>
    <w:rsid w:val="00706F02"/>
    <w:rsid w:val="00707320"/>
    <w:rsid w:val="00707322"/>
    <w:rsid w:val="007074E5"/>
    <w:rsid w:val="007079FC"/>
    <w:rsid w:val="00707A3C"/>
    <w:rsid w:val="00710360"/>
    <w:rsid w:val="00710AE2"/>
    <w:rsid w:val="00710ED2"/>
    <w:rsid w:val="007115A0"/>
    <w:rsid w:val="007119E4"/>
    <w:rsid w:val="00711A36"/>
    <w:rsid w:val="00711C72"/>
    <w:rsid w:val="00711ED5"/>
    <w:rsid w:val="007125D3"/>
    <w:rsid w:val="00712793"/>
    <w:rsid w:val="00712866"/>
    <w:rsid w:val="00712DC9"/>
    <w:rsid w:val="0071300A"/>
    <w:rsid w:val="00713025"/>
    <w:rsid w:val="00714002"/>
    <w:rsid w:val="007141C3"/>
    <w:rsid w:val="00714C26"/>
    <w:rsid w:val="0071516E"/>
    <w:rsid w:val="0071529C"/>
    <w:rsid w:val="007152AB"/>
    <w:rsid w:val="007159D9"/>
    <w:rsid w:val="00715EE9"/>
    <w:rsid w:val="00716441"/>
    <w:rsid w:val="0071646B"/>
    <w:rsid w:val="00716D28"/>
    <w:rsid w:val="00716E0A"/>
    <w:rsid w:val="0071700F"/>
    <w:rsid w:val="007170DA"/>
    <w:rsid w:val="007172AD"/>
    <w:rsid w:val="00717546"/>
    <w:rsid w:val="0071779E"/>
    <w:rsid w:val="00717879"/>
    <w:rsid w:val="00717C7E"/>
    <w:rsid w:val="00717EF4"/>
    <w:rsid w:val="00720801"/>
    <w:rsid w:val="00720B9A"/>
    <w:rsid w:val="00720D7B"/>
    <w:rsid w:val="00721B32"/>
    <w:rsid w:val="00721D96"/>
    <w:rsid w:val="00721E59"/>
    <w:rsid w:val="00721EBF"/>
    <w:rsid w:val="00722265"/>
    <w:rsid w:val="007223D1"/>
    <w:rsid w:val="007227CD"/>
    <w:rsid w:val="00722928"/>
    <w:rsid w:val="00722978"/>
    <w:rsid w:val="00722B1B"/>
    <w:rsid w:val="00722E87"/>
    <w:rsid w:val="007233D0"/>
    <w:rsid w:val="0072360F"/>
    <w:rsid w:val="00723FE6"/>
    <w:rsid w:val="0072416F"/>
    <w:rsid w:val="00724820"/>
    <w:rsid w:val="00724BEF"/>
    <w:rsid w:val="0072568D"/>
    <w:rsid w:val="00726973"/>
    <w:rsid w:val="00726A41"/>
    <w:rsid w:val="00726C44"/>
    <w:rsid w:val="00726D77"/>
    <w:rsid w:val="007278E5"/>
    <w:rsid w:val="0072793D"/>
    <w:rsid w:val="00727A76"/>
    <w:rsid w:val="00727C94"/>
    <w:rsid w:val="00727E7B"/>
    <w:rsid w:val="00730405"/>
    <w:rsid w:val="007304A8"/>
    <w:rsid w:val="007310C2"/>
    <w:rsid w:val="0073187E"/>
    <w:rsid w:val="00731B0A"/>
    <w:rsid w:val="00731E04"/>
    <w:rsid w:val="00731EAE"/>
    <w:rsid w:val="00731EEF"/>
    <w:rsid w:val="007325C0"/>
    <w:rsid w:val="00732C6E"/>
    <w:rsid w:val="00733073"/>
    <w:rsid w:val="007332FB"/>
    <w:rsid w:val="007336EA"/>
    <w:rsid w:val="00733CF2"/>
    <w:rsid w:val="00733EEE"/>
    <w:rsid w:val="007340EE"/>
    <w:rsid w:val="007343D6"/>
    <w:rsid w:val="00734C84"/>
    <w:rsid w:val="00735033"/>
    <w:rsid w:val="00735080"/>
    <w:rsid w:val="00735328"/>
    <w:rsid w:val="007355FE"/>
    <w:rsid w:val="007359F9"/>
    <w:rsid w:val="00735C68"/>
    <w:rsid w:val="00735F69"/>
    <w:rsid w:val="0073679C"/>
    <w:rsid w:val="0073685B"/>
    <w:rsid w:val="00736E09"/>
    <w:rsid w:val="00737346"/>
    <w:rsid w:val="007373D6"/>
    <w:rsid w:val="007373E4"/>
    <w:rsid w:val="00737513"/>
    <w:rsid w:val="007376EC"/>
    <w:rsid w:val="00737941"/>
    <w:rsid w:val="00737964"/>
    <w:rsid w:val="00737C9D"/>
    <w:rsid w:val="00740AFA"/>
    <w:rsid w:val="00740B61"/>
    <w:rsid w:val="00740C00"/>
    <w:rsid w:val="007417E2"/>
    <w:rsid w:val="007419CF"/>
    <w:rsid w:val="00741EBD"/>
    <w:rsid w:val="0074201C"/>
    <w:rsid w:val="007423E7"/>
    <w:rsid w:val="0074248B"/>
    <w:rsid w:val="00742826"/>
    <w:rsid w:val="00742BF0"/>
    <w:rsid w:val="00742DBA"/>
    <w:rsid w:val="00743211"/>
    <w:rsid w:val="007435B5"/>
    <w:rsid w:val="0074421C"/>
    <w:rsid w:val="00744290"/>
    <w:rsid w:val="00744409"/>
    <w:rsid w:val="00744512"/>
    <w:rsid w:val="007449BF"/>
    <w:rsid w:val="00744F54"/>
    <w:rsid w:val="0074549A"/>
    <w:rsid w:val="007463FE"/>
    <w:rsid w:val="00746646"/>
    <w:rsid w:val="00746AA3"/>
    <w:rsid w:val="00746B15"/>
    <w:rsid w:val="00746BC0"/>
    <w:rsid w:val="00746F69"/>
    <w:rsid w:val="00747339"/>
    <w:rsid w:val="00747957"/>
    <w:rsid w:val="007479AD"/>
    <w:rsid w:val="00747A28"/>
    <w:rsid w:val="007500CB"/>
    <w:rsid w:val="00750257"/>
    <w:rsid w:val="00750E71"/>
    <w:rsid w:val="007510B4"/>
    <w:rsid w:val="0075137B"/>
    <w:rsid w:val="00751611"/>
    <w:rsid w:val="00751D1D"/>
    <w:rsid w:val="00751FCD"/>
    <w:rsid w:val="00751FDC"/>
    <w:rsid w:val="00752142"/>
    <w:rsid w:val="007523F9"/>
    <w:rsid w:val="007524ED"/>
    <w:rsid w:val="0075268B"/>
    <w:rsid w:val="00752A4D"/>
    <w:rsid w:val="0075357E"/>
    <w:rsid w:val="00753ABA"/>
    <w:rsid w:val="00753B29"/>
    <w:rsid w:val="00753EA4"/>
    <w:rsid w:val="0075421D"/>
    <w:rsid w:val="00754BB6"/>
    <w:rsid w:val="00754DD3"/>
    <w:rsid w:val="00755228"/>
    <w:rsid w:val="007559B5"/>
    <w:rsid w:val="00755DE9"/>
    <w:rsid w:val="00755FD9"/>
    <w:rsid w:val="00756A60"/>
    <w:rsid w:val="00756D6C"/>
    <w:rsid w:val="00756FE5"/>
    <w:rsid w:val="007573E8"/>
    <w:rsid w:val="0075766C"/>
    <w:rsid w:val="00757951"/>
    <w:rsid w:val="00757D68"/>
    <w:rsid w:val="007603C5"/>
    <w:rsid w:val="00760480"/>
    <w:rsid w:val="007605FD"/>
    <w:rsid w:val="007607A6"/>
    <w:rsid w:val="00760950"/>
    <w:rsid w:val="00760969"/>
    <w:rsid w:val="00760C4E"/>
    <w:rsid w:val="00760F9E"/>
    <w:rsid w:val="007616E6"/>
    <w:rsid w:val="00761868"/>
    <w:rsid w:val="00761DB8"/>
    <w:rsid w:val="00761FCA"/>
    <w:rsid w:val="00762070"/>
    <w:rsid w:val="007627BE"/>
    <w:rsid w:val="00763857"/>
    <w:rsid w:val="00764CDF"/>
    <w:rsid w:val="00764F03"/>
    <w:rsid w:val="00765057"/>
    <w:rsid w:val="007650E8"/>
    <w:rsid w:val="007656B1"/>
    <w:rsid w:val="007657F4"/>
    <w:rsid w:val="00765A28"/>
    <w:rsid w:val="00765B1A"/>
    <w:rsid w:val="00765CC3"/>
    <w:rsid w:val="00765DC1"/>
    <w:rsid w:val="007664C0"/>
    <w:rsid w:val="007664DB"/>
    <w:rsid w:val="007665A3"/>
    <w:rsid w:val="007667EE"/>
    <w:rsid w:val="0076686F"/>
    <w:rsid w:val="00766B75"/>
    <w:rsid w:val="0076713F"/>
    <w:rsid w:val="00767627"/>
    <w:rsid w:val="0076785B"/>
    <w:rsid w:val="00767BC0"/>
    <w:rsid w:val="007704FB"/>
    <w:rsid w:val="0077081F"/>
    <w:rsid w:val="007708F3"/>
    <w:rsid w:val="00770AB3"/>
    <w:rsid w:val="00771D0D"/>
    <w:rsid w:val="00771F55"/>
    <w:rsid w:val="00771F70"/>
    <w:rsid w:val="007721FB"/>
    <w:rsid w:val="00772228"/>
    <w:rsid w:val="00772311"/>
    <w:rsid w:val="007723A5"/>
    <w:rsid w:val="007725E4"/>
    <w:rsid w:val="0077278D"/>
    <w:rsid w:val="00772B2B"/>
    <w:rsid w:val="00772C05"/>
    <w:rsid w:val="00772D94"/>
    <w:rsid w:val="00772F01"/>
    <w:rsid w:val="00773E4D"/>
    <w:rsid w:val="00773F07"/>
    <w:rsid w:val="0077413A"/>
    <w:rsid w:val="007743D7"/>
    <w:rsid w:val="00774966"/>
    <w:rsid w:val="007754A1"/>
    <w:rsid w:val="0077551A"/>
    <w:rsid w:val="007758D3"/>
    <w:rsid w:val="0077618C"/>
    <w:rsid w:val="00776202"/>
    <w:rsid w:val="007765BB"/>
    <w:rsid w:val="00776A29"/>
    <w:rsid w:val="00777335"/>
    <w:rsid w:val="00777599"/>
    <w:rsid w:val="00780545"/>
    <w:rsid w:val="00781880"/>
    <w:rsid w:val="00781BDB"/>
    <w:rsid w:val="00781DAD"/>
    <w:rsid w:val="00781E32"/>
    <w:rsid w:val="007821EB"/>
    <w:rsid w:val="00782286"/>
    <w:rsid w:val="0078307E"/>
    <w:rsid w:val="00783A9C"/>
    <w:rsid w:val="00783CFF"/>
    <w:rsid w:val="00783F87"/>
    <w:rsid w:val="007843F2"/>
    <w:rsid w:val="0078443B"/>
    <w:rsid w:val="007846FA"/>
    <w:rsid w:val="00784705"/>
    <w:rsid w:val="00784742"/>
    <w:rsid w:val="00784841"/>
    <w:rsid w:val="00784990"/>
    <w:rsid w:val="00784B45"/>
    <w:rsid w:val="0078523F"/>
    <w:rsid w:val="00785990"/>
    <w:rsid w:val="00785A9F"/>
    <w:rsid w:val="00786BB0"/>
    <w:rsid w:val="00786E2A"/>
    <w:rsid w:val="00786FB3"/>
    <w:rsid w:val="0078718F"/>
    <w:rsid w:val="0078733D"/>
    <w:rsid w:val="0078773F"/>
    <w:rsid w:val="0078777C"/>
    <w:rsid w:val="00787931"/>
    <w:rsid w:val="00787E94"/>
    <w:rsid w:val="00787EEC"/>
    <w:rsid w:val="00790A83"/>
    <w:rsid w:val="00790AD8"/>
    <w:rsid w:val="00790B93"/>
    <w:rsid w:val="00791038"/>
    <w:rsid w:val="00791BDA"/>
    <w:rsid w:val="00791F5A"/>
    <w:rsid w:val="0079236D"/>
    <w:rsid w:val="00792406"/>
    <w:rsid w:val="00792587"/>
    <w:rsid w:val="007925DF"/>
    <w:rsid w:val="00792849"/>
    <w:rsid w:val="007928D7"/>
    <w:rsid w:val="00792E50"/>
    <w:rsid w:val="0079300A"/>
    <w:rsid w:val="00793426"/>
    <w:rsid w:val="0079377B"/>
    <w:rsid w:val="007939BC"/>
    <w:rsid w:val="0079488C"/>
    <w:rsid w:val="00794BE1"/>
    <w:rsid w:val="00794C1C"/>
    <w:rsid w:val="0079526A"/>
    <w:rsid w:val="00795AAA"/>
    <w:rsid w:val="00796876"/>
    <w:rsid w:val="007968D7"/>
    <w:rsid w:val="0079757A"/>
    <w:rsid w:val="007A004C"/>
    <w:rsid w:val="007A0828"/>
    <w:rsid w:val="007A08AA"/>
    <w:rsid w:val="007A0A12"/>
    <w:rsid w:val="007A0D8B"/>
    <w:rsid w:val="007A1035"/>
    <w:rsid w:val="007A132D"/>
    <w:rsid w:val="007A1345"/>
    <w:rsid w:val="007A1910"/>
    <w:rsid w:val="007A1C97"/>
    <w:rsid w:val="007A21B2"/>
    <w:rsid w:val="007A2DDB"/>
    <w:rsid w:val="007A3052"/>
    <w:rsid w:val="007A32C4"/>
    <w:rsid w:val="007A3BF4"/>
    <w:rsid w:val="007A466A"/>
    <w:rsid w:val="007A4EC9"/>
    <w:rsid w:val="007A521B"/>
    <w:rsid w:val="007A52C2"/>
    <w:rsid w:val="007A5324"/>
    <w:rsid w:val="007A5DC8"/>
    <w:rsid w:val="007A6048"/>
    <w:rsid w:val="007A6957"/>
    <w:rsid w:val="007A6D23"/>
    <w:rsid w:val="007A70BA"/>
    <w:rsid w:val="007A714B"/>
    <w:rsid w:val="007A7534"/>
    <w:rsid w:val="007A7692"/>
    <w:rsid w:val="007A7990"/>
    <w:rsid w:val="007A7A98"/>
    <w:rsid w:val="007B0D68"/>
    <w:rsid w:val="007B0DED"/>
    <w:rsid w:val="007B1260"/>
    <w:rsid w:val="007B1574"/>
    <w:rsid w:val="007B250C"/>
    <w:rsid w:val="007B251D"/>
    <w:rsid w:val="007B2C68"/>
    <w:rsid w:val="007B2F9C"/>
    <w:rsid w:val="007B3400"/>
    <w:rsid w:val="007B3533"/>
    <w:rsid w:val="007B35B5"/>
    <w:rsid w:val="007B46F6"/>
    <w:rsid w:val="007B4F58"/>
    <w:rsid w:val="007B528D"/>
    <w:rsid w:val="007B59A9"/>
    <w:rsid w:val="007B62B2"/>
    <w:rsid w:val="007B63CA"/>
    <w:rsid w:val="007B6D9A"/>
    <w:rsid w:val="007B7199"/>
    <w:rsid w:val="007B77D1"/>
    <w:rsid w:val="007C01AD"/>
    <w:rsid w:val="007C0266"/>
    <w:rsid w:val="007C06C7"/>
    <w:rsid w:val="007C07C7"/>
    <w:rsid w:val="007C0C92"/>
    <w:rsid w:val="007C0FE2"/>
    <w:rsid w:val="007C0FE7"/>
    <w:rsid w:val="007C1151"/>
    <w:rsid w:val="007C164B"/>
    <w:rsid w:val="007C19AB"/>
    <w:rsid w:val="007C1CD9"/>
    <w:rsid w:val="007C288C"/>
    <w:rsid w:val="007C2A5D"/>
    <w:rsid w:val="007C3006"/>
    <w:rsid w:val="007C316F"/>
    <w:rsid w:val="007C32AB"/>
    <w:rsid w:val="007C32EF"/>
    <w:rsid w:val="007C361C"/>
    <w:rsid w:val="007C361D"/>
    <w:rsid w:val="007C399C"/>
    <w:rsid w:val="007C3AFB"/>
    <w:rsid w:val="007C3BB6"/>
    <w:rsid w:val="007C4514"/>
    <w:rsid w:val="007C4687"/>
    <w:rsid w:val="007C47A6"/>
    <w:rsid w:val="007C4824"/>
    <w:rsid w:val="007C4B1A"/>
    <w:rsid w:val="007C4B84"/>
    <w:rsid w:val="007C574F"/>
    <w:rsid w:val="007C5D11"/>
    <w:rsid w:val="007C5D73"/>
    <w:rsid w:val="007C636F"/>
    <w:rsid w:val="007C6854"/>
    <w:rsid w:val="007C6AC3"/>
    <w:rsid w:val="007C6C38"/>
    <w:rsid w:val="007C6E00"/>
    <w:rsid w:val="007C6E4D"/>
    <w:rsid w:val="007C6EDE"/>
    <w:rsid w:val="007C70FF"/>
    <w:rsid w:val="007C7C25"/>
    <w:rsid w:val="007D004F"/>
    <w:rsid w:val="007D035F"/>
    <w:rsid w:val="007D066A"/>
    <w:rsid w:val="007D06B2"/>
    <w:rsid w:val="007D07A4"/>
    <w:rsid w:val="007D0902"/>
    <w:rsid w:val="007D0B38"/>
    <w:rsid w:val="007D13C6"/>
    <w:rsid w:val="007D1F49"/>
    <w:rsid w:val="007D2334"/>
    <w:rsid w:val="007D2445"/>
    <w:rsid w:val="007D27A4"/>
    <w:rsid w:val="007D336C"/>
    <w:rsid w:val="007D3DB2"/>
    <w:rsid w:val="007D535A"/>
    <w:rsid w:val="007D5440"/>
    <w:rsid w:val="007D54E2"/>
    <w:rsid w:val="007D627A"/>
    <w:rsid w:val="007D649B"/>
    <w:rsid w:val="007D6606"/>
    <w:rsid w:val="007D69EB"/>
    <w:rsid w:val="007D7848"/>
    <w:rsid w:val="007E0409"/>
    <w:rsid w:val="007E092E"/>
    <w:rsid w:val="007E0A2A"/>
    <w:rsid w:val="007E0CA8"/>
    <w:rsid w:val="007E0E38"/>
    <w:rsid w:val="007E128F"/>
    <w:rsid w:val="007E1859"/>
    <w:rsid w:val="007E1F38"/>
    <w:rsid w:val="007E1F43"/>
    <w:rsid w:val="007E2678"/>
    <w:rsid w:val="007E2929"/>
    <w:rsid w:val="007E2C25"/>
    <w:rsid w:val="007E2D88"/>
    <w:rsid w:val="007E2F6A"/>
    <w:rsid w:val="007E33E8"/>
    <w:rsid w:val="007E354B"/>
    <w:rsid w:val="007E3617"/>
    <w:rsid w:val="007E3619"/>
    <w:rsid w:val="007E36AF"/>
    <w:rsid w:val="007E3995"/>
    <w:rsid w:val="007E3F5C"/>
    <w:rsid w:val="007E4C73"/>
    <w:rsid w:val="007E4D7B"/>
    <w:rsid w:val="007E50A2"/>
    <w:rsid w:val="007E5986"/>
    <w:rsid w:val="007E5ACA"/>
    <w:rsid w:val="007E6907"/>
    <w:rsid w:val="007E6E96"/>
    <w:rsid w:val="007E70F1"/>
    <w:rsid w:val="007E7C89"/>
    <w:rsid w:val="007E7E85"/>
    <w:rsid w:val="007E7EFE"/>
    <w:rsid w:val="007F033D"/>
    <w:rsid w:val="007F03BB"/>
    <w:rsid w:val="007F0816"/>
    <w:rsid w:val="007F1017"/>
    <w:rsid w:val="007F12EC"/>
    <w:rsid w:val="007F16F9"/>
    <w:rsid w:val="007F1F01"/>
    <w:rsid w:val="007F222D"/>
    <w:rsid w:val="007F3C20"/>
    <w:rsid w:val="007F3E82"/>
    <w:rsid w:val="007F426E"/>
    <w:rsid w:val="007F46D2"/>
    <w:rsid w:val="007F471E"/>
    <w:rsid w:val="007F47F4"/>
    <w:rsid w:val="007F4A3F"/>
    <w:rsid w:val="007F4A61"/>
    <w:rsid w:val="007F5155"/>
    <w:rsid w:val="007F5255"/>
    <w:rsid w:val="007F554D"/>
    <w:rsid w:val="007F556B"/>
    <w:rsid w:val="007F55ED"/>
    <w:rsid w:val="007F56CC"/>
    <w:rsid w:val="007F5A07"/>
    <w:rsid w:val="007F5A4B"/>
    <w:rsid w:val="007F61C2"/>
    <w:rsid w:val="007F6307"/>
    <w:rsid w:val="007F6924"/>
    <w:rsid w:val="007F6FEA"/>
    <w:rsid w:val="007F7319"/>
    <w:rsid w:val="007F7677"/>
    <w:rsid w:val="007F78F6"/>
    <w:rsid w:val="0080001A"/>
    <w:rsid w:val="00801053"/>
    <w:rsid w:val="00801277"/>
    <w:rsid w:val="0080204C"/>
    <w:rsid w:val="00803421"/>
    <w:rsid w:val="00803714"/>
    <w:rsid w:val="00803F7D"/>
    <w:rsid w:val="00804301"/>
    <w:rsid w:val="0080435A"/>
    <w:rsid w:val="00804FD5"/>
    <w:rsid w:val="00805142"/>
    <w:rsid w:val="008055A0"/>
    <w:rsid w:val="0080566B"/>
    <w:rsid w:val="00805748"/>
    <w:rsid w:val="00805FCE"/>
    <w:rsid w:val="008061AD"/>
    <w:rsid w:val="00806342"/>
    <w:rsid w:val="008068B7"/>
    <w:rsid w:val="00806C30"/>
    <w:rsid w:val="00806D21"/>
    <w:rsid w:val="00807A8B"/>
    <w:rsid w:val="00807B1F"/>
    <w:rsid w:val="00807F01"/>
    <w:rsid w:val="0081046C"/>
    <w:rsid w:val="0081097A"/>
    <w:rsid w:val="00810DBD"/>
    <w:rsid w:val="00811321"/>
    <w:rsid w:val="00811383"/>
    <w:rsid w:val="008115D0"/>
    <w:rsid w:val="008115DF"/>
    <w:rsid w:val="00811604"/>
    <w:rsid w:val="00812149"/>
    <w:rsid w:val="0081233C"/>
    <w:rsid w:val="00812CAC"/>
    <w:rsid w:val="00812CAD"/>
    <w:rsid w:val="00812CF4"/>
    <w:rsid w:val="00813468"/>
    <w:rsid w:val="008137BE"/>
    <w:rsid w:val="00813836"/>
    <w:rsid w:val="008141CB"/>
    <w:rsid w:val="008143D3"/>
    <w:rsid w:val="0081444D"/>
    <w:rsid w:val="0081455C"/>
    <w:rsid w:val="00814620"/>
    <w:rsid w:val="008148EB"/>
    <w:rsid w:val="00815156"/>
    <w:rsid w:val="0081534B"/>
    <w:rsid w:val="0081542E"/>
    <w:rsid w:val="008159D3"/>
    <w:rsid w:val="00815B6F"/>
    <w:rsid w:val="00815BD1"/>
    <w:rsid w:val="00816361"/>
    <w:rsid w:val="00816681"/>
    <w:rsid w:val="008166EF"/>
    <w:rsid w:val="00816871"/>
    <w:rsid w:val="00816FEF"/>
    <w:rsid w:val="008174B0"/>
    <w:rsid w:val="00817699"/>
    <w:rsid w:val="008178EA"/>
    <w:rsid w:val="00817AED"/>
    <w:rsid w:val="00817EDA"/>
    <w:rsid w:val="00817FF2"/>
    <w:rsid w:val="00820160"/>
    <w:rsid w:val="00820A8C"/>
    <w:rsid w:val="008215FB"/>
    <w:rsid w:val="008216D2"/>
    <w:rsid w:val="008219D4"/>
    <w:rsid w:val="00821B71"/>
    <w:rsid w:val="00821E0C"/>
    <w:rsid w:val="008220CC"/>
    <w:rsid w:val="00822445"/>
    <w:rsid w:val="00822703"/>
    <w:rsid w:val="00822B2A"/>
    <w:rsid w:val="00823174"/>
    <w:rsid w:val="008233F7"/>
    <w:rsid w:val="0082371B"/>
    <w:rsid w:val="00824A95"/>
    <w:rsid w:val="00825040"/>
    <w:rsid w:val="008251EF"/>
    <w:rsid w:val="00825751"/>
    <w:rsid w:val="0082588F"/>
    <w:rsid w:val="00825D85"/>
    <w:rsid w:val="00825DAA"/>
    <w:rsid w:val="00825FD3"/>
    <w:rsid w:val="008264EB"/>
    <w:rsid w:val="008268CE"/>
    <w:rsid w:val="00826966"/>
    <w:rsid w:val="00826C5A"/>
    <w:rsid w:val="00827AE4"/>
    <w:rsid w:val="00827B31"/>
    <w:rsid w:val="00827C23"/>
    <w:rsid w:val="00827F4F"/>
    <w:rsid w:val="00830867"/>
    <w:rsid w:val="00830DA8"/>
    <w:rsid w:val="00830F85"/>
    <w:rsid w:val="008311D2"/>
    <w:rsid w:val="008320BD"/>
    <w:rsid w:val="008322E0"/>
    <w:rsid w:val="008324FA"/>
    <w:rsid w:val="008328B4"/>
    <w:rsid w:val="008328DC"/>
    <w:rsid w:val="008329A4"/>
    <w:rsid w:val="00832DBE"/>
    <w:rsid w:val="00832ED6"/>
    <w:rsid w:val="0083321C"/>
    <w:rsid w:val="00833B05"/>
    <w:rsid w:val="00833DD4"/>
    <w:rsid w:val="00834F4F"/>
    <w:rsid w:val="008353A4"/>
    <w:rsid w:val="008353DA"/>
    <w:rsid w:val="0083553B"/>
    <w:rsid w:val="00836184"/>
    <w:rsid w:val="008362B4"/>
    <w:rsid w:val="0083665C"/>
    <w:rsid w:val="00836793"/>
    <w:rsid w:val="0083726B"/>
    <w:rsid w:val="00837636"/>
    <w:rsid w:val="008378E1"/>
    <w:rsid w:val="0083792D"/>
    <w:rsid w:val="00837C2F"/>
    <w:rsid w:val="008400C9"/>
    <w:rsid w:val="00840739"/>
    <w:rsid w:val="00840749"/>
    <w:rsid w:val="00840CA2"/>
    <w:rsid w:val="00841096"/>
    <w:rsid w:val="00841857"/>
    <w:rsid w:val="00841BD6"/>
    <w:rsid w:val="00841C7F"/>
    <w:rsid w:val="00841E70"/>
    <w:rsid w:val="00842175"/>
    <w:rsid w:val="008433F9"/>
    <w:rsid w:val="0084347A"/>
    <w:rsid w:val="0084374F"/>
    <w:rsid w:val="0084406C"/>
    <w:rsid w:val="008440AD"/>
    <w:rsid w:val="00844171"/>
    <w:rsid w:val="00844824"/>
    <w:rsid w:val="008448FA"/>
    <w:rsid w:val="00844A22"/>
    <w:rsid w:val="00845111"/>
    <w:rsid w:val="00845836"/>
    <w:rsid w:val="00845B1D"/>
    <w:rsid w:val="00845F96"/>
    <w:rsid w:val="00846735"/>
    <w:rsid w:val="00846A12"/>
    <w:rsid w:val="00846CB8"/>
    <w:rsid w:val="00846FD0"/>
    <w:rsid w:val="008474D8"/>
    <w:rsid w:val="00847703"/>
    <w:rsid w:val="00847DF5"/>
    <w:rsid w:val="00847E67"/>
    <w:rsid w:val="00847EAD"/>
    <w:rsid w:val="00847FAF"/>
    <w:rsid w:val="00847FF0"/>
    <w:rsid w:val="008508F1"/>
    <w:rsid w:val="00850EB1"/>
    <w:rsid w:val="00851D6E"/>
    <w:rsid w:val="00851E41"/>
    <w:rsid w:val="008520C4"/>
    <w:rsid w:val="008520FD"/>
    <w:rsid w:val="008527D1"/>
    <w:rsid w:val="00852934"/>
    <w:rsid w:val="00852A3D"/>
    <w:rsid w:val="00852EB2"/>
    <w:rsid w:val="0085309D"/>
    <w:rsid w:val="008539B0"/>
    <w:rsid w:val="00853DD9"/>
    <w:rsid w:val="00853F3B"/>
    <w:rsid w:val="00854085"/>
    <w:rsid w:val="00854107"/>
    <w:rsid w:val="00854AA9"/>
    <w:rsid w:val="00854C8C"/>
    <w:rsid w:val="00854E6D"/>
    <w:rsid w:val="0085559F"/>
    <w:rsid w:val="008559C1"/>
    <w:rsid w:val="008559F5"/>
    <w:rsid w:val="00855D8C"/>
    <w:rsid w:val="008563ED"/>
    <w:rsid w:val="00856601"/>
    <w:rsid w:val="00856897"/>
    <w:rsid w:val="00856AD1"/>
    <w:rsid w:val="00856B53"/>
    <w:rsid w:val="00856E9A"/>
    <w:rsid w:val="008571A6"/>
    <w:rsid w:val="00857377"/>
    <w:rsid w:val="008573AC"/>
    <w:rsid w:val="0085754D"/>
    <w:rsid w:val="0085764A"/>
    <w:rsid w:val="008577E0"/>
    <w:rsid w:val="00857B6E"/>
    <w:rsid w:val="00857D37"/>
    <w:rsid w:val="008604A2"/>
    <w:rsid w:val="0086075D"/>
    <w:rsid w:val="00860D13"/>
    <w:rsid w:val="00860D25"/>
    <w:rsid w:val="00861317"/>
    <w:rsid w:val="00861339"/>
    <w:rsid w:val="008616B7"/>
    <w:rsid w:val="00861AAE"/>
    <w:rsid w:val="00861B16"/>
    <w:rsid w:val="00861BD4"/>
    <w:rsid w:val="00862502"/>
    <w:rsid w:val="0086251D"/>
    <w:rsid w:val="00862534"/>
    <w:rsid w:val="008625A1"/>
    <w:rsid w:val="0086264C"/>
    <w:rsid w:val="008629E0"/>
    <w:rsid w:val="00862C2F"/>
    <w:rsid w:val="00862CC1"/>
    <w:rsid w:val="00863250"/>
    <w:rsid w:val="00863361"/>
    <w:rsid w:val="008636C1"/>
    <w:rsid w:val="008639CB"/>
    <w:rsid w:val="0086418A"/>
    <w:rsid w:val="008641D8"/>
    <w:rsid w:val="008642A7"/>
    <w:rsid w:val="008649CB"/>
    <w:rsid w:val="00864B49"/>
    <w:rsid w:val="00865264"/>
    <w:rsid w:val="00865B8B"/>
    <w:rsid w:val="00865D56"/>
    <w:rsid w:val="00865F66"/>
    <w:rsid w:val="008660D4"/>
    <w:rsid w:val="008664FC"/>
    <w:rsid w:val="00866519"/>
    <w:rsid w:val="00866687"/>
    <w:rsid w:val="00867195"/>
    <w:rsid w:val="00867241"/>
    <w:rsid w:val="008674E9"/>
    <w:rsid w:val="00867E81"/>
    <w:rsid w:val="0087002F"/>
    <w:rsid w:val="008707C0"/>
    <w:rsid w:val="00870B63"/>
    <w:rsid w:val="00871091"/>
    <w:rsid w:val="00871699"/>
    <w:rsid w:val="00871FA9"/>
    <w:rsid w:val="008727C7"/>
    <w:rsid w:val="0087280C"/>
    <w:rsid w:val="008728E9"/>
    <w:rsid w:val="00872E9C"/>
    <w:rsid w:val="0087325E"/>
    <w:rsid w:val="008732B3"/>
    <w:rsid w:val="008733FD"/>
    <w:rsid w:val="008738BF"/>
    <w:rsid w:val="008739F7"/>
    <w:rsid w:val="00874737"/>
    <w:rsid w:val="0087480B"/>
    <w:rsid w:val="00874889"/>
    <w:rsid w:val="00874BE1"/>
    <w:rsid w:val="00874CCF"/>
    <w:rsid w:val="00874D13"/>
    <w:rsid w:val="0087594A"/>
    <w:rsid w:val="00875D75"/>
    <w:rsid w:val="00875E77"/>
    <w:rsid w:val="0087724F"/>
    <w:rsid w:val="008774F6"/>
    <w:rsid w:val="00877575"/>
    <w:rsid w:val="00877851"/>
    <w:rsid w:val="00880307"/>
    <w:rsid w:val="00880642"/>
    <w:rsid w:val="00880995"/>
    <w:rsid w:val="00880A90"/>
    <w:rsid w:val="0088108A"/>
    <w:rsid w:val="00881153"/>
    <w:rsid w:val="0088115C"/>
    <w:rsid w:val="0088142F"/>
    <w:rsid w:val="0088183D"/>
    <w:rsid w:val="00882874"/>
    <w:rsid w:val="008828CA"/>
    <w:rsid w:val="00882A73"/>
    <w:rsid w:val="00882E3C"/>
    <w:rsid w:val="0088308A"/>
    <w:rsid w:val="0088324F"/>
    <w:rsid w:val="00883755"/>
    <w:rsid w:val="00883787"/>
    <w:rsid w:val="00883AA1"/>
    <w:rsid w:val="00883D25"/>
    <w:rsid w:val="00884C6E"/>
    <w:rsid w:val="00884DAC"/>
    <w:rsid w:val="00884F0B"/>
    <w:rsid w:val="008850B2"/>
    <w:rsid w:val="008855E4"/>
    <w:rsid w:val="008863E6"/>
    <w:rsid w:val="00886598"/>
    <w:rsid w:val="008866B6"/>
    <w:rsid w:val="008867BA"/>
    <w:rsid w:val="00886A71"/>
    <w:rsid w:val="00886ADC"/>
    <w:rsid w:val="00886BE5"/>
    <w:rsid w:val="00886CD2"/>
    <w:rsid w:val="00886D49"/>
    <w:rsid w:val="00886E6F"/>
    <w:rsid w:val="008872E8"/>
    <w:rsid w:val="008875ED"/>
    <w:rsid w:val="008876B4"/>
    <w:rsid w:val="0088781B"/>
    <w:rsid w:val="00887B34"/>
    <w:rsid w:val="00887FC9"/>
    <w:rsid w:val="008905EB"/>
    <w:rsid w:val="008909DA"/>
    <w:rsid w:val="00890ACC"/>
    <w:rsid w:val="00890AE8"/>
    <w:rsid w:val="008914E4"/>
    <w:rsid w:val="00891710"/>
    <w:rsid w:val="0089172B"/>
    <w:rsid w:val="00891C36"/>
    <w:rsid w:val="00891CA2"/>
    <w:rsid w:val="00891D00"/>
    <w:rsid w:val="00891E6F"/>
    <w:rsid w:val="00892357"/>
    <w:rsid w:val="008924F6"/>
    <w:rsid w:val="0089275D"/>
    <w:rsid w:val="00892A36"/>
    <w:rsid w:val="00892EB1"/>
    <w:rsid w:val="0089305D"/>
    <w:rsid w:val="00893239"/>
    <w:rsid w:val="008933FE"/>
    <w:rsid w:val="0089357C"/>
    <w:rsid w:val="008938D3"/>
    <w:rsid w:val="00893A3F"/>
    <w:rsid w:val="00893CB3"/>
    <w:rsid w:val="0089420E"/>
    <w:rsid w:val="00894489"/>
    <w:rsid w:val="008947B7"/>
    <w:rsid w:val="00894971"/>
    <w:rsid w:val="00894CD6"/>
    <w:rsid w:val="00895414"/>
    <w:rsid w:val="00895E73"/>
    <w:rsid w:val="008963A5"/>
    <w:rsid w:val="00896D5D"/>
    <w:rsid w:val="00896FAA"/>
    <w:rsid w:val="008972BE"/>
    <w:rsid w:val="00897755"/>
    <w:rsid w:val="008978FD"/>
    <w:rsid w:val="008A0169"/>
    <w:rsid w:val="008A01F5"/>
    <w:rsid w:val="008A02BE"/>
    <w:rsid w:val="008A080F"/>
    <w:rsid w:val="008A0A38"/>
    <w:rsid w:val="008A0FCE"/>
    <w:rsid w:val="008A101A"/>
    <w:rsid w:val="008A1173"/>
    <w:rsid w:val="008A127A"/>
    <w:rsid w:val="008A161B"/>
    <w:rsid w:val="008A1716"/>
    <w:rsid w:val="008A2018"/>
    <w:rsid w:val="008A21C4"/>
    <w:rsid w:val="008A24DF"/>
    <w:rsid w:val="008A264E"/>
    <w:rsid w:val="008A303A"/>
    <w:rsid w:val="008A3158"/>
    <w:rsid w:val="008A3363"/>
    <w:rsid w:val="008A3371"/>
    <w:rsid w:val="008A345D"/>
    <w:rsid w:val="008A3C3E"/>
    <w:rsid w:val="008A3C50"/>
    <w:rsid w:val="008A42C5"/>
    <w:rsid w:val="008A451D"/>
    <w:rsid w:val="008A466D"/>
    <w:rsid w:val="008A483D"/>
    <w:rsid w:val="008A4CE5"/>
    <w:rsid w:val="008A5666"/>
    <w:rsid w:val="008A63F7"/>
    <w:rsid w:val="008A6B94"/>
    <w:rsid w:val="008A70F5"/>
    <w:rsid w:val="008A735C"/>
    <w:rsid w:val="008A7474"/>
    <w:rsid w:val="008A79DE"/>
    <w:rsid w:val="008A7BFD"/>
    <w:rsid w:val="008A7C3B"/>
    <w:rsid w:val="008A7EAA"/>
    <w:rsid w:val="008B0135"/>
    <w:rsid w:val="008B07EE"/>
    <w:rsid w:val="008B0919"/>
    <w:rsid w:val="008B0C3F"/>
    <w:rsid w:val="008B0DB9"/>
    <w:rsid w:val="008B13EB"/>
    <w:rsid w:val="008B1757"/>
    <w:rsid w:val="008B1C33"/>
    <w:rsid w:val="008B237B"/>
    <w:rsid w:val="008B2712"/>
    <w:rsid w:val="008B2772"/>
    <w:rsid w:val="008B28B2"/>
    <w:rsid w:val="008B2A41"/>
    <w:rsid w:val="008B2C6B"/>
    <w:rsid w:val="008B3119"/>
    <w:rsid w:val="008B320A"/>
    <w:rsid w:val="008B33D3"/>
    <w:rsid w:val="008B33FF"/>
    <w:rsid w:val="008B3946"/>
    <w:rsid w:val="008B3B10"/>
    <w:rsid w:val="008B47DD"/>
    <w:rsid w:val="008B4A0A"/>
    <w:rsid w:val="008B4B4A"/>
    <w:rsid w:val="008B4B6F"/>
    <w:rsid w:val="008B4D8D"/>
    <w:rsid w:val="008B5030"/>
    <w:rsid w:val="008B5067"/>
    <w:rsid w:val="008B5655"/>
    <w:rsid w:val="008B58CD"/>
    <w:rsid w:val="008B59D6"/>
    <w:rsid w:val="008B5C21"/>
    <w:rsid w:val="008B5E13"/>
    <w:rsid w:val="008B6016"/>
    <w:rsid w:val="008B62BC"/>
    <w:rsid w:val="008B67E3"/>
    <w:rsid w:val="008B6BA8"/>
    <w:rsid w:val="008B6DAB"/>
    <w:rsid w:val="008B7481"/>
    <w:rsid w:val="008B7992"/>
    <w:rsid w:val="008B7D7E"/>
    <w:rsid w:val="008C04F5"/>
    <w:rsid w:val="008C0B12"/>
    <w:rsid w:val="008C0F16"/>
    <w:rsid w:val="008C11FA"/>
    <w:rsid w:val="008C16CB"/>
    <w:rsid w:val="008C1700"/>
    <w:rsid w:val="008C1999"/>
    <w:rsid w:val="008C1AA0"/>
    <w:rsid w:val="008C202D"/>
    <w:rsid w:val="008C20D3"/>
    <w:rsid w:val="008C221C"/>
    <w:rsid w:val="008C22CD"/>
    <w:rsid w:val="008C2A19"/>
    <w:rsid w:val="008C2AEF"/>
    <w:rsid w:val="008C3689"/>
    <w:rsid w:val="008C3834"/>
    <w:rsid w:val="008C3B1A"/>
    <w:rsid w:val="008C3D06"/>
    <w:rsid w:val="008C425C"/>
    <w:rsid w:val="008C48F9"/>
    <w:rsid w:val="008C49A9"/>
    <w:rsid w:val="008C4D69"/>
    <w:rsid w:val="008C4EA7"/>
    <w:rsid w:val="008C4EC2"/>
    <w:rsid w:val="008C4F40"/>
    <w:rsid w:val="008C5046"/>
    <w:rsid w:val="008C5212"/>
    <w:rsid w:val="008C5610"/>
    <w:rsid w:val="008C5739"/>
    <w:rsid w:val="008C5832"/>
    <w:rsid w:val="008C625F"/>
    <w:rsid w:val="008C630F"/>
    <w:rsid w:val="008C6E95"/>
    <w:rsid w:val="008C71C7"/>
    <w:rsid w:val="008C7282"/>
    <w:rsid w:val="008C7420"/>
    <w:rsid w:val="008C788D"/>
    <w:rsid w:val="008C791E"/>
    <w:rsid w:val="008C7EC8"/>
    <w:rsid w:val="008C7ECB"/>
    <w:rsid w:val="008D04DB"/>
    <w:rsid w:val="008D06DB"/>
    <w:rsid w:val="008D0BFB"/>
    <w:rsid w:val="008D1499"/>
    <w:rsid w:val="008D19AF"/>
    <w:rsid w:val="008D1DEE"/>
    <w:rsid w:val="008D255B"/>
    <w:rsid w:val="008D2621"/>
    <w:rsid w:val="008D2ABA"/>
    <w:rsid w:val="008D2FFC"/>
    <w:rsid w:val="008D33D3"/>
    <w:rsid w:val="008D3B86"/>
    <w:rsid w:val="008D424B"/>
    <w:rsid w:val="008D436B"/>
    <w:rsid w:val="008D43FD"/>
    <w:rsid w:val="008D4582"/>
    <w:rsid w:val="008D45D1"/>
    <w:rsid w:val="008D4755"/>
    <w:rsid w:val="008D4821"/>
    <w:rsid w:val="008D4A25"/>
    <w:rsid w:val="008D4C3D"/>
    <w:rsid w:val="008D4EA5"/>
    <w:rsid w:val="008D512C"/>
    <w:rsid w:val="008D5504"/>
    <w:rsid w:val="008D5FC6"/>
    <w:rsid w:val="008D61BE"/>
    <w:rsid w:val="008D69C9"/>
    <w:rsid w:val="008D7129"/>
    <w:rsid w:val="008D72A9"/>
    <w:rsid w:val="008D743C"/>
    <w:rsid w:val="008D7AEB"/>
    <w:rsid w:val="008D7E4E"/>
    <w:rsid w:val="008E0278"/>
    <w:rsid w:val="008E093B"/>
    <w:rsid w:val="008E0D3C"/>
    <w:rsid w:val="008E1B9E"/>
    <w:rsid w:val="008E1D33"/>
    <w:rsid w:val="008E1EAC"/>
    <w:rsid w:val="008E2056"/>
    <w:rsid w:val="008E210C"/>
    <w:rsid w:val="008E223F"/>
    <w:rsid w:val="008E31E1"/>
    <w:rsid w:val="008E437D"/>
    <w:rsid w:val="008E466E"/>
    <w:rsid w:val="008E482E"/>
    <w:rsid w:val="008E55AB"/>
    <w:rsid w:val="008E57AF"/>
    <w:rsid w:val="008E5A42"/>
    <w:rsid w:val="008E5BAB"/>
    <w:rsid w:val="008E5C42"/>
    <w:rsid w:val="008E6001"/>
    <w:rsid w:val="008E6334"/>
    <w:rsid w:val="008E651B"/>
    <w:rsid w:val="008E68C7"/>
    <w:rsid w:val="008E6AB2"/>
    <w:rsid w:val="008E6CC7"/>
    <w:rsid w:val="008E749A"/>
    <w:rsid w:val="008E756D"/>
    <w:rsid w:val="008E7573"/>
    <w:rsid w:val="008E7CB1"/>
    <w:rsid w:val="008F011C"/>
    <w:rsid w:val="008F065D"/>
    <w:rsid w:val="008F0CA1"/>
    <w:rsid w:val="008F0D73"/>
    <w:rsid w:val="008F120A"/>
    <w:rsid w:val="008F1425"/>
    <w:rsid w:val="008F146A"/>
    <w:rsid w:val="008F1551"/>
    <w:rsid w:val="008F172E"/>
    <w:rsid w:val="008F18AB"/>
    <w:rsid w:val="008F1CCF"/>
    <w:rsid w:val="008F2673"/>
    <w:rsid w:val="008F27E0"/>
    <w:rsid w:val="008F2A8D"/>
    <w:rsid w:val="008F2E4B"/>
    <w:rsid w:val="008F2EBC"/>
    <w:rsid w:val="008F34DB"/>
    <w:rsid w:val="008F3635"/>
    <w:rsid w:val="008F3DE8"/>
    <w:rsid w:val="008F3EFC"/>
    <w:rsid w:val="008F43A6"/>
    <w:rsid w:val="008F4485"/>
    <w:rsid w:val="008F4692"/>
    <w:rsid w:val="008F48EB"/>
    <w:rsid w:val="008F4AE7"/>
    <w:rsid w:val="008F4F0B"/>
    <w:rsid w:val="008F4F31"/>
    <w:rsid w:val="008F50F4"/>
    <w:rsid w:val="008F5152"/>
    <w:rsid w:val="008F5246"/>
    <w:rsid w:val="008F552D"/>
    <w:rsid w:val="008F5E11"/>
    <w:rsid w:val="008F5E3E"/>
    <w:rsid w:val="008F62CC"/>
    <w:rsid w:val="008F6928"/>
    <w:rsid w:val="008F6D30"/>
    <w:rsid w:val="008F74F8"/>
    <w:rsid w:val="008F784E"/>
    <w:rsid w:val="008F7AB1"/>
    <w:rsid w:val="008F7D82"/>
    <w:rsid w:val="0090036F"/>
    <w:rsid w:val="0090100E"/>
    <w:rsid w:val="00901CCF"/>
    <w:rsid w:val="00901F6F"/>
    <w:rsid w:val="00902397"/>
    <w:rsid w:val="00902F06"/>
    <w:rsid w:val="009030AE"/>
    <w:rsid w:val="009039E6"/>
    <w:rsid w:val="009046C4"/>
    <w:rsid w:val="00904914"/>
    <w:rsid w:val="00904CE3"/>
    <w:rsid w:val="00904E3D"/>
    <w:rsid w:val="00904E56"/>
    <w:rsid w:val="0090525E"/>
    <w:rsid w:val="009062A5"/>
    <w:rsid w:val="009063F1"/>
    <w:rsid w:val="00906655"/>
    <w:rsid w:val="00906AE2"/>
    <w:rsid w:val="00906AF4"/>
    <w:rsid w:val="00906E80"/>
    <w:rsid w:val="00906E81"/>
    <w:rsid w:val="0090708A"/>
    <w:rsid w:val="00907699"/>
    <w:rsid w:val="00907ACD"/>
    <w:rsid w:val="00907CEF"/>
    <w:rsid w:val="0091064F"/>
    <w:rsid w:val="00910D67"/>
    <w:rsid w:val="00910F9A"/>
    <w:rsid w:val="00910FA7"/>
    <w:rsid w:val="00911134"/>
    <w:rsid w:val="00911272"/>
    <w:rsid w:val="00911339"/>
    <w:rsid w:val="00911765"/>
    <w:rsid w:val="009119F1"/>
    <w:rsid w:val="00911D25"/>
    <w:rsid w:val="00911DCA"/>
    <w:rsid w:val="0091211D"/>
    <w:rsid w:val="0091234A"/>
    <w:rsid w:val="009123AA"/>
    <w:rsid w:val="0091275D"/>
    <w:rsid w:val="00913358"/>
    <w:rsid w:val="009135D6"/>
    <w:rsid w:val="00913B62"/>
    <w:rsid w:val="0091424F"/>
    <w:rsid w:val="0091444B"/>
    <w:rsid w:val="0091461D"/>
    <w:rsid w:val="00914C77"/>
    <w:rsid w:val="00915073"/>
    <w:rsid w:val="00915A78"/>
    <w:rsid w:val="0091641E"/>
    <w:rsid w:val="0091647A"/>
    <w:rsid w:val="0091682C"/>
    <w:rsid w:val="00917253"/>
    <w:rsid w:val="009177F2"/>
    <w:rsid w:val="009179F3"/>
    <w:rsid w:val="009179FF"/>
    <w:rsid w:val="00917BE2"/>
    <w:rsid w:val="009204E1"/>
    <w:rsid w:val="009205F8"/>
    <w:rsid w:val="00920709"/>
    <w:rsid w:val="009212D2"/>
    <w:rsid w:val="0092173D"/>
    <w:rsid w:val="00921ACB"/>
    <w:rsid w:val="00921B88"/>
    <w:rsid w:val="00921FB5"/>
    <w:rsid w:val="009226DC"/>
    <w:rsid w:val="00922AFF"/>
    <w:rsid w:val="00922BF7"/>
    <w:rsid w:val="0092369B"/>
    <w:rsid w:val="00923E4F"/>
    <w:rsid w:val="009247B3"/>
    <w:rsid w:val="00924823"/>
    <w:rsid w:val="009249F4"/>
    <w:rsid w:val="00924FB5"/>
    <w:rsid w:val="00925A9E"/>
    <w:rsid w:val="00925C31"/>
    <w:rsid w:val="0092604D"/>
    <w:rsid w:val="009262BF"/>
    <w:rsid w:val="00926550"/>
    <w:rsid w:val="00926A59"/>
    <w:rsid w:val="00926C86"/>
    <w:rsid w:val="00930B0F"/>
    <w:rsid w:val="00931203"/>
    <w:rsid w:val="009313DA"/>
    <w:rsid w:val="00931986"/>
    <w:rsid w:val="00931F8B"/>
    <w:rsid w:val="00932FAA"/>
    <w:rsid w:val="00933314"/>
    <w:rsid w:val="009334D1"/>
    <w:rsid w:val="009337B5"/>
    <w:rsid w:val="00933867"/>
    <w:rsid w:val="00933F41"/>
    <w:rsid w:val="009341AF"/>
    <w:rsid w:val="009343A6"/>
    <w:rsid w:val="00934516"/>
    <w:rsid w:val="00934988"/>
    <w:rsid w:val="00934A31"/>
    <w:rsid w:val="00934C43"/>
    <w:rsid w:val="00934C6D"/>
    <w:rsid w:val="00934C9B"/>
    <w:rsid w:val="00934D9B"/>
    <w:rsid w:val="009359A9"/>
    <w:rsid w:val="00935AF2"/>
    <w:rsid w:val="00935FC1"/>
    <w:rsid w:val="0093649B"/>
    <w:rsid w:val="009365DD"/>
    <w:rsid w:val="00936CC8"/>
    <w:rsid w:val="00936FF3"/>
    <w:rsid w:val="00937089"/>
    <w:rsid w:val="00937537"/>
    <w:rsid w:val="00937719"/>
    <w:rsid w:val="00937C8B"/>
    <w:rsid w:val="00937F01"/>
    <w:rsid w:val="00940241"/>
    <w:rsid w:val="009403C7"/>
    <w:rsid w:val="00940846"/>
    <w:rsid w:val="00940BF8"/>
    <w:rsid w:val="00940D31"/>
    <w:rsid w:val="00940E1F"/>
    <w:rsid w:val="00941307"/>
    <w:rsid w:val="00941866"/>
    <w:rsid w:val="009418E7"/>
    <w:rsid w:val="00941C7D"/>
    <w:rsid w:val="009424B3"/>
    <w:rsid w:val="00942BBC"/>
    <w:rsid w:val="00943622"/>
    <w:rsid w:val="00943A75"/>
    <w:rsid w:val="00943D4C"/>
    <w:rsid w:val="00943E68"/>
    <w:rsid w:val="009441E6"/>
    <w:rsid w:val="00944D0D"/>
    <w:rsid w:val="00944E0E"/>
    <w:rsid w:val="00944F8A"/>
    <w:rsid w:val="009453B0"/>
    <w:rsid w:val="00945A57"/>
    <w:rsid w:val="00945CB7"/>
    <w:rsid w:val="00945CC5"/>
    <w:rsid w:val="009467A2"/>
    <w:rsid w:val="00946CA3"/>
    <w:rsid w:val="00946E94"/>
    <w:rsid w:val="00946F76"/>
    <w:rsid w:val="009475F4"/>
    <w:rsid w:val="00947DF0"/>
    <w:rsid w:val="00950338"/>
    <w:rsid w:val="00950629"/>
    <w:rsid w:val="009506BF"/>
    <w:rsid w:val="009507BB"/>
    <w:rsid w:val="0095084E"/>
    <w:rsid w:val="00950984"/>
    <w:rsid w:val="009510A2"/>
    <w:rsid w:val="009512D7"/>
    <w:rsid w:val="00951A5E"/>
    <w:rsid w:val="00951F17"/>
    <w:rsid w:val="009521D9"/>
    <w:rsid w:val="0095221C"/>
    <w:rsid w:val="009522BD"/>
    <w:rsid w:val="00952C54"/>
    <w:rsid w:val="00953251"/>
    <w:rsid w:val="00953257"/>
    <w:rsid w:val="009533F5"/>
    <w:rsid w:val="00953633"/>
    <w:rsid w:val="00953C42"/>
    <w:rsid w:val="009540A0"/>
    <w:rsid w:val="00954486"/>
    <w:rsid w:val="0095448B"/>
    <w:rsid w:val="0095474C"/>
    <w:rsid w:val="009550F5"/>
    <w:rsid w:val="00955299"/>
    <w:rsid w:val="00955B77"/>
    <w:rsid w:val="00955E4E"/>
    <w:rsid w:val="00955E9D"/>
    <w:rsid w:val="009565D0"/>
    <w:rsid w:val="00956E20"/>
    <w:rsid w:val="009577EE"/>
    <w:rsid w:val="00957D87"/>
    <w:rsid w:val="00957D92"/>
    <w:rsid w:val="00960242"/>
    <w:rsid w:val="00960B85"/>
    <w:rsid w:val="00960DFB"/>
    <w:rsid w:val="00960E99"/>
    <w:rsid w:val="009611F3"/>
    <w:rsid w:val="0096139F"/>
    <w:rsid w:val="00961663"/>
    <w:rsid w:val="00961B69"/>
    <w:rsid w:val="00961CA4"/>
    <w:rsid w:val="00961D90"/>
    <w:rsid w:val="009620CC"/>
    <w:rsid w:val="00962111"/>
    <w:rsid w:val="009624FD"/>
    <w:rsid w:val="00962906"/>
    <w:rsid w:val="00962CB9"/>
    <w:rsid w:val="009638D6"/>
    <w:rsid w:val="00964312"/>
    <w:rsid w:val="00965132"/>
    <w:rsid w:val="0096546E"/>
    <w:rsid w:val="00965577"/>
    <w:rsid w:val="00965A54"/>
    <w:rsid w:val="00965B8A"/>
    <w:rsid w:val="00965F21"/>
    <w:rsid w:val="009663D2"/>
    <w:rsid w:val="00966436"/>
    <w:rsid w:val="009664D0"/>
    <w:rsid w:val="00966901"/>
    <w:rsid w:val="00966B67"/>
    <w:rsid w:val="00967333"/>
    <w:rsid w:val="00967A31"/>
    <w:rsid w:val="00970119"/>
    <w:rsid w:val="00970248"/>
    <w:rsid w:val="0097033C"/>
    <w:rsid w:val="00970360"/>
    <w:rsid w:val="009704DB"/>
    <w:rsid w:val="009706C6"/>
    <w:rsid w:val="0097071F"/>
    <w:rsid w:val="00970B4A"/>
    <w:rsid w:val="00970C4E"/>
    <w:rsid w:val="009717AC"/>
    <w:rsid w:val="00971A3F"/>
    <w:rsid w:val="00971C75"/>
    <w:rsid w:val="00971D33"/>
    <w:rsid w:val="00972470"/>
    <w:rsid w:val="00972472"/>
    <w:rsid w:val="009727FF"/>
    <w:rsid w:val="00972BA9"/>
    <w:rsid w:val="009730ED"/>
    <w:rsid w:val="0097383C"/>
    <w:rsid w:val="00973989"/>
    <w:rsid w:val="00973C41"/>
    <w:rsid w:val="00974202"/>
    <w:rsid w:val="009745B1"/>
    <w:rsid w:val="00974748"/>
    <w:rsid w:val="00974849"/>
    <w:rsid w:val="009751C1"/>
    <w:rsid w:val="00975265"/>
    <w:rsid w:val="00975275"/>
    <w:rsid w:val="00975CC0"/>
    <w:rsid w:val="00975FF4"/>
    <w:rsid w:val="0097617D"/>
    <w:rsid w:val="009764DA"/>
    <w:rsid w:val="0097652B"/>
    <w:rsid w:val="0097706F"/>
    <w:rsid w:val="009773D5"/>
    <w:rsid w:val="00977940"/>
    <w:rsid w:val="00977D3D"/>
    <w:rsid w:val="00977FA0"/>
    <w:rsid w:val="00980318"/>
    <w:rsid w:val="009807EC"/>
    <w:rsid w:val="00980B4B"/>
    <w:rsid w:val="00980FC5"/>
    <w:rsid w:val="0098116E"/>
    <w:rsid w:val="009811F1"/>
    <w:rsid w:val="00981230"/>
    <w:rsid w:val="00981624"/>
    <w:rsid w:val="00981656"/>
    <w:rsid w:val="009824F2"/>
    <w:rsid w:val="0098262F"/>
    <w:rsid w:val="0098279E"/>
    <w:rsid w:val="00982A05"/>
    <w:rsid w:val="00982B10"/>
    <w:rsid w:val="00982CD1"/>
    <w:rsid w:val="00983181"/>
    <w:rsid w:val="0098343A"/>
    <w:rsid w:val="00983778"/>
    <w:rsid w:val="009838EE"/>
    <w:rsid w:val="00983E4D"/>
    <w:rsid w:val="00983E57"/>
    <w:rsid w:val="00984176"/>
    <w:rsid w:val="009842B9"/>
    <w:rsid w:val="00984897"/>
    <w:rsid w:val="00984B4D"/>
    <w:rsid w:val="00984D29"/>
    <w:rsid w:val="00984F2A"/>
    <w:rsid w:val="0098513E"/>
    <w:rsid w:val="0098537C"/>
    <w:rsid w:val="00985627"/>
    <w:rsid w:val="00985D17"/>
    <w:rsid w:val="00985DE2"/>
    <w:rsid w:val="0098627B"/>
    <w:rsid w:val="009862CB"/>
    <w:rsid w:val="00986345"/>
    <w:rsid w:val="00986662"/>
    <w:rsid w:val="0098675D"/>
    <w:rsid w:val="009868CD"/>
    <w:rsid w:val="00987362"/>
    <w:rsid w:val="00987372"/>
    <w:rsid w:val="009878F7"/>
    <w:rsid w:val="00987920"/>
    <w:rsid w:val="00987973"/>
    <w:rsid w:val="00987BA1"/>
    <w:rsid w:val="00987BA4"/>
    <w:rsid w:val="00987C16"/>
    <w:rsid w:val="00987D5A"/>
    <w:rsid w:val="00990740"/>
    <w:rsid w:val="00990AA9"/>
    <w:rsid w:val="00990D89"/>
    <w:rsid w:val="00990EE7"/>
    <w:rsid w:val="00991712"/>
    <w:rsid w:val="00991A33"/>
    <w:rsid w:val="0099214E"/>
    <w:rsid w:val="0099232D"/>
    <w:rsid w:val="009926E0"/>
    <w:rsid w:val="00992A66"/>
    <w:rsid w:val="00992C93"/>
    <w:rsid w:val="0099323C"/>
    <w:rsid w:val="00993AC7"/>
    <w:rsid w:val="0099417A"/>
    <w:rsid w:val="0099451E"/>
    <w:rsid w:val="009948C9"/>
    <w:rsid w:val="00994B7A"/>
    <w:rsid w:val="009954B8"/>
    <w:rsid w:val="0099559B"/>
    <w:rsid w:val="00995D57"/>
    <w:rsid w:val="00995F70"/>
    <w:rsid w:val="009966A7"/>
    <w:rsid w:val="00996B1A"/>
    <w:rsid w:val="00996B1F"/>
    <w:rsid w:val="0099771B"/>
    <w:rsid w:val="00997740"/>
    <w:rsid w:val="0099776B"/>
    <w:rsid w:val="009979F4"/>
    <w:rsid w:val="009A0620"/>
    <w:rsid w:val="009A0898"/>
    <w:rsid w:val="009A13A0"/>
    <w:rsid w:val="009A14D4"/>
    <w:rsid w:val="009A18F6"/>
    <w:rsid w:val="009A1D34"/>
    <w:rsid w:val="009A1EF8"/>
    <w:rsid w:val="009A27BF"/>
    <w:rsid w:val="009A296C"/>
    <w:rsid w:val="009A2AE5"/>
    <w:rsid w:val="009A2D05"/>
    <w:rsid w:val="009A2DCC"/>
    <w:rsid w:val="009A34E9"/>
    <w:rsid w:val="009A3570"/>
    <w:rsid w:val="009A35DE"/>
    <w:rsid w:val="009A39F5"/>
    <w:rsid w:val="009A3E27"/>
    <w:rsid w:val="009A4333"/>
    <w:rsid w:val="009A47CB"/>
    <w:rsid w:val="009A4A6E"/>
    <w:rsid w:val="009A4A81"/>
    <w:rsid w:val="009A564F"/>
    <w:rsid w:val="009A5ABC"/>
    <w:rsid w:val="009A65D4"/>
    <w:rsid w:val="009A6799"/>
    <w:rsid w:val="009A6D5F"/>
    <w:rsid w:val="009A71ED"/>
    <w:rsid w:val="009A7C91"/>
    <w:rsid w:val="009A7F10"/>
    <w:rsid w:val="009B0958"/>
    <w:rsid w:val="009B0EEB"/>
    <w:rsid w:val="009B10A7"/>
    <w:rsid w:val="009B12B8"/>
    <w:rsid w:val="009B1E56"/>
    <w:rsid w:val="009B1F82"/>
    <w:rsid w:val="009B2790"/>
    <w:rsid w:val="009B2A44"/>
    <w:rsid w:val="009B371F"/>
    <w:rsid w:val="009B37A0"/>
    <w:rsid w:val="009B3E26"/>
    <w:rsid w:val="009B3E44"/>
    <w:rsid w:val="009B3F8D"/>
    <w:rsid w:val="009B5419"/>
    <w:rsid w:val="009B56DD"/>
    <w:rsid w:val="009B6638"/>
    <w:rsid w:val="009B66A2"/>
    <w:rsid w:val="009B6F71"/>
    <w:rsid w:val="009B77EB"/>
    <w:rsid w:val="009B7912"/>
    <w:rsid w:val="009C0284"/>
    <w:rsid w:val="009C074C"/>
    <w:rsid w:val="009C08E2"/>
    <w:rsid w:val="009C0957"/>
    <w:rsid w:val="009C0D4A"/>
    <w:rsid w:val="009C1271"/>
    <w:rsid w:val="009C14E7"/>
    <w:rsid w:val="009C1CB0"/>
    <w:rsid w:val="009C2533"/>
    <w:rsid w:val="009C31CE"/>
    <w:rsid w:val="009C3706"/>
    <w:rsid w:val="009C3A3A"/>
    <w:rsid w:val="009C3AA7"/>
    <w:rsid w:val="009C3EFB"/>
    <w:rsid w:val="009C426B"/>
    <w:rsid w:val="009C4888"/>
    <w:rsid w:val="009C4955"/>
    <w:rsid w:val="009C52DA"/>
    <w:rsid w:val="009C5678"/>
    <w:rsid w:val="009C56F7"/>
    <w:rsid w:val="009C6236"/>
    <w:rsid w:val="009C66D2"/>
    <w:rsid w:val="009C6AC4"/>
    <w:rsid w:val="009C6AD9"/>
    <w:rsid w:val="009C6C91"/>
    <w:rsid w:val="009C6CEA"/>
    <w:rsid w:val="009C6DB0"/>
    <w:rsid w:val="009C72FA"/>
    <w:rsid w:val="009C76C7"/>
    <w:rsid w:val="009C7788"/>
    <w:rsid w:val="009C7A08"/>
    <w:rsid w:val="009C7B85"/>
    <w:rsid w:val="009C7CDC"/>
    <w:rsid w:val="009C7CF3"/>
    <w:rsid w:val="009C7DE6"/>
    <w:rsid w:val="009D0254"/>
    <w:rsid w:val="009D0362"/>
    <w:rsid w:val="009D0594"/>
    <w:rsid w:val="009D09CC"/>
    <w:rsid w:val="009D0BD2"/>
    <w:rsid w:val="009D0C2E"/>
    <w:rsid w:val="009D113C"/>
    <w:rsid w:val="009D162C"/>
    <w:rsid w:val="009D17B4"/>
    <w:rsid w:val="009D1A64"/>
    <w:rsid w:val="009D1E48"/>
    <w:rsid w:val="009D25E5"/>
    <w:rsid w:val="009D27C1"/>
    <w:rsid w:val="009D2915"/>
    <w:rsid w:val="009D3977"/>
    <w:rsid w:val="009D3A15"/>
    <w:rsid w:val="009D4981"/>
    <w:rsid w:val="009D4AC0"/>
    <w:rsid w:val="009D5336"/>
    <w:rsid w:val="009D558B"/>
    <w:rsid w:val="009D568B"/>
    <w:rsid w:val="009D5B91"/>
    <w:rsid w:val="009D5E30"/>
    <w:rsid w:val="009D60E5"/>
    <w:rsid w:val="009D6175"/>
    <w:rsid w:val="009D688A"/>
    <w:rsid w:val="009D6C89"/>
    <w:rsid w:val="009D75BA"/>
    <w:rsid w:val="009D792E"/>
    <w:rsid w:val="009E005C"/>
    <w:rsid w:val="009E02F4"/>
    <w:rsid w:val="009E0DFE"/>
    <w:rsid w:val="009E1045"/>
    <w:rsid w:val="009E10AD"/>
    <w:rsid w:val="009E131A"/>
    <w:rsid w:val="009E1611"/>
    <w:rsid w:val="009E1B49"/>
    <w:rsid w:val="009E1DE8"/>
    <w:rsid w:val="009E1EA6"/>
    <w:rsid w:val="009E1F1C"/>
    <w:rsid w:val="009E2290"/>
    <w:rsid w:val="009E2297"/>
    <w:rsid w:val="009E2380"/>
    <w:rsid w:val="009E2597"/>
    <w:rsid w:val="009E2860"/>
    <w:rsid w:val="009E31F6"/>
    <w:rsid w:val="009E3242"/>
    <w:rsid w:val="009E33AB"/>
    <w:rsid w:val="009E34E9"/>
    <w:rsid w:val="009E409E"/>
    <w:rsid w:val="009E477C"/>
    <w:rsid w:val="009E4916"/>
    <w:rsid w:val="009E4C07"/>
    <w:rsid w:val="009E4CBD"/>
    <w:rsid w:val="009E4CD3"/>
    <w:rsid w:val="009E4E22"/>
    <w:rsid w:val="009E4EDF"/>
    <w:rsid w:val="009E53C1"/>
    <w:rsid w:val="009E545A"/>
    <w:rsid w:val="009E55EC"/>
    <w:rsid w:val="009E5731"/>
    <w:rsid w:val="009E682A"/>
    <w:rsid w:val="009E6872"/>
    <w:rsid w:val="009E722B"/>
    <w:rsid w:val="009E72B1"/>
    <w:rsid w:val="009E777F"/>
    <w:rsid w:val="009E7ED4"/>
    <w:rsid w:val="009F00D0"/>
    <w:rsid w:val="009F03CE"/>
    <w:rsid w:val="009F0CE6"/>
    <w:rsid w:val="009F112E"/>
    <w:rsid w:val="009F1B58"/>
    <w:rsid w:val="009F1D45"/>
    <w:rsid w:val="009F1E64"/>
    <w:rsid w:val="009F2765"/>
    <w:rsid w:val="009F318C"/>
    <w:rsid w:val="009F32A4"/>
    <w:rsid w:val="009F331D"/>
    <w:rsid w:val="009F3E98"/>
    <w:rsid w:val="009F4C0E"/>
    <w:rsid w:val="009F4F7F"/>
    <w:rsid w:val="009F5799"/>
    <w:rsid w:val="009F5AB7"/>
    <w:rsid w:val="009F5ABC"/>
    <w:rsid w:val="009F5DFB"/>
    <w:rsid w:val="009F60C4"/>
    <w:rsid w:val="009F60EE"/>
    <w:rsid w:val="009F6120"/>
    <w:rsid w:val="009F64A7"/>
    <w:rsid w:val="009F6567"/>
    <w:rsid w:val="009F6E58"/>
    <w:rsid w:val="009F70E3"/>
    <w:rsid w:val="009F74D2"/>
    <w:rsid w:val="009F75B4"/>
    <w:rsid w:val="009F7673"/>
    <w:rsid w:val="00A0057B"/>
    <w:rsid w:val="00A00D2A"/>
    <w:rsid w:val="00A00D76"/>
    <w:rsid w:val="00A01058"/>
    <w:rsid w:val="00A01184"/>
    <w:rsid w:val="00A01449"/>
    <w:rsid w:val="00A0177C"/>
    <w:rsid w:val="00A01C0F"/>
    <w:rsid w:val="00A02396"/>
    <w:rsid w:val="00A0247F"/>
    <w:rsid w:val="00A026E4"/>
    <w:rsid w:val="00A037C2"/>
    <w:rsid w:val="00A03902"/>
    <w:rsid w:val="00A03B38"/>
    <w:rsid w:val="00A03D43"/>
    <w:rsid w:val="00A04380"/>
    <w:rsid w:val="00A04786"/>
    <w:rsid w:val="00A04AB4"/>
    <w:rsid w:val="00A05472"/>
    <w:rsid w:val="00A05C32"/>
    <w:rsid w:val="00A05CDD"/>
    <w:rsid w:val="00A05F73"/>
    <w:rsid w:val="00A05FB4"/>
    <w:rsid w:val="00A0653F"/>
    <w:rsid w:val="00A069AE"/>
    <w:rsid w:val="00A072F2"/>
    <w:rsid w:val="00A077C4"/>
    <w:rsid w:val="00A07F2F"/>
    <w:rsid w:val="00A07FF5"/>
    <w:rsid w:val="00A1043A"/>
    <w:rsid w:val="00A10728"/>
    <w:rsid w:val="00A10B66"/>
    <w:rsid w:val="00A10DDB"/>
    <w:rsid w:val="00A10FE9"/>
    <w:rsid w:val="00A11CD0"/>
    <w:rsid w:val="00A12DB7"/>
    <w:rsid w:val="00A1359F"/>
    <w:rsid w:val="00A1383D"/>
    <w:rsid w:val="00A13858"/>
    <w:rsid w:val="00A13948"/>
    <w:rsid w:val="00A14054"/>
    <w:rsid w:val="00A141B6"/>
    <w:rsid w:val="00A143BB"/>
    <w:rsid w:val="00A144E1"/>
    <w:rsid w:val="00A14839"/>
    <w:rsid w:val="00A14BD4"/>
    <w:rsid w:val="00A14D66"/>
    <w:rsid w:val="00A15123"/>
    <w:rsid w:val="00A1555B"/>
    <w:rsid w:val="00A155C5"/>
    <w:rsid w:val="00A156AD"/>
    <w:rsid w:val="00A15A11"/>
    <w:rsid w:val="00A15B0B"/>
    <w:rsid w:val="00A15BFE"/>
    <w:rsid w:val="00A15FF5"/>
    <w:rsid w:val="00A16393"/>
    <w:rsid w:val="00A16A67"/>
    <w:rsid w:val="00A16AD8"/>
    <w:rsid w:val="00A16CAC"/>
    <w:rsid w:val="00A16D42"/>
    <w:rsid w:val="00A16DFF"/>
    <w:rsid w:val="00A16E1B"/>
    <w:rsid w:val="00A16E97"/>
    <w:rsid w:val="00A16E9D"/>
    <w:rsid w:val="00A17126"/>
    <w:rsid w:val="00A1725F"/>
    <w:rsid w:val="00A174B0"/>
    <w:rsid w:val="00A17AF9"/>
    <w:rsid w:val="00A17D23"/>
    <w:rsid w:val="00A17ED8"/>
    <w:rsid w:val="00A2021E"/>
    <w:rsid w:val="00A20BD6"/>
    <w:rsid w:val="00A20CE9"/>
    <w:rsid w:val="00A211EA"/>
    <w:rsid w:val="00A21290"/>
    <w:rsid w:val="00A21871"/>
    <w:rsid w:val="00A21C95"/>
    <w:rsid w:val="00A21CE0"/>
    <w:rsid w:val="00A21CF3"/>
    <w:rsid w:val="00A21D81"/>
    <w:rsid w:val="00A21E16"/>
    <w:rsid w:val="00A22112"/>
    <w:rsid w:val="00A22260"/>
    <w:rsid w:val="00A22928"/>
    <w:rsid w:val="00A234AF"/>
    <w:rsid w:val="00A23790"/>
    <w:rsid w:val="00A2408F"/>
    <w:rsid w:val="00A24725"/>
    <w:rsid w:val="00A24813"/>
    <w:rsid w:val="00A24C21"/>
    <w:rsid w:val="00A24D42"/>
    <w:rsid w:val="00A24D88"/>
    <w:rsid w:val="00A24E01"/>
    <w:rsid w:val="00A24F2B"/>
    <w:rsid w:val="00A2521B"/>
    <w:rsid w:val="00A259E3"/>
    <w:rsid w:val="00A25AF1"/>
    <w:rsid w:val="00A25C69"/>
    <w:rsid w:val="00A25E55"/>
    <w:rsid w:val="00A25EBC"/>
    <w:rsid w:val="00A26294"/>
    <w:rsid w:val="00A2676D"/>
    <w:rsid w:val="00A26850"/>
    <w:rsid w:val="00A26D7C"/>
    <w:rsid w:val="00A27139"/>
    <w:rsid w:val="00A27344"/>
    <w:rsid w:val="00A27868"/>
    <w:rsid w:val="00A278CE"/>
    <w:rsid w:val="00A27AA7"/>
    <w:rsid w:val="00A27AEC"/>
    <w:rsid w:val="00A27B61"/>
    <w:rsid w:val="00A27C8A"/>
    <w:rsid w:val="00A303A0"/>
    <w:rsid w:val="00A30B75"/>
    <w:rsid w:val="00A31152"/>
    <w:rsid w:val="00A313C6"/>
    <w:rsid w:val="00A3169C"/>
    <w:rsid w:val="00A31C80"/>
    <w:rsid w:val="00A320DB"/>
    <w:rsid w:val="00A3263A"/>
    <w:rsid w:val="00A32936"/>
    <w:rsid w:val="00A331DD"/>
    <w:rsid w:val="00A33A58"/>
    <w:rsid w:val="00A342C1"/>
    <w:rsid w:val="00A34785"/>
    <w:rsid w:val="00A34AEE"/>
    <w:rsid w:val="00A34DB1"/>
    <w:rsid w:val="00A34F72"/>
    <w:rsid w:val="00A35153"/>
    <w:rsid w:val="00A35296"/>
    <w:rsid w:val="00A35D16"/>
    <w:rsid w:val="00A36067"/>
    <w:rsid w:val="00A361AD"/>
    <w:rsid w:val="00A3636F"/>
    <w:rsid w:val="00A36511"/>
    <w:rsid w:val="00A3667B"/>
    <w:rsid w:val="00A367BE"/>
    <w:rsid w:val="00A369DD"/>
    <w:rsid w:val="00A36A3C"/>
    <w:rsid w:val="00A374E2"/>
    <w:rsid w:val="00A37BCD"/>
    <w:rsid w:val="00A37CB9"/>
    <w:rsid w:val="00A37D30"/>
    <w:rsid w:val="00A400BF"/>
    <w:rsid w:val="00A40124"/>
    <w:rsid w:val="00A40357"/>
    <w:rsid w:val="00A403B8"/>
    <w:rsid w:val="00A406A2"/>
    <w:rsid w:val="00A4085A"/>
    <w:rsid w:val="00A4092B"/>
    <w:rsid w:val="00A40FC3"/>
    <w:rsid w:val="00A4128C"/>
    <w:rsid w:val="00A41689"/>
    <w:rsid w:val="00A41B86"/>
    <w:rsid w:val="00A4209E"/>
    <w:rsid w:val="00A421AB"/>
    <w:rsid w:val="00A42384"/>
    <w:rsid w:val="00A42592"/>
    <w:rsid w:val="00A42B91"/>
    <w:rsid w:val="00A43425"/>
    <w:rsid w:val="00A4342F"/>
    <w:rsid w:val="00A434F7"/>
    <w:rsid w:val="00A43837"/>
    <w:rsid w:val="00A43B4E"/>
    <w:rsid w:val="00A43C2D"/>
    <w:rsid w:val="00A43C59"/>
    <w:rsid w:val="00A43F7F"/>
    <w:rsid w:val="00A441BF"/>
    <w:rsid w:val="00A451AE"/>
    <w:rsid w:val="00A4588A"/>
    <w:rsid w:val="00A45A11"/>
    <w:rsid w:val="00A4670F"/>
    <w:rsid w:val="00A46E0B"/>
    <w:rsid w:val="00A47240"/>
    <w:rsid w:val="00A4770E"/>
    <w:rsid w:val="00A500B5"/>
    <w:rsid w:val="00A50D83"/>
    <w:rsid w:val="00A50ECD"/>
    <w:rsid w:val="00A5163E"/>
    <w:rsid w:val="00A51659"/>
    <w:rsid w:val="00A518F3"/>
    <w:rsid w:val="00A51B4D"/>
    <w:rsid w:val="00A51CB2"/>
    <w:rsid w:val="00A5221D"/>
    <w:rsid w:val="00A52729"/>
    <w:rsid w:val="00A52E0C"/>
    <w:rsid w:val="00A52F99"/>
    <w:rsid w:val="00A53675"/>
    <w:rsid w:val="00A53C10"/>
    <w:rsid w:val="00A54617"/>
    <w:rsid w:val="00A54BF1"/>
    <w:rsid w:val="00A5521E"/>
    <w:rsid w:val="00A55662"/>
    <w:rsid w:val="00A55750"/>
    <w:rsid w:val="00A55874"/>
    <w:rsid w:val="00A564D7"/>
    <w:rsid w:val="00A5664A"/>
    <w:rsid w:val="00A5684D"/>
    <w:rsid w:val="00A56A60"/>
    <w:rsid w:val="00A56B6A"/>
    <w:rsid w:val="00A570B2"/>
    <w:rsid w:val="00A573B8"/>
    <w:rsid w:val="00A578DC"/>
    <w:rsid w:val="00A57C0C"/>
    <w:rsid w:val="00A600AC"/>
    <w:rsid w:val="00A60397"/>
    <w:rsid w:val="00A60472"/>
    <w:rsid w:val="00A60975"/>
    <w:rsid w:val="00A610C7"/>
    <w:rsid w:val="00A61143"/>
    <w:rsid w:val="00A61303"/>
    <w:rsid w:val="00A61B38"/>
    <w:rsid w:val="00A61E4A"/>
    <w:rsid w:val="00A6265C"/>
    <w:rsid w:val="00A627E4"/>
    <w:rsid w:val="00A6292A"/>
    <w:rsid w:val="00A62EEF"/>
    <w:rsid w:val="00A630F7"/>
    <w:rsid w:val="00A63235"/>
    <w:rsid w:val="00A634D4"/>
    <w:rsid w:val="00A636C0"/>
    <w:rsid w:val="00A63A0A"/>
    <w:rsid w:val="00A63DEA"/>
    <w:rsid w:val="00A640B5"/>
    <w:rsid w:val="00A640E2"/>
    <w:rsid w:val="00A649D2"/>
    <w:rsid w:val="00A64A95"/>
    <w:rsid w:val="00A64D65"/>
    <w:rsid w:val="00A65263"/>
    <w:rsid w:val="00A65B8B"/>
    <w:rsid w:val="00A65E00"/>
    <w:rsid w:val="00A65F36"/>
    <w:rsid w:val="00A666DF"/>
    <w:rsid w:val="00A66853"/>
    <w:rsid w:val="00A6695A"/>
    <w:rsid w:val="00A66DC2"/>
    <w:rsid w:val="00A6725B"/>
    <w:rsid w:val="00A67727"/>
    <w:rsid w:val="00A67931"/>
    <w:rsid w:val="00A67D83"/>
    <w:rsid w:val="00A70010"/>
    <w:rsid w:val="00A7023A"/>
    <w:rsid w:val="00A70541"/>
    <w:rsid w:val="00A70605"/>
    <w:rsid w:val="00A70692"/>
    <w:rsid w:val="00A7076B"/>
    <w:rsid w:val="00A71553"/>
    <w:rsid w:val="00A71562"/>
    <w:rsid w:val="00A71A59"/>
    <w:rsid w:val="00A71BAA"/>
    <w:rsid w:val="00A71FBD"/>
    <w:rsid w:val="00A72419"/>
    <w:rsid w:val="00A72465"/>
    <w:rsid w:val="00A7281F"/>
    <w:rsid w:val="00A729FB"/>
    <w:rsid w:val="00A73134"/>
    <w:rsid w:val="00A7365A"/>
    <w:rsid w:val="00A73B9F"/>
    <w:rsid w:val="00A73F39"/>
    <w:rsid w:val="00A74203"/>
    <w:rsid w:val="00A7428F"/>
    <w:rsid w:val="00A7439D"/>
    <w:rsid w:val="00A74703"/>
    <w:rsid w:val="00A747AB"/>
    <w:rsid w:val="00A747FE"/>
    <w:rsid w:val="00A74C35"/>
    <w:rsid w:val="00A75084"/>
    <w:rsid w:val="00A75FA4"/>
    <w:rsid w:val="00A76001"/>
    <w:rsid w:val="00A76389"/>
    <w:rsid w:val="00A7656E"/>
    <w:rsid w:val="00A76BF4"/>
    <w:rsid w:val="00A76D9C"/>
    <w:rsid w:val="00A77363"/>
    <w:rsid w:val="00A777B2"/>
    <w:rsid w:val="00A80844"/>
    <w:rsid w:val="00A825D4"/>
    <w:rsid w:val="00A828F6"/>
    <w:rsid w:val="00A829C5"/>
    <w:rsid w:val="00A82B73"/>
    <w:rsid w:val="00A83020"/>
    <w:rsid w:val="00A830CE"/>
    <w:rsid w:val="00A83317"/>
    <w:rsid w:val="00A833E5"/>
    <w:rsid w:val="00A834BA"/>
    <w:rsid w:val="00A8389D"/>
    <w:rsid w:val="00A83AC4"/>
    <w:rsid w:val="00A83BF4"/>
    <w:rsid w:val="00A846C5"/>
    <w:rsid w:val="00A852C2"/>
    <w:rsid w:val="00A85540"/>
    <w:rsid w:val="00A856BC"/>
    <w:rsid w:val="00A85EFA"/>
    <w:rsid w:val="00A8619D"/>
    <w:rsid w:val="00A862B5"/>
    <w:rsid w:val="00A86314"/>
    <w:rsid w:val="00A86A7E"/>
    <w:rsid w:val="00A86E8B"/>
    <w:rsid w:val="00A86F5E"/>
    <w:rsid w:val="00A87164"/>
    <w:rsid w:val="00A871A9"/>
    <w:rsid w:val="00A87707"/>
    <w:rsid w:val="00A87962"/>
    <w:rsid w:val="00A9025A"/>
    <w:rsid w:val="00A90CF7"/>
    <w:rsid w:val="00A90D37"/>
    <w:rsid w:val="00A9116F"/>
    <w:rsid w:val="00A91290"/>
    <w:rsid w:val="00A91725"/>
    <w:rsid w:val="00A928B3"/>
    <w:rsid w:val="00A928BB"/>
    <w:rsid w:val="00A93072"/>
    <w:rsid w:val="00A930EE"/>
    <w:rsid w:val="00A938BD"/>
    <w:rsid w:val="00A93953"/>
    <w:rsid w:val="00A93C1F"/>
    <w:rsid w:val="00A93FE7"/>
    <w:rsid w:val="00A942D4"/>
    <w:rsid w:val="00A9465E"/>
    <w:rsid w:val="00A948B5"/>
    <w:rsid w:val="00A948BC"/>
    <w:rsid w:val="00A94C53"/>
    <w:rsid w:val="00A94E31"/>
    <w:rsid w:val="00A95156"/>
    <w:rsid w:val="00A95304"/>
    <w:rsid w:val="00A95386"/>
    <w:rsid w:val="00A9589B"/>
    <w:rsid w:val="00A959D8"/>
    <w:rsid w:val="00A9643C"/>
    <w:rsid w:val="00A96479"/>
    <w:rsid w:val="00A96563"/>
    <w:rsid w:val="00A96B28"/>
    <w:rsid w:val="00A96B65"/>
    <w:rsid w:val="00A97288"/>
    <w:rsid w:val="00A97D50"/>
    <w:rsid w:val="00AA0A6D"/>
    <w:rsid w:val="00AA0AF8"/>
    <w:rsid w:val="00AA0C94"/>
    <w:rsid w:val="00AA0D51"/>
    <w:rsid w:val="00AA0F5E"/>
    <w:rsid w:val="00AA113D"/>
    <w:rsid w:val="00AA1998"/>
    <w:rsid w:val="00AA1D99"/>
    <w:rsid w:val="00AA3484"/>
    <w:rsid w:val="00AA3AE3"/>
    <w:rsid w:val="00AA3CB7"/>
    <w:rsid w:val="00AA42AE"/>
    <w:rsid w:val="00AA46F4"/>
    <w:rsid w:val="00AA4C4D"/>
    <w:rsid w:val="00AA4D78"/>
    <w:rsid w:val="00AA508C"/>
    <w:rsid w:val="00AA52F9"/>
    <w:rsid w:val="00AA5360"/>
    <w:rsid w:val="00AA5831"/>
    <w:rsid w:val="00AA5940"/>
    <w:rsid w:val="00AA5C69"/>
    <w:rsid w:val="00AA5D76"/>
    <w:rsid w:val="00AA619F"/>
    <w:rsid w:val="00AA62B0"/>
    <w:rsid w:val="00AA66F9"/>
    <w:rsid w:val="00AA68DB"/>
    <w:rsid w:val="00AA6A5F"/>
    <w:rsid w:val="00AA6BD5"/>
    <w:rsid w:val="00AA6BD8"/>
    <w:rsid w:val="00AA6C7D"/>
    <w:rsid w:val="00AA727B"/>
    <w:rsid w:val="00AA7374"/>
    <w:rsid w:val="00AA75F1"/>
    <w:rsid w:val="00AA77EB"/>
    <w:rsid w:val="00AA79A0"/>
    <w:rsid w:val="00AA7DDD"/>
    <w:rsid w:val="00AA7FD6"/>
    <w:rsid w:val="00AB042A"/>
    <w:rsid w:val="00AB0EEA"/>
    <w:rsid w:val="00AB11AD"/>
    <w:rsid w:val="00AB19EF"/>
    <w:rsid w:val="00AB1E58"/>
    <w:rsid w:val="00AB1F82"/>
    <w:rsid w:val="00AB2336"/>
    <w:rsid w:val="00AB2495"/>
    <w:rsid w:val="00AB2845"/>
    <w:rsid w:val="00AB2D34"/>
    <w:rsid w:val="00AB308F"/>
    <w:rsid w:val="00AB3430"/>
    <w:rsid w:val="00AB3545"/>
    <w:rsid w:val="00AB3630"/>
    <w:rsid w:val="00AB37B9"/>
    <w:rsid w:val="00AB3D79"/>
    <w:rsid w:val="00AB3D92"/>
    <w:rsid w:val="00AB3F32"/>
    <w:rsid w:val="00AB428B"/>
    <w:rsid w:val="00AB4AD1"/>
    <w:rsid w:val="00AB4C88"/>
    <w:rsid w:val="00AB598D"/>
    <w:rsid w:val="00AB5ACD"/>
    <w:rsid w:val="00AB5E07"/>
    <w:rsid w:val="00AB62D8"/>
    <w:rsid w:val="00AB6A4F"/>
    <w:rsid w:val="00AB6CE5"/>
    <w:rsid w:val="00AB6F9D"/>
    <w:rsid w:val="00AB6FDA"/>
    <w:rsid w:val="00AB71B0"/>
    <w:rsid w:val="00AB7AC9"/>
    <w:rsid w:val="00AB7BFE"/>
    <w:rsid w:val="00AB7CFA"/>
    <w:rsid w:val="00AC013C"/>
    <w:rsid w:val="00AC02FD"/>
    <w:rsid w:val="00AC16CF"/>
    <w:rsid w:val="00AC1B74"/>
    <w:rsid w:val="00AC1E62"/>
    <w:rsid w:val="00AC2194"/>
    <w:rsid w:val="00AC26C2"/>
    <w:rsid w:val="00AC2D09"/>
    <w:rsid w:val="00AC2E61"/>
    <w:rsid w:val="00AC3113"/>
    <w:rsid w:val="00AC3775"/>
    <w:rsid w:val="00AC3D7F"/>
    <w:rsid w:val="00AC3EB9"/>
    <w:rsid w:val="00AC3EE3"/>
    <w:rsid w:val="00AC4B85"/>
    <w:rsid w:val="00AC4BE9"/>
    <w:rsid w:val="00AC5120"/>
    <w:rsid w:val="00AC5497"/>
    <w:rsid w:val="00AC59A3"/>
    <w:rsid w:val="00AC5B42"/>
    <w:rsid w:val="00AC5B48"/>
    <w:rsid w:val="00AC5DFB"/>
    <w:rsid w:val="00AC6AE8"/>
    <w:rsid w:val="00AC6BA4"/>
    <w:rsid w:val="00AC6F86"/>
    <w:rsid w:val="00AC723F"/>
    <w:rsid w:val="00AC76B5"/>
    <w:rsid w:val="00AC7B76"/>
    <w:rsid w:val="00AC7C4A"/>
    <w:rsid w:val="00AD02B1"/>
    <w:rsid w:val="00AD060D"/>
    <w:rsid w:val="00AD1110"/>
    <w:rsid w:val="00AD1450"/>
    <w:rsid w:val="00AD154F"/>
    <w:rsid w:val="00AD15E8"/>
    <w:rsid w:val="00AD1676"/>
    <w:rsid w:val="00AD1EF8"/>
    <w:rsid w:val="00AD20EB"/>
    <w:rsid w:val="00AD270E"/>
    <w:rsid w:val="00AD2B44"/>
    <w:rsid w:val="00AD2E4D"/>
    <w:rsid w:val="00AD3036"/>
    <w:rsid w:val="00AD3307"/>
    <w:rsid w:val="00AD356D"/>
    <w:rsid w:val="00AD397B"/>
    <w:rsid w:val="00AD3BDC"/>
    <w:rsid w:val="00AD3EB9"/>
    <w:rsid w:val="00AD4960"/>
    <w:rsid w:val="00AD4B13"/>
    <w:rsid w:val="00AD4C3C"/>
    <w:rsid w:val="00AD599B"/>
    <w:rsid w:val="00AD59F4"/>
    <w:rsid w:val="00AD5B6F"/>
    <w:rsid w:val="00AD6215"/>
    <w:rsid w:val="00AD6502"/>
    <w:rsid w:val="00AD6828"/>
    <w:rsid w:val="00AD7252"/>
    <w:rsid w:val="00AD7285"/>
    <w:rsid w:val="00AD7407"/>
    <w:rsid w:val="00AD7D21"/>
    <w:rsid w:val="00AE0477"/>
    <w:rsid w:val="00AE05A2"/>
    <w:rsid w:val="00AE0688"/>
    <w:rsid w:val="00AE0695"/>
    <w:rsid w:val="00AE08FA"/>
    <w:rsid w:val="00AE09CC"/>
    <w:rsid w:val="00AE0DA9"/>
    <w:rsid w:val="00AE10A0"/>
    <w:rsid w:val="00AE11CA"/>
    <w:rsid w:val="00AE1874"/>
    <w:rsid w:val="00AE1886"/>
    <w:rsid w:val="00AE1C7F"/>
    <w:rsid w:val="00AE1FA2"/>
    <w:rsid w:val="00AE27E1"/>
    <w:rsid w:val="00AE295F"/>
    <w:rsid w:val="00AE2C82"/>
    <w:rsid w:val="00AE2EA9"/>
    <w:rsid w:val="00AE33FF"/>
    <w:rsid w:val="00AE3CE6"/>
    <w:rsid w:val="00AE3E7E"/>
    <w:rsid w:val="00AE4116"/>
    <w:rsid w:val="00AE450A"/>
    <w:rsid w:val="00AE482F"/>
    <w:rsid w:val="00AE4B45"/>
    <w:rsid w:val="00AE4F0F"/>
    <w:rsid w:val="00AE509F"/>
    <w:rsid w:val="00AE50BE"/>
    <w:rsid w:val="00AE516F"/>
    <w:rsid w:val="00AE5CE5"/>
    <w:rsid w:val="00AE696A"/>
    <w:rsid w:val="00AE7093"/>
    <w:rsid w:val="00AE7C49"/>
    <w:rsid w:val="00AE7C70"/>
    <w:rsid w:val="00AE7D5E"/>
    <w:rsid w:val="00AE7E53"/>
    <w:rsid w:val="00AE7F19"/>
    <w:rsid w:val="00AE7FF8"/>
    <w:rsid w:val="00AF020C"/>
    <w:rsid w:val="00AF035E"/>
    <w:rsid w:val="00AF0403"/>
    <w:rsid w:val="00AF0741"/>
    <w:rsid w:val="00AF1008"/>
    <w:rsid w:val="00AF1315"/>
    <w:rsid w:val="00AF19BF"/>
    <w:rsid w:val="00AF1A8A"/>
    <w:rsid w:val="00AF1DD6"/>
    <w:rsid w:val="00AF20CF"/>
    <w:rsid w:val="00AF20ED"/>
    <w:rsid w:val="00AF2100"/>
    <w:rsid w:val="00AF2384"/>
    <w:rsid w:val="00AF23AE"/>
    <w:rsid w:val="00AF2552"/>
    <w:rsid w:val="00AF2B67"/>
    <w:rsid w:val="00AF2D92"/>
    <w:rsid w:val="00AF2DC3"/>
    <w:rsid w:val="00AF36D7"/>
    <w:rsid w:val="00AF3709"/>
    <w:rsid w:val="00AF39F9"/>
    <w:rsid w:val="00AF3EA6"/>
    <w:rsid w:val="00AF4773"/>
    <w:rsid w:val="00AF4816"/>
    <w:rsid w:val="00AF4A5A"/>
    <w:rsid w:val="00AF4EEB"/>
    <w:rsid w:val="00AF5013"/>
    <w:rsid w:val="00AF548D"/>
    <w:rsid w:val="00AF6115"/>
    <w:rsid w:val="00AF68A6"/>
    <w:rsid w:val="00AF7016"/>
    <w:rsid w:val="00AF724E"/>
    <w:rsid w:val="00AF7270"/>
    <w:rsid w:val="00AF7451"/>
    <w:rsid w:val="00AF773F"/>
    <w:rsid w:val="00AF7795"/>
    <w:rsid w:val="00AF77E7"/>
    <w:rsid w:val="00B001C1"/>
    <w:rsid w:val="00B004E5"/>
    <w:rsid w:val="00B00D61"/>
    <w:rsid w:val="00B01107"/>
    <w:rsid w:val="00B01563"/>
    <w:rsid w:val="00B019B2"/>
    <w:rsid w:val="00B01DC1"/>
    <w:rsid w:val="00B02030"/>
    <w:rsid w:val="00B0224B"/>
    <w:rsid w:val="00B02359"/>
    <w:rsid w:val="00B025EB"/>
    <w:rsid w:val="00B029CC"/>
    <w:rsid w:val="00B02B69"/>
    <w:rsid w:val="00B02BBD"/>
    <w:rsid w:val="00B02F12"/>
    <w:rsid w:val="00B033C8"/>
    <w:rsid w:val="00B033E5"/>
    <w:rsid w:val="00B034B9"/>
    <w:rsid w:val="00B0377F"/>
    <w:rsid w:val="00B03A63"/>
    <w:rsid w:val="00B03C80"/>
    <w:rsid w:val="00B041D6"/>
    <w:rsid w:val="00B04424"/>
    <w:rsid w:val="00B047A7"/>
    <w:rsid w:val="00B047BC"/>
    <w:rsid w:val="00B0489A"/>
    <w:rsid w:val="00B04B45"/>
    <w:rsid w:val="00B0530A"/>
    <w:rsid w:val="00B0537A"/>
    <w:rsid w:val="00B054DF"/>
    <w:rsid w:val="00B05551"/>
    <w:rsid w:val="00B05AE8"/>
    <w:rsid w:val="00B05C74"/>
    <w:rsid w:val="00B05C81"/>
    <w:rsid w:val="00B05D04"/>
    <w:rsid w:val="00B062E7"/>
    <w:rsid w:val="00B06E11"/>
    <w:rsid w:val="00B0707D"/>
    <w:rsid w:val="00B071B0"/>
    <w:rsid w:val="00B071B1"/>
    <w:rsid w:val="00B07E7D"/>
    <w:rsid w:val="00B104DB"/>
    <w:rsid w:val="00B10628"/>
    <w:rsid w:val="00B1075B"/>
    <w:rsid w:val="00B1089D"/>
    <w:rsid w:val="00B120C5"/>
    <w:rsid w:val="00B121DD"/>
    <w:rsid w:val="00B12218"/>
    <w:rsid w:val="00B129A4"/>
    <w:rsid w:val="00B12C5E"/>
    <w:rsid w:val="00B12FF5"/>
    <w:rsid w:val="00B130AA"/>
    <w:rsid w:val="00B13426"/>
    <w:rsid w:val="00B138DB"/>
    <w:rsid w:val="00B13A07"/>
    <w:rsid w:val="00B13C29"/>
    <w:rsid w:val="00B144E5"/>
    <w:rsid w:val="00B147B2"/>
    <w:rsid w:val="00B15160"/>
    <w:rsid w:val="00B1528B"/>
    <w:rsid w:val="00B157A4"/>
    <w:rsid w:val="00B1585A"/>
    <w:rsid w:val="00B159D7"/>
    <w:rsid w:val="00B160FB"/>
    <w:rsid w:val="00B164AE"/>
    <w:rsid w:val="00B164D9"/>
    <w:rsid w:val="00B16702"/>
    <w:rsid w:val="00B1689E"/>
    <w:rsid w:val="00B1692D"/>
    <w:rsid w:val="00B172AC"/>
    <w:rsid w:val="00B173C0"/>
    <w:rsid w:val="00B173DC"/>
    <w:rsid w:val="00B17773"/>
    <w:rsid w:val="00B1781B"/>
    <w:rsid w:val="00B17DD7"/>
    <w:rsid w:val="00B200B1"/>
    <w:rsid w:val="00B201A4"/>
    <w:rsid w:val="00B201D1"/>
    <w:rsid w:val="00B201F1"/>
    <w:rsid w:val="00B20395"/>
    <w:rsid w:val="00B20762"/>
    <w:rsid w:val="00B20B00"/>
    <w:rsid w:val="00B20C02"/>
    <w:rsid w:val="00B20FED"/>
    <w:rsid w:val="00B213A6"/>
    <w:rsid w:val="00B21653"/>
    <w:rsid w:val="00B21C1C"/>
    <w:rsid w:val="00B21EDD"/>
    <w:rsid w:val="00B22017"/>
    <w:rsid w:val="00B2209B"/>
    <w:rsid w:val="00B2236F"/>
    <w:rsid w:val="00B22571"/>
    <w:rsid w:val="00B228D2"/>
    <w:rsid w:val="00B2322B"/>
    <w:rsid w:val="00B23569"/>
    <w:rsid w:val="00B235B0"/>
    <w:rsid w:val="00B23AD4"/>
    <w:rsid w:val="00B2426B"/>
    <w:rsid w:val="00B24320"/>
    <w:rsid w:val="00B24B64"/>
    <w:rsid w:val="00B24DBC"/>
    <w:rsid w:val="00B24DF6"/>
    <w:rsid w:val="00B2531B"/>
    <w:rsid w:val="00B25A7B"/>
    <w:rsid w:val="00B26738"/>
    <w:rsid w:val="00B267C3"/>
    <w:rsid w:val="00B26CF7"/>
    <w:rsid w:val="00B271A6"/>
    <w:rsid w:val="00B27859"/>
    <w:rsid w:val="00B27A61"/>
    <w:rsid w:val="00B3008B"/>
    <w:rsid w:val="00B30338"/>
    <w:rsid w:val="00B3066A"/>
    <w:rsid w:val="00B309A3"/>
    <w:rsid w:val="00B31649"/>
    <w:rsid w:val="00B31779"/>
    <w:rsid w:val="00B31A72"/>
    <w:rsid w:val="00B323CF"/>
    <w:rsid w:val="00B32572"/>
    <w:rsid w:val="00B3274B"/>
    <w:rsid w:val="00B32BBD"/>
    <w:rsid w:val="00B32D5F"/>
    <w:rsid w:val="00B32F7D"/>
    <w:rsid w:val="00B338F9"/>
    <w:rsid w:val="00B347E5"/>
    <w:rsid w:val="00B34D38"/>
    <w:rsid w:val="00B34FE2"/>
    <w:rsid w:val="00B35166"/>
    <w:rsid w:val="00B3516A"/>
    <w:rsid w:val="00B35582"/>
    <w:rsid w:val="00B357D8"/>
    <w:rsid w:val="00B35E28"/>
    <w:rsid w:val="00B35F28"/>
    <w:rsid w:val="00B360F4"/>
    <w:rsid w:val="00B36185"/>
    <w:rsid w:val="00B367E6"/>
    <w:rsid w:val="00B36A00"/>
    <w:rsid w:val="00B36EDB"/>
    <w:rsid w:val="00B37065"/>
    <w:rsid w:val="00B375C9"/>
    <w:rsid w:val="00B3792B"/>
    <w:rsid w:val="00B37BFC"/>
    <w:rsid w:val="00B40358"/>
    <w:rsid w:val="00B40422"/>
    <w:rsid w:val="00B408F9"/>
    <w:rsid w:val="00B40C3C"/>
    <w:rsid w:val="00B410CA"/>
    <w:rsid w:val="00B41614"/>
    <w:rsid w:val="00B41A63"/>
    <w:rsid w:val="00B41EF8"/>
    <w:rsid w:val="00B41FBD"/>
    <w:rsid w:val="00B4284E"/>
    <w:rsid w:val="00B42851"/>
    <w:rsid w:val="00B42F80"/>
    <w:rsid w:val="00B4316E"/>
    <w:rsid w:val="00B4335F"/>
    <w:rsid w:val="00B43578"/>
    <w:rsid w:val="00B435CB"/>
    <w:rsid w:val="00B43C0E"/>
    <w:rsid w:val="00B43E97"/>
    <w:rsid w:val="00B44467"/>
    <w:rsid w:val="00B4488E"/>
    <w:rsid w:val="00B44D35"/>
    <w:rsid w:val="00B44ED6"/>
    <w:rsid w:val="00B45636"/>
    <w:rsid w:val="00B45D09"/>
    <w:rsid w:val="00B45D12"/>
    <w:rsid w:val="00B45E6E"/>
    <w:rsid w:val="00B465EC"/>
    <w:rsid w:val="00B47657"/>
    <w:rsid w:val="00B47D2F"/>
    <w:rsid w:val="00B500CF"/>
    <w:rsid w:val="00B505C8"/>
    <w:rsid w:val="00B50A83"/>
    <w:rsid w:val="00B50DB8"/>
    <w:rsid w:val="00B51313"/>
    <w:rsid w:val="00B517E2"/>
    <w:rsid w:val="00B519A8"/>
    <w:rsid w:val="00B51D98"/>
    <w:rsid w:val="00B5225C"/>
    <w:rsid w:val="00B53553"/>
    <w:rsid w:val="00B53654"/>
    <w:rsid w:val="00B53905"/>
    <w:rsid w:val="00B546DB"/>
    <w:rsid w:val="00B54944"/>
    <w:rsid w:val="00B54B5B"/>
    <w:rsid w:val="00B54F7D"/>
    <w:rsid w:val="00B54FA4"/>
    <w:rsid w:val="00B55009"/>
    <w:rsid w:val="00B55377"/>
    <w:rsid w:val="00B5556C"/>
    <w:rsid w:val="00B55585"/>
    <w:rsid w:val="00B5562E"/>
    <w:rsid w:val="00B55862"/>
    <w:rsid w:val="00B5590C"/>
    <w:rsid w:val="00B559AF"/>
    <w:rsid w:val="00B55B59"/>
    <w:rsid w:val="00B55D2A"/>
    <w:rsid w:val="00B55D65"/>
    <w:rsid w:val="00B55F66"/>
    <w:rsid w:val="00B56305"/>
    <w:rsid w:val="00B56F6B"/>
    <w:rsid w:val="00B57000"/>
    <w:rsid w:val="00B576B6"/>
    <w:rsid w:val="00B57D81"/>
    <w:rsid w:val="00B60680"/>
    <w:rsid w:val="00B606B6"/>
    <w:rsid w:val="00B60939"/>
    <w:rsid w:val="00B60960"/>
    <w:rsid w:val="00B60AFD"/>
    <w:rsid w:val="00B60F70"/>
    <w:rsid w:val="00B614B4"/>
    <w:rsid w:val="00B61648"/>
    <w:rsid w:val="00B61790"/>
    <w:rsid w:val="00B617DC"/>
    <w:rsid w:val="00B61D48"/>
    <w:rsid w:val="00B62279"/>
    <w:rsid w:val="00B62535"/>
    <w:rsid w:val="00B62715"/>
    <w:rsid w:val="00B6285A"/>
    <w:rsid w:val="00B62CC7"/>
    <w:rsid w:val="00B62EFB"/>
    <w:rsid w:val="00B6321A"/>
    <w:rsid w:val="00B6325B"/>
    <w:rsid w:val="00B63403"/>
    <w:rsid w:val="00B63465"/>
    <w:rsid w:val="00B634FF"/>
    <w:rsid w:val="00B635C5"/>
    <w:rsid w:val="00B63B09"/>
    <w:rsid w:val="00B63B61"/>
    <w:rsid w:val="00B63EF0"/>
    <w:rsid w:val="00B63F8E"/>
    <w:rsid w:val="00B6490F"/>
    <w:rsid w:val="00B649C1"/>
    <w:rsid w:val="00B64C07"/>
    <w:rsid w:val="00B6505E"/>
    <w:rsid w:val="00B65611"/>
    <w:rsid w:val="00B657D3"/>
    <w:rsid w:val="00B65DE5"/>
    <w:rsid w:val="00B65EDE"/>
    <w:rsid w:val="00B66851"/>
    <w:rsid w:val="00B67053"/>
    <w:rsid w:val="00B67082"/>
    <w:rsid w:val="00B67A3E"/>
    <w:rsid w:val="00B67FE3"/>
    <w:rsid w:val="00B701E8"/>
    <w:rsid w:val="00B70932"/>
    <w:rsid w:val="00B70949"/>
    <w:rsid w:val="00B70A33"/>
    <w:rsid w:val="00B70C5A"/>
    <w:rsid w:val="00B70E8E"/>
    <w:rsid w:val="00B717DE"/>
    <w:rsid w:val="00B71801"/>
    <w:rsid w:val="00B71ADE"/>
    <w:rsid w:val="00B71E86"/>
    <w:rsid w:val="00B730A2"/>
    <w:rsid w:val="00B73117"/>
    <w:rsid w:val="00B73243"/>
    <w:rsid w:val="00B7376E"/>
    <w:rsid w:val="00B73A5D"/>
    <w:rsid w:val="00B73E1C"/>
    <w:rsid w:val="00B74E67"/>
    <w:rsid w:val="00B75146"/>
    <w:rsid w:val="00B7518E"/>
    <w:rsid w:val="00B755CB"/>
    <w:rsid w:val="00B75C37"/>
    <w:rsid w:val="00B761D4"/>
    <w:rsid w:val="00B76A56"/>
    <w:rsid w:val="00B76C27"/>
    <w:rsid w:val="00B76C92"/>
    <w:rsid w:val="00B76E23"/>
    <w:rsid w:val="00B7743D"/>
    <w:rsid w:val="00B77A95"/>
    <w:rsid w:val="00B77C6A"/>
    <w:rsid w:val="00B77E28"/>
    <w:rsid w:val="00B80669"/>
    <w:rsid w:val="00B806B6"/>
    <w:rsid w:val="00B80C38"/>
    <w:rsid w:val="00B80E69"/>
    <w:rsid w:val="00B80EFD"/>
    <w:rsid w:val="00B80F29"/>
    <w:rsid w:val="00B81355"/>
    <w:rsid w:val="00B81442"/>
    <w:rsid w:val="00B818A4"/>
    <w:rsid w:val="00B827ED"/>
    <w:rsid w:val="00B82B2A"/>
    <w:rsid w:val="00B8305D"/>
    <w:rsid w:val="00B83203"/>
    <w:rsid w:val="00B83739"/>
    <w:rsid w:val="00B83829"/>
    <w:rsid w:val="00B83F62"/>
    <w:rsid w:val="00B84117"/>
    <w:rsid w:val="00B84190"/>
    <w:rsid w:val="00B8431E"/>
    <w:rsid w:val="00B844C2"/>
    <w:rsid w:val="00B84543"/>
    <w:rsid w:val="00B84698"/>
    <w:rsid w:val="00B848E3"/>
    <w:rsid w:val="00B84B82"/>
    <w:rsid w:val="00B85659"/>
    <w:rsid w:val="00B856FB"/>
    <w:rsid w:val="00B858F0"/>
    <w:rsid w:val="00B85AA2"/>
    <w:rsid w:val="00B85B1D"/>
    <w:rsid w:val="00B85B38"/>
    <w:rsid w:val="00B85FB8"/>
    <w:rsid w:val="00B86136"/>
    <w:rsid w:val="00B861DD"/>
    <w:rsid w:val="00B8649C"/>
    <w:rsid w:val="00B865FA"/>
    <w:rsid w:val="00B86927"/>
    <w:rsid w:val="00B8695D"/>
    <w:rsid w:val="00B86A01"/>
    <w:rsid w:val="00B8709A"/>
    <w:rsid w:val="00B8774F"/>
    <w:rsid w:val="00B8798D"/>
    <w:rsid w:val="00B879C8"/>
    <w:rsid w:val="00B87F0A"/>
    <w:rsid w:val="00B90520"/>
    <w:rsid w:val="00B90812"/>
    <w:rsid w:val="00B90929"/>
    <w:rsid w:val="00B90D2C"/>
    <w:rsid w:val="00B915C7"/>
    <w:rsid w:val="00B91AE2"/>
    <w:rsid w:val="00B91AF2"/>
    <w:rsid w:val="00B91B3C"/>
    <w:rsid w:val="00B91D09"/>
    <w:rsid w:val="00B9219D"/>
    <w:rsid w:val="00B92699"/>
    <w:rsid w:val="00B926D9"/>
    <w:rsid w:val="00B92D0B"/>
    <w:rsid w:val="00B92E21"/>
    <w:rsid w:val="00B944B2"/>
    <w:rsid w:val="00B946A3"/>
    <w:rsid w:val="00B94945"/>
    <w:rsid w:val="00B94A3D"/>
    <w:rsid w:val="00B94DD6"/>
    <w:rsid w:val="00B94F83"/>
    <w:rsid w:val="00B95367"/>
    <w:rsid w:val="00B955CF"/>
    <w:rsid w:val="00B95BF9"/>
    <w:rsid w:val="00B95E3C"/>
    <w:rsid w:val="00B963D7"/>
    <w:rsid w:val="00B96D11"/>
    <w:rsid w:val="00B974CC"/>
    <w:rsid w:val="00B97FC5"/>
    <w:rsid w:val="00BA0099"/>
    <w:rsid w:val="00BA02FD"/>
    <w:rsid w:val="00BA0331"/>
    <w:rsid w:val="00BA036C"/>
    <w:rsid w:val="00BA06E8"/>
    <w:rsid w:val="00BA0757"/>
    <w:rsid w:val="00BA15D4"/>
    <w:rsid w:val="00BA18A2"/>
    <w:rsid w:val="00BA1E42"/>
    <w:rsid w:val="00BA2B7F"/>
    <w:rsid w:val="00BA2BFF"/>
    <w:rsid w:val="00BA322D"/>
    <w:rsid w:val="00BA324D"/>
    <w:rsid w:val="00BA4503"/>
    <w:rsid w:val="00BA4E8B"/>
    <w:rsid w:val="00BA5314"/>
    <w:rsid w:val="00BA5B88"/>
    <w:rsid w:val="00BA6098"/>
    <w:rsid w:val="00BA61EF"/>
    <w:rsid w:val="00BA6261"/>
    <w:rsid w:val="00BA62D4"/>
    <w:rsid w:val="00BA63FA"/>
    <w:rsid w:val="00BA78CC"/>
    <w:rsid w:val="00BB00B3"/>
    <w:rsid w:val="00BB0417"/>
    <w:rsid w:val="00BB046D"/>
    <w:rsid w:val="00BB09E7"/>
    <w:rsid w:val="00BB0BC8"/>
    <w:rsid w:val="00BB0BDD"/>
    <w:rsid w:val="00BB0E7A"/>
    <w:rsid w:val="00BB176C"/>
    <w:rsid w:val="00BB26AB"/>
    <w:rsid w:val="00BB2797"/>
    <w:rsid w:val="00BB2A73"/>
    <w:rsid w:val="00BB2FB0"/>
    <w:rsid w:val="00BB30AE"/>
    <w:rsid w:val="00BB3583"/>
    <w:rsid w:val="00BB387A"/>
    <w:rsid w:val="00BB38E2"/>
    <w:rsid w:val="00BB394C"/>
    <w:rsid w:val="00BB3966"/>
    <w:rsid w:val="00BB3A45"/>
    <w:rsid w:val="00BB3C59"/>
    <w:rsid w:val="00BB4050"/>
    <w:rsid w:val="00BB4481"/>
    <w:rsid w:val="00BB4ACC"/>
    <w:rsid w:val="00BB5861"/>
    <w:rsid w:val="00BB67D0"/>
    <w:rsid w:val="00BB703E"/>
    <w:rsid w:val="00BB732D"/>
    <w:rsid w:val="00BB733E"/>
    <w:rsid w:val="00BB7405"/>
    <w:rsid w:val="00BB7DA5"/>
    <w:rsid w:val="00BC00ED"/>
    <w:rsid w:val="00BC01C3"/>
    <w:rsid w:val="00BC042E"/>
    <w:rsid w:val="00BC0BC6"/>
    <w:rsid w:val="00BC0FF6"/>
    <w:rsid w:val="00BC13CA"/>
    <w:rsid w:val="00BC1476"/>
    <w:rsid w:val="00BC1D3A"/>
    <w:rsid w:val="00BC210E"/>
    <w:rsid w:val="00BC21C6"/>
    <w:rsid w:val="00BC2381"/>
    <w:rsid w:val="00BC2A70"/>
    <w:rsid w:val="00BC2C33"/>
    <w:rsid w:val="00BC2E5B"/>
    <w:rsid w:val="00BC32B7"/>
    <w:rsid w:val="00BC3404"/>
    <w:rsid w:val="00BC3631"/>
    <w:rsid w:val="00BC36FF"/>
    <w:rsid w:val="00BC3ADA"/>
    <w:rsid w:val="00BC42D9"/>
    <w:rsid w:val="00BC54CC"/>
    <w:rsid w:val="00BC54D2"/>
    <w:rsid w:val="00BC591F"/>
    <w:rsid w:val="00BC5A2A"/>
    <w:rsid w:val="00BC6468"/>
    <w:rsid w:val="00BC6635"/>
    <w:rsid w:val="00BC6926"/>
    <w:rsid w:val="00BC6D12"/>
    <w:rsid w:val="00BC7707"/>
    <w:rsid w:val="00BC7D6D"/>
    <w:rsid w:val="00BC7DB4"/>
    <w:rsid w:val="00BC7FC4"/>
    <w:rsid w:val="00BD0092"/>
    <w:rsid w:val="00BD09D9"/>
    <w:rsid w:val="00BD189E"/>
    <w:rsid w:val="00BD2108"/>
    <w:rsid w:val="00BD21D4"/>
    <w:rsid w:val="00BD2292"/>
    <w:rsid w:val="00BD2596"/>
    <w:rsid w:val="00BD2900"/>
    <w:rsid w:val="00BD2912"/>
    <w:rsid w:val="00BD2916"/>
    <w:rsid w:val="00BD3098"/>
    <w:rsid w:val="00BD41AD"/>
    <w:rsid w:val="00BD49E5"/>
    <w:rsid w:val="00BD51BB"/>
    <w:rsid w:val="00BD59DA"/>
    <w:rsid w:val="00BD62D4"/>
    <w:rsid w:val="00BD68A3"/>
    <w:rsid w:val="00BD6938"/>
    <w:rsid w:val="00BD697E"/>
    <w:rsid w:val="00BD6CF3"/>
    <w:rsid w:val="00BD6F3B"/>
    <w:rsid w:val="00BD70C4"/>
    <w:rsid w:val="00BD7680"/>
    <w:rsid w:val="00BD77AC"/>
    <w:rsid w:val="00BD7DB9"/>
    <w:rsid w:val="00BD7F72"/>
    <w:rsid w:val="00BE0C57"/>
    <w:rsid w:val="00BE0ECA"/>
    <w:rsid w:val="00BE11C2"/>
    <w:rsid w:val="00BE1B69"/>
    <w:rsid w:val="00BE1C1F"/>
    <w:rsid w:val="00BE1CC5"/>
    <w:rsid w:val="00BE2180"/>
    <w:rsid w:val="00BE21F2"/>
    <w:rsid w:val="00BE29F8"/>
    <w:rsid w:val="00BE2B32"/>
    <w:rsid w:val="00BE2D78"/>
    <w:rsid w:val="00BE3151"/>
    <w:rsid w:val="00BE3C46"/>
    <w:rsid w:val="00BE3E67"/>
    <w:rsid w:val="00BE4074"/>
    <w:rsid w:val="00BE4275"/>
    <w:rsid w:val="00BE4381"/>
    <w:rsid w:val="00BE43AD"/>
    <w:rsid w:val="00BE499B"/>
    <w:rsid w:val="00BE4D8F"/>
    <w:rsid w:val="00BE4EA0"/>
    <w:rsid w:val="00BE5124"/>
    <w:rsid w:val="00BE5270"/>
    <w:rsid w:val="00BE5674"/>
    <w:rsid w:val="00BE582F"/>
    <w:rsid w:val="00BE5FFD"/>
    <w:rsid w:val="00BE6F15"/>
    <w:rsid w:val="00BE776A"/>
    <w:rsid w:val="00BE77ED"/>
    <w:rsid w:val="00BF06AE"/>
    <w:rsid w:val="00BF0C61"/>
    <w:rsid w:val="00BF0F95"/>
    <w:rsid w:val="00BF110F"/>
    <w:rsid w:val="00BF1544"/>
    <w:rsid w:val="00BF16E4"/>
    <w:rsid w:val="00BF1B38"/>
    <w:rsid w:val="00BF1BCB"/>
    <w:rsid w:val="00BF20C7"/>
    <w:rsid w:val="00BF2433"/>
    <w:rsid w:val="00BF2744"/>
    <w:rsid w:val="00BF2826"/>
    <w:rsid w:val="00BF2ABD"/>
    <w:rsid w:val="00BF2AD6"/>
    <w:rsid w:val="00BF2E6E"/>
    <w:rsid w:val="00BF3CDA"/>
    <w:rsid w:val="00BF3E73"/>
    <w:rsid w:val="00BF403C"/>
    <w:rsid w:val="00BF4C20"/>
    <w:rsid w:val="00BF4DA2"/>
    <w:rsid w:val="00BF53ED"/>
    <w:rsid w:val="00BF5A20"/>
    <w:rsid w:val="00BF5A55"/>
    <w:rsid w:val="00BF5B1A"/>
    <w:rsid w:val="00BF5FE4"/>
    <w:rsid w:val="00BF60A4"/>
    <w:rsid w:val="00BF61C9"/>
    <w:rsid w:val="00BF675C"/>
    <w:rsid w:val="00BF69C0"/>
    <w:rsid w:val="00BF6C94"/>
    <w:rsid w:val="00BF7557"/>
    <w:rsid w:val="00BF75D2"/>
    <w:rsid w:val="00BF799F"/>
    <w:rsid w:val="00BF79E4"/>
    <w:rsid w:val="00BF7FC9"/>
    <w:rsid w:val="00C0029A"/>
    <w:rsid w:val="00C002C8"/>
    <w:rsid w:val="00C00424"/>
    <w:rsid w:val="00C0074D"/>
    <w:rsid w:val="00C00BB0"/>
    <w:rsid w:val="00C010BB"/>
    <w:rsid w:val="00C012FB"/>
    <w:rsid w:val="00C0218A"/>
    <w:rsid w:val="00C02ADD"/>
    <w:rsid w:val="00C02FCE"/>
    <w:rsid w:val="00C03355"/>
    <w:rsid w:val="00C03888"/>
    <w:rsid w:val="00C03D58"/>
    <w:rsid w:val="00C0436C"/>
    <w:rsid w:val="00C0466B"/>
    <w:rsid w:val="00C04B82"/>
    <w:rsid w:val="00C04BCA"/>
    <w:rsid w:val="00C04C20"/>
    <w:rsid w:val="00C05274"/>
    <w:rsid w:val="00C055EE"/>
    <w:rsid w:val="00C05779"/>
    <w:rsid w:val="00C058CB"/>
    <w:rsid w:val="00C05C71"/>
    <w:rsid w:val="00C05C7B"/>
    <w:rsid w:val="00C06068"/>
    <w:rsid w:val="00C06696"/>
    <w:rsid w:val="00C06891"/>
    <w:rsid w:val="00C0696D"/>
    <w:rsid w:val="00C06B34"/>
    <w:rsid w:val="00C07655"/>
    <w:rsid w:val="00C07868"/>
    <w:rsid w:val="00C07A1D"/>
    <w:rsid w:val="00C102B8"/>
    <w:rsid w:val="00C1042C"/>
    <w:rsid w:val="00C1066D"/>
    <w:rsid w:val="00C1179F"/>
    <w:rsid w:val="00C11807"/>
    <w:rsid w:val="00C11AAB"/>
    <w:rsid w:val="00C11B77"/>
    <w:rsid w:val="00C11DD8"/>
    <w:rsid w:val="00C121B1"/>
    <w:rsid w:val="00C12336"/>
    <w:rsid w:val="00C125F6"/>
    <w:rsid w:val="00C127B9"/>
    <w:rsid w:val="00C128D2"/>
    <w:rsid w:val="00C128FA"/>
    <w:rsid w:val="00C1296D"/>
    <w:rsid w:val="00C1299F"/>
    <w:rsid w:val="00C12C14"/>
    <w:rsid w:val="00C1306F"/>
    <w:rsid w:val="00C13713"/>
    <w:rsid w:val="00C137BE"/>
    <w:rsid w:val="00C149DF"/>
    <w:rsid w:val="00C14BE7"/>
    <w:rsid w:val="00C14CBE"/>
    <w:rsid w:val="00C14DAE"/>
    <w:rsid w:val="00C1519F"/>
    <w:rsid w:val="00C1599A"/>
    <w:rsid w:val="00C15F04"/>
    <w:rsid w:val="00C16EF1"/>
    <w:rsid w:val="00C17404"/>
    <w:rsid w:val="00C17418"/>
    <w:rsid w:val="00C179B3"/>
    <w:rsid w:val="00C17E3F"/>
    <w:rsid w:val="00C17E6C"/>
    <w:rsid w:val="00C17EBC"/>
    <w:rsid w:val="00C17FA3"/>
    <w:rsid w:val="00C2008C"/>
    <w:rsid w:val="00C200AA"/>
    <w:rsid w:val="00C200C6"/>
    <w:rsid w:val="00C201B6"/>
    <w:rsid w:val="00C20537"/>
    <w:rsid w:val="00C2080F"/>
    <w:rsid w:val="00C20F46"/>
    <w:rsid w:val="00C2101E"/>
    <w:rsid w:val="00C2135A"/>
    <w:rsid w:val="00C21CB4"/>
    <w:rsid w:val="00C22165"/>
    <w:rsid w:val="00C224DE"/>
    <w:rsid w:val="00C227AC"/>
    <w:rsid w:val="00C22984"/>
    <w:rsid w:val="00C23021"/>
    <w:rsid w:val="00C2351D"/>
    <w:rsid w:val="00C237DA"/>
    <w:rsid w:val="00C237ED"/>
    <w:rsid w:val="00C2394C"/>
    <w:rsid w:val="00C23BFB"/>
    <w:rsid w:val="00C23C93"/>
    <w:rsid w:val="00C23EAC"/>
    <w:rsid w:val="00C2447F"/>
    <w:rsid w:val="00C24632"/>
    <w:rsid w:val="00C24A2A"/>
    <w:rsid w:val="00C24A50"/>
    <w:rsid w:val="00C24C3B"/>
    <w:rsid w:val="00C25327"/>
    <w:rsid w:val="00C25418"/>
    <w:rsid w:val="00C2592D"/>
    <w:rsid w:val="00C25AC2"/>
    <w:rsid w:val="00C25AE1"/>
    <w:rsid w:val="00C25D9C"/>
    <w:rsid w:val="00C25DA1"/>
    <w:rsid w:val="00C25DFC"/>
    <w:rsid w:val="00C26094"/>
    <w:rsid w:val="00C266D2"/>
    <w:rsid w:val="00C26CDC"/>
    <w:rsid w:val="00C26CDE"/>
    <w:rsid w:val="00C27429"/>
    <w:rsid w:val="00C275E1"/>
    <w:rsid w:val="00C2778B"/>
    <w:rsid w:val="00C27874"/>
    <w:rsid w:val="00C27941"/>
    <w:rsid w:val="00C279FF"/>
    <w:rsid w:val="00C27A92"/>
    <w:rsid w:val="00C27AE8"/>
    <w:rsid w:val="00C27EA9"/>
    <w:rsid w:val="00C27FAF"/>
    <w:rsid w:val="00C302E7"/>
    <w:rsid w:val="00C310B1"/>
    <w:rsid w:val="00C3116B"/>
    <w:rsid w:val="00C311D5"/>
    <w:rsid w:val="00C31452"/>
    <w:rsid w:val="00C31649"/>
    <w:rsid w:val="00C3188D"/>
    <w:rsid w:val="00C31F0E"/>
    <w:rsid w:val="00C32017"/>
    <w:rsid w:val="00C32302"/>
    <w:rsid w:val="00C328DB"/>
    <w:rsid w:val="00C32CBB"/>
    <w:rsid w:val="00C32D49"/>
    <w:rsid w:val="00C338FA"/>
    <w:rsid w:val="00C33D46"/>
    <w:rsid w:val="00C33F7E"/>
    <w:rsid w:val="00C3434C"/>
    <w:rsid w:val="00C3456F"/>
    <w:rsid w:val="00C34682"/>
    <w:rsid w:val="00C34FFD"/>
    <w:rsid w:val="00C35212"/>
    <w:rsid w:val="00C35405"/>
    <w:rsid w:val="00C356A0"/>
    <w:rsid w:val="00C35C1A"/>
    <w:rsid w:val="00C35C34"/>
    <w:rsid w:val="00C35DA3"/>
    <w:rsid w:val="00C3618B"/>
    <w:rsid w:val="00C362C1"/>
    <w:rsid w:val="00C37454"/>
    <w:rsid w:val="00C37599"/>
    <w:rsid w:val="00C37EFC"/>
    <w:rsid w:val="00C37F20"/>
    <w:rsid w:val="00C37FA9"/>
    <w:rsid w:val="00C40385"/>
    <w:rsid w:val="00C40723"/>
    <w:rsid w:val="00C40776"/>
    <w:rsid w:val="00C40ABD"/>
    <w:rsid w:val="00C40CCB"/>
    <w:rsid w:val="00C40F74"/>
    <w:rsid w:val="00C40F97"/>
    <w:rsid w:val="00C411AF"/>
    <w:rsid w:val="00C4166F"/>
    <w:rsid w:val="00C41768"/>
    <w:rsid w:val="00C41B64"/>
    <w:rsid w:val="00C4264F"/>
    <w:rsid w:val="00C42B8D"/>
    <w:rsid w:val="00C42E85"/>
    <w:rsid w:val="00C42EA7"/>
    <w:rsid w:val="00C43093"/>
    <w:rsid w:val="00C432BB"/>
    <w:rsid w:val="00C44275"/>
    <w:rsid w:val="00C44A6E"/>
    <w:rsid w:val="00C44EB6"/>
    <w:rsid w:val="00C4511C"/>
    <w:rsid w:val="00C45480"/>
    <w:rsid w:val="00C45AFC"/>
    <w:rsid w:val="00C45CB0"/>
    <w:rsid w:val="00C466A4"/>
    <w:rsid w:val="00C4739E"/>
    <w:rsid w:val="00C4749E"/>
    <w:rsid w:val="00C475AA"/>
    <w:rsid w:val="00C47685"/>
    <w:rsid w:val="00C47A2B"/>
    <w:rsid w:val="00C47ABB"/>
    <w:rsid w:val="00C47D38"/>
    <w:rsid w:val="00C47FF0"/>
    <w:rsid w:val="00C500DE"/>
    <w:rsid w:val="00C5034E"/>
    <w:rsid w:val="00C504BA"/>
    <w:rsid w:val="00C50701"/>
    <w:rsid w:val="00C50AB4"/>
    <w:rsid w:val="00C516B1"/>
    <w:rsid w:val="00C51C13"/>
    <w:rsid w:val="00C5214D"/>
    <w:rsid w:val="00C527C7"/>
    <w:rsid w:val="00C52935"/>
    <w:rsid w:val="00C52A5D"/>
    <w:rsid w:val="00C52F42"/>
    <w:rsid w:val="00C5320A"/>
    <w:rsid w:val="00C53320"/>
    <w:rsid w:val="00C53BD7"/>
    <w:rsid w:val="00C53C98"/>
    <w:rsid w:val="00C54078"/>
    <w:rsid w:val="00C542CE"/>
    <w:rsid w:val="00C5440B"/>
    <w:rsid w:val="00C544D4"/>
    <w:rsid w:val="00C546DD"/>
    <w:rsid w:val="00C54B27"/>
    <w:rsid w:val="00C54EF6"/>
    <w:rsid w:val="00C55296"/>
    <w:rsid w:val="00C552E5"/>
    <w:rsid w:val="00C5534D"/>
    <w:rsid w:val="00C55791"/>
    <w:rsid w:val="00C55DB7"/>
    <w:rsid w:val="00C55E5E"/>
    <w:rsid w:val="00C55FC3"/>
    <w:rsid w:val="00C560D7"/>
    <w:rsid w:val="00C561BE"/>
    <w:rsid w:val="00C56D16"/>
    <w:rsid w:val="00C56D5E"/>
    <w:rsid w:val="00C56D9B"/>
    <w:rsid w:val="00C56FCF"/>
    <w:rsid w:val="00C572F6"/>
    <w:rsid w:val="00C57AE4"/>
    <w:rsid w:val="00C57AE6"/>
    <w:rsid w:val="00C57B6C"/>
    <w:rsid w:val="00C60466"/>
    <w:rsid w:val="00C60DC8"/>
    <w:rsid w:val="00C616CD"/>
    <w:rsid w:val="00C61785"/>
    <w:rsid w:val="00C618B8"/>
    <w:rsid w:val="00C619EC"/>
    <w:rsid w:val="00C61A59"/>
    <w:rsid w:val="00C61CFD"/>
    <w:rsid w:val="00C62113"/>
    <w:rsid w:val="00C6231E"/>
    <w:rsid w:val="00C6277C"/>
    <w:rsid w:val="00C628A6"/>
    <w:rsid w:val="00C629CF"/>
    <w:rsid w:val="00C632CE"/>
    <w:rsid w:val="00C63B2E"/>
    <w:rsid w:val="00C64001"/>
    <w:rsid w:val="00C6406B"/>
    <w:rsid w:val="00C64344"/>
    <w:rsid w:val="00C64431"/>
    <w:rsid w:val="00C64926"/>
    <w:rsid w:val="00C64ADC"/>
    <w:rsid w:val="00C64C8B"/>
    <w:rsid w:val="00C64FF3"/>
    <w:rsid w:val="00C65108"/>
    <w:rsid w:val="00C651E6"/>
    <w:rsid w:val="00C65576"/>
    <w:rsid w:val="00C65580"/>
    <w:rsid w:val="00C65B53"/>
    <w:rsid w:val="00C660E1"/>
    <w:rsid w:val="00C660FA"/>
    <w:rsid w:val="00C66165"/>
    <w:rsid w:val="00C664FC"/>
    <w:rsid w:val="00C665CC"/>
    <w:rsid w:val="00C666CA"/>
    <w:rsid w:val="00C66C2E"/>
    <w:rsid w:val="00C66CCF"/>
    <w:rsid w:val="00C66DA4"/>
    <w:rsid w:val="00C67773"/>
    <w:rsid w:val="00C67811"/>
    <w:rsid w:val="00C67CC5"/>
    <w:rsid w:val="00C67D07"/>
    <w:rsid w:val="00C67D78"/>
    <w:rsid w:val="00C70093"/>
    <w:rsid w:val="00C70320"/>
    <w:rsid w:val="00C7033D"/>
    <w:rsid w:val="00C70534"/>
    <w:rsid w:val="00C7060A"/>
    <w:rsid w:val="00C70829"/>
    <w:rsid w:val="00C70A3C"/>
    <w:rsid w:val="00C70C91"/>
    <w:rsid w:val="00C71236"/>
    <w:rsid w:val="00C713F4"/>
    <w:rsid w:val="00C7151A"/>
    <w:rsid w:val="00C717E3"/>
    <w:rsid w:val="00C7193D"/>
    <w:rsid w:val="00C71C9E"/>
    <w:rsid w:val="00C71F23"/>
    <w:rsid w:val="00C71F60"/>
    <w:rsid w:val="00C72241"/>
    <w:rsid w:val="00C73267"/>
    <w:rsid w:val="00C73396"/>
    <w:rsid w:val="00C733B1"/>
    <w:rsid w:val="00C74268"/>
    <w:rsid w:val="00C74328"/>
    <w:rsid w:val="00C7437B"/>
    <w:rsid w:val="00C7442B"/>
    <w:rsid w:val="00C74954"/>
    <w:rsid w:val="00C74C80"/>
    <w:rsid w:val="00C750C8"/>
    <w:rsid w:val="00C75606"/>
    <w:rsid w:val="00C7560F"/>
    <w:rsid w:val="00C76503"/>
    <w:rsid w:val="00C76F9F"/>
    <w:rsid w:val="00C76FD7"/>
    <w:rsid w:val="00C771A3"/>
    <w:rsid w:val="00C7735F"/>
    <w:rsid w:val="00C7757F"/>
    <w:rsid w:val="00C77872"/>
    <w:rsid w:val="00C77938"/>
    <w:rsid w:val="00C802DB"/>
    <w:rsid w:val="00C8040F"/>
    <w:rsid w:val="00C808FF"/>
    <w:rsid w:val="00C80A0E"/>
    <w:rsid w:val="00C811F8"/>
    <w:rsid w:val="00C815EC"/>
    <w:rsid w:val="00C816B2"/>
    <w:rsid w:val="00C81AC1"/>
    <w:rsid w:val="00C81DAC"/>
    <w:rsid w:val="00C81FE8"/>
    <w:rsid w:val="00C8213F"/>
    <w:rsid w:val="00C82583"/>
    <w:rsid w:val="00C826F0"/>
    <w:rsid w:val="00C82CAC"/>
    <w:rsid w:val="00C8303F"/>
    <w:rsid w:val="00C8357D"/>
    <w:rsid w:val="00C836C2"/>
    <w:rsid w:val="00C83A92"/>
    <w:rsid w:val="00C8433C"/>
    <w:rsid w:val="00C85154"/>
    <w:rsid w:val="00C852A1"/>
    <w:rsid w:val="00C8559D"/>
    <w:rsid w:val="00C857C5"/>
    <w:rsid w:val="00C85A70"/>
    <w:rsid w:val="00C85D3F"/>
    <w:rsid w:val="00C86719"/>
    <w:rsid w:val="00C8678E"/>
    <w:rsid w:val="00C867F0"/>
    <w:rsid w:val="00C870EB"/>
    <w:rsid w:val="00C87541"/>
    <w:rsid w:val="00C8797A"/>
    <w:rsid w:val="00C87CE5"/>
    <w:rsid w:val="00C900B8"/>
    <w:rsid w:val="00C90197"/>
    <w:rsid w:val="00C90681"/>
    <w:rsid w:val="00C90C71"/>
    <w:rsid w:val="00C90F45"/>
    <w:rsid w:val="00C913B4"/>
    <w:rsid w:val="00C91A27"/>
    <w:rsid w:val="00C91DCA"/>
    <w:rsid w:val="00C91ECC"/>
    <w:rsid w:val="00C91FB5"/>
    <w:rsid w:val="00C91FD1"/>
    <w:rsid w:val="00C92625"/>
    <w:rsid w:val="00C92DAC"/>
    <w:rsid w:val="00C930A5"/>
    <w:rsid w:val="00C931CF"/>
    <w:rsid w:val="00C9352B"/>
    <w:rsid w:val="00C9368B"/>
    <w:rsid w:val="00C938CF"/>
    <w:rsid w:val="00C93CDB"/>
    <w:rsid w:val="00C94053"/>
    <w:rsid w:val="00C94116"/>
    <w:rsid w:val="00C94239"/>
    <w:rsid w:val="00C94D0E"/>
    <w:rsid w:val="00C94E76"/>
    <w:rsid w:val="00C94F16"/>
    <w:rsid w:val="00C9567F"/>
    <w:rsid w:val="00C95A3B"/>
    <w:rsid w:val="00C9624D"/>
    <w:rsid w:val="00C962D3"/>
    <w:rsid w:val="00C9665E"/>
    <w:rsid w:val="00C969DA"/>
    <w:rsid w:val="00C96C6F"/>
    <w:rsid w:val="00C96D82"/>
    <w:rsid w:val="00C9737B"/>
    <w:rsid w:val="00C975F3"/>
    <w:rsid w:val="00CA02E7"/>
    <w:rsid w:val="00CA03A5"/>
    <w:rsid w:val="00CA040A"/>
    <w:rsid w:val="00CA08CE"/>
    <w:rsid w:val="00CA0CB8"/>
    <w:rsid w:val="00CA11D4"/>
    <w:rsid w:val="00CA1AFE"/>
    <w:rsid w:val="00CA2643"/>
    <w:rsid w:val="00CA2889"/>
    <w:rsid w:val="00CA2AD3"/>
    <w:rsid w:val="00CA2C77"/>
    <w:rsid w:val="00CA3685"/>
    <w:rsid w:val="00CA37DE"/>
    <w:rsid w:val="00CA3B94"/>
    <w:rsid w:val="00CA3C62"/>
    <w:rsid w:val="00CA4053"/>
    <w:rsid w:val="00CA444F"/>
    <w:rsid w:val="00CA454C"/>
    <w:rsid w:val="00CA468A"/>
    <w:rsid w:val="00CA47EE"/>
    <w:rsid w:val="00CA4849"/>
    <w:rsid w:val="00CA4C90"/>
    <w:rsid w:val="00CA4D39"/>
    <w:rsid w:val="00CA50D5"/>
    <w:rsid w:val="00CA5245"/>
    <w:rsid w:val="00CA538B"/>
    <w:rsid w:val="00CA53F6"/>
    <w:rsid w:val="00CA58D6"/>
    <w:rsid w:val="00CA5ECA"/>
    <w:rsid w:val="00CA6675"/>
    <w:rsid w:val="00CA67AC"/>
    <w:rsid w:val="00CA6C55"/>
    <w:rsid w:val="00CA71F4"/>
    <w:rsid w:val="00CA73D4"/>
    <w:rsid w:val="00CA7A00"/>
    <w:rsid w:val="00CA7B09"/>
    <w:rsid w:val="00CB02F5"/>
    <w:rsid w:val="00CB03AF"/>
    <w:rsid w:val="00CB05FC"/>
    <w:rsid w:val="00CB0C62"/>
    <w:rsid w:val="00CB0EF6"/>
    <w:rsid w:val="00CB0FF6"/>
    <w:rsid w:val="00CB1000"/>
    <w:rsid w:val="00CB10FD"/>
    <w:rsid w:val="00CB12A5"/>
    <w:rsid w:val="00CB1BE5"/>
    <w:rsid w:val="00CB1CAC"/>
    <w:rsid w:val="00CB20CE"/>
    <w:rsid w:val="00CB2A61"/>
    <w:rsid w:val="00CB2C4A"/>
    <w:rsid w:val="00CB2F2A"/>
    <w:rsid w:val="00CB2FB3"/>
    <w:rsid w:val="00CB3091"/>
    <w:rsid w:val="00CB3422"/>
    <w:rsid w:val="00CB3EEF"/>
    <w:rsid w:val="00CB461E"/>
    <w:rsid w:val="00CB4F96"/>
    <w:rsid w:val="00CB5408"/>
    <w:rsid w:val="00CB579B"/>
    <w:rsid w:val="00CB5B1A"/>
    <w:rsid w:val="00CB5B78"/>
    <w:rsid w:val="00CB615A"/>
    <w:rsid w:val="00CB6AE6"/>
    <w:rsid w:val="00CB6B22"/>
    <w:rsid w:val="00CB6BA3"/>
    <w:rsid w:val="00CB6F07"/>
    <w:rsid w:val="00CB71DA"/>
    <w:rsid w:val="00CB767A"/>
    <w:rsid w:val="00CB77DA"/>
    <w:rsid w:val="00CB7F5F"/>
    <w:rsid w:val="00CC1085"/>
    <w:rsid w:val="00CC1B39"/>
    <w:rsid w:val="00CC1BFA"/>
    <w:rsid w:val="00CC2E9F"/>
    <w:rsid w:val="00CC35EA"/>
    <w:rsid w:val="00CC3820"/>
    <w:rsid w:val="00CC382A"/>
    <w:rsid w:val="00CC3848"/>
    <w:rsid w:val="00CC3B17"/>
    <w:rsid w:val="00CC5A47"/>
    <w:rsid w:val="00CC6396"/>
    <w:rsid w:val="00CC6643"/>
    <w:rsid w:val="00CC6D5E"/>
    <w:rsid w:val="00CC6EA7"/>
    <w:rsid w:val="00CC73B5"/>
    <w:rsid w:val="00CC741D"/>
    <w:rsid w:val="00CC7572"/>
    <w:rsid w:val="00CC7844"/>
    <w:rsid w:val="00CC7941"/>
    <w:rsid w:val="00CC7A2F"/>
    <w:rsid w:val="00CD0200"/>
    <w:rsid w:val="00CD0243"/>
    <w:rsid w:val="00CD0659"/>
    <w:rsid w:val="00CD091A"/>
    <w:rsid w:val="00CD0D02"/>
    <w:rsid w:val="00CD188C"/>
    <w:rsid w:val="00CD1DB2"/>
    <w:rsid w:val="00CD2177"/>
    <w:rsid w:val="00CD24AF"/>
    <w:rsid w:val="00CD2710"/>
    <w:rsid w:val="00CD2A3B"/>
    <w:rsid w:val="00CD2E7B"/>
    <w:rsid w:val="00CD3534"/>
    <w:rsid w:val="00CD3C86"/>
    <w:rsid w:val="00CD3F77"/>
    <w:rsid w:val="00CD3FD7"/>
    <w:rsid w:val="00CD4249"/>
    <w:rsid w:val="00CD42D3"/>
    <w:rsid w:val="00CD52FD"/>
    <w:rsid w:val="00CD5A3E"/>
    <w:rsid w:val="00CD5C03"/>
    <w:rsid w:val="00CD6583"/>
    <w:rsid w:val="00CD66DE"/>
    <w:rsid w:val="00CD6A93"/>
    <w:rsid w:val="00CD6ADC"/>
    <w:rsid w:val="00CD6CB8"/>
    <w:rsid w:val="00CD6DC7"/>
    <w:rsid w:val="00CD7193"/>
    <w:rsid w:val="00CD73F4"/>
    <w:rsid w:val="00CD7441"/>
    <w:rsid w:val="00CD78EC"/>
    <w:rsid w:val="00CD7A56"/>
    <w:rsid w:val="00CD7EA2"/>
    <w:rsid w:val="00CD7FB8"/>
    <w:rsid w:val="00CE054C"/>
    <w:rsid w:val="00CE0B6E"/>
    <w:rsid w:val="00CE0CC9"/>
    <w:rsid w:val="00CE11CC"/>
    <w:rsid w:val="00CE12B3"/>
    <w:rsid w:val="00CE1458"/>
    <w:rsid w:val="00CE1AE9"/>
    <w:rsid w:val="00CE1B8A"/>
    <w:rsid w:val="00CE1BB5"/>
    <w:rsid w:val="00CE1BEE"/>
    <w:rsid w:val="00CE1E86"/>
    <w:rsid w:val="00CE22C6"/>
    <w:rsid w:val="00CE2812"/>
    <w:rsid w:val="00CE2CFD"/>
    <w:rsid w:val="00CE2D6C"/>
    <w:rsid w:val="00CE38C8"/>
    <w:rsid w:val="00CE39C2"/>
    <w:rsid w:val="00CE3E95"/>
    <w:rsid w:val="00CE4427"/>
    <w:rsid w:val="00CE4A42"/>
    <w:rsid w:val="00CE524F"/>
    <w:rsid w:val="00CE58CC"/>
    <w:rsid w:val="00CE6274"/>
    <w:rsid w:val="00CE6517"/>
    <w:rsid w:val="00CE724F"/>
    <w:rsid w:val="00CE7754"/>
    <w:rsid w:val="00CE77B6"/>
    <w:rsid w:val="00CE791F"/>
    <w:rsid w:val="00CE797A"/>
    <w:rsid w:val="00CE7D2B"/>
    <w:rsid w:val="00CE7F12"/>
    <w:rsid w:val="00CF0EE1"/>
    <w:rsid w:val="00CF1AFB"/>
    <w:rsid w:val="00CF1D00"/>
    <w:rsid w:val="00CF216D"/>
    <w:rsid w:val="00CF2216"/>
    <w:rsid w:val="00CF24F4"/>
    <w:rsid w:val="00CF2B10"/>
    <w:rsid w:val="00CF2B8D"/>
    <w:rsid w:val="00CF2C1D"/>
    <w:rsid w:val="00CF2D20"/>
    <w:rsid w:val="00CF310E"/>
    <w:rsid w:val="00CF36B8"/>
    <w:rsid w:val="00CF3A1B"/>
    <w:rsid w:val="00CF3DA3"/>
    <w:rsid w:val="00CF456B"/>
    <w:rsid w:val="00CF4578"/>
    <w:rsid w:val="00CF5096"/>
    <w:rsid w:val="00CF52E8"/>
    <w:rsid w:val="00CF5A22"/>
    <w:rsid w:val="00CF5CCF"/>
    <w:rsid w:val="00CF6058"/>
    <w:rsid w:val="00CF61DE"/>
    <w:rsid w:val="00CF69A8"/>
    <w:rsid w:val="00CF707D"/>
    <w:rsid w:val="00CF7C27"/>
    <w:rsid w:val="00CF7EF0"/>
    <w:rsid w:val="00D0025D"/>
    <w:rsid w:val="00D0095D"/>
    <w:rsid w:val="00D00B1F"/>
    <w:rsid w:val="00D00B6D"/>
    <w:rsid w:val="00D00F5F"/>
    <w:rsid w:val="00D0115D"/>
    <w:rsid w:val="00D014F4"/>
    <w:rsid w:val="00D01634"/>
    <w:rsid w:val="00D019F6"/>
    <w:rsid w:val="00D0204B"/>
    <w:rsid w:val="00D0210E"/>
    <w:rsid w:val="00D0220C"/>
    <w:rsid w:val="00D022C5"/>
    <w:rsid w:val="00D023D1"/>
    <w:rsid w:val="00D0262E"/>
    <w:rsid w:val="00D02974"/>
    <w:rsid w:val="00D02F63"/>
    <w:rsid w:val="00D03679"/>
    <w:rsid w:val="00D0397B"/>
    <w:rsid w:val="00D03C68"/>
    <w:rsid w:val="00D03D10"/>
    <w:rsid w:val="00D0416E"/>
    <w:rsid w:val="00D044C1"/>
    <w:rsid w:val="00D045A1"/>
    <w:rsid w:val="00D04BEF"/>
    <w:rsid w:val="00D05117"/>
    <w:rsid w:val="00D05CA9"/>
    <w:rsid w:val="00D05DE9"/>
    <w:rsid w:val="00D05E3D"/>
    <w:rsid w:val="00D05EB8"/>
    <w:rsid w:val="00D06139"/>
    <w:rsid w:val="00D062DD"/>
    <w:rsid w:val="00D06DDA"/>
    <w:rsid w:val="00D07113"/>
    <w:rsid w:val="00D075EC"/>
    <w:rsid w:val="00D07693"/>
    <w:rsid w:val="00D07851"/>
    <w:rsid w:val="00D078C1"/>
    <w:rsid w:val="00D07992"/>
    <w:rsid w:val="00D07BC8"/>
    <w:rsid w:val="00D07FFD"/>
    <w:rsid w:val="00D101B8"/>
    <w:rsid w:val="00D1025B"/>
    <w:rsid w:val="00D107CE"/>
    <w:rsid w:val="00D108F2"/>
    <w:rsid w:val="00D110BD"/>
    <w:rsid w:val="00D11B4B"/>
    <w:rsid w:val="00D11EAF"/>
    <w:rsid w:val="00D11ECC"/>
    <w:rsid w:val="00D12206"/>
    <w:rsid w:val="00D127AA"/>
    <w:rsid w:val="00D12A9A"/>
    <w:rsid w:val="00D12D0C"/>
    <w:rsid w:val="00D1318B"/>
    <w:rsid w:val="00D132FA"/>
    <w:rsid w:val="00D134FB"/>
    <w:rsid w:val="00D13675"/>
    <w:rsid w:val="00D13874"/>
    <w:rsid w:val="00D13A48"/>
    <w:rsid w:val="00D13BC9"/>
    <w:rsid w:val="00D13CAD"/>
    <w:rsid w:val="00D13D17"/>
    <w:rsid w:val="00D141E1"/>
    <w:rsid w:val="00D148FE"/>
    <w:rsid w:val="00D15314"/>
    <w:rsid w:val="00D156B6"/>
    <w:rsid w:val="00D15B48"/>
    <w:rsid w:val="00D16520"/>
    <w:rsid w:val="00D165A6"/>
    <w:rsid w:val="00D16CAA"/>
    <w:rsid w:val="00D1719A"/>
    <w:rsid w:val="00D17227"/>
    <w:rsid w:val="00D1753C"/>
    <w:rsid w:val="00D177E8"/>
    <w:rsid w:val="00D17D6C"/>
    <w:rsid w:val="00D20081"/>
    <w:rsid w:val="00D2155B"/>
    <w:rsid w:val="00D22240"/>
    <w:rsid w:val="00D224BC"/>
    <w:rsid w:val="00D22726"/>
    <w:rsid w:val="00D235B1"/>
    <w:rsid w:val="00D238AE"/>
    <w:rsid w:val="00D23CEA"/>
    <w:rsid w:val="00D23D11"/>
    <w:rsid w:val="00D244B6"/>
    <w:rsid w:val="00D2484F"/>
    <w:rsid w:val="00D24A9C"/>
    <w:rsid w:val="00D24B04"/>
    <w:rsid w:val="00D24B8C"/>
    <w:rsid w:val="00D2534D"/>
    <w:rsid w:val="00D2538A"/>
    <w:rsid w:val="00D25648"/>
    <w:rsid w:val="00D25682"/>
    <w:rsid w:val="00D25CCF"/>
    <w:rsid w:val="00D26923"/>
    <w:rsid w:val="00D26A2D"/>
    <w:rsid w:val="00D26B98"/>
    <w:rsid w:val="00D26BA3"/>
    <w:rsid w:val="00D2708E"/>
    <w:rsid w:val="00D271EE"/>
    <w:rsid w:val="00D2754D"/>
    <w:rsid w:val="00D2770E"/>
    <w:rsid w:val="00D27B05"/>
    <w:rsid w:val="00D27B27"/>
    <w:rsid w:val="00D27B30"/>
    <w:rsid w:val="00D27B84"/>
    <w:rsid w:val="00D27C39"/>
    <w:rsid w:val="00D30105"/>
    <w:rsid w:val="00D3031D"/>
    <w:rsid w:val="00D309AD"/>
    <w:rsid w:val="00D30D5B"/>
    <w:rsid w:val="00D3171D"/>
    <w:rsid w:val="00D318F3"/>
    <w:rsid w:val="00D31A72"/>
    <w:rsid w:val="00D31BA2"/>
    <w:rsid w:val="00D31C3B"/>
    <w:rsid w:val="00D32543"/>
    <w:rsid w:val="00D33380"/>
    <w:rsid w:val="00D3357A"/>
    <w:rsid w:val="00D33834"/>
    <w:rsid w:val="00D33B86"/>
    <w:rsid w:val="00D33BE9"/>
    <w:rsid w:val="00D33F93"/>
    <w:rsid w:val="00D34F8C"/>
    <w:rsid w:val="00D35438"/>
    <w:rsid w:val="00D35586"/>
    <w:rsid w:val="00D357FF"/>
    <w:rsid w:val="00D35857"/>
    <w:rsid w:val="00D36A20"/>
    <w:rsid w:val="00D36C8B"/>
    <w:rsid w:val="00D37DD3"/>
    <w:rsid w:val="00D37EB6"/>
    <w:rsid w:val="00D37F32"/>
    <w:rsid w:val="00D40038"/>
    <w:rsid w:val="00D40538"/>
    <w:rsid w:val="00D40971"/>
    <w:rsid w:val="00D40DB8"/>
    <w:rsid w:val="00D412F5"/>
    <w:rsid w:val="00D4146A"/>
    <w:rsid w:val="00D414CC"/>
    <w:rsid w:val="00D419D8"/>
    <w:rsid w:val="00D41BCF"/>
    <w:rsid w:val="00D41DAA"/>
    <w:rsid w:val="00D423B3"/>
    <w:rsid w:val="00D4241D"/>
    <w:rsid w:val="00D424C7"/>
    <w:rsid w:val="00D4251E"/>
    <w:rsid w:val="00D43B2A"/>
    <w:rsid w:val="00D43BA5"/>
    <w:rsid w:val="00D43CB1"/>
    <w:rsid w:val="00D43CF1"/>
    <w:rsid w:val="00D43D83"/>
    <w:rsid w:val="00D440E7"/>
    <w:rsid w:val="00D44206"/>
    <w:rsid w:val="00D44FC6"/>
    <w:rsid w:val="00D456A8"/>
    <w:rsid w:val="00D46CD6"/>
    <w:rsid w:val="00D47575"/>
    <w:rsid w:val="00D479C1"/>
    <w:rsid w:val="00D47EF0"/>
    <w:rsid w:val="00D50319"/>
    <w:rsid w:val="00D50551"/>
    <w:rsid w:val="00D506CF"/>
    <w:rsid w:val="00D50A7E"/>
    <w:rsid w:val="00D50F4D"/>
    <w:rsid w:val="00D50F93"/>
    <w:rsid w:val="00D51160"/>
    <w:rsid w:val="00D5117B"/>
    <w:rsid w:val="00D51380"/>
    <w:rsid w:val="00D51E40"/>
    <w:rsid w:val="00D5243B"/>
    <w:rsid w:val="00D52980"/>
    <w:rsid w:val="00D52B0D"/>
    <w:rsid w:val="00D52B5A"/>
    <w:rsid w:val="00D52E47"/>
    <w:rsid w:val="00D533EC"/>
    <w:rsid w:val="00D534C5"/>
    <w:rsid w:val="00D536DC"/>
    <w:rsid w:val="00D539BB"/>
    <w:rsid w:val="00D53C18"/>
    <w:rsid w:val="00D54035"/>
    <w:rsid w:val="00D5462F"/>
    <w:rsid w:val="00D548D8"/>
    <w:rsid w:val="00D54995"/>
    <w:rsid w:val="00D54D7E"/>
    <w:rsid w:val="00D54ECA"/>
    <w:rsid w:val="00D54FBF"/>
    <w:rsid w:val="00D55150"/>
    <w:rsid w:val="00D5539E"/>
    <w:rsid w:val="00D55460"/>
    <w:rsid w:val="00D55994"/>
    <w:rsid w:val="00D55A05"/>
    <w:rsid w:val="00D55C9A"/>
    <w:rsid w:val="00D55EC8"/>
    <w:rsid w:val="00D566A3"/>
    <w:rsid w:val="00D56A40"/>
    <w:rsid w:val="00D56A95"/>
    <w:rsid w:val="00D5746E"/>
    <w:rsid w:val="00D57873"/>
    <w:rsid w:val="00D60217"/>
    <w:rsid w:val="00D60249"/>
    <w:rsid w:val="00D6027F"/>
    <w:rsid w:val="00D60716"/>
    <w:rsid w:val="00D6076E"/>
    <w:rsid w:val="00D60E86"/>
    <w:rsid w:val="00D60EEA"/>
    <w:rsid w:val="00D61697"/>
    <w:rsid w:val="00D61AC8"/>
    <w:rsid w:val="00D62425"/>
    <w:rsid w:val="00D62EF1"/>
    <w:rsid w:val="00D63158"/>
    <w:rsid w:val="00D63346"/>
    <w:rsid w:val="00D63F79"/>
    <w:rsid w:val="00D64069"/>
    <w:rsid w:val="00D643E7"/>
    <w:rsid w:val="00D648B5"/>
    <w:rsid w:val="00D64DE3"/>
    <w:rsid w:val="00D6540E"/>
    <w:rsid w:val="00D660E5"/>
    <w:rsid w:val="00D6618F"/>
    <w:rsid w:val="00D664D7"/>
    <w:rsid w:val="00D66C17"/>
    <w:rsid w:val="00D6705C"/>
    <w:rsid w:val="00D67061"/>
    <w:rsid w:val="00D674C8"/>
    <w:rsid w:val="00D6765E"/>
    <w:rsid w:val="00D67901"/>
    <w:rsid w:val="00D70132"/>
    <w:rsid w:val="00D703B6"/>
    <w:rsid w:val="00D70408"/>
    <w:rsid w:val="00D70D86"/>
    <w:rsid w:val="00D70D9B"/>
    <w:rsid w:val="00D70F16"/>
    <w:rsid w:val="00D71193"/>
    <w:rsid w:val="00D711E1"/>
    <w:rsid w:val="00D711EC"/>
    <w:rsid w:val="00D716FE"/>
    <w:rsid w:val="00D717AB"/>
    <w:rsid w:val="00D7192B"/>
    <w:rsid w:val="00D71DA9"/>
    <w:rsid w:val="00D725E5"/>
    <w:rsid w:val="00D72617"/>
    <w:rsid w:val="00D727F3"/>
    <w:rsid w:val="00D72902"/>
    <w:rsid w:val="00D72A06"/>
    <w:rsid w:val="00D72F57"/>
    <w:rsid w:val="00D73696"/>
    <w:rsid w:val="00D73BC5"/>
    <w:rsid w:val="00D740A2"/>
    <w:rsid w:val="00D742EF"/>
    <w:rsid w:val="00D74479"/>
    <w:rsid w:val="00D74F89"/>
    <w:rsid w:val="00D750EE"/>
    <w:rsid w:val="00D75598"/>
    <w:rsid w:val="00D7585F"/>
    <w:rsid w:val="00D75E14"/>
    <w:rsid w:val="00D761AA"/>
    <w:rsid w:val="00D762B0"/>
    <w:rsid w:val="00D76A44"/>
    <w:rsid w:val="00D7769B"/>
    <w:rsid w:val="00D77A15"/>
    <w:rsid w:val="00D800A1"/>
    <w:rsid w:val="00D80108"/>
    <w:rsid w:val="00D804CB"/>
    <w:rsid w:val="00D80742"/>
    <w:rsid w:val="00D808AD"/>
    <w:rsid w:val="00D8159E"/>
    <w:rsid w:val="00D815EF"/>
    <w:rsid w:val="00D816C7"/>
    <w:rsid w:val="00D817EE"/>
    <w:rsid w:val="00D81949"/>
    <w:rsid w:val="00D81BA3"/>
    <w:rsid w:val="00D81DDD"/>
    <w:rsid w:val="00D81F26"/>
    <w:rsid w:val="00D822E2"/>
    <w:rsid w:val="00D82727"/>
    <w:rsid w:val="00D82894"/>
    <w:rsid w:val="00D843F2"/>
    <w:rsid w:val="00D84768"/>
    <w:rsid w:val="00D847B5"/>
    <w:rsid w:val="00D84A00"/>
    <w:rsid w:val="00D84CDD"/>
    <w:rsid w:val="00D84E0D"/>
    <w:rsid w:val="00D8527B"/>
    <w:rsid w:val="00D85296"/>
    <w:rsid w:val="00D85423"/>
    <w:rsid w:val="00D85613"/>
    <w:rsid w:val="00D85D4F"/>
    <w:rsid w:val="00D85F0D"/>
    <w:rsid w:val="00D85F77"/>
    <w:rsid w:val="00D86231"/>
    <w:rsid w:val="00D869D5"/>
    <w:rsid w:val="00D86EDC"/>
    <w:rsid w:val="00D870A5"/>
    <w:rsid w:val="00D873CF"/>
    <w:rsid w:val="00D87470"/>
    <w:rsid w:val="00D877CE"/>
    <w:rsid w:val="00D8791A"/>
    <w:rsid w:val="00D87945"/>
    <w:rsid w:val="00D87D3A"/>
    <w:rsid w:val="00D90336"/>
    <w:rsid w:val="00D90642"/>
    <w:rsid w:val="00D908AD"/>
    <w:rsid w:val="00D90CA2"/>
    <w:rsid w:val="00D90EFF"/>
    <w:rsid w:val="00D912AB"/>
    <w:rsid w:val="00D91923"/>
    <w:rsid w:val="00D91987"/>
    <w:rsid w:val="00D91D64"/>
    <w:rsid w:val="00D91FAC"/>
    <w:rsid w:val="00D92309"/>
    <w:rsid w:val="00D92589"/>
    <w:rsid w:val="00D92596"/>
    <w:rsid w:val="00D92D6A"/>
    <w:rsid w:val="00D92D9D"/>
    <w:rsid w:val="00D92DC6"/>
    <w:rsid w:val="00D92F20"/>
    <w:rsid w:val="00D93753"/>
    <w:rsid w:val="00D9379D"/>
    <w:rsid w:val="00D94C50"/>
    <w:rsid w:val="00D9552D"/>
    <w:rsid w:val="00D95C45"/>
    <w:rsid w:val="00D95C78"/>
    <w:rsid w:val="00D95E30"/>
    <w:rsid w:val="00D95FCC"/>
    <w:rsid w:val="00D95FF6"/>
    <w:rsid w:val="00D96C48"/>
    <w:rsid w:val="00D96F25"/>
    <w:rsid w:val="00D96F94"/>
    <w:rsid w:val="00D97921"/>
    <w:rsid w:val="00D97A31"/>
    <w:rsid w:val="00D97CD5"/>
    <w:rsid w:val="00D97E26"/>
    <w:rsid w:val="00DA0653"/>
    <w:rsid w:val="00DA0AA8"/>
    <w:rsid w:val="00DA1220"/>
    <w:rsid w:val="00DA14D0"/>
    <w:rsid w:val="00DA185E"/>
    <w:rsid w:val="00DA29BD"/>
    <w:rsid w:val="00DA3167"/>
    <w:rsid w:val="00DA32B5"/>
    <w:rsid w:val="00DA3622"/>
    <w:rsid w:val="00DA37A6"/>
    <w:rsid w:val="00DA3C0E"/>
    <w:rsid w:val="00DA3CCE"/>
    <w:rsid w:val="00DA3D53"/>
    <w:rsid w:val="00DA45A6"/>
    <w:rsid w:val="00DA4720"/>
    <w:rsid w:val="00DA4DC3"/>
    <w:rsid w:val="00DA5340"/>
    <w:rsid w:val="00DA53E9"/>
    <w:rsid w:val="00DA5747"/>
    <w:rsid w:val="00DA5C51"/>
    <w:rsid w:val="00DA6373"/>
    <w:rsid w:val="00DA7495"/>
    <w:rsid w:val="00DA77A5"/>
    <w:rsid w:val="00DA7B2C"/>
    <w:rsid w:val="00DA7E47"/>
    <w:rsid w:val="00DA7F88"/>
    <w:rsid w:val="00DB001A"/>
    <w:rsid w:val="00DB010D"/>
    <w:rsid w:val="00DB0415"/>
    <w:rsid w:val="00DB06AB"/>
    <w:rsid w:val="00DB0DEC"/>
    <w:rsid w:val="00DB0E05"/>
    <w:rsid w:val="00DB0E36"/>
    <w:rsid w:val="00DB158E"/>
    <w:rsid w:val="00DB1CDA"/>
    <w:rsid w:val="00DB2024"/>
    <w:rsid w:val="00DB2248"/>
    <w:rsid w:val="00DB23DF"/>
    <w:rsid w:val="00DB2723"/>
    <w:rsid w:val="00DB31ED"/>
    <w:rsid w:val="00DB381D"/>
    <w:rsid w:val="00DB3DBF"/>
    <w:rsid w:val="00DB3E6E"/>
    <w:rsid w:val="00DB479A"/>
    <w:rsid w:val="00DB484F"/>
    <w:rsid w:val="00DB542C"/>
    <w:rsid w:val="00DB5DD6"/>
    <w:rsid w:val="00DB6116"/>
    <w:rsid w:val="00DB688E"/>
    <w:rsid w:val="00DB6A86"/>
    <w:rsid w:val="00DB723E"/>
    <w:rsid w:val="00DC0278"/>
    <w:rsid w:val="00DC04F6"/>
    <w:rsid w:val="00DC050F"/>
    <w:rsid w:val="00DC0519"/>
    <w:rsid w:val="00DC0690"/>
    <w:rsid w:val="00DC10C8"/>
    <w:rsid w:val="00DC1118"/>
    <w:rsid w:val="00DC17E1"/>
    <w:rsid w:val="00DC19BF"/>
    <w:rsid w:val="00DC1A40"/>
    <w:rsid w:val="00DC1D65"/>
    <w:rsid w:val="00DC2609"/>
    <w:rsid w:val="00DC3131"/>
    <w:rsid w:val="00DC3386"/>
    <w:rsid w:val="00DC357C"/>
    <w:rsid w:val="00DC39C6"/>
    <w:rsid w:val="00DC3C57"/>
    <w:rsid w:val="00DC3E50"/>
    <w:rsid w:val="00DC4B5C"/>
    <w:rsid w:val="00DC53E2"/>
    <w:rsid w:val="00DC5501"/>
    <w:rsid w:val="00DC5614"/>
    <w:rsid w:val="00DC59B1"/>
    <w:rsid w:val="00DC59C2"/>
    <w:rsid w:val="00DC5DE4"/>
    <w:rsid w:val="00DC6690"/>
    <w:rsid w:val="00DC707E"/>
    <w:rsid w:val="00DC7154"/>
    <w:rsid w:val="00DC72A3"/>
    <w:rsid w:val="00DC7A08"/>
    <w:rsid w:val="00DC7C0B"/>
    <w:rsid w:val="00DC7E8A"/>
    <w:rsid w:val="00DD009C"/>
    <w:rsid w:val="00DD0776"/>
    <w:rsid w:val="00DD081C"/>
    <w:rsid w:val="00DD08D3"/>
    <w:rsid w:val="00DD09F9"/>
    <w:rsid w:val="00DD0BD6"/>
    <w:rsid w:val="00DD0F78"/>
    <w:rsid w:val="00DD1628"/>
    <w:rsid w:val="00DD1A6A"/>
    <w:rsid w:val="00DD266C"/>
    <w:rsid w:val="00DD273C"/>
    <w:rsid w:val="00DD27D6"/>
    <w:rsid w:val="00DD2BD6"/>
    <w:rsid w:val="00DD3279"/>
    <w:rsid w:val="00DD39D9"/>
    <w:rsid w:val="00DD3F28"/>
    <w:rsid w:val="00DD4446"/>
    <w:rsid w:val="00DD4537"/>
    <w:rsid w:val="00DD4A6C"/>
    <w:rsid w:val="00DD4CC4"/>
    <w:rsid w:val="00DD4E15"/>
    <w:rsid w:val="00DD4F8B"/>
    <w:rsid w:val="00DD52DD"/>
    <w:rsid w:val="00DD53B9"/>
    <w:rsid w:val="00DD65FF"/>
    <w:rsid w:val="00DD6C61"/>
    <w:rsid w:val="00DD6FE2"/>
    <w:rsid w:val="00DD7196"/>
    <w:rsid w:val="00DD7548"/>
    <w:rsid w:val="00DD7A68"/>
    <w:rsid w:val="00DD7DB9"/>
    <w:rsid w:val="00DE0794"/>
    <w:rsid w:val="00DE0943"/>
    <w:rsid w:val="00DE0E8B"/>
    <w:rsid w:val="00DE0FD1"/>
    <w:rsid w:val="00DE18D9"/>
    <w:rsid w:val="00DE1BE8"/>
    <w:rsid w:val="00DE1F99"/>
    <w:rsid w:val="00DE2304"/>
    <w:rsid w:val="00DE279E"/>
    <w:rsid w:val="00DE29A7"/>
    <w:rsid w:val="00DE3138"/>
    <w:rsid w:val="00DE37F8"/>
    <w:rsid w:val="00DE4273"/>
    <w:rsid w:val="00DE48EC"/>
    <w:rsid w:val="00DE4D3E"/>
    <w:rsid w:val="00DE4D86"/>
    <w:rsid w:val="00DE4FCB"/>
    <w:rsid w:val="00DE5209"/>
    <w:rsid w:val="00DE57C2"/>
    <w:rsid w:val="00DE5810"/>
    <w:rsid w:val="00DE5D07"/>
    <w:rsid w:val="00DE6189"/>
    <w:rsid w:val="00DE6682"/>
    <w:rsid w:val="00DE6AFB"/>
    <w:rsid w:val="00DE72A7"/>
    <w:rsid w:val="00DE72F3"/>
    <w:rsid w:val="00DE7417"/>
    <w:rsid w:val="00DE7691"/>
    <w:rsid w:val="00DE7832"/>
    <w:rsid w:val="00DE7CBA"/>
    <w:rsid w:val="00DE7D35"/>
    <w:rsid w:val="00DF0249"/>
    <w:rsid w:val="00DF0724"/>
    <w:rsid w:val="00DF0B1E"/>
    <w:rsid w:val="00DF0BE1"/>
    <w:rsid w:val="00DF0DDF"/>
    <w:rsid w:val="00DF1653"/>
    <w:rsid w:val="00DF18FC"/>
    <w:rsid w:val="00DF1984"/>
    <w:rsid w:val="00DF1E76"/>
    <w:rsid w:val="00DF2B5B"/>
    <w:rsid w:val="00DF2BC8"/>
    <w:rsid w:val="00DF2BF6"/>
    <w:rsid w:val="00DF3002"/>
    <w:rsid w:val="00DF306B"/>
    <w:rsid w:val="00DF3280"/>
    <w:rsid w:val="00DF370C"/>
    <w:rsid w:val="00DF3A03"/>
    <w:rsid w:val="00DF3D6F"/>
    <w:rsid w:val="00DF3F4F"/>
    <w:rsid w:val="00DF49CC"/>
    <w:rsid w:val="00DF4DD9"/>
    <w:rsid w:val="00DF510B"/>
    <w:rsid w:val="00DF58D7"/>
    <w:rsid w:val="00DF5B20"/>
    <w:rsid w:val="00DF5D2B"/>
    <w:rsid w:val="00DF6341"/>
    <w:rsid w:val="00DF65DC"/>
    <w:rsid w:val="00DF6765"/>
    <w:rsid w:val="00DF689D"/>
    <w:rsid w:val="00DF6BDB"/>
    <w:rsid w:val="00DF6C48"/>
    <w:rsid w:val="00DF78CA"/>
    <w:rsid w:val="00E0011D"/>
    <w:rsid w:val="00E001E9"/>
    <w:rsid w:val="00E0078B"/>
    <w:rsid w:val="00E0089A"/>
    <w:rsid w:val="00E00E8E"/>
    <w:rsid w:val="00E01055"/>
    <w:rsid w:val="00E014E7"/>
    <w:rsid w:val="00E01B64"/>
    <w:rsid w:val="00E022EE"/>
    <w:rsid w:val="00E02358"/>
    <w:rsid w:val="00E02537"/>
    <w:rsid w:val="00E02C24"/>
    <w:rsid w:val="00E033A1"/>
    <w:rsid w:val="00E0399E"/>
    <w:rsid w:val="00E04A62"/>
    <w:rsid w:val="00E05630"/>
    <w:rsid w:val="00E0571D"/>
    <w:rsid w:val="00E05B5D"/>
    <w:rsid w:val="00E05D6D"/>
    <w:rsid w:val="00E05FEF"/>
    <w:rsid w:val="00E061E6"/>
    <w:rsid w:val="00E06608"/>
    <w:rsid w:val="00E06A6D"/>
    <w:rsid w:val="00E06AD9"/>
    <w:rsid w:val="00E06B1C"/>
    <w:rsid w:val="00E06B23"/>
    <w:rsid w:val="00E06DBB"/>
    <w:rsid w:val="00E071C0"/>
    <w:rsid w:val="00E07598"/>
    <w:rsid w:val="00E078AC"/>
    <w:rsid w:val="00E07909"/>
    <w:rsid w:val="00E07CCF"/>
    <w:rsid w:val="00E10149"/>
    <w:rsid w:val="00E101A2"/>
    <w:rsid w:val="00E101B7"/>
    <w:rsid w:val="00E1056C"/>
    <w:rsid w:val="00E10722"/>
    <w:rsid w:val="00E10831"/>
    <w:rsid w:val="00E10A8F"/>
    <w:rsid w:val="00E11340"/>
    <w:rsid w:val="00E113AB"/>
    <w:rsid w:val="00E116C3"/>
    <w:rsid w:val="00E122A1"/>
    <w:rsid w:val="00E125C4"/>
    <w:rsid w:val="00E12826"/>
    <w:rsid w:val="00E12A1C"/>
    <w:rsid w:val="00E12FE2"/>
    <w:rsid w:val="00E1350D"/>
    <w:rsid w:val="00E13FF9"/>
    <w:rsid w:val="00E140C1"/>
    <w:rsid w:val="00E1427D"/>
    <w:rsid w:val="00E1528F"/>
    <w:rsid w:val="00E15A7F"/>
    <w:rsid w:val="00E16372"/>
    <w:rsid w:val="00E16965"/>
    <w:rsid w:val="00E16AD8"/>
    <w:rsid w:val="00E16B68"/>
    <w:rsid w:val="00E174F1"/>
    <w:rsid w:val="00E17543"/>
    <w:rsid w:val="00E17861"/>
    <w:rsid w:val="00E17C6D"/>
    <w:rsid w:val="00E17FFA"/>
    <w:rsid w:val="00E20543"/>
    <w:rsid w:val="00E20709"/>
    <w:rsid w:val="00E20E4D"/>
    <w:rsid w:val="00E20ED6"/>
    <w:rsid w:val="00E211DF"/>
    <w:rsid w:val="00E212FB"/>
    <w:rsid w:val="00E21358"/>
    <w:rsid w:val="00E2197B"/>
    <w:rsid w:val="00E22318"/>
    <w:rsid w:val="00E2246E"/>
    <w:rsid w:val="00E2249B"/>
    <w:rsid w:val="00E22661"/>
    <w:rsid w:val="00E228BF"/>
    <w:rsid w:val="00E22A0D"/>
    <w:rsid w:val="00E22B57"/>
    <w:rsid w:val="00E22F2B"/>
    <w:rsid w:val="00E22FE9"/>
    <w:rsid w:val="00E23190"/>
    <w:rsid w:val="00E231D0"/>
    <w:rsid w:val="00E23478"/>
    <w:rsid w:val="00E238A9"/>
    <w:rsid w:val="00E23ADC"/>
    <w:rsid w:val="00E242B6"/>
    <w:rsid w:val="00E244F6"/>
    <w:rsid w:val="00E24587"/>
    <w:rsid w:val="00E24989"/>
    <w:rsid w:val="00E24B65"/>
    <w:rsid w:val="00E254A9"/>
    <w:rsid w:val="00E2571F"/>
    <w:rsid w:val="00E258DB"/>
    <w:rsid w:val="00E25AEB"/>
    <w:rsid w:val="00E25C35"/>
    <w:rsid w:val="00E25D81"/>
    <w:rsid w:val="00E25F1F"/>
    <w:rsid w:val="00E26811"/>
    <w:rsid w:val="00E2695C"/>
    <w:rsid w:val="00E26A28"/>
    <w:rsid w:val="00E26B81"/>
    <w:rsid w:val="00E26D32"/>
    <w:rsid w:val="00E26E84"/>
    <w:rsid w:val="00E2724A"/>
    <w:rsid w:val="00E2771E"/>
    <w:rsid w:val="00E2789A"/>
    <w:rsid w:val="00E278F3"/>
    <w:rsid w:val="00E27B76"/>
    <w:rsid w:val="00E3010D"/>
    <w:rsid w:val="00E308B4"/>
    <w:rsid w:val="00E308FC"/>
    <w:rsid w:val="00E30B6D"/>
    <w:rsid w:val="00E30E08"/>
    <w:rsid w:val="00E30F80"/>
    <w:rsid w:val="00E311EF"/>
    <w:rsid w:val="00E3124B"/>
    <w:rsid w:val="00E315F6"/>
    <w:rsid w:val="00E31B50"/>
    <w:rsid w:val="00E31C98"/>
    <w:rsid w:val="00E31CC8"/>
    <w:rsid w:val="00E32180"/>
    <w:rsid w:val="00E322B6"/>
    <w:rsid w:val="00E322EA"/>
    <w:rsid w:val="00E32603"/>
    <w:rsid w:val="00E328DF"/>
    <w:rsid w:val="00E32EEF"/>
    <w:rsid w:val="00E32FC1"/>
    <w:rsid w:val="00E3314A"/>
    <w:rsid w:val="00E33BE2"/>
    <w:rsid w:val="00E33CB9"/>
    <w:rsid w:val="00E340AC"/>
    <w:rsid w:val="00E347F3"/>
    <w:rsid w:val="00E34948"/>
    <w:rsid w:val="00E34DC6"/>
    <w:rsid w:val="00E3537C"/>
    <w:rsid w:val="00E3549F"/>
    <w:rsid w:val="00E35A2B"/>
    <w:rsid w:val="00E35FA6"/>
    <w:rsid w:val="00E3609F"/>
    <w:rsid w:val="00E36434"/>
    <w:rsid w:val="00E36CE9"/>
    <w:rsid w:val="00E370AD"/>
    <w:rsid w:val="00E37569"/>
    <w:rsid w:val="00E377FB"/>
    <w:rsid w:val="00E37E11"/>
    <w:rsid w:val="00E401B2"/>
    <w:rsid w:val="00E40AA9"/>
    <w:rsid w:val="00E40BC4"/>
    <w:rsid w:val="00E41E30"/>
    <w:rsid w:val="00E42D13"/>
    <w:rsid w:val="00E42F73"/>
    <w:rsid w:val="00E4321D"/>
    <w:rsid w:val="00E4330D"/>
    <w:rsid w:val="00E436CB"/>
    <w:rsid w:val="00E43D70"/>
    <w:rsid w:val="00E4407B"/>
    <w:rsid w:val="00E444B4"/>
    <w:rsid w:val="00E445D4"/>
    <w:rsid w:val="00E44C97"/>
    <w:rsid w:val="00E452FB"/>
    <w:rsid w:val="00E45771"/>
    <w:rsid w:val="00E45823"/>
    <w:rsid w:val="00E45D24"/>
    <w:rsid w:val="00E45FA3"/>
    <w:rsid w:val="00E4654E"/>
    <w:rsid w:val="00E46689"/>
    <w:rsid w:val="00E466F3"/>
    <w:rsid w:val="00E46C1B"/>
    <w:rsid w:val="00E46F70"/>
    <w:rsid w:val="00E4708E"/>
    <w:rsid w:val="00E473BE"/>
    <w:rsid w:val="00E47B2C"/>
    <w:rsid w:val="00E47D7F"/>
    <w:rsid w:val="00E47EBB"/>
    <w:rsid w:val="00E47F75"/>
    <w:rsid w:val="00E505FE"/>
    <w:rsid w:val="00E51052"/>
    <w:rsid w:val="00E51560"/>
    <w:rsid w:val="00E517ED"/>
    <w:rsid w:val="00E51821"/>
    <w:rsid w:val="00E51868"/>
    <w:rsid w:val="00E51A64"/>
    <w:rsid w:val="00E51B7D"/>
    <w:rsid w:val="00E51D08"/>
    <w:rsid w:val="00E529D2"/>
    <w:rsid w:val="00E53184"/>
    <w:rsid w:val="00E5327D"/>
    <w:rsid w:val="00E53FC8"/>
    <w:rsid w:val="00E5418B"/>
    <w:rsid w:val="00E54347"/>
    <w:rsid w:val="00E5490F"/>
    <w:rsid w:val="00E54D8F"/>
    <w:rsid w:val="00E55006"/>
    <w:rsid w:val="00E55424"/>
    <w:rsid w:val="00E55915"/>
    <w:rsid w:val="00E55BB5"/>
    <w:rsid w:val="00E55DBB"/>
    <w:rsid w:val="00E561A6"/>
    <w:rsid w:val="00E565C3"/>
    <w:rsid w:val="00E56764"/>
    <w:rsid w:val="00E57480"/>
    <w:rsid w:val="00E57789"/>
    <w:rsid w:val="00E6014A"/>
    <w:rsid w:val="00E605C1"/>
    <w:rsid w:val="00E60987"/>
    <w:rsid w:val="00E60A03"/>
    <w:rsid w:val="00E60C77"/>
    <w:rsid w:val="00E60E10"/>
    <w:rsid w:val="00E60E53"/>
    <w:rsid w:val="00E611DF"/>
    <w:rsid w:val="00E6162E"/>
    <w:rsid w:val="00E61A32"/>
    <w:rsid w:val="00E61B20"/>
    <w:rsid w:val="00E61E01"/>
    <w:rsid w:val="00E624C5"/>
    <w:rsid w:val="00E62508"/>
    <w:rsid w:val="00E62B28"/>
    <w:rsid w:val="00E633AC"/>
    <w:rsid w:val="00E63435"/>
    <w:rsid w:val="00E63449"/>
    <w:rsid w:val="00E634D5"/>
    <w:rsid w:val="00E635D5"/>
    <w:rsid w:val="00E639D9"/>
    <w:rsid w:val="00E641D7"/>
    <w:rsid w:val="00E642B3"/>
    <w:rsid w:val="00E64A24"/>
    <w:rsid w:val="00E64A4E"/>
    <w:rsid w:val="00E65107"/>
    <w:rsid w:val="00E6564E"/>
    <w:rsid w:val="00E65A28"/>
    <w:rsid w:val="00E65E79"/>
    <w:rsid w:val="00E65FF6"/>
    <w:rsid w:val="00E66137"/>
    <w:rsid w:val="00E6652F"/>
    <w:rsid w:val="00E665F6"/>
    <w:rsid w:val="00E666B9"/>
    <w:rsid w:val="00E66A01"/>
    <w:rsid w:val="00E66A27"/>
    <w:rsid w:val="00E66BA2"/>
    <w:rsid w:val="00E672F9"/>
    <w:rsid w:val="00E67416"/>
    <w:rsid w:val="00E676BA"/>
    <w:rsid w:val="00E67A6A"/>
    <w:rsid w:val="00E70E64"/>
    <w:rsid w:val="00E7172B"/>
    <w:rsid w:val="00E718B6"/>
    <w:rsid w:val="00E71AB8"/>
    <w:rsid w:val="00E723BA"/>
    <w:rsid w:val="00E727E0"/>
    <w:rsid w:val="00E72A15"/>
    <w:rsid w:val="00E72BF0"/>
    <w:rsid w:val="00E72F98"/>
    <w:rsid w:val="00E72FB0"/>
    <w:rsid w:val="00E73148"/>
    <w:rsid w:val="00E733FC"/>
    <w:rsid w:val="00E7355C"/>
    <w:rsid w:val="00E73581"/>
    <w:rsid w:val="00E74021"/>
    <w:rsid w:val="00E743B3"/>
    <w:rsid w:val="00E7440E"/>
    <w:rsid w:val="00E7467D"/>
    <w:rsid w:val="00E747F8"/>
    <w:rsid w:val="00E74815"/>
    <w:rsid w:val="00E74867"/>
    <w:rsid w:val="00E74A58"/>
    <w:rsid w:val="00E74C2C"/>
    <w:rsid w:val="00E7527A"/>
    <w:rsid w:val="00E75DC2"/>
    <w:rsid w:val="00E762D5"/>
    <w:rsid w:val="00E7667C"/>
    <w:rsid w:val="00E767DA"/>
    <w:rsid w:val="00E76D05"/>
    <w:rsid w:val="00E77712"/>
    <w:rsid w:val="00E77738"/>
    <w:rsid w:val="00E77C05"/>
    <w:rsid w:val="00E801E0"/>
    <w:rsid w:val="00E802F9"/>
    <w:rsid w:val="00E805C8"/>
    <w:rsid w:val="00E806EE"/>
    <w:rsid w:val="00E806FC"/>
    <w:rsid w:val="00E80EAB"/>
    <w:rsid w:val="00E8100C"/>
    <w:rsid w:val="00E812E5"/>
    <w:rsid w:val="00E81378"/>
    <w:rsid w:val="00E81CE4"/>
    <w:rsid w:val="00E81DBB"/>
    <w:rsid w:val="00E81E0B"/>
    <w:rsid w:val="00E8208A"/>
    <w:rsid w:val="00E82321"/>
    <w:rsid w:val="00E83357"/>
    <w:rsid w:val="00E833F7"/>
    <w:rsid w:val="00E837CB"/>
    <w:rsid w:val="00E83BDF"/>
    <w:rsid w:val="00E84BD5"/>
    <w:rsid w:val="00E85427"/>
    <w:rsid w:val="00E85443"/>
    <w:rsid w:val="00E85BD9"/>
    <w:rsid w:val="00E85FCC"/>
    <w:rsid w:val="00E864DD"/>
    <w:rsid w:val="00E86922"/>
    <w:rsid w:val="00E86C00"/>
    <w:rsid w:val="00E86D03"/>
    <w:rsid w:val="00E86FCC"/>
    <w:rsid w:val="00E8727E"/>
    <w:rsid w:val="00E8775F"/>
    <w:rsid w:val="00E877C1"/>
    <w:rsid w:val="00E87A1D"/>
    <w:rsid w:val="00E87CA0"/>
    <w:rsid w:val="00E87F7C"/>
    <w:rsid w:val="00E87FE3"/>
    <w:rsid w:val="00E90439"/>
    <w:rsid w:val="00E9094A"/>
    <w:rsid w:val="00E90AFF"/>
    <w:rsid w:val="00E90E8C"/>
    <w:rsid w:val="00E90FBE"/>
    <w:rsid w:val="00E9147E"/>
    <w:rsid w:val="00E91836"/>
    <w:rsid w:val="00E91B7F"/>
    <w:rsid w:val="00E91C1F"/>
    <w:rsid w:val="00E91D35"/>
    <w:rsid w:val="00E9222B"/>
    <w:rsid w:val="00E92348"/>
    <w:rsid w:val="00E923E6"/>
    <w:rsid w:val="00E926A5"/>
    <w:rsid w:val="00E928A4"/>
    <w:rsid w:val="00E92CF8"/>
    <w:rsid w:val="00E9332B"/>
    <w:rsid w:val="00E934B6"/>
    <w:rsid w:val="00E937DE"/>
    <w:rsid w:val="00E93840"/>
    <w:rsid w:val="00E9423F"/>
    <w:rsid w:val="00E945E0"/>
    <w:rsid w:val="00E946BE"/>
    <w:rsid w:val="00E94CB3"/>
    <w:rsid w:val="00E958CF"/>
    <w:rsid w:val="00E962CC"/>
    <w:rsid w:val="00E963E8"/>
    <w:rsid w:val="00E9645D"/>
    <w:rsid w:val="00E9670D"/>
    <w:rsid w:val="00E96818"/>
    <w:rsid w:val="00E96A36"/>
    <w:rsid w:val="00E96F06"/>
    <w:rsid w:val="00E971E3"/>
    <w:rsid w:val="00E979EC"/>
    <w:rsid w:val="00E97CB4"/>
    <w:rsid w:val="00E97D90"/>
    <w:rsid w:val="00E97E98"/>
    <w:rsid w:val="00E97F2E"/>
    <w:rsid w:val="00EA039A"/>
    <w:rsid w:val="00EA08DF"/>
    <w:rsid w:val="00EA0A83"/>
    <w:rsid w:val="00EA17C3"/>
    <w:rsid w:val="00EA2114"/>
    <w:rsid w:val="00EA218C"/>
    <w:rsid w:val="00EA2CAA"/>
    <w:rsid w:val="00EA3864"/>
    <w:rsid w:val="00EA3DC2"/>
    <w:rsid w:val="00EA407C"/>
    <w:rsid w:val="00EA4322"/>
    <w:rsid w:val="00EA46E6"/>
    <w:rsid w:val="00EA5F9E"/>
    <w:rsid w:val="00EA6282"/>
    <w:rsid w:val="00EA680D"/>
    <w:rsid w:val="00EA6C24"/>
    <w:rsid w:val="00EA6EE4"/>
    <w:rsid w:val="00EA767F"/>
    <w:rsid w:val="00EA777E"/>
    <w:rsid w:val="00EA7887"/>
    <w:rsid w:val="00EA7DCA"/>
    <w:rsid w:val="00EA7F1C"/>
    <w:rsid w:val="00EB0023"/>
    <w:rsid w:val="00EB0232"/>
    <w:rsid w:val="00EB08CD"/>
    <w:rsid w:val="00EB10D8"/>
    <w:rsid w:val="00EB11AC"/>
    <w:rsid w:val="00EB1207"/>
    <w:rsid w:val="00EB15B6"/>
    <w:rsid w:val="00EB269C"/>
    <w:rsid w:val="00EB3020"/>
    <w:rsid w:val="00EB3059"/>
    <w:rsid w:val="00EB3469"/>
    <w:rsid w:val="00EB35D4"/>
    <w:rsid w:val="00EB3975"/>
    <w:rsid w:val="00EB3D06"/>
    <w:rsid w:val="00EB3E65"/>
    <w:rsid w:val="00EB3F2F"/>
    <w:rsid w:val="00EB40A6"/>
    <w:rsid w:val="00EB4438"/>
    <w:rsid w:val="00EB4916"/>
    <w:rsid w:val="00EB4B63"/>
    <w:rsid w:val="00EB4D41"/>
    <w:rsid w:val="00EB4ECB"/>
    <w:rsid w:val="00EB552B"/>
    <w:rsid w:val="00EB5870"/>
    <w:rsid w:val="00EB6109"/>
    <w:rsid w:val="00EB6148"/>
    <w:rsid w:val="00EB6833"/>
    <w:rsid w:val="00EB6B7E"/>
    <w:rsid w:val="00EB6E7F"/>
    <w:rsid w:val="00EB6FF5"/>
    <w:rsid w:val="00EB749B"/>
    <w:rsid w:val="00EB7F7C"/>
    <w:rsid w:val="00EC00C9"/>
    <w:rsid w:val="00EC06C0"/>
    <w:rsid w:val="00EC07D4"/>
    <w:rsid w:val="00EC0B4C"/>
    <w:rsid w:val="00EC0DD9"/>
    <w:rsid w:val="00EC0E0E"/>
    <w:rsid w:val="00EC1771"/>
    <w:rsid w:val="00EC19C5"/>
    <w:rsid w:val="00EC1A62"/>
    <w:rsid w:val="00EC1BF2"/>
    <w:rsid w:val="00EC1E81"/>
    <w:rsid w:val="00EC1F69"/>
    <w:rsid w:val="00EC2649"/>
    <w:rsid w:val="00EC31ED"/>
    <w:rsid w:val="00EC3C53"/>
    <w:rsid w:val="00EC422D"/>
    <w:rsid w:val="00EC4507"/>
    <w:rsid w:val="00EC491F"/>
    <w:rsid w:val="00EC4DD8"/>
    <w:rsid w:val="00EC4E9C"/>
    <w:rsid w:val="00EC526B"/>
    <w:rsid w:val="00EC5836"/>
    <w:rsid w:val="00EC688C"/>
    <w:rsid w:val="00EC6E9A"/>
    <w:rsid w:val="00EC724F"/>
    <w:rsid w:val="00ED01B3"/>
    <w:rsid w:val="00ED0CBB"/>
    <w:rsid w:val="00ED0DA9"/>
    <w:rsid w:val="00ED12E3"/>
    <w:rsid w:val="00ED1DF8"/>
    <w:rsid w:val="00ED1EDE"/>
    <w:rsid w:val="00ED2019"/>
    <w:rsid w:val="00ED248A"/>
    <w:rsid w:val="00ED2529"/>
    <w:rsid w:val="00ED35B9"/>
    <w:rsid w:val="00ED3806"/>
    <w:rsid w:val="00ED38D3"/>
    <w:rsid w:val="00ED45B7"/>
    <w:rsid w:val="00ED472A"/>
    <w:rsid w:val="00ED47B1"/>
    <w:rsid w:val="00ED4980"/>
    <w:rsid w:val="00ED4B04"/>
    <w:rsid w:val="00ED4B55"/>
    <w:rsid w:val="00ED4E1C"/>
    <w:rsid w:val="00ED57EA"/>
    <w:rsid w:val="00ED5895"/>
    <w:rsid w:val="00ED5AC5"/>
    <w:rsid w:val="00ED5AF1"/>
    <w:rsid w:val="00ED5BD4"/>
    <w:rsid w:val="00ED693C"/>
    <w:rsid w:val="00ED6EBA"/>
    <w:rsid w:val="00ED72E2"/>
    <w:rsid w:val="00ED72F4"/>
    <w:rsid w:val="00ED7FF9"/>
    <w:rsid w:val="00EE07D3"/>
    <w:rsid w:val="00EE1290"/>
    <w:rsid w:val="00EE1723"/>
    <w:rsid w:val="00EE184D"/>
    <w:rsid w:val="00EE1996"/>
    <w:rsid w:val="00EE1A9C"/>
    <w:rsid w:val="00EE1B75"/>
    <w:rsid w:val="00EE1C01"/>
    <w:rsid w:val="00EE22AF"/>
    <w:rsid w:val="00EE2701"/>
    <w:rsid w:val="00EE2A03"/>
    <w:rsid w:val="00EE2B39"/>
    <w:rsid w:val="00EE2E61"/>
    <w:rsid w:val="00EE3C32"/>
    <w:rsid w:val="00EE4BBA"/>
    <w:rsid w:val="00EE4E5B"/>
    <w:rsid w:val="00EE4F5D"/>
    <w:rsid w:val="00EE5049"/>
    <w:rsid w:val="00EE5799"/>
    <w:rsid w:val="00EE5CF5"/>
    <w:rsid w:val="00EE5E64"/>
    <w:rsid w:val="00EE5F72"/>
    <w:rsid w:val="00EE613E"/>
    <w:rsid w:val="00EE6ABF"/>
    <w:rsid w:val="00EE6CA8"/>
    <w:rsid w:val="00EE7125"/>
    <w:rsid w:val="00EE73BC"/>
    <w:rsid w:val="00EE7434"/>
    <w:rsid w:val="00EE7A5E"/>
    <w:rsid w:val="00EF0171"/>
    <w:rsid w:val="00EF05EC"/>
    <w:rsid w:val="00EF0C1D"/>
    <w:rsid w:val="00EF0FCA"/>
    <w:rsid w:val="00EF0FF5"/>
    <w:rsid w:val="00EF1628"/>
    <w:rsid w:val="00EF1AAC"/>
    <w:rsid w:val="00EF1B25"/>
    <w:rsid w:val="00EF1D43"/>
    <w:rsid w:val="00EF1DA0"/>
    <w:rsid w:val="00EF1F3C"/>
    <w:rsid w:val="00EF2619"/>
    <w:rsid w:val="00EF2710"/>
    <w:rsid w:val="00EF2FCE"/>
    <w:rsid w:val="00EF3065"/>
    <w:rsid w:val="00EF36DE"/>
    <w:rsid w:val="00EF36E4"/>
    <w:rsid w:val="00EF3ED2"/>
    <w:rsid w:val="00EF3F5F"/>
    <w:rsid w:val="00EF41E2"/>
    <w:rsid w:val="00EF42CB"/>
    <w:rsid w:val="00EF4747"/>
    <w:rsid w:val="00EF4BF8"/>
    <w:rsid w:val="00EF4C6B"/>
    <w:rsid w:val="00EF4D7B"/>
    <w:rsid w:val="00EF54AF"/>
    <w:rsid w:val="00EF6750"/>
    <w:rsid w:val="00EF68AB"/>
    <w:rsid w:val="00EF754D"/>
    <w:rsid w:val="00EF78CE"/>
    <w:rsid w:val="00EF7E4E"/>
    <w:rsid w:val="00F00ADD"/>
    <w:rsid w:val="00F00BDF"/>
    <w:rsid w:val="00F0116F"/>
    <w:rsid w:val="00F01291"/>
    <w:rsid w:val="00F012E2"/>
    <w:rsid w:val="00F01668"/>
    <w:rsid w:val="00F018E4"/>
    <w:rsid w:val="00F01A22"/>
    <w:rsid w:val="00F01F61"/>
    <w:rsid w:val="00F01FE2"/>
    <w:rsid w:val="00F02253"/>
    <w:rsid w:val="00F029D0"/>
    <w:rsid w:val="00F02C1D"/>
    <w:rsid w:val="00F02E22"/>
    <w:rsid w:val="00F02F16"/>
    <w:rsid w:val="00F02FBF"/>
    <w:rsid w:val="00F03887"/>
    <w:rsid w:val="00F03B19"/>
    <w:rsid w:val="00F03C2E"/>
    <w:rsid w:val="00F03CE5"/>
    <w:rsid w:val="00F04A66"/>
    <w:rsid w:val="00F04B4B"/>
    <w:rsid w:val="00F04E67"/>
    <w:rsid w:val="00F0516C"/>
    <w:rsid w:val="00F054EA"/>
    <w:rsid w:val="00F0558A"/>
    <w:rsid w:val="00F0563E"/>
    <w:rsid w:val="00F05DFC"/>
    <w:rsid w:val="00F067A2"/>
    <w:rsid w:val="00F06989"/>
    <w:rsid w:val="00F06C68"/>
    <w:rsid w:val="00F0733F"/>
    <w:rsid w:val="00F07B9E"/>
    <w:rsid w:val="00F1065B"/>
    <w:rsid w:val="00F107AB"/>
    <w:rsid w:val="00F10B5F"/>
    <w:rsid w:val="00F1116F"/>
    <w:rsid w:val="00F11C82"/>
    <w:rsid w:val="00F11FA8"/>
    <w:rsid w:val="00F123D8"/>
    <w:rsid w:val="00F1263A"/>
    <w:rsid w:val="00F1375A"/>
    <w:rsid w:val="00F13785"/>
    <w:rsid w:val="00F139C5"/>
    <w:rsid w:val="00F13D6E"/>
    <w:rsid w:val="00F13E5F"/>
    <w:rsid w:val="00F13EE7"/>
    <w:rsid w:val="00F144F2"/>
    <w:rsid w:val="00F1454E"/>
    <w:rsid w:val="00F1495B"/>
    <w:rsid w:val="00F14CF2"/>
    <w:rsid w:val="00F14E6A"/>
    <w:rsid w:val="00F15144"/>
    <w:rsid w:val="00F15350"/>
    <w:rsid w:val="00F153FD"/>
    <w:rsid w:val="00F1598C"/>
    <w:rsid w:val="00F15B77"/>
    <w:rsid w:val="00F1601A"/>
    <w:rsid w:val="00F1612D"/>
    <w:rsid w:val="00F16652"/>
    <w:rsid w:val="00F16C3F"/>
    <w:rsid w:val="00F17001"/>
    <w:rsid w:val="00F175B1"/>
    <w:rsid w:val="00F17C40"/>
    <w:rsid w:val="00F17C6F"/>
    <w:rsid w:val="00F20164"/>
    <w:rsid w:val="00F20398"/>
    <w:rsid w:val="00F20508"/>
    <w:rsid w:val="00F20710"/>
    <w:rsid w:val="00F208F0"/>
    <w:rsid w:val="00F20918"/>
    <w:rsid w:val="00F20BEF"/>
    <w:rsid w:val="00F20D3B"/>
    <w:rsid w:val="00F2121C"/>
    <w:rsid w:val="00F21236"/>
    <w:rsid w:val="00F213F1"/>
    <w:rsid w:val="00F215DD"/>
    <w:rsid w:val="00F21617"/>
    <w:rsid w:val="00F22813"/>
    <w:rsid w:val="00F22DF5"/>
    <w:rsid w:val="00F22F6F"/>
    <w:rsid w:val="00F23617"/>
    <w:rsid w:val="00F239DF"/>
    <w:rsid w:val="00F23B39"/>
    <w:rsid w:val="00F23E26"/>
    <w:rsid w:val="00F23F16"/>
    <w:rsid w:val="00F24344"/>
    <w:rsid w:val="00F2476E"/>
    <w:rsid w:val="00F24837"/>
    <w:rsid w:val="00F24B5C"/>
    <w:rsid w:val="00F24C28"/>
    <w:rsid w:val="00F2547C"/>
    <w:rsid w:val="00F2575F"/>
    <w:rsid w:val="00F25FF7"/>
    <w:rsid w:val="00F26201"/>
    <w:rsid w:val="00F262AD"/>
    <w:rsid w:val="00F265D0"/>
    <w:rsid w:val="00F266AE"/>
    <w:rsid w:val="00F2696A"/>
    <w:rsid w:val="00F26F46"/>
    <w:rsid w:val="00F271F8"/>
    <w:rsid w:val="00F27465"/>
    <w:rsid w:val="00F2749B"/>
    <w:rsid w:val="00F274A7"/>
    <w:rsid w:val="00F27565"/>
    <w:rsid w:val="00F27B8B"/>
    <w:rsid w:val="00F30125"/>
    <w:rsid w:val="00F30223"/>
    <w:rsid w:val="00F30331"/>
    <w:rsid w:val="00F310D4"/>
    <w:rsid w:val="00F311F5"/>
    <w:rsid w:val="00F3145E"/>
    <w:rsid w:val="00F315E4"/>
    <w:rsid w:val="00F31D5A"/>
    <w:rsid w:val="00F322BA"/>
    <w:rsid w:val="00F32602"/>
    <w:rsid w:val="00F32764"/>
    <w:rsid w:val="00F327B8"/>
    <w:rsid w:val="00F328D4"/>
    <w:rsid w:val="00F33975"/>
    <w:rsid w:val="00F33AAB"/>
    <w:rsid w:val="00F33DE9"/>
    <w:rsid w:val="00F342C7"/>
    <w:rsid w:val="00F344B7"/>
    <w:rsid w:val="00F3451A"/>
    <w:rsid w:val="00F3480B"/>
    <w:rsid w:val="00F3508B"/>
    <w:rsid w:val="00F358D0"/>
    <w:rsid w:val="00F35DC5"/>
    <w:rsid w:val="00F35E6D"/>
    <w:rsid w:val="00F35F19"/>
    <w:rsid w:val="00F35F69"/>
    <w:rsid w:val="00F3619A"/>
    <w:rsid w:val="00F363D6"/>
    <w:rsid w:val="00F36505"/>
    <w:rsid w:val="00F365B4"/>
    <w:rsid w:val="00F3667D"/>
    <w:rsid w:val="00F367B1"/>
    <w:rsid w:val="00F36942"/>
    <w:rsid w:val="00F3719F"/>
    <w:rsid w:val="00F400C0"/>
    <w:rsid w:val="00F401ED"/>
    <w:rsid w:val="00F406C4"/>
    <w:rsid w:val="00F40734"/>
    <w:rsid w:val="00F40995"/>
    <w:rsid w:val="00F40A01"/>
    <w:rsid w:val="00F40A81"/>
    <w:rsid w:val="00F40AAA"/>
    <w:rsid w:val="00F40BA7"/>
    <w:rsid w:val="00F40F9D"/>
    <w:rsid w:val="00F41216"/>
    <w:rsid w:val="00F41421"/>
    <w:rsid w:val="00F41480"/>
    <w:rsid w:val="00F41ACD"/>
    <w:rsid w:val="00F428A3"/>
    <w:rsid w:val="00F434B2"/>
    <w:rsid w:val="00F43692"/>
    <w:rsid w:val="00F436F6"/>
    <w:rsid w:val="00F436FA"/>
    <w:rsid w:val="00F437ED"/>
    <w:rsid w:val="00F43A72"/>
    <w:rsid w:val="00F43AA1"/>
    <w:rsid w:val="00F43C42"/>
    <w:rsid w:val="00F43CB9"/>
    <w:rsid w:val="00F44148"/>
    <w:rsid w:val="00F44191"/>
    <w:rsid w:val="00F445C5"/>
    <w:rsid w:val="00F445DD"/>
    <w:rsid w:val="00F44838"/>
    <w:rsid w:val="00F4496B"/>
    <w:rsid w:val="00F44ECB"/>
    <w:rsid w:val="00F45ED1"/>
    <w:rsid w:val="00F46102"/>
    <w:rsid w:val="00F46568"/>
    <w:rsid w:val="00F4656E"/>
    <w:rsid w:val="00F46640"/>
    <w:rsid w:val="00F46CB6"/>
    <w:rsid w:val="00F46D43"/>
    <w:rsid w:val="00F4756D"/>
    <w:rsid w:val="00F47744"/>
    <w:rsid w:val="00F4779E"/>
    <w:rsid w:val="00F47DE8"/>
    <w:rsid w:val="00F503D9"/>
    <w:rsid w:val="00F50AB5"/>
    <w:rsid w:val="00F50C7E"/>
    <w:rsid w:val="00F50DA4"/>
    <w:rsid w:val="00F50F6C"/>
    <w:rsid w:val="00F51211"/>
    <w:rsid w:val="00F512A6"/>
    <w:rsid w:val="00F516A7"/>
    <w:rsid w:val="00F52223"/>
    <w:rsid w:val="00F5252C"/>
    <w:rsid w:val="00F526F0"/>
    <w:rsid w:val="00F52BEE"/>
    <w:rsid w:val="00F52F42"/>
    <w:rsid w:val="00F536CC"/>
    <w:rsid w:val="00F539C6"/>
    <w:rsid w:val="00F53EA4"/>
    <w:rsid w:val="00F5401E"/>
    <w:rsid w:val="00F542C1"/>
    <w:rsid w:val="00F542EF"/>
    <w:rsid w:val="00F550E3"/>
    <w:rsid w:val="00F551CA"/>
    <w:rsid w:val="00F551EC"/>
    <w:rsid w:val="00F55635"/>
    <w:rsid w:val="00F5566A"/>
    <w:rsid w:val="00F559DD"/>
    <w:rsid w:val="00F55CC3"/>
    <w:rsid w:val="00F55E73"/>
    <w:rsid w:val="00F55EDA"/>
    <w:rsid w:val="00F56412"/>
    <w:rsid w:val="00F56C80"/>
    <w:rsid w:val="00F56E40"/>
    <w:rsid w:val="00F56FA6"/>
    <w:rsid w:val="00F571BD"/>
    <w:rsid w:val="00F57803"/>
    <w:rsid w:val="00F57BED"/>
    <w:rsid w:val="00F57C9F"/>
    <w:rsid w:val="00F57D38"/>
    <w:rsid w:val="00F60092"/>
    <w:rsid w:val="00F6022A"/>
    <w:rsid w:val="00F6083C"/>
    <w:rsid w:val="00F60EB5"/>
    <w:rsid w:val="00F61404"/>
    <w:rsid w:val="00F615FE"/>
    <w:rsid w:val="00F617AA"/>
    <w:rsid w:val="00F618EA"/>
    <w:rsid w:val="00F61901"/>
    <w:rsid w:val="00F61B2B"/>
    <w:rsid w:val="00F61C18"/>
    <w:rsid w:val="00F61C98"/>
    <w:rsid w:val="00F6226A"/>
    <w:rsid w:val="00F622D5"/>
    <w:rsid w:val="00F622E7"/>
    <w:rsid w:val="00F62684"/>
    <w:rsid w:val="00F62F97"/>
    <w:rsid w:val="00F62FEF"/>
    <w:rsid w:val="00F633BA"/>
    <w:rsid w:val="00F63A0C"/>
    <w:rsid w:val="00F63B15"/>
    <w:rsid w:val="00F64571"/>
    <w:rsid w:val="00F65052"/>
    <w:rsid w:val="00F65088"/>
    <w:rsid w:val="00F6533C"/>
    <w:rsid w:val="00F65CA7"/>
    <w:rsid w:val="00F65CFE"/>
    <w:rsid w:val="00F65DC9"/>
    <w:rsid w:val="00F65E63"/>
    <w:rsid w:val="00F65F4B"/>
    <w:rsid w:val="00F6601F"/>
    <w:rsid w:val="00F66485"/>
    <w:rsid w:val="00F66680"/>
    <w:rsid w:val="00F66720"/>
    <w:rsid w:val="00F66FFC"/>
    <w:rsid w:val="00F67A32"/>
    <w:rsid w:val="00F67A69"/>
    <w:rsid w:val="00F67ABA"/>
    <w:rsid w:val="00F701A1"/>
    <w:rsid w:val="00F708A2"/>
    <w:rsid w:val="00F7094C"/>
    <w:rsid w:val="00F70A92"/>
    <w:rsid w:val="00F70BFF"/>
    <w:rsid w:val="00F70C9D"/>
    <w:rsid w:val="00F70FC3"/>
    <w:rsid w:val="00F712CF"/>
    <w:rsid w:val="00F719A4"/>
    <w:rsid w:val="00F71D2A"/>
    <w:rsid w:val="00F72423"/>
    <w:rsid w:val="00F72992"/>
    <w:rsid w:val="00F729A1"/>
    <w:rsid w:val="00F73252"/>
    <w:rsid w:val="00F736C8"/>
    <w:rsid w:val="00F73E08"/>
    <w:rsid w:val="00F74145"/>
    <w:rsid w:val="00F74795"/>
    <w:rsid w:val="00F74BD2"/>
    <w:rsid w:val="00F74CD9"/>
    <w:rsid w:val="00F74F1C"/>
    <w:rsid w:val="00F755CB"/>
    <w:rsid w:val="00F75EF2"/>
    <w:rsid w:val="00F75FAA"/>
    <w:rsid w:val="00F763FF"/>
    <w:rsid w:val="00F76714"/>
    <w:rsid w:val="00F767BF"/>
    <w:rsid w:val="00F7696C"/>
    <w:rsid w:val="00F769BD"/>
    <w:rsid w:val="00F770B6"/>
    <w:rsid w:val="00F800FA"/>
    <w:rsid w:val="00F801CB"/>
    <w:rsid w:val="00F8023E"/>
    <w:rsid w:val="00F80A7B"/>
    <w:rsid w:val="00F80E5D"/>
    <w:rsid w:val="00F81621"/>
    <w:rsid w:val="00F81BAE"/>
    <w:rsid w:val="00F81CEC"/>
    <w:rsid w:val="00F81E78"/>
    <w:rsid w:val="00F81F53"/>
    <w:rsid w:val="00F81F56"/>
    <w:rsid w:val="00F822E6"/>
    <w:rsid w:val="00F825A0"/>
    <w:rsid w:val="00F825C4"/>
    <w:rsid w:val="00F829AD"/>
    <w:rsid w:val="00F82DE6"/>
    <w:rsid w:val="00F83181"/>
    <w:rsid w:val="00F83916"/>
    <w:rsid w:val="00F83CDA"/>
    <w:rsid w:val="00F83ECC"/>
    <w:rsid w:val="00F84155"/>
    <w:rsid w:val="00F843C6"/>
    <w:rsid w:val="00F84454"/>
    <w:rsid w:val="00F844B6"/>
    <w:rsid w:val="00F85138"/>
    <w:rsid w:val="00F851CE"/>
    <w:rsid w:val="00F85861"/>
    <w:rsid w:val="00F85EF2"/>
    <w:rsid w:val="00F861AD"/>
    <w:rsid w:val="00F861FD"/>
    <w:rsid w:val="00F870A9"/>
    <w:rsid w:val="00F874D6"/>
    <w:rsid w:val="00F87B48"/>
    <w:rsid w:val="00F90765"/>
    <w:rsid w:val="00F90B81"/>
    <w:rsid w:val="00F90CFC"/>
    <w:rsid w:val="00F90FB0"/>
    <w:rsid w:val="00F91219"/>
    <w:rsid w:val="00F91583"/>
    <w:rsid w:val="00F9213B"/>
    <w:rsid w:val="00F92217"/>
    <w:rsid w:val="00F92444"/>
    <w:rsid w:val="00F92510"/>
    <w:rsid w:val="00F929FA"/>
    <w:rsid w:val="00F92C97"/>
    <w:rsid w:val="00F92D16"/>
    <w:rsid w:val="00F9310B"/>
    <w:rsid w:val="00F932D8"/>
    <w:rsid w:val="00F9393E"/>
    <w:rsid w:val="00F93DE5"/>
    <w:rsid w:val="00F93F98"/>
    <w:rsid w:val="00F940FF"/>
    <w:rsid w:val="00F9444B"/>
    <w:rsid w:val="00F947C2"/>
    <w:rsid w:val="00F94B95"/>
    <w:rsid w:val="00F94F1D"/>
    <w:rsid w:val="00F95C13"/>
    <w:rsid w:val="00F95E2A"/>
    <w:rsid w:val="00F95F9D"/>
    <w:rsid w:val="00F96643"/>
    <w:rsid w:val="00F96955"/>
    <w:rsid w:val="00F969CF"/>
    <w:rsid w:val="00F96FD0"/>
    <w:rsid w:val="00F97571"/>
    <w:rsid w:val="00F9799E"/>
    <w:rsid w:val="00F97A78"/>
    <w:rsid w:val="00F97C59"/>
    <w:rsid w:val="00FA0284"/>
    <w:rsid w:val="00FA0B20"/>
    <w:rsid w:val="00FA0DDD"/>
    <w:rsid w:val="00FA1520"/>
    <w:rsid w:val="00FA170E"/>
    <w:rsid w:val="00FA18D8"/>
    <w:rsid w:val="00FA1E49"/>
    <w:rsid w:val="00FA1E96"/>
    <w:rsid w:val="00FA24E7"/>
    <w:rsid w:val="00FA278F"/>
    <w:rsid w:val="00FA3457"/>
    <w:rsid w:val="00FA3D16"/>
    <w:rsid w:val="00FA40F9"/>
    <w:rsid w:val="00FA515D"/>
    <w:rsid w:val="00FA518F"/>
    <w:rsid w:val="00FA53D3"/>
    <w:rsid w:val="00FA5854"/>
    <w:rsid w:val="00FA5D7B"/>
    <w:rsid w:val="00FA5EE6"/>
    <w:rsid w:val="00FA5F16"/>
    <w:rsid w:val="00FA615F"/>
    <w:rsid w:val="00FA64FA"/>
    <w:rsid w:val="00FA7956"/>
    <w:rsid w:val="00FB01F5"/>
    <w:rsid w:val="00FB06E5"/>
    <w:rsid w:val="00FB07AB"/>
    <w:rsid w:val="00FB0824"/>
    <w:rsid w:val="00FB083C"/>
    <w:rsid w:val="00FB09AA"/>
    <w:rsid w:val="00FB1313"/>
    <w:rsid w:val="00FB1346"/>
    <w:rsid w:val="00FB1459"/>
    <w:rsid w:val="00FB22BF"/>
    <w:rsid w:val="00FB231B"/>
    <w:rsid w:val="00FB2354"/>
    <w:rsid w:val="00FB25AD"/>
    <w:rsid w:val="00FB2A52"/>
    <w:rsid w:val="00FB2BC5"/>
    <w:rsid w:val="00FB2E06"/>
    <w:rsid w:val="00FB2FA4"/>
    <w:rsid w:val="00FB2FCB"/>
    <w:rsid w:val="00FB32CF"/>
    <w:rsid w:val="00FB35F6"/>
    <w:rsid w:val="00FB360C"/>
    <w:rsid w:val="00FB3671"/>
    <w:rsid w:val="00FB3794"/>
    <w:rsid w:val="00FB37F1"/>
    <w:rsid w:val="00FB3FA6"/>
    <w:rsid w:val="00FB427C"/>
    <w:rsid w:val="00FB43E6"/>
    <w:rsid w:val="00FB442C"/>
    <w:rsid w:val="00FB45FA"/>
    <w:rsid w:val="00FB4649"/>
    <w:rsid w:val="00FB4729"/>
    <w:rsid w:val="00FB4C9C"/>
    <w:rsid w:val="00FB4CA2"/>
    <w:rsid w:val="00FB6272"/>
    <w:rsid w:val="00FB716C"/>
    <w:rsid w:val="00FB7C55"/>
    <w:rsid w:val="00FB7D52"/>
    <w:rsid w:val="00FC0EB3"/>
    <w:rsid w:val="00FC0EBF"/>
    <w:rsid w:val="00FC1074"/>
    <w:rsid w:val="00FC1884"/>
    <w:rsid w:val="00FC1BD2"/>
    <w:rsid w:val="00FC1FD8"/>
    <w:rsid w:val="00FC22B9"/>
    <w:rsid w:val="00FC2388"/>
    <w:rsid w:val="00FC23B7"/>
    <w:rsid w:val="00FC242A"/>
    <w:rsid w:val="00FC25E9"/>
    <w:rsid w:val="00FC2B51"/>
    <w:rsid w:val="00FC2F40"/>
    <w:rsid w:val="00FC3105"/>
    <w:rsid w:val="00FC343A"/>
    <w:rsid w:val="00FC3694"/>
    <w:rsid w:val="00FC371D"/>
    <w:rsid w:val="00FC3D6D"/>
    <w:rsid w:val="00FC4415"/>
    <w:rsid w:val="00FC4899"/>
    <w:rsid w:val="00FC4DEA"/>
    <w:rsid w:val="00FC545B"/>
    <w:rsid w:val="00FC5A89"/>
    <w:rsid w:val="00FC5D99"/>
    <w:rsid w:val="00FC5F0B"/>
    <w:rsid w:val="00FC5F7A"/>
    <w:rsid w:val="00FC6911"/>
    <w:rsid w:val="00FC769D"/>
    <w:rsid w:val="00FC791B"/>
    <w:rsid w:val="00FD0742"/>
    <w:rsid w:val="00FD0D6A"/>
    <w:rsid w:val="00FD0EE3"/>
    <w:rsid w:val="00FD11E2"/>
    <w:rsid w:val="00FD154F"/>
    <w:rsid w:val="00FD2100"/>
    <w:rsid w:val="00FD27F5"/>
    <w:rsid w:val="00FD2820"/>
    <w:rsid w:val="00FD36AB"/>
    <w:rsid w:val="00FD3CA5"/>
    <w:rsid w:val="00FD3EF5"/>
    <w:rsid w:val="00FD436C"/>
    <w:rsid w:val="00FD446D"/>
    <w:rsid w:val="00FD4522"/>
    <w:rsid w:val="00FD4F2C"/>
    <w:rsid w:val="00FD53F1"/>
    <w:rsid w:val="00FD5E5F"/>
    <w:rsid w:val="00FD60B6"/>
    <w:rsid w:val="00FD6394"/>
    <w:rsid w:val="00FD7334"/>
    <w:rsid w:val="00FD7592"/>
    <w:rsid w:val="00FD7846"/>
    <w:rsid w:val="00FD7D70"/>
    <w:rsid w:val="00FE02E3"/>
    <w:rsid w:val="00FE0368"/>
    <w:rsid w:val="00FE0B3E"/>
    <w:rsid w:val="00FE0E6C"/>
    <w:rsid w:val="00FE0FBA"/>
    <w:rsid w:val="00FE11E6"/>
    <w:rsid w:val="00FE1CD3"/>
    <w:rsid w:val="00FE1CDC"/>
    <w:rsid w:val="00FE2DD1"/>
    <w:rsid w:val="00FE3F1C"/>
    <w:rsid w:val="00FE4A2B"/>
    <w:rsid w:val="00FE4A48"/>
    <w:rsid w:val="00FE55A6"/>
    <w:rsid w:val="00FE55C1"/>
    <w:rsid w:val="00FE61E3"/>
    <w:rsid w:val="00FE70C3"/>
    <w:rsid w:val="00FE7162"/>
    <w:rsid w:val="00FE7230"/>
    <w:rsid w:val="00FE77CC"/>
    <w:rsid w:val="00FE7A13"/>
    <w:rsid w:val="00FF059C"/>
    <w:rsid w:val="00FF06CA"/>
    <w:rsid w:val="00FF07BF"/>
    <w:rsid w:val="00FF0F43"/>
    <w:rsid w:val="00FF10DA"/>
    <w:rsid w:val="00FF11E4"/>
    <w:rsid w:val="00FF13DA"/>
    <w:rsid w:val="00FF1914"/>
    <w:rsid w:val="00FF1A5B"/>
    <w:rsid w:val="00FF1A8B"/>
    <w:rsid w:val="00FF1C79"/>
    <w:rsid w:val="00FF1C97"/>
    <w:rsid w:val="00FF1E5C"/>
    <w:rsid w:val="00FF2006"/>
    <w:rsid w:val="00FF2800"/>
    <w:rsid w:val="00FF2AD9"/>
    <w:rsid w:val="00FF3204"/>
    <w:rsid w:val="00FF3278"/>
    <w:rsid w:val="00FF359F"/>
    <w:rsid w:val="00FF38A4"/>
    <w:rsid w:val="00FF3DCF"/>
    <w:rsid w:val="00FF4705"/>
    <w:rsid w:val="00FF492C"/>
    <w:rsid w:val="00FF4A21"/>
    <w:rsid w:val="00FF5293"/>
    <w:rsid w:val="00FF536A"/>
    <w:rsid w:val="00FF5A83"/>
    <w:rsid w:val="00FF5AA3"/>
    <w:rsid w:val="00FF5AD8"/>
    <w:rsid w:val="00FF5BF6"/>
    <w:rsid w:val="00FF6461"/>
    <w:rsid w:val="00FF64CE"/>
    <w:rsid w:val="00FF659E"/>
    <w:rsid w:val="00FF673D"/>
    <w:rsid w:val="00FF679A"/>
    <w:rsid w:val="00FF74D0"/>
    <w:rsid w:val="00FF7D55"/>
    <w:rsid w:val="01AC8415"/>
    <w:rsid w:val="01B0CF42"/>
    <w:rsid w:val="02406D3F"/>
    <w:rsid w:val="02563BAE"/>
    <w:rsid w:val="02B26D10"/>
    <w:rsid w:val="02DCF8B6"/>
    <w:rsid w:val="02E3EF75"/>
    <w:rsid w:val="0315F3FE"/>
    <w:rsid w:val="038FFB2B"/>
    <w:rsid w:val="039F0959"/>
    <w:rsid w:val="0449426A"/>
    <w:rsid w:val="046B1542"/>
    <w:rsid w:val="056BE171"/>
    <w:rsid w:val="068B7E90"/>
    <w:rsid w:val="0697AB80"/>
    <w:rsid w:val="06982343"/>
    <w:rsid w:val="072CC1AE"/>
    <w:rsid w:val="07A96A11"/>
    <w:rsid w:val="07CFCFFA"/>
    <w:rsid w:val="07DF8C69"/>
    <w:rsid w:val="07F2B820"/>
    <w:rsid w:val="0843D9CF"/>
    <w:rsid w:val="0850EEBA"/>
    <w:rsid w:val="08FCEF75"/>
    <w:rsid w:val="08FECCA4"/>
    <w:rsid w:val="0982620A"/>
    <w:rsid w:val="0A20C1C6"/>
    <w:rsid w:val="0B3CB440"/>
    <w:rsid w:val="0B7BB14D"/>
    <w:rsid w:val="0BE22228"/>
    <w:rsid w:val="0C09ED5D"/>
    <w:rsid w:val="0CCCBF83"/>
    <w:rsid w:val="0D4E3A24"/>
    <w:rsid w:val="0D7F66B0"/>
    <w:rsid w:val="0E6B4BEE"/>
    <w:rsid w:val="0F05C827"/>
    <w:rsid w:val="0FB8E318"/>
    <w:rsid w:val="0FF4E63D"/>
    <w:rsid w:val="1000E6A5"/>
    <w:rsid w:val="10034ADB"/>
    <w:rsid w:val="104BD8FC"/>
    <w:rsid w:val="10526D1D"/>
    <w:rsid w:val="1056556E"/>
    <w:rsid w:val="109A9364"/>
    <w:rsid w:val="114AC9D7"/>
    <w:rsid w:val="1177A6CA"/>
    <w:rsid w:val="11B53F72"/>
    <w:rsid w:val="12386A1F"/>
    <w:rsid w:val="1250E222"/>
    <w:rsid w:val="1264A1AC"/>
    <w:rsid w:val="127B8CDA"/>
    <w:rsid w:val="1321DFD7"/>
    <w:rsid w:val="1355445F"/>
    <w:rsid w:val="13E5BC28"/>
    <w:rsid w:val="14010A99"/>
    <w:rsid w:val="14037356"/>
    <w:rsid w:val="140665A3"/>
    <w:rsid w:val="146482A1"/>
    <w:rsid w:val="1471A61F"/>
    <w:rsid w:val="14E6822D"/>
    <w:rsid w:val="1595AB77"/>
    <w:rsid w:val="15A79822"/>
    <w:rsid w:val="1619672A"/>
    <w:rsid w:val="172F8B83"/>
    <w:rsid w:val="1761103F"/>
    <w:rsid w:val="17EB088F"/>
    <w:rsid w:val="1803B932"/>
    <w:rsid w:val="190DEFBF"/>
    <w:rsid w:val="1A85FCA4"/>
    <w:rsid w:val="1A8BBA37"/>
    <w:rsid w:val="1B4B0627"/>
    <w:rsid w:val="1C4E8343"/>
    <w:rsid w:val="1C6D477D"/>
    <w:rsid w:val="1CADB9D1"/>
    <w:rsid w:val="1CCC862B"/>
    <w:rsid w:val="1D28673F"/>
    <w:rsid w:val="1D2F29A4"/>
    <w:rsid w:val="1D822CE3"/>
    <w:rsid w:val="1E5303A2"/>
    <w:rsid w:val="1E806CB1"/>
    <w:rsid w:val="1E997F2C"/>
    <w:rsid w:val="1F14A687"/>
    <w:rsid w:val="1F61F2E6"/>
    <w:rsid w:val="1F7C0A44"/>
    <w:rsid w:val="1FE9AD7A"/>
    <w:rsid w:val="2004F741"/>
    <w:rsid w:val="2050E7DC"/>
    <w:rsid w:val="206ED89B"/>
    <w:rsid w:val="20C6E249"/>
    <w:rsid w:val="213067FF"/>
    <w:rsid w:val="2190163A"/>
    <w:rsid w:val="220FEB02"/>
    <w:rsid w:val="2257C091"/>
    <w:rsid w:val="22FB38A1"/>
    <w:rsid w:val="231804C5"/>
    <w:rsid w:val="23B00AAF"/>
    <w:rsid w:val="2413FD9F"/>
    <w:rsid w:val="24983EF5"/>
    <w:rsid w:val="24DEED8A"/>
    <w:rsid w:val="24FB3CF9"/>
    <w:rsid w:val="256AB0F6"/>
    <w:rsid w:val="25D36322"/>
    <w:rsid w:val="261C1DEC"/>
    <w:rsid w:val="2625577B"/>
    <w:rsid w:val="263390A7"/>
    <w:rsid w:val="2741A326"/>
    <w:rsid w:val="27A73889"/>
    <w:rsid w:val="288B790A"/>
    <w:rsid w:val="296ACE82"/>
    <w:rsid w:val="29ADA190"/>
    <w:rsid w:val="2A77855E"/>
    <w:rsid w:val="2A868746"/>
    <w:rsid w:val="2AC51335"/>
    <w:rsid w:val="2AD4D45C"/>
    <w:rsid w:val="2B259FE6"/>
    <w:rsid w:val="2BF68A5D"/>
    <w:rsid w:val="2C35ED38"/>
    <w:rsid w:val="2CE12B2E"/>
    <w:rsid w:val="2D03AB33"/>
    <w:rsid w:val="2D4A01C2"/>
    <w:rsid w:val="2DBCB011"/>
    <w:rsid w:val="2E05F62A"/>
    <w:rsid w:val="2E98BA8A"/>
    <w:rsid w:val="2ECCF8EF"/>
    <w:rsid w:val="2ED7420D"/>
    <w:rsid w:val="2FB3E0DD"/>
    <w:rsid w:val="2FEBF1C5"/>
    <w:rsid w:val="2FF4B1E4"/>
    <w:rsid w:val="3113E4A4"/>
    <w:rsid w:val="316E21D1"/>
    <w:rsid w:val="31A3A54F"/>
    <w:rsid w:val="3229131C"/>
    <w:rsid w:val="32A3B734"/>
    <w:rsid w:val="32BD53BC"/>
    <w:rsid w:val="33237C2C"/>
    <w:rsid w:val="33316B56"/>
    <w:rsid w:val="333506A3"/>
    <w:rsid w:val="336B2EA3"/>
    <w:rsid w:val="336BFA4D"/>
    <w:rsid w:val="339367AB"/>
    <w:rsid w:val="3436D50C"/>
    <w:rsid w:val="3448EE22"/>
    <w:rsid w:val="34EF071E"/>
    <w:rsid w:val="35008BCE"/>
    <w:rsid w:val="3517118D"/>
    <w:rsid w:val="3557D984"/>
    <w:rsid w:val="364244E9"/>
    <w:rsid w:val="365B05AA"/>
    <w:rsid w:val="36ABDFD1"/>
    <w:rsid w:val="36E11F91"/>
    <w:rsid w:val="3733DEEC"/>
    <w:rsid w:val="37B37C42"/>
    <w:rsid w:val="3855930B"/>
    <w:rsid w:val="38C514C4"/>
    <w:rsid w:val="3A1FDA15"/>
    <w:rsid w:val="3A8BA4A0"/>
    <w:rsid w:val="3ACD98A4"/>
    <w:rsid w:val="3C93A49D"/>
    <w:rsid w:val="3C9C7789"/>
    <w:rsid w:val="3CE91235"/>
    <w:rsid w:val="3D263E96"/>
    <w:rsid w:val="3E9F919C"/>
    <w:rsid w:val="3F8076F2"/>
    <w:rsid w:val="3F8A87EF"/>
    <w:rsid w:val="3F9A5064"/>
    <w:rsid w:val="406C6083"/>
    <w:rsid w:val="40F244FF"/>
    <w:rsid w:val="41BCFDD8"/>
    <w:rsid w:val="41C2BD2B"/>
    <w:rsid w:val="41E6F5E6"/>
    <w:rsid w:val="41ECCFD8"/>
    <w:rsid w:val="41F3E559"/>
    <w:rsid w:val="41F9C6F2"/>
    <w:rsid w:val="4209E774"/>
    <w:rsid w:val="4212714B"/>
    <w:rsid w:val="423840EE"/>
    <w:rsid w:val="4255248B"/>
    <w:rsid w:val="4288F19C"/>
    <w:rsid w:val="43BB398D"/>
    <w:rsid w:val="44645B41"/>
    <w:rsid w:val="44B9F056"/>
    <w:rsid w:val="4531EE84"/>
    <w:rsid w:val="454302B5"/>
    <w:rsid w:val="45D32B70"/>
    <w:rsid w:val="45D4688D"/>
    <w:rsid w:val="45E3A777"/>
    <w:rsid w:val="45EAAE05"/>
    <w:rsid w:val="4623B5C7"/>
    <w:rsid w:val="4690446E"/>
    <w:rsid w:val="47176A92"/>
    <w:rsid w:val="472873E5"/>
    <w:rsid w:val="47630CAD"/>
    <w:rsid w:val="4795420B"/>
    <w:rsid w:val="47EFDEAE"/>
    <w:rsid w:val="4801BCF0"/>
    <w:rsid w:val="4806793A"/>
    <w:rsid w:val="489BD5D8"/>
    <w:rsid w:val="493C7F73"/>
    <w:rsid w:val="49B5FA4C"/>
    <w:rsid w:val="49F0F406"/>
    <w:rsid w:val="49FF28C2"/>
    <w:rsid w:val="4A596899"/>
    <w:rsid w:val="4A6A18E8"/>
    <w:rsid w:val="4A991FB4"/>
    <w:rsid w:val="4ADEF075"/>
    <w:rsid w:val="4B45B78B"/>
    <w:rsid w:val="4C4C965E"/>
    <w:rsid w:val="4C69FA75"/>
    <w:rsid w:val="4CB11E00"/>
    <w:rsid w:val="4D8C6813"/>
    <w:rsid w:val="4DCBD00C"/>
    <w:rsid w:val="4E2EE5CB"/>
    <w:rsid w:val="4E31C7D5"/>
    <w:rsid w:val="4ECFE20C"/>
    <w:rsid w:val="4ED872ED"/>
    <w:rsid w:val="4EF48F77"/>
    <w:rsid w:val="4F1381B3"/>
    <w:rsid w:val="4F13AD8A"/>
    <w:rsid w:val="51038946"/>
    <w:rsid w:val="51AAA6E2"/>
    <w:rsid w:val="51BA708E"/>
    <w:rsid w:val="51F90D05"/>
    <w:rsid w:val="521CF3D7"/>
    <w:rsid w:val="523C7D32"/>
    <w:rsid w:val="5290277E"/>
    <w:rsid w:val="537028D1"/>
    <w:rsid w:val="5375F070"/>
    <w:rsid w:val="538467CB"/>
    <w:rsid w:val="544847E3"/>
    <w:rsid w:val="54C8CA69"/>
    <w:rsid w:val="54FBA51F"/>
    <w:rsid w:val="558BA8D9"/>
    <w:rsid w:val="564D5E0C"/>
    <w:rsid w:val="5657FFBA"/>
    <w:rsid w:val="56870223"/>
    <w:rsid w:val="5687DB5C"/>
    <w:rsid w:val="571A0898"/>
    <w:rsid w:val="575F55CC"/>
    <w:rsid w:val="586337A1"/>
    <w:rsid w:val="58D9BD00"/>
    <w:rsid w:val="58EF38A4"/>
    <w:rsid w:val="58FC673A"/>
    <w:rsid w:val="592FFAE6"/>
    <w:rsid w:val="5956980B"/>
    <w:rsid w:val="595E0842"/>
    <w:rsid w:val="5A75C2E3"/>
    <w:rsid w:val="5B02160A"/>
    <w:rsid w:val="5BA484EC"/>
    <w:rsid w:val="5BBC43F6"/>
    <w:rsid w:val="5C7B6F08"/>
    <w:rsid w:val="5CA28B35"/>
    <w:rsid w:val="5CAF4D36"/>
    <w:rsid w:val="5CCDE47D"/>
    <w:rsid w:val="5D196AC5"/>
    <w:rsid w:val="5DAFB19C"/>
    <w:rsid w:val="5E024843"/>
    <w:rsid w:val="5E5CBA92"/>
    <w:rsid w:val="5E9A3A7A"/>
    <w:rsid w:val="5ED42F85"/>
    <w:rsid w:val="5F5EFE71"/>
    <w:rsid w:val="5F64316A"/>
    <w:rsid w:val="5F72213B"/>
    <w:rsid w:val="6010D828"/>
    <w:rsid w:val="6027FA67"/>
    <w:rsid w:val="604E421C"/>
    <w:rsid w:val="605F8846"/>
    <w:rsid w:val="60BB532B"/>
    <w:rsid w:val="60E37D15"/>
    <w:rsid w:val="6138B139"/>
    <w:rsid w:val="6300866A"/>
    <w:rsid w:val="63E1435A"/>
    <w:rsid w:val="63F03B76"/>
    <w:rsid w:val="63F38A3A"/>
    <w:rsid w:val="64A918A7"/>
    <w:rsid w:val="64F70D04"/>
    <w:rsid w:val="652E53D4"/>
    <w:rsid w:val="65CD8E1E"/>
    <w:rsid w:val="66931DCB"/>
    <w:rsid w:val="66AF7F42"/>
    <w:rsid w:val="66ECF091"/>
    <w:rsid w:val="674A5929"/>
    <w:rsid w:val="674F0B17"/>
    <w:rsid w:val="67BD6CE1"/>
    <w:rsid w:val="680571EB"/>
    <w:rsid w:val="687AFC4B"/>
    <w:rsid w:val="689480C4"/>
    <w:rsid w:val="68C3BC01"/>
    <w:rsid w:val="69E1269D"/>
    <w:rsid w:val="69F70BB9"/>
    <w:rsid w:val="6ABCD253"/>
    <w:rsid w:val="6BDB09CB"/>
    <w:rsid w:val="6C954E12"/>
    <w:rsid w:val="6D6151CA"/>
    <w:rsid w:val="6D709A5A"/>
    <w:rsid w:val="6D960953"/>
    <w:rsid w:val="6DDC21DD"/>
    <w:rsid w:val="6DFCF4BD"/>
    <w:rsid w:val="6E1BA728"/>
    <w:rsid w:val="6E3AC1C6"/>
    <w:rsid w:val="6E530405"/>
    <w:rsid w:val="703B6610"/>
    <w:rsid w:val="703C28DB"/>
    <w:rsid w:val="707F4125"/>
    <w:rsid w:val="70B9F1B0"/>
    <w:rsid w:val="710017CD"/>
    <w:rsid w:val="7176A25A"/>
    <w:rsid w:val="7278AF59"/>
    <w:rsid w:val="72B59881"/>
    <w:rsid w:val="72F48375"/>
    <w:rsid w:val="7326BFC5"/>
    <w:rsid w:val="736F2E35"/>
    <w:rsid w:val="737D71AF"/>
    <w:rsid w:val="7448E857"/>
    <w:rsid w:val="7610C5CA"/>
    <w:rsid w:val="76914BA8"/>
    <w:rsid w:val="76F18FC0"/>
    <w:rsid w:val="77D392B2"/>
    <w:rsid w:val="7846D7AF"/>
    <w:rsid w:val="78537A34"/>
    <w:rsid w:val="790CA4E8"/>
    <w:rsid w:val="793B2D3D"/>
    <w:rsid w:val="796ECEE4"/>
    <w:rsid w:val="79BEF71B"/>
    <w:rsid w:val="7A0CE714"/>
    <w:rsid w:val="7B5055C3"/>
    <w:rsid w:val="7B695583"/>
    <w:rsid w:val="7B741B6C"/>
    <w:rsid w:val="7B7B8E82"/>
    <w:rsid w:val="7C7F9B78"/>
    <w:rsid w:val="7CAB8381"/>
    <w:rsid w:val="7CD7679A"/>
    <w:rsid w:val="7CFA75B9"/>
    <w:rsid w:val="7D690C72"/>
    <w:rsid w:val="7E4A4F85"/>
    <w:rsid w:val="7EAF069A"/>
    <w:rsid w:val="7F313D9E"/>
    <w:rsid w:val="7FFA1C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4"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qForma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E46F70"/>
    <w:pPr>
      <w:keepLines/>
      <w:spacing w:after="120"/>
      <w:contextualSpacing/>
      <w:jc w:val="left"/>
    </w:pPr>
    <w:rPr>
      <w:rFonts w:ascii="Arial Narrow" w:hAnsi="Arial Narrow"/>
      <w:bCs/>
      <w:snapToGrid w:val="0"/>
      <w:sz w:val="18"/>
      <w:szCs w:val="18"/>
    </w:rPr>
  </w:style>
  <w:style w:type="character" w:customStyle="1" w:styleId="TableFigureFooterChar">
    <w:name w:val="Table/Figure Footer Char"/>
    <w:link w:val="TableFigureFooter"/>
    <w:rsid w:val="00E46F70"/>
    <w:rPr>
      <w:rFonts w:ascii="Arial Narrow" w:hAnsi="Arial Narrow" w:cs="Arial"/>
      <w:bCs/>
      <w:snapToGrid w:val="0"/>
      <w:sz w:val="18"/>
      <w:szCs w:val="18"/>
    </w:rPr>
  </w:style>
  <w:style w:type="table" w:customStyle="1" w:styleId="PBACtable">
    <w:name w:val="PBAC_table"/>
    <w:basedOn w:val="TableNormal"/>
    <w:uiPriority w:val="99"/>
    <w:rsid w:val="009B0958"/>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PBAClayout">
    <w:name w:val="PBAC_layout"/>
    <w:basedOn w:val="TableNormal"/>
    <w:uiPriority w:val="99"/>
    <w:rsid w:val="00A01058"/>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paragraph" w:styleId="FootnoteText">
    <w:name w:val="footnote text"/>
    <w:aliases w:val="Footnote Text Char1,Footnote Text Char Char,Footnote Text Char2,Footnote Text Char Char1"/>
    <w:basedOn w:val="Normal"/>
    <w:link w:val="FootnoteTextChar"/>
    <w:unhideWhenUsed/>
    <w:rsid w:val="000E09A9"/>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0E09A9"/>
    <w:rPr>
      <w:rFonts w:ascii="Calibri" w:hAnsi="Calibri" w:cs="Arial"/>
    </w:rPr>
  </w:style>
  <w:style w:type="character" w:styleId="FootnoteReference">
    <w:name w:val="footnote reference"/>
    <w:basedOn w:val="DefaultParagraphFont"/>
    <w:unhideWhenUsed/>
    <w:rsid w:val="000E09A9"/>
    <w:rPr>
      <w:vertAlign w:val="superscript"/>
    </w:rPr>
  </w:style>
  <w:style w:type="character" w:styleId="UnresolvedMention">
    <w:name w:val="Unresolved Mention"/>
    <w:basedOn w:val="DefaultParagraphFont"/>
    <w:uiPriority w:val="99"/>
    <w:semiHidden/>
    <w:unhideWhenUsed/>
    <w:rsid w:val="00B22571"/>
    <w:rPr>
      <w:color w:val="605E5C"/>
      <w:shd w:val="clear" w:color="auto" w:fill="E1DFDD"/>
    </w:rPr>
  </w:style>
  <w:style w:type="character" w:customStyle="1" w:styleId="Heading4Char">
    <w:name w:val="Heading 4 Char"/>
    <w:basedOn w:val="DefaultParagraphFont"/>
    <w:link w:val="Heading4"/>
    <w:uiPriority w:val="9"/>
    <w:rsid w:val="001D6DA6"/>
    <w:rPr>
      <w:rFonts w:ascii="Calibri" w:hAnsi="Calibri" w:cs="Arial"/>
      <w:b/>
      <w:bCs/>
      <w:i/>
      <w:sz w:val="26"/>
      <w:szCs w:val="28"/>
    </w:rPr>
  </w:style>
  <w:style w:type="table" w:customStyle="1" w:styleId="ASDTable2">
    <w:name w:val="ASD Table2"/>
    <w:basedOn w:val="TableNormal"/>
    <w:uiPriority w:val="39"/>
    <w:rsid w:val="006F0D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A32B5"/>
    <w:rPr>
      <w:color w:val="2B579A"/>
      <w:shd w:val="clear" w:color="auto" w:fill="E1DFDD"/>
    </w:rPr>
  </w:style>
  <w:style w:type="character" w:customStyle="1" w:styleId="cf01">
    <w:name w:val="cf01"/>
    <w:basedOn w:val="DefaultParagraphFont"/>
    <w:rsid w:val="007D3DB2"/>
    <w:rPr>
      <w:rFonts w:ascii="Segoe UI" w:hAnsi="Segoe UI" w:cs="Segoe UI" w:hint="default"/>
      <w:i/>
      <w:iCs/>
      <w:sz w:val="18"/>
      <w:szCs w:val="18"/>
    </w:rPr>
  </w:style>
  <w:style w:type="character" w:customStyle="1" w:styleId="cf11">
    <w:name w:val="cf11"/>
    <w:basedOn w:val="DefaultParagraphFont"/>
    <w:rsid w:val="007D3DB2"/>
    <w:rPr>
      <w:rFonts w:ascii="Segoe UI" w:hAnsi="Segoe UI" w:cs="Segoe UI" w:hint="default"/>
      <w:i/>
      <w:iCs/>
      <w:sz w:val="18"/>
      <w:szCs w:val="18"/>
    </w:rPr>
  </w:style>
  <w:style w:type="paragraph" w:customStyle="1" w:styleId="TableBullet">
    <w:name w:val="TableBullet"/>
    <w:basedOn w:val="Normal"/>
    <w:uiPriority w:val="99"/>
    <w:rsid w:val="007D3DB2"/>
    <w:pPr>
      <w:tabs>
        <w:tab w:val="left" w:pos="216"/>
        <w:tab w:val="num" w:pos="360"/>
      </w:tabs>
      <w:spacing w:before="20" w:after="20"/>
      <w:ind w:left="216" w:hanging="216"/>
    </w:pPr>
    <w:rPr>
      <w:rFonts w:cstheme="minorHAnsi"/>
      <w:bCs/>
      <w:sz w:val="20"/>
      <w:szCs w:val="20"/>
      <w:lang w:eastAsia="zh-CN"/>
    </w:rPr>
  </w:style>
  <w:style w:type="paragraph" w:customStyle="1" w:styleId="COMexecsummheadings">
    <w:name w:val="COM exec summ headings"/>
    <w:next w:val="Normal"/>
    <w:link w:val="COMexecsummheadingsChar"/>
    <w:qFormat/>
    <w:rsid w:val="0081769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817699"/>
    <w:rPr>
      <w:rFonts w:asciiTheme="minorHAnsi" w:eastAsiaTheme="majorEastAsia" w:hAnsiTheme="minorHAnsi" w:cstheme="majorBidi"/>
      <w:b/>
      <w:spacing w:val="5"/>
      <w:kern w:val="28"/>
      <w:sz w:val="36"/>
      <w:szCs w:val="36"/>
    </w:rPr>
  </w:style>
  <w:style w:type="paragraph" w:customStyle="1" w:styleId="3-SubsectionHeading">
    <w:name w:val="3-Subsection Heading"/>
    <w:basedOn w:val="Heading2"/>
    <w:next w:val="Normal"/>
    <w:link w:val="3-SubsectionHeadingChar"/>
    <w:qFormat/>
    <w:rsid w:val="00F801CB"/>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F801CB"/>
    <w:rPr>
      <w:rFonts w:asciiTheme="minorHAnsi" w:eastAsiaTheme="majorEastAsia" w:hAnsiTheme="minorHAnsi" w:cstheme="majorBidi"/>
      <w:b/>
      <w:i/>
      <w:snapToGrid/>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51808486">
      <w:bodyDiv w:val="1"/>
      <w:marLeft w:val="0"/>
      <w:marRight w:val="0"/>
      <w:marTop w:val="0"/>
      <w:marBottom w:val="0"/>
      <w:divBdr>
        <w:top w:val="none" w:sz="0" w:space="0" w:color="auto"/>
        <w:left w:val="none" w:sz="0" w:space="0" w:color="auto"/>
        <w:bottom w:val="none" w:sz="0" w:space="0" w:color="auto"/>
        <w:right w:val="none" w:sz="0" w:space="0" w:color="auto"/>
      </w:divBdr>
      <w:divsChild>
        <w:div w:id="17125168">
          <w:marLeft w:val="0"/>
          <w:marRight w:val="0"/>
          <w:marTop w:val="0"/>
          <w:marBottom w:val="0"/>
          <w:divBdr>
            <w:top w:val="none" w:sz="0" w:space="0" w:color="auto"/>
            <w:left w:val="none" w:sz="0" w:space="0" w:color="auto"/>
            <w:bottom w:val="none" w:sz="0" w:space="0" w:color="auto"/>
            <w:right w:val="none" w:sz="0" w:space="0" w:color="auto"/>
          </w:divBdr>
        </w:div>
        <w:div w:id="172184403">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6267066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u.gsk.com/en-au/media/press-releases/new-medicine-for-lupus-now-available-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3B134-8FCC-4DE0-95C2-324AB0C472DB}">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EC480765-48CC-4F83-B624-D8133600D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AECBF-D852-4572-BE1E-50430478F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24621</Words>
  <Characters>138376</Characters>
  <Application>Microsoft Office Word</Application>
  <DocSecurity>4</DocSecurity>
  <Lines>3548</Lines>
  <Paragraphs>1895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161102</CharactersWithSpaces>
  <SharedDoc>false</SharedDoc>
  <HLinks>
    <vt:vector size="6" baseType="variant">
      <vt:variant>
        <vt:i4>4390940</vt:i4>
      </vt:variant>
      <vt:variant>
        <vt:i4>0</vt:i4>
      </vt:variant>
      <vt:variant>
        <vt:i4>0</vt:i4>
      </vt:variant>
      <vt:variant>
        <vt:i4>5</vt:i4>
      </vt:variant>
      <vt:variant>
        <vt:lpwstr>https://au.gsk.com/en-au/media/press-releases/new-medicine-for-lupus-now-available-in-australia/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2026-07-15T23:33:00Z</dcterms:created>
  <dcterms:modified xsi:type="dcterms:W3CDTF">2026-07-15T23:33:00Z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11b1fd9a,35253faa,686a9020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67a7705f,7789d2c9,70cdda67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2026-05-27T03:23:15Z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472f9ec9-1ec8-4502-98ab-f944adb43a21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59808300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